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45300" w14:textId="1204466C" w:rsidR="003B7964" w:rsidRPr="00E07DA9" w:rsidRDefault="00E07DA9" w:rsidP="00E07DA9">
      <w:pPr>
        <w:pStyle w:val="Heading1"/>
        <w:rPr>
          <w:rFonts w:ascii="Aptos Display" w:hAnsi="Aptos Display" w:cs="Segoe UI"/>
          <w:sz w:val="40"/>
          <w:szCs w:val="40"/>
        </w:rPr>
      </w:pPr>
      <w:r w:rsidRPr="00E07DA9">
        <w:rPr>
          <w:rFonts w:ascii="Aptos Display" w:hAnsi="Aptos Display"/>
          <w:sz w:val="40"/>
          <w:szCs w:val="40"/>
        </w:rPr>
        <w:t>4.2.3a</w:t>
      </w:r>
      <w:r w:rsidR="00673F39">
        <w:rPr>
          <w:rFonts w:ascii="Aptos Display" w:hAnsi="Aptos Display"/>
          <w:sz w:val="40"/>
          <w:szCs w:val="40"/>
        </w:rPr>
        <w:t xml:space="preserve"> </w:t>
      </w:r>
      <w:r w:rsidRPr="00E07DA9">
        <w:rPr>
          <w:rFonts w:ascii="Aptos Display" w:hAnsi="Aptos Display"/>
          <w:sz w:val="40"/>
          <w:szCs w:val="40"/>
        </w:rPr>
        <w:t>Additional</w:t>
      </w:r>
      <w:r w:rsidR="00673F39">
        <w:rPr>
          <w:rFonts w:ascii="Aptos Display" w:hAnsi="Aptos Display"/>
          <w:sz w:val="40"/>
          <w:szCs w:val="40"/>
        </w:rPr>
        <w:t xml:space="preserve"> </w:t>
      </w:r>
      <w:r w:rsidRPr="00E07DA9">
        <w:rPr>
          <w:rFonts w:ascii="Aptos Display" w:hAnsi="Aptos Display"/>
          <w:sz w:val="40"/>
          <w:szCs w:val="40"/>
        </w:rPr>
        <w:t>Reliability</w:t>
      </w:r>
      <w:r w:rsidR="00673F39">
        <w:rPr>
          <w:rFonts w:ascii="Aptos Display" w:hAnsi="Aptos Display"/>
          <w:sz w:val="40"/>
          <w:szCs w:val="40"/>
        </w:rPr>
        <w:t xml:space="preserve"> </w:t>
      </w:r>
      <w:r w:rsidRPr="00E07DA9">
        <w:rPr>
          <w:rFonts w:ascii="Aptos Display" w:hAnsi="Aptos Display"/>
          <w:sz w:val="40"/>
          <w:szCs w:val="40"/>
        </w:rPr>
        <w:t>Testing</w:t>
      </w:r>
      <w:r w:rsidR="00673F39">
        <w:rPr>
          <w:rFonts w:ascii="Aptos Display" w:hAnsi="Aptos Display"/>
          <w:sz w:val="40"/>
          <w:szCs w:val="40"/>
        </w:rPr>
        <w:t xml:space="preserve"> </w:t>
      </w:r>
      <w:r w:rsidRPr="00E07DA9">
        <w:rPr>
          <w:rFonts w:ascii="Aptos Display" w:hAnsi="Aptos Display"/>
          <w:sz w:val="40"/>
          <w:szCs w:val="40"/>
        </w:rPr>
        <w:t>Results:</w:t>
      </w:r>
      <w:r w:rsidR="00673F39">
        <w:rPr>
          <w:rFonts w:ascii="Aptos Display" w:hAnsi="Aptos Display"/>
          <w:i/>
          <w:iCs/>
          <w:color w:val="0070C0"/>
          <w:sz w:val="40"/>
          <w:szCs w:val="40"/>
        </w:rPr>
        <w:t xml:space="preserve"> </w:t>
      </w:r>
      <w:r w:rsidR="003B7964" w:rsidRPr="00E07DA9">
        <w:rPr>
          <w:rStyle w:val="normaltextrun"/>
          <w:rFonts w:ascii="Aptos Display" w:hAnsi="Aptos Display" w:cs="Arial"/>
          <w:sz w:val="40"/>
          <w:szCs w:val="40"/>
        </w:rPr>
        <w:t>Data</w:t>
      </w:r>
      <w:r w:rsidR="00673F39">
        <w:rPr>
          <w:rStyle w:val="normaltextrun"/>
          <w:rFonts w:ascii="Aptos Display" w:hAnsi="Aptos Display" w:cs="Arial"/>
          <w:sz w:val="40"/>
          <w:szCs w:val="40"/>
        </w:rPr>
        <w:t xml:space="preserve"> </w:t>
      </w:r>
      <w:r w:rsidR="003B7964" w:rsidRPr="00E07DA9">
        <w:rPr>
          <w:rStyle w:val="normaltextrun"/>
          <w:rFonts w:ascii="Aptos Display" w:hAnsi="Aptos Display" w:cs="Arial"/>
          <w:sz w:val="40"/>
          <w:szCs w:val="40"/>
        </w:rPr>
        <w:t>Element</w:t>
      </w:r>
      <w:r w:rsidR="00673F39">
        <w:rPr>
          <w:rStyle w:val="normaltextrun"/>
          <w:rFonts w:ascii="Aptos Display" w:hAnsi="Aptos Display" w:cs="Arial"/>
          <w:sz w:val="40"/>
          <w:szCs w:val="40"/>
        </w:rPr>
        <w:t xml:space="preserve"> </w:t>
      </w:r>
      <w:r w:rsidR="003B7964" w:rsidRPr="00E07DA9">
        <w:rPr>
          <w:rStyle w:val="normaltextrun"/>
          <w:rFonts w:ascii="Aptos Display" w:hAnsi="Aptos Display" w:cs="Arial"/>
          <w:sz w:val="40"/>
          <w:szCs w:val="40"/>
        </w:rPr>
        <w:t>Reliability</w:t>
      </w:r>
      <w:r w:rsidR="00673F39">
        <w:rPr>
          <w:rStyle w:val="normaltextrun"/>
          <w:rFonts w:ascii="Aptos Display" w:hAnsi="Aptos Display" w:cs="Arial"/>
          <w:sz w:val="40"/>
          <w:szCs w:val="40"/>
        </w:rPr>
        <w:t xml:space="preserve"> </w:t>
      </w:r>
      <w:r w:rsidR="003B7964" w:rsidRPr="00E07DA9">
        <w:rPr>
          <w:rStyle w:val="normaltextrun"/>
          <w:rFonts w:ascii="Aptos Display" w:hAnsi="Aptos Display" w:cs="Arial"/>
          <w:sz w:val="40"/>
          <w:szCs w:val="40"/>
        </w:rPr>
        <w:t>Testing</w:t>
      </w:r>
    </w:p>
    <w:p w14:paraId="7A74141F" w14:textId="102036D6" w:rsidR="003B7964" w:rsidRPr="00CD7048" w:rsidRDefault="003B7964" w:rsidP="00CD7048">
      <w:pPr>
        <w:pStyle w:val="Heading2"/>
      </w:pPr>
      <w:r w:rsidRPr="00CD7048">
        <w:rPr>
          <w:rStyle w:val="normaltextrun"/>
        </w:rPr>
        <w:t>Overview</w:t>
      </w:r>
      <w:r w:rsidR="00673F39" w:rsidRPr="00CD7048">
        <w:rPr>
          <w:rStyle w:val="normaltextrun"/>
        </w:rPr>
        <w:t xml:space="preserve"> </w:t>
      </w:r>
      <w:r w:rsidRPr="00CD7048">
        <w:rPr>
          <w:rStyle w:val="normaltextrun"/>
        </w:rPr>
        <w:t>of</w:t>
      </w:r>
      <w:r w:rsidR="00673F39" w:rsidRPr="00CD7048">
        <w:rPr>
          <w:rStyle w:val="normaltextrun"/>
        </w:rPr>
        <w:t xml:space="preserve"> </w:t>
      </w:r>
      <w:r w:rsidRPr="00CD7048">
        <w:rPr>
          <w:rStyle w:val="normaltextrun"/>
        </w:rPr>
        <w:t>Data</w:t>
      </w:r>
      <w:r w:rsidR="00673F39" w:rsidRPr="00CD7048">
        <w:rPr>
          <w:rStyle w:val="normaltextrun"/>
        </w:rPr>
        <w:t xml:space="preserve"> </w:t>
      </w:r>
      <w:r w:rsidRPr="00CD7048">
        <w:rPr>
          <w:rStyle w:val="normaltextrun"/>
        </w:rPr>
        <w:t>Element</w:t>
      </w:r>
      <w:r w:rsidR="00673F39" w:rsidRPr="00CD7048">
        <w:rPr>
          <w:rStyle w:val="normaltextrun"/>
        </w:rPr>
        <w:t xml:space="preserve"> </w:t>
      </w:r>
      <w:r w:rsidRPr="00CD7048">
        <w:rPr>
          <w:rStyle w:val="normaltextrun"/>
        </w:rPr>
        <w:t>Reliability</w:t>
      </w:r>
      <w:r w:rsidR="00673F39" w:rsidRPr="00CD7048">
        <w:rPr>
          <w:rStyle w:val="normaltextrun"/>
        </w:rPr>
        <w:t xml:space="preserve"> </w:t>
      </w:r>
      <w:r w:rsidRPr="00CD7048">
        <w:rPr>
          <w:rStyle w:val="normaltextrun"/>
        </w:rPr>
        <w:t>Testing</w:t>
      </w:r>
    </w:p>
    <w:p w14:paraId="508627A7" w14:textId="6B337D2A" w:rsidR="003B7964" w:rsidRPr="009F0761" w:rsidRDefault="003B7964" w:rsidP="007D53CC">
      <w:pPr>
        <w:pStyle w:val="paragraph"/>
        <w:spacing w:before="240" w:beforeAutospacing="0" w:after="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goal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testing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ensure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that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data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elements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(i.e.,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items)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obtain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consistent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results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when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administered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used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different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clinicians.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functional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status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initially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underwent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testing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item-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scale-level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multiple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types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providers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conjunction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Post-Acute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Payment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Reform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Demonstration.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Item-level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testing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included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inter-rater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testing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provider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videotaped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standardized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inter-rater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testing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across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provider/care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settings.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brief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summary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testing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provided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below.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full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reports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describing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testing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available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at</w:t>
      </w:r>
      <w:r w:rsidR="00673F39">
        <w:rPr>
          <w:rStyle w:val="normaltextrun"/>
          <w:rFonts w:ascii="Aptos" w:hAnsi="Aptos" w:cs="Arial"/>
        </w:rPr>
        <w:t xml:space="preserve"> </w:t>
      </w:r>
      <w:hyperlink r:id="rId11" w:tgtFrame="_blank" w:tooltip="CARE Item Set and B-CARE" w:history="1">
        <w:r w:rsidRPr="009F0761">
          <w:rPr>
            <w:rStyle w:val="normaltextrun"/>
            <w:rFonts w:ascii="Aptos" w:hAnsi="Aptos" w:cs="Arial"/>
            <w:u w:val="single"/>
          </w:rPr>
          <w:t>http://www.cms.gov/Medicare/Quality-Initiatives-Patient-Assessment-Instruments/Post-Acute-Care-Quality-Initiatives/CARE-Item-Set-and-B-CARE.html</w:t>
        </w:r>
      </w:hyperlink>
      <w:r w:rsidRPr="009F0761">
        <w:rPr>
          <w:rStyle w:val="normaltextrun"/>
          <w:rFonts w:ascii="Arial" w:hAnsi="Arial" w:cs="Arial"/>
          <w:u w:val="single"/>
        </w:rPr>
        <w:t> </w:t>
      </w:r>
      <w:r w:rsidRPr="009F0761">
        <w:rPr>
          <w:rStyle w:val="wacimagecontainer"/>
          <w:rFonts w:ascii="Aptos" w:hAnsi="Aptos" w:cs="Segoe UI"/>
          <w:noProof/>
        </w:rPr>
        <w:drawing>
          <wp:inline distT="0" distB="0" distL="0" distR="0" wp14:anchorId="6D760934" wp14:editId="644C1184">
            <wp:extent cx="103505" cy="95250"/>
            <wp:effectExtent l="0" t="0" r="0" b="0"/>
            <wp:docPr id="515624357" name="Picture 1" descr="exi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it ic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761">
        <w:rPr>
          <w:rStyle w:val="normaltextrun"/>
          <w:rFonts w:ascii="Aptos" w:hAnsi="Aptos" w:cs="Arial"/>
        </w:rPr>
        <w:t>.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main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reports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are:</w:t>
      </w:r>
    </w:p>
    <w:p w14:paraId="45AC1193" w14:textId="250848D2" w:rsidR="003B7964" w:rsidRPr="009F0761" w:rsidRDefault="003B7964" w:rsidP="00E07DA9">
      <w:pPr>
        <w:pStyle w:val="paragraph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/>
        <w:ind w:left="360"/>
        <w:textAlignment w:val="baseline"/>
        <w:rPr>
          <w:rFonts w:ascii="Aptos" w:hAnsi="Aptos" w:cs="Arial"/>
        </w:rPr>
      </w:pPr>
      <w:r w:rsidRPr="009F0761">
        <w:rPr>
          <w:rStyle w:val="normaltextrun"/>
          <w:rFonts w:ascii="Aptos" w:hAnsi="Aptos" w:cs="Arial"/>
          <w:color w:val="000000"/>
        </w:rPr>
        <w:t>Smith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LM,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Deutsch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A,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Hand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LB,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Etlinger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AL,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Ross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J,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Abbate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JH,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Gage-Croll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Z,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Barch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D,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Gage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BJ.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(September,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2012).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Continuity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Assessment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Record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and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Evaluation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(CARE)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Item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Set: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Additional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Provider-Type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Specific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Interrater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Reliability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Analyses</w:t>
      </w:r>
      <w:r w:rsidRPr="009F0761">
        <w:rPr>
          <w:rStyle w:val="normaltextrun"/>
          <w:rFonts w:ascii="Aptos" w:hAnsi="Aptos" w:cs="Arial"/>
          <w:color w:val="000000"/>
        </w:rPr>
        <w:t>.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Prepared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for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Centers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for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Medicare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&amp;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Medicaid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Services.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="00673F39">
        <w:rPr>
          <w:rStyle w:val="eop"/>
          <w:rFonts w:ascii="Aptos" w:hAnsi="Aptos" w:cs="Arial"/>
          <w:color w:val="000000"/>
        </w:rPr>
        <w:t xml:space="preserve"> </w:t>
      </w:r>
    </w:p>
    <w:p w14:paraId="752B216C" w14:textId="24BB5F2D" w:rsidR="003B7964" w:rsidRPr="009F0761" w:rsidRDefault="003B7964" w:rsidP="00E07DA9">
      <w:pPr>
        <w:pStyle w:val="paragraph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/>
        <w:ind w:left="360"/>
        <w:textAlignment w:val="baseline"/>
        <w:rPr>
          <w:rFonts w:ascii="Aptos" w:hAnsi="Aptos" w:cs="Arial"/>
        </w:rPr>
      </w:pPr>
      <w:r w:rsidRPr="009F0761">
        <w:rPr>
          <w:rStyle w:val="normaltextrun"/>
          <w:rFonts w:ascii="Aptos" w:hAnsi="Aptos" w:cs="Arial"/>
          <w:color w:val="000000"/>
          <w:lang w:val="de-DE"/>
        </w:rPr>
        <w:t>Smith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LM,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Deutsch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A,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Barch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D,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Ross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J,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Shamsuddin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KM,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Abbate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JH,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Schwartz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C,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Gage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BJ.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(September,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  <w:lang w:val="de-DE"/>
        </w:rPr>
        <w:t>2012).</w:t>
      </w:r>
      <w:r w:rsidR="00673F39">
        <w:rPr>
          <w:rStyle w:val="normaltextrun"/>
          <w:rFonts w:ascii="Aptos" w:hAnsi="Aptos" w:cs="Arial"/>
          <w:color w:val="000000"/>
          <w:lang w:val="de-DE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Continuity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Assessment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Record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and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Evaluation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(CARE)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Item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Set: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Video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Reliability</w:t>
      </w:r>
      <w:r w:rsidR="00673F39">
        <w:rPr>
          <w:rStyle w:val="normaltextrun"/>
          <w:rFonts w:ascii="Aptos" w:hAnsi="Aptos" w:cs="Arial"/>
          <w:i/>
          <w:iCs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i/>
          <w:iCs/>
          <w:color w:val="000000"/>
        </w:rPr>
        <w:t>Testing</w:t>
      </w:r>
      <w:r w:rsidRPr="009F0761">
        <w:rPr>
          <w:rStyle w:val="normaltextrun"/>
          <w:rFonts w:ascii="Aptos" w:hAnsi="Aptos" w:cs="Arial"/>
          <w:color w:val="000000"/>
        </w:rPr>
        <w:t>.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Prepared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for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Centers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for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Medicare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&amp;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Medicaid</w:t>
      </w:r>
      <w:r w:rsidR="00673F39">
        <w:rPr>
          <w:rStyle w:val="normaltextrun"/>
          <w:rFonts w:ascii="Aptos" w:hAnsi="Aptos" w:cs="Arial"/>
          <w:color w:val="000000"/>
        </w:rPr>
        <w:t xml:space="preserve"> </w:t>
      </w:r>
      <w:r w:rsidRPr="009F0761">
        <w:rPr>
          <w:rStyle w:val="normaltextrun"/>
          <w:rFonts w:ascii="Aptos" w:hAnsi="Aptos" w:cs="Arial"/>
          <w:color w:val="000000"/>
        </w:rPr>
        <w:t>Services.</w:t>
      </w:r>
    </w:p>
    <w:p w14:paraId="3494E676" w14:textId="433F0A1A" w:rsidR="003B7964" w:rsidRPr="00E07DA9" w:rsidRDefault="003B7964" w:rsidP="00CD7048">
      <w:pPr>
        <w:pStyle w:val="Heading2"/>
        <w:rPr>
          <w:rFonts w:cs="Segoe UI"/>
        </w:rPr>
      </w:pPr>
      <w:r w:rsidRPr="00E07DA9">
        <w:rPr>
          <w:rStyle w:val="normaltextrun"/>
        </w:rPr>
        <w:t>Traditional</w:t>
      </w:r>
      <w:r w:rsidR="00673F39">
        <w:rPr>
          <w:rStyle w:val="normaltextrun"/>
        </w:rPr>
        <w:t xml:space="preserve"> </w:t>
      </w:r>
      <w:r w:rsidRPr="00E07DA9">
        <w:rPr>
          <w:rStyle w:val="normaltextrun"/>
        </w:rPr>
        <w:t>Inter-rater</w:t>
      </w:r>
      <w:r w:rsidR="00673F39">
        <w:rPr>
          <w:rStyle w:val="normaltextrun"/>
        </w:rPr>
        <w:t xml:space="preserve"> </w:t>
      </w:r>
      <w:r w:rsidRPr="00E07DA9">
        <w:rPr>
          <w:rStyle w:val="normaltextrun"/>
        </w:rPr>
        <w:t>Reliability</w:t>
      </w:r>
      <w:r w:rsidR="00673F39">
        <w:rPr>
          <w:rStyle w:val="normaltextrun"/>
        </w:rPr>
        <w:t xml:space="preserve"> </w:t>
      </w:r>
      <w:r w:rsidRPr="00E07DA9">
        <w:rPr>
          <w:rStyle w:val="normaltextrun"/>
        </w:rPr>
        <w:t>Study</w:t>
      </w:r>
    </w:p>
    <w:p w14:paraId="4DAD34DB" w14:textId="7C6F8A76" w:rsidR="003B7964" w:rsidRPr="009F0761" w:rsidRDefault="003B7964" w:rsidP="008A529C">
      <w:pPr>
        <w:pStyle w:val="paragraph"/>
        <w:spacing w:before="240" w:beforeAutospacing="0" w:after="24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functional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tested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subset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34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providers,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including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acute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hospitals,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HHAs,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IRFs,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LTCHs,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SNFs,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distributed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across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11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geographic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areas.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provider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completed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duplicate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(admission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discharge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assessment)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10–20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included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Post-Acute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Payment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Reform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Demonstration,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accordance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guidelines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protocols.</w:t>
      </w:r>
    </w:p>
    <w:p w14:paraId="6D56EC9E" w14:textId="1F1DAE71" w:rsidR="003B7964" w:rsidRPr="009F0761" w:rsidRDefault="003B7964" w:rsidP="003B7964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t>Providers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asked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enroll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convenience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sample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number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Medicare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month,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representing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range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function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acuity.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overall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sample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size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functional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450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self-care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449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(448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transfers).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After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exclusions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missing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data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(unknown/not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attempted/inapplicable),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effective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sample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sizes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testing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follows:</w:t>
      </w:r>
    </w:p>
    <w:p w14:paraId="3AC055F8" w14:textId="41C4FDBB" w:rsidR="003B7964" w:rsidRPr="009F0761" w:rsidRDefault="003B7964" w:rsidP="003B7964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Arial"/>
        </w:rPr>
      </w:pPr>
      <w:r w:rsidRPr="009F0761">
        <w:rPr>
          <w:rStyle w:val="normaltextrun"/>
          <w:rFonts w:ascii="Aptos" w:hAnsi="Aptos" w:cs="Arial"/>
        </w:rPr>
        <w:t>Eating: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401</w:t>
      </w:r>
      <w:r w:rsidR="00673F39">
        <w:rPr>
          <w:rStyle w:val="eop"/>
          <w:rFonts w:ascii="Aptos" w:hAnsi="Aptos" w:cs="Arial"/>
        </w:rPr>
        <w:t xml:space="preserve"> </w:t>
      </w:r>
    </w:p>
    <w:p w14:paraId="7FAEEC92" w14:textId="086B39EE" w:rsidR="003B7964" w:rsidRPr="009F0761" w:rsidRDefault="003B7964" w:rsidP="003B7964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Arial"/>
        </w:rPr>
      </w:pPr>
      <w:r w:rsidRPr="009F0761">
        <w:rPr>
          <w:rStyle w:val="normaltextrun"/>
          <w:rFonts w:ascii="Aptos" w:hAnsi="Aptos" w:cs="Arial"/>
        </w:rPr>
        <w:t>Oral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hygiene: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414</w:t>
      </w:r>
      <w:r w:rsidR="00673F39">
        <w:rPr>
          <w:rStyle w:val="eop"/>
          <w:rFonts w:ascii="Aptos" w:hAnsi="Aptos" w:cs="Arial"/>
        </w:rPr>
        <w:t xml:space="preserve"> </w:t>
      </w:r>
    </w:p>
    <w:p w14:paraId="74B6A94D" w14:textId="7C8033D4" w:rsidR="003B7964" w:rsidRPr="009F0761" w:rsidRDefault="003B7964" w:rsidP="003B7964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Arial"/>
        </w:rPr>
      </w:pPr>
      <w:r w:rsidRPr="009F0761">
        <w:rPr>
          <w:rStyle w:val="normaltextrun"/>
          <w:rFonts w:ascii="Aptos" w:hAnsi="Aptos" w:cs="Arial"/>
        </w:rPr>
        <w:t>Toileting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hygiene: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416</w:t>
      </w:r>
      <w:r w:rsidR="00673F39">
        <w:rPr>
          <w:rStyle w:val="eop"/>
          <w:rFonts w:ascii="Aptos" w:hAnsi="Aptos" w:cs="Arial"/>
        </w:rPr>
        <w:t xml:space="preserve"> </w:t>
      </w:r>
    </w:p>
    <w:p w14:paraId="1E89F060" w14:textId="00EB71CE" w:rsidR="003B7964" w:rsidRPr="009F0761" w:rsidRDefault="003B7964" w:rsidP="003B7964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Arial"/>
        </w:rPr>
      </w:pPr>
      <w:r w:rsidRPr="009F0761">
        <w:rPr>
          <w:rStyle w:val="normaltextrun"/>
          <w:rFonts w:ascii="Aptos" w:hAnsi="Aptos" w:cs="Arial"/>
        </w:rPr>
        <w:lastRenderedPageBreak/>
        <w:t>Lying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sitting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side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bed: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412</w:t>
      </w:r>
      <w:r w:rsidR="00673F39">
        <w:rPr>
          <w:rStyle w:val="eop"/>
          <w:rFonts w:ascii="Aptos" w:hAnsi="Aptos" w:cs="Arial"/>
        </w:rPr>
        <w:t xml:space="preserve"> </w:t>
      </w:r>
    </w:p>
    <w:p w14:paraId="2CD76107" w14:textId="5755F892" w:rsidR="003B7964" w:rsidRPr="009F0761" w:rsidRDefault="003B7964" w:rsidP="003B7964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Arial"/>
        </w:rPr>
      </w:pPr>
      <w:r w:rsidRPr="009F0761">
        <w:rPr>
          <w:rStyle w:val="normaltextrun"/>
          <w:rFonts w:ascii="Aptos" w:hAnsi="Aptos" w:cs="Arial"/>
        </w:rPr>
        <w:t>Sit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stand: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387</w:t>
      </w:r>
      <w:r w:rsidR="00673F39">
        <w:rPr>
          <w:rStyle w:val="eop"/>
          <w:rFonts w:ascii="Aptos" w:hAnsi="Aptos" w:cs="Arial"/>
        </w:rPr>
        <w:t xml:space="preserve"> </w:t>
      </w:r>
    </w:p>
    <w:p w14:paraId="5DB20E53" w14:textId="27B30FD0" w:rsidR="003B7964" w:rsidRPr="009F0761" w:rsidRDefault="003B7964" w:rsidP="003B7964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Arial"/>
        </w:rPr>
      </w:pPr>
      <w:r w:rsidRPr="009F0761">
        <w:rPr>
          <w:rStyle w:val="normaltextrun"/>
          <w:rFonts w:ascii="Aptos" w:hAnsi="Aptos" w:cs="Arial"/>
        </w:rPr>
        <w:t>Chair/bed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chair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transfer: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392</w:t>
      </w:r>
      <w:r w:rsidR="00673F39">
        <w:rPr>
          <w:rStyle w:val="eop"/>
          <w:rFonts w:ascii="Aptos" w:hAnsi="Aptos" w:cs="Arial"/>
        </w:rPr>
        <w:t xml:space="preserve"> </w:t>
      </w:r>
    </w:p>
    <w:p w14:paraId="12DC7C9E" w14:textId="0FD51687" w:rsidR="003B7964" w:rsidRPr="009F0761" w:rsidRDefault="003B7964" w:rsidP="003B7964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Arial"/>
        </w:rPr>
      </w:pPr>
      <w:r w:rsidRPr="009F0761">
        <w:rPr>
          <w:rStyle w:val="normaltextrun"/>
          <w:rFonts w:ascii="Aptos" w:hAnsi="Aptos" w:cs="Arial"/>
        </w:rPr>
        <w:t>Toilet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transfer: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361</w:t>
      </w:r>
      <w:r w:rsidR="00673F39">
        <w:rPr>
          <w:rStyle w:val="eop"/>
          <w:rFonts w:ascii="Aptos" w:hAnsi="Aptos" w:cs="Arial"/>
        </w:rPr>
        <w:t xml:space="preserve"> </w:t>
      </w:r>
    </w:p>
    <w:p w14:paraId="2FA5738B" w14:textId="167D95FD" w:rsidR="003B7964" w:rsidRPr="009F0761" w:rsidRDefault="003B7964" w:rsidP="003B7964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Arial"/>
        </w:rPr>
      </w:pPr>
      <w:r w:rsidRPr="009F0761">
        <w:rPr>
          <w:rStyle w:val="normaltextrun"/>
          <w:rFonts w:ascii="Aptos" w:hAnsi="Aptos" w:cs="Arial"/>
        </w:rPr>
        <w:t>Walk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10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feet: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52</w:t>
      </w:r>
      <w:r w:rsidR="00673F39">
        <w:rPr>
          <w:rStyle w:val="eop"/>
          <w:rFonts w:ascii="Aptos" w:hAnsi="Aptos" w:cs="Arial"/>
        </w:rPr>
        <w:t xml:space="preserve"> </w:t>
      </w:r>
    </w:p>
    <w:p w14:paraId="794E7389" w14:textId="7C69F480" w:rsidR="003B7964" w:rsidRPr="009F0761" w:rsidRDefault="003B7964" w:rsidP="003B7964">
      <w:pPr>
        <w:pStyle w:val="paragraph"/>
        <w:numPr>
          <w:ilvl w:val="0"/>
          <w:numId w:val="11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Arial"/>
        </w:rPr>
      </w:pPr>
      <w:r w:rsidRPr="009F0761">
        <w:rPr>
          <w:rStyle w:val="normaltextrun"/>
          <w:rFonts w:ascii="Aptos" w:hAnsi="Aptos" w:cs="Arial"/>
        </w:rPr>
        <w:t>Wheel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10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feet: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46</w:t>
      </w:r>
      <w:r w:rsidR="00673F39">
        <w:rPr>
          <w:rStyle w:val="eop"/>
          <w:rFonts w:ascii="Aptos" w:hAnsi="Aptos" w:cs="Arial"/>
        </w:rPr>
        <w:t xml:space="preserve"> </w:t>
      </w:r>
    </w:p>
    <w:p w14:paraId="639F3E2B" w14:textId="4C4F6BDC" w:rsidR="003B7964" w:rsidRPr="009F0761" w:rsidRDefault="003B7964" w:rsidP="008A529C">
      <w:pPr>
        <w:pStyle w:val="paragraph"/>
        <w:spacing w:before="240" w:beforeAutospacing="0" w:after="24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inter-rater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study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included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two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different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clinicians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(raters),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clinicians’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calculated.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Clinicians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instructed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have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pairs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raters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complete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both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same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time.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Responses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obtained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direct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observation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clinician,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occasionally,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supplemented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following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predetermined,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matched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methods: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interviews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team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member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taking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turns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conducting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observing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interviews);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interviews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relatives/caregivers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certain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items;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and/or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interviews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staff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caring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and/or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chart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review.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Rater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pairs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instructed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determine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advance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which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methods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would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used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score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particular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function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have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both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raters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same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methods.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Raters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encouraged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divide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hands-on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assistance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evenly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possible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that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required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hands-on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assistance.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Raters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instructed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not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discuss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scoring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during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nor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share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scores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until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data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entered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study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database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finalized.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Providers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submitted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data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online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application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both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pair.</w:t>
      </w:r>
    </w:p>
    <w:p w14:paraId="5DD056D5" w14:textId="5C399BCE" w:rsidR="003B7964" w:rsidRPr="009F0761" w:rsidRDefault="003B7964" w:rsidP="008A529C">
      <w:pPr>
        <w:pStyle w:val="paragraph"/>
        <w:spacing w:before="240" w:beforeAutospacing="0" w:after="24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categorical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statistics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(kappa)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indicate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level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between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raters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using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ordinal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data,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taking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account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role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chance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ranges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commonly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used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judge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based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follows: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≤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=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poor;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0.01–0.20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=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slight;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0.21–0.40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=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fair;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0.41–0.60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=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moderate;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0.61–0.80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=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substantial;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0.81–1.00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=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almost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perfect.</w:t>
      </w:r>
      <w:r w:rsidR="00673F39">
        <w:rPr>
          <w:rStyle w:val="eop"/>
          <w:rFonts w:ascii="Aptos" w:hAnsi="Aptos" w:cs="Arial"/>
        </w:rPr>
        <w:t xml:space="preserve"> </w:t>
      </w:r>
    </w:p>
    <w:p w14:paraId="44D2E88C" w14:textId="50C28149" w:rsidR="003B7964" w:rsidRPr="009F0761" w:rsidRDefault="003B7964" w:rsidP="003B7964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categorical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two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responses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available,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researchers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calculated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unweighted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than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two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responses,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researchers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calculated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both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unweighted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Unweighted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assumes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same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“distance”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between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every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one-unit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difference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response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across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ordinal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scale.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Researchers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used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Fleiss-Cohen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quadratic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which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approximate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intra-class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correlation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coefficient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commonly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used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calculating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choice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consistent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prior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analyses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method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developing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specified.</w:t>
      </w:r>
      <w:r w:rsidRPr="009F0761">
        <w:rPr>
          <w:rStyle w:val="scxw105945962"/>
          <w:rFonts w:ascii="Aptos" w:hAnsi="Aptos" w:cs="Arial"/>
        </w:rPr>
        <w:t>1</w:t>
      </w:r>
      <w:r w:rsidRPr="009F0761">
        <w:rPr>
          <w:rStyle w:val="normaltextrun"/>
          <w:rFonts w:ascii="Aptos" w:hAnsi="Aptos" w:cs="Arial"/>
        </w:rPr>
        <w:t>,</w:t>
      </w:r>
      <w:r w:rsidRPr="009F0761">
        <w:rPr>
          <w:rStyle w:val="scxw105945962"/>
          <w:rFonts w:ascii="Aptos" w:hAnsi="Aptos" w:cs="Arial"/>
        </w:rPr>
        <w:t>2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Fleiss-Cohen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put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lower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emphasis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disagreements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between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responses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that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fall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near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other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scale.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It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should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also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noted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that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value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influenced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prevalence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outcome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characteristic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measured.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If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outcome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characteristic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rare,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low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because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attributes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majority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among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raters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chance.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also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influenced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bias,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effective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sample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size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small,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variation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may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play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role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results.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Hence,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report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both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unweighted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give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range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found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under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two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assumptions.</w:t>
      </w:r>
      <w:r w:rsidR="00673F39">
        <w:rPr>
          <w:rStyle w:val="eop"/>
          <w:rFonts w:ascii="Aptos" w:hAnsi="Aptos" w:cs="Arial"/>
        </w:rPr>
        <w:t xml:space="preserve"> </w:t>
      </w:r>
    </w:p>
    <w:p w14:paraId="510964E0" w14:textId="759D30E7" w:rsidR="003B7964" w:rsidRPr="009F0761" w:rsidRDefault="003B7964" w:rsidP="00133DCD">
      <w:pPr>
        <w:pStyle w:val="paragraph"/>
        <w:spacing w:before="240" w:beforeAutospacing="0" w:after="24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lastRenderedPageBreak/>
        <w:t>Additionally,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researchers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calculated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separate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statistics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(unweighted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weighted,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applicable)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additional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responses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outside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ordinal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scale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available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(letter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codes)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missing.</w:t>
      </w:r>
    </w:p>
    <w:p w14:paraId="0891C378" w14:textId="2A6A0AD3" w:rsidR="003B7964" w:rsidRPr="009F0761" w:rsidRDefault="003B7964" w:rsidP="00133DCD">
      <w:pPr>
        <w:pStyle w:val="paragraph"/>
        <w:spacing w:before="240" w:beforeAutospacing="0" w:after="24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traditional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study,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statistics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indicated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substantial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among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raters.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values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self-care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range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between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0.798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eating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0.869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upper-body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dressing.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Unweighted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ranged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from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0.598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hygiene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0.634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upper-body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dressing.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Provider-specific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analyses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self-care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show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similar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overall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estimates.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lower-body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dressing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had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highest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overall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(0.855),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whereas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eating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had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lowest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(0.798).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Unweighted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overall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ranged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from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0.636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(toileting)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0.598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(oral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hygiene).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Acute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hospitals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had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highest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across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self-care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items.</w:t>
      </w:r>
    </w:p>
    <w:p w14:paraId="57533550" w14:textId="412E12B3" w:rsidR="003B7964" w:rsidRPr="009F0761" w:rsidRDefault="003B7964" w:rsidP="00133DCD">
      <w:pPr>
        <w:pStyle w:val="paragraph"/>
        <w:spacing w:before="240" w:beforeAutospacing="0" w:after="24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values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ranged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between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0.878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toilet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transfers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0.901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sit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chair/bed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chair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transfer.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Unweighted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ranged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from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0.667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walk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10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feet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0.762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sit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stand.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Provider-specific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analyses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show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similar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overall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estimates.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sit-to-stand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chair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transfer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both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had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0.901,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whereas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lying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sitting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had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0.855.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Unweighted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overall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kappas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ranged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from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0.693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(lying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sitting)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0.762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(sit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stand).</w:t>
      </w:r>
    </w:p>
    <w:p w14:paraId="319ABC4C" w14:textId="2801F83C" w:rsidR="003B7964" w:rsidRPr="00E07DA9" w:rsidRDefault="003B7964" w:rsidP="00A569DD">
      <w:pPr>
        <w:pStyle w:val="Heading2"/>
        <w:rPr>
          <w:rFonts w:cs="Segoe UI"/>
        </w:rPr>
      </w:pPr>
      <w:r w:rsidRPr="00E07DA9">
        <w:rPr>
          <w:rStyle w:val="normaltextrun"/>
        </w:rPr>
        <w:t>Videotaped</w:t>
      </w:r>
      <w:r w:rsidR="00673F39">
        <w:rPr>
          <w:rStyle w:val="normaltextrun"/>
        </w:rPr>
        <w:t xml:space="preserve"> </w:t>
      </w:r>
      <w:r w:rsidRPr="00E07DA9">
        <w:rPr>
          <w:rStyle w:val="normaltextrun"/>
        </w:rPr>
        <w:t>Standardized</w:t>
      </w:r>
      <w:r w:rsidR="00673F39">
        <w:rPr>
          <w:rStyle w:val="normaltextrun"/>
        </w:rPr>
        <w:t xml:space="preserve"> </w:t>
      </w:r>
      <w:r w:rsidRPr="00E07DA9">
        <w:rPr>
          <w:rStyle w:val="normaltextrun"/>
        </w:rPr>
        <w:t>Patients</w:t>
      </w:r>
      <w:r w:rsidR="00673F39">
        <w:rPr>
          <w:rStyle w:val="normaltextrun"/>
        </w:rPr>
        <w:t xml:space="preserve"> </w:t>
      </w:r>
      <w:r w:rsidRPr="00E07DA9">
        <w:rPr>
          <w:rStyle w:val="normaltextrun"/>
        </w:rPr>
        <w:t>Reliability</w:t>
      </w:r>
      <w:r w:rsidR="00673F39">
        <w:rPr>
          <w:rStyle w:val="normaltextrun"/>
        </w:rPr>
        <w:t xml:space="preserve"> </w:t>
      </w:r>
      <w:r w:rsidRPr="00E07DA9">
        <w:rPr>
          <w:rStyle w:val="normaltextrun"/>
        </w:rPr>
        <w:t>Study</w:t>
      </w:r>
    </w:p>
    <w:p w14:paraId="7E8EBA98" w14:textId="4449FC0B" w:rsidR="003B7964" w:rsidRPr="009F0761" w:rsidRDefault="003B7964" w:rsidP="00A569DD">
      <w:pPr>
        <w:pStyle w:val="paragraph"/>
        <w:spacing w:before="240" w:beforeAutospacing="0" w:after="24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study,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which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designed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examine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level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clinician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across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settings,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clinicians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setting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asked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“standardized”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presented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through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videotape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ensured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that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same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information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presented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clinician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allowed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examination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differences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scoring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effects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among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different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clinicians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examining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“same”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patient.</w:t>
      </w:r>
    </w:p>
    <w:p w14:paraId="48A10639" w14:textId="67FD1359" w:rsidR="003B7964" w:rsidRPr="009F0761" w:rsidRDefault="003B7964" w:rsidP="00A569DD">
      <w:pPr>
        <w:pStyle w:val="paragraph"/>
        <w:spacing w:before="240" w:beforeAutospacing="0" w:after="24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“case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studies”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varied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terms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medical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complexity,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functional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abilities,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cognitive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impairments.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nine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included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classified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high,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medium,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low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ability/complexity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three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areas.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facility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agency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received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three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which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demonstrated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following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elements: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cognitive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impairments,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skin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integrity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problems,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wheelchair-dependent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variety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mid-level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functional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activities.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mid-level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functional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activities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considered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most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challenging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clinicians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score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thus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particular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interest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establishing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clinician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involved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study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watched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three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patients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according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study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guidelines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protocols.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approximately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20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minutes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long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had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corresponding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arranged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sequence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which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appeared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video.</w:t>
      </w:r>
    </w:p>
    <w:p w14:paraId="7F560524" w14:textId="65871131" w:rsidR="003B7964" w:rsidRPr="009F0761" w:rsidRDefault="003B7964" w:rsidP="00A569DD">
      <w:pPr>
        <w:pStyle w:val="paragraph"/>
        <w:spacing w:before="240" w:beforeAutospacing="0" w:after="24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lastRenderedPageBreak/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sample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included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28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providers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(550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assessments),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which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included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3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acute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hospitals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(15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[3%]);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9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HHAs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(118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[22%]);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8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IRFs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(237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[43%]);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3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LTCHs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(114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[21%]);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5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SNFs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(66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[12%]).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Participating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providers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included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managers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(6%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assessments),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occupational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therapists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(14%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assessments),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physical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therapists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(21%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assessments),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registered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nurses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(47%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assessments),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speech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therapists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(5%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assessments),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others,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mostly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licensed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practical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nurses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(LPNs;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8%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assessments).</w:t>
      </w:r>
    </w:p>
    <w:p w14:paraId="63BA116C" w14:textId="26A83CF4" w:rsidR="003B7964" w:rsidRPr="009F0761" w:rsidRDefault="003B7964" w:rsidP="00A569DD">
      <w:pPr>
        <w:pStyle w:val="paragraph"/>
        <w:spacing w:before="240" w:beforeAutospacing="0" w:after="24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t>Two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main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analytic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approaches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used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adhering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closely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methods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used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Fricke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al.</w:t>
      </w:r>
      <w:r w:rsidRPr="009F0761">
        <w:rPr>
          <w:rStyle w:val="superscript"/>
          <w:rFonts w:ascii="Aptos" w:hAnsi="Aptos" w:cs="Arial"/>
          <w:vertAlign w:val="superscript"/>
        </w:rPr>
        <w:t>3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their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study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functional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instrument.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First,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percent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mode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response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calculated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included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least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nine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Unlike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approach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used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Fricke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al.,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researchers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not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consider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response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level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above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below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mode,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instead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used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stricter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approach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looking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direct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modal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only.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second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approach,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percent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internal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team’s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consensus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response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also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calculated.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second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measure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not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gives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indication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but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also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reflects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training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consistency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providers.</w:t>
      </w:r>
    </w:p>
    <w:p w14:paraId="1E9EE830" w14:textId="2B534BA3" w:rsidR="003B7964" w:rsidRPr="009F0761" w:rsidRDefault="003B7964" w:rsidP="00A569DD">
      <w:pPr>
        <w:pStyle w:val="paragraph"/>
        <w:spacing w:before="240" w:beforeAutospacing="0" w:after="24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study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indicated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substantial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mode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team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among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typically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upwards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70%.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notable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exception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trend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exists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among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clinicians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“Other”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category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(mostly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LPNs);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consistently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had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lowest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levels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among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self-care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ranging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from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50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72%.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toileting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hygiene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team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lower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than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mode.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occurred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because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team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response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differed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from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mode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three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either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two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Nonetheless,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because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team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response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mode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identical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most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still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quite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high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general,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study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clinicians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had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responses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average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that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expert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team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slightly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lower.</w:t>
      </w:r>
    </w:p>
    <w:p w14:paraId="5D24F273" w14:textId="3CEAD91E" w:rsidR="003B7964" w:rsidRPr="009F0761" w:rsidRDefault="003B7964" w:rsidP="000C4645">
      <w:pPr>
        <w:pStyle w:val="paragraph"/>
        <w:spacing w:before="240" w:beforeAutospacing="0" w:after="240" w:afterAutospacing="0"/>
        <w:textAlignment w:val="baseline"/>
        <w:rPr>
          <w:rFonts w:ascii="Aptos" w:hAnsi="Aptos" w:cs="Segoe UI"/>
        </w:rPr>
      </w:pP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reliability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study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indicated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substantial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mode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team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lying-to-sitting,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sit-to-stand,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chair/bed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chair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transfer,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toilet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transfer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(greater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than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76%).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Although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rates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mode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team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response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generally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identical,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toilet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transfer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team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slightly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lower.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walking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and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wheeling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distances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showed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variable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levels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across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disciplines,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overall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generally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moderate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range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(50–78%).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For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Walk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10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feet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notable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decrease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team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compared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agreement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with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mode.</w:t>
      </w:r>
      <w:r w:rsidR="00673F39">
        <w:rPr>
          <w:rStyle w:val="normaltextrun"/>
          <w:rFonts w:ascii="Aptos" w:hAnsi="Aptos" w:cs="Arial"/>
        </w:rPr>
        <w:t xml:space="preserve">  </w:t>
      </w:r>
      <w:r w:rsidRPr="009F0761">
        <w:rPr>
          <w:rStyle w:val="normaltextrun"/>
          <w:rFonts w:ascii="Aptos" w:hAnsi="Aptos" w:cs="Arial"/>
        </w:rPr>
        <w:t>This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occurred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because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in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two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of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four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videos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where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this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item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was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assessed,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clinical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team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response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differed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from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the</w:t>
      </w:r>
      <w:r w:rsidR="00673F39">
        <w:rPr>
          <w:rStyle w:val="normaltextrun"/>
          <w:rFonts w:ascii="Aptos" w:hAnsi="Aptos" w:cs="Arial"/>
        </w:rPr>
        <w:t xml:space="preserve"> </w:t>
      </w:r>
      <w:r w:rsidRPr="009F0761">
        <w:rPr>
          <w:rStyle w:val="normaltextrun"/>
          <w:rFonts w:ascii="Aptos" w:hAnsi="Aptos" w:cs="Arial"/>
        </w:rPr>
        <w:t>mode.</w:t>
      </w:r>
    </w:p>
    <w:sectPr w:rsidR="003B7964" w:rsidRPr="009F0761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C6D09" w14:textId="77777777" w:rsidR="00455D9A" w:rsidRDefault="00455D9A" w:rsidP="00455D9A">
      <w:pPr>
        <w:spacing w:after="0" w:line="240" w:lineRule="auto"/>
      </w:pPr>
      <w:r>
        <w:separator/>
      </w:r>
    </w:p>
  </w:endnote>
  <w:endnote w:type="continuationSeparator" w:id="0">
    <w:p w14:paraId="0F0E9B49" w14:textId="77777777" w:rsidR="00455D9A" w:rsidRDefault="00455D9A" w:rsidP="00455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29607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F69E03" w14:textId="204A2C52" w:rsidR="00455D9A" w:rsidRDefault="00455D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C9AC2A" w14:textId="77777777" w:rsidR="00455D9A" w:rsidRDefault="00455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EAFC4" w14:textId="77777777" w:rsidR="00455D9A" w:rsidRDefault="00455D9A" w:rsidP="00455D9A">
      <w:pPr>
        <w:spacing w:after="0" w:line="240" w:lineRule="auto"/>
      </w:pPr>
      <w:r>
        <w:separator/>
      </w:r>
    </w:p>
  </w:footnote>
  <w:footnote w:type="continuationSeparator" w:id="0">
    <w:p w14:paraId="21EEBFAC" w14:textId="77777777" w:rsidR="00455D9A" w:rsidRDefault="00455D9A" w:rsidP="00455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37BB6"/>
    <w:multiLevelType w:val="multilevel"/>
    <w:tmpl w:val="A13E3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3501AB"/>
    <w:multiLevelType w:val="multilevel"/>
    <w:tmpl w:val="5DF4E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1E070F"/>
    <w:multiLevelType w:val="multilevel"/>
    <w:tmpl w:val="089CB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AD5796"/>
    <w:multiLevelType w:val="multilevel"/>
    <w:tmpl w:val="DDAE1A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E5339F"/>
    <w:multiLevelType w:val="multilevel"/>
    <w:tmpl w:val="40F6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F64B3C"/>
    <w:multiLevelType w:val="multilevel"/>
    <w:tmpl w:val="E02E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A4F5934"/>
    <w:multiLevelType w:val="multilevel"/>
    <w:tmpl w:val="BCB2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87E04FB"/>
    <w:multiLevelType w:val="multilevel"/>
    <w:tmpl w:val="5BD20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5F80B7B"/>
    <w:multiLevelType w:val="multilevel"/>
    <w:tmpl w:val="49AA5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AC22F92"/>
    <w:multiLevelType w:val="multilevel"/>
    <w:tmpl w:val="508C6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CE775B6"/>
    <w:multiLevelType w:val="multilevel"/>
    <w:tmpl w:val="3AC29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87278001">
    <w:abstractNumId w:val="2"/>
  </w:num>
  <w:num w:numId="2" w16cid:durableId="1786192908">
    <w:abstractNumId w:val="3"/>
  </w:num>
  <w:num w:numId="3" w16cid:durableId="2121294553">
    <w:abstractNumId w:val="8"/>
  </w:num>
  <w:num w:numId="4" w16cid:durableId="1925146059">
    <w:abstractNumId w:val="0"/>
  </w:num>
  <w:num w:numId="5" w16cid:durableId="1992564119">
    <w:abstractNumId w:val="7"/>
  </w:num>
  <w:num w:numId="6" w16cid:durableId="802307928">
    <w:abstractNumId w:val="4"/>
  </w:num>
  <w:num w:numId="7" w16cid:durableId="220748984">
    <w:abstractNumId w:val="6"/>
  </w:num>
  <w:num w:numId="8" w16cid:durableId="1883402538">
    <w:abstractNumId w:val="1"/>
  </w:num>
  <w:num w:numId="9" w16cid:durableId="624390286">
    <w:abstractNumId w:val="5"/>
  </w:num>
  <w:num w:numId="10" w16cid:durableId="1116943847">
    <w:abstractNumId w:val="10"/>
  </w:num>
  <w:num w:numId="11" w16cid:durableId="3563195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964"/>
    <w:rsid w:val="000A0910"/>
    <w:rsid w:val="000C0CF4"/>
    <w:rsid w:val="000C4645"/>
    <w:rsid w:val="00133DCD"/>
    <w:rsid w:val="001A0106"/>
    <w:rsid w:val="003B7964"/>
    <w:rsid w:val="00455D9A"/>
    <w:rsid w:val="00650A05"/>
    <w:rsid w:val="00673F39"/>
    <w:rsid w:val="00683ED2"/>
    <w:rsid w:val="006B0C6E"/>
    <w:rsid w:val="007D53CC"/>
    <w:rsid w:val="008A529C"/>
    <w:rsid w:val="008B01B8"/>
    <w:rsid w:val="009D7C05"/>
    <w:rsid w:val="00A01AC3"/>
    <w:rsid w:val="00A569DD"/>
    <w:rsid w:val="00AD1047"/>
    <w:rsid w:val="00CC010B"/>
    <w:rsid w:val="00CD7048"/>
    <w:rsid w:val="00E07DA9"/>
    <w:rsid w:val="00EB575A"/>
    <w:rsid w:val="00FE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A3B431"/>
  <w15:chartTrackingRefBased/>
  <w15:docId w15:val="{5D59F3C9-D899-413F-B124-0E013412B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7D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CD7048"/>
    <w:pPr>
      <w:spacing w:before="480"/>
      <w:outlineLvl w:val="1"/>
    </w:pPr>
    <w:rPr>
      <w:rFonts w:ascii="Aptos" w:hAnsi="Aptos" w:cs="Arial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B7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3B7964"/>
  </w:style>
  <w:style w:type="character" w:customStyle="1" w:styleId="scxw105945962">
    <w:name w:val="scxw105945962"/>
    <w:basedOn w:val="DefaultParagraphFont"/>
    <w:rsid w:val="003B7964"/>
  </w:style>
  <w:style w:type="character" w:customStyle="1" w:styleId="eop">
    <w:name w:val="eop"/>
    <w:basedOn w:val="DefaultParagraphFont"/>
    <w:rsid w:val="003B7964"/>
  </w:style>
  <w:style w:type="character" w:customStyle="1" w:styleId="tabchar">
    <w:name w:val="tabchar"/>
    <w:basedOn w:val="DefaultParagraphFont"/>
    <w:rsid w:val="003B7964"/>
  </w:style>
  <w:style w:type="character" w:customStyle="1" w:styleId="wacimagecontainer">
    <w:name w:val="wacimagecontainer"/>
    <w:basedOn w:val="DefaultParagraphFont"/>
    <w:rsid w:val="003B7964"/>
  </w:style>
  <w:style w:type="character" w:customStyle="1" w:styleId="superscript">
    <w:name w:val="superscript"/>
    <w:basedOn w:val="DefaultParagraphFont"/>
    <w:rsid w:val="003B7964"/>
  </w:style>
  <w:style w:type="character" w:customStyle="1" w:styleId="Heading1Char">
    <w:name w:val="Heading 1 Char"/>
    <w:basedOn w:val="DefaultParagraphFont"/>
    <w:link w:val="Heading1"/>
    <w:uiPriority w:val="9"/>
    <w:rsid w:val="00E07D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455D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D9A"/>
  </w:style>
  <w:style w:type="paragraph" w:styleId="Footer">
    <w:name w:val="footer"/>
    <w:basedOn w:val="Normal"/>
    <w:link w:val="FooterChar"/>
    <w:uiPriority w:val="99"/>
    <w:unhideWhenUsed/>
    <w:rsid w:val="00455D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D9A"/>
  </w:style>
  <w:style w:type="character" w:customStyle="1" w:styleId="Heading2Char">
    <w:name w:val="Heading 2 Char"/>
    <w:basedOn w:val="DefaultParagraphFont"/>
    <w:link w:val="Heading2"/>
    <w:uiPriority w:val="9"/>
    <w:rsid w:val="00CD7048"/>
    <w:rPr>
      <w:rFonts w:ascii="Aptos" w:eastAsiaTheme="majorEastAsia" w:hAnsi="Aptos" w:cs="Arial"/>
      <w:color w:val="2F5496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ms.gov/Medicare/Quality-Initiatives-Patient-Assessment-Instruments/Post-Acute-Care-Quality-Initiatives/CARE-Item-Set-and-B-CARE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58E6921CBB944D9450DC0A0B1808F8" ma:contentTypeVersion="12" ma:contentTypeDescription="Create a new document." ma:contentTypeScope="" ma:versionID="461e16dd1a70728c28bc7de1a82da2f9">
  <xsd:schema xmlns:xsd="http://www.w3.org/2001/XMLSchema" xmlns:xs="http://www.w3.org/2001/XMLSchema" xmlns:p="http://schemas.microsoft.com/office/2006/metadata/properties" xmlns:ns2="a9b5f64b-1dbd-445a-9e0e-f9dd96accbc7" xmlns:ns3="f7af9fac-9146-4226-9619-2e00f0583b7a" targetNamespace="http://schemas.microsoft.com/office/2006/metadata/properties" ma:root="true" ma:fieldsID="93db0092b8a38774687ac106eaf45e57" ns2:_="" ns3:_="">
    <xsd:import namespace="a9b5f64b-1dbd-445a-9e0e-f9dd96accbc7"/>
    <xsd:import namespace="f7af9fac-9146-4226-9619-2e00f0583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5f64b-1dbd-445a-9e0e-f9dd96accb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af9fac-9146-4226-9619-2e00f0583b7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d37756c-2256-4ce3-bf5c-bf7798d8e23a}" ma:internalName="TaxCatchAll" ma:showField="CatchAllData" ma:web="f7af9fac-9146-4226-9619-2e00f0583b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b5f64b-1dbd-445a-9e0e-f9dd96accbc7">
      <Terms xmlns="http://schemas.microsoft.com/office/infopath/2007/PartnerControls"/>
    </lcf76f155ced4ddcb4097134ff3c332f>
    <TaxCatchAll xmlns="f7af9fac-9146-4226-9619-2e00f0583b7a" xsi:nil="true"/>
  </documentManagement>
</p:properties>
</file>

<file path=customXml/itemProps1.xml><?xml version="1.0" encoding="utf-8"?>
<ds:datastoreItem xmlns:ds="http://schemas.openxmlformats.org/officeDocument/2006/customXml" ds:itemID="{9678445B-4B52-42A9-BF11-102D00D51E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86B1F5-875E-4048-906F-B497B9B1EE9E}"/>
</file>

<file path=customXml/itemProps3.xml><?xml version="1.0" encoding="utf-8"?>
<ds:datastoreItem xmlns:ds="http://schemas.openxmlformats.org/officeDocument/2006/customXml" ds:itemID="{42422FCE-61DD-4E06-A87F-8C2033C65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C06562-4EA8-43E1-B355-B517CA58F517}">
  <ds:schemaRefs>
    <ds:schemaRef ds:uri="db12b8b9-2344-4b39-99c2-0525e50075b8"/>
    <ds:schemaRef ds:uri="http://purl.org/dc/terms/"/>
    <ds:schemaRef ds:uri="http://schemas.openxmlformats.org/package/2006/metadata/core-properties"/>
    <ds:schemaRef ds:uri="http://purl.org/dc/elements/1.1/"/>
    <ds:schemaRef ds:uri="6daab2f0-397d-4ea2-8d4f-ab7bd17e40ee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e4beccc8-b906-461d-84bc-7307f1b04b2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1687</Words>
  <Characters>9940</Characters>
  <Application>Microsoft Office Word</Application>
  <DocSecurity>0</DocSecurity>
  <Lines>152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Reliability Testing Results: Data Element Reliability Testing</vt:lpstr>
    </vt:vector>
  </TitlesOfParts>
  <Company/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Reliability Testing Results: Data Element Reliability Testing</dc:title>
  <dc:subject>Data Element Reliability Testing</dc:subject>
  <dc:creator>CMS</dc:creator>
  <cp:keywords>Additional, Reliability, Testing Results, Data Element, Reliability Testing</cp:keywords>
  <dc:description/>
  <cp:lastModifiedBy>Lisa Lihs</cp:lastModifiedBy>
  <cp:revision>15</cp:revision>
  <dcterms:created xsi:type="dcterms:W3CDTF">2024-10-28T05:03:00Z</dcterms:created>
  <dcterms:modified xsi:type="dcterms:W3CDTF">2024-10-29T16:25:00Z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0x0101000158E6921CBB944D9450DC0A0B1808F8</vt:lpwstr>
  </property>
  <property fmtid="{D5CDD505-2E9C-101B-9397-08002B2CF9AE}" pid="3" name="MediaServiceImageTags">
    <vt:lpwstr/>
  </property>
</Properties>
</file>