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0ECF5" w14:textId="77777777" w:rsidR="0062202B" w:rsidRPr="006A0FFD" w:rsidRDefault="0062202B" w:rsidP="0062202B">
      <w:pPr>
        <w:rPr>
          <w:rFonts w:ascii="Arial" w:hAnsi="Arial" w:cs="Arial"/>
          <w:b/>
          <w:bCs/>
        </w:rPr>
      </w:pPr>
      <w:r w:rsidRPr="006A0FFD">
        <w:rPr>
          <w:rFonts w:ascii="Arial" w:hAnsi="Arial" w:cs="Arial"/>
          <w:b/>
          <w:bCs/>
        </w:rPr>
        <w:t>Section 4.3.4 Validity Testing Results</w:t>
      </w:r>
    </w:p>
    <w:p w14:paraId="3514DECB" w14:textId="77777777" w:rsidR="00E752DD" w:rsidRDefault="00E752DD" w:rsidP="0062202B">
      <w:pPr>
        <w:rPr>
          <w:rFonts w:ascii="Arial" w:hAnsi="Arial" w:cs="Arial"/>
          <w:b/>
          <w:bCs/>
          <w:sz w:val="22"/>
          <w:szCs w:val="22"/>
        </w:rPr>
      </w:pPr>
    </w:p>
    <w:p w14:paraId="395F2A9A" w14:textId="659F8DEE" w:rsidR="0062202B" w:rsidRPr="006A0FFD" w:rsidRDefault="0062202B" w:rsidP="0062202B">
      <w:pPr>
        <w:rPr>
          <w:rFonts w:ascii="Arial" w:hAnsi="Arial" w:cs="Arial"/>
          <w:sz w:val="22"/>
          <w:szCs w:val="22"/>
        </w:rPr>
      </w:pPr>
      <w:r w:rsidRPr="006A0FFD">
        <w:rPr>
          <w:rFonts w:ascii="Arial" w:hAnsi="Arial" w:cs="Arial"/>
          <w:b/>
          <w:bCs/>
          <w:sz w:val="22"/>
          <w:szCs w:val="22"/>
        </w:rPr>
        <w:t>Table 13.</w:t>
      </w:r>
      <w:r w:rsidRPr="006A0FFD">
        <w:rPr>
          <w:rFonts w:ascii="Arial" w:hAnsi="Arial" w:cs="Arial"/>
          <w:sz w:val="22"/>
          <w:szCs w:val="22"/>
        </w:rPr>
        <w:t xml:space="preserve"> Total antibiotic duration comparison for UM HMS manually abstracted data (gold standard) to UM eCQM in 450 CAP patients </w:t>
      </w:r>
    </w:p>
    <w:tbl>
      <w:tblPr>
        <w:tblStyle w:val="TableGrid"/>
        <w:tblW w:w="4808" w:type="pct"/>
        <w:tblLayout w:type="fixed"/>
        <w:tblLook w:val="04A0" w:firstRow="1" w:lastRow="0" w:firstColumn="1" w:lastColumn="0" w:noHBand="0" w:noVBand="1"/>
        <w:tblCaption w:val="Table 13. Total antibiotic duration comparison for UM HMS manually abstracted data (gold standard) to UM eCQM in 450 CAP patients"/>
        <w:tblDescription w:val="Manually abstracted (UM HMS) data compared to eCQM data for total antibiotic duration (&lt;5 to &gt;8.5 days) in 450 patients hospitalized with uncomplicated CAP. Total duration accuracy within 1/2 day was 91.3%, and 96.4% for within 1.5 days."/>
      </w:tblPr>
      <w:tblGrid>
        <w:gridCol w:w="1736"/>
        <w:gridCol w:w="1383"/>
        <w:gridCol w:w="1382"/>
        <w:gridCol w:w="1382"/>
        <w:gridCol w:w="1382"/>
        <w:gridCol w:w="1382"/>
        <w:gridCol w:w="1382"/>
      </w:tblGrid>
      <w:tr w:rsidR="0062202B" w:rsidRPr="006A0FFD" w14:paraId="202CBC1D" w14:textId="77777777" w:rsidTr="00681EF2">
        <w:trPr>
          <w:cantSplit/>
          <w:tblHeader/>
        </w:trPr>
        <w:tc>
          <w:tcPr>
            <w:tcW w:w="865" w:type="pct"/>
          </w:tcPr>
          <w:p w14:paraId="12F2273F" w14:textId="77777777" w:rsidR="0062202B" w:rsidRPr="006A0FFD" w:rsidRDefault="0062202B" w:rsidP="005D3606">
            <w:pPr>
              <w:rPr>
                <w:rFonts w:ascii="Arial" w:hAnsi="Arial" w:cs="Arial"/>
                <w:sz w:val="20"/>
                <w:szCs w:val="20"/>
              </w:rPr>
            </w:pPr>
            <w:bookmarkStart w:id="0" w:name="_Hlk179981668"/>
            <w:r w:rsidRPr="006A0FFD">
              <w:rPr>
                <w:rFonts w:ascii="Arial" w:hAnsi="Arial" w:cs="Arial"/>
                <w:sz w:val="20"/>
                <w:szCs w:val="20"/>
              </w:rPr>
              <w:t>Total Duration</w:t>
            </w:r>
          </w:p>
        </w:tc>
        <w:tc>
          <w:tcPr>
            <w:tcW w:w="689" w:type="pct"/>
            <w:vAlign w:val="center"/>
          </w:tcPr>
          <w:p w14:paraId="6ED8526F"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UM HMS</w:t>
            </w:r>
          </w:p>
          <w:p w14:paraId="7BDF4F27"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&lt;5 days</w:t>
            </w:r>
          </w:p>
        </w:tc>
        <w:tc>
          <w:tcPr>
            <w:tcW w:w="689" w:type="pct"/>
            <w:vAlign w:val="center"/>
          </w:tcPr>
          <w:p w14:paraId="40EC7B7C"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UM HMS</w:t>
            </w:r>
          </w:p>
          <w:p w14:paraId="4B4A28AD"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5 days</w:t>
            </w:r>
          </w:p>
        </w:tc>
        <w:tc>
          <w:tcPr>
            <w:tcW w:w="689" w:type="pct"/>
            <w:vAlign w:val="center"/>
          </w:tcPr>
          <w:p w14:paraId="77074C83"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UM HMS</w:t>
            </w:r>
          </w:p>
          <w:p w14:paraId="6E0F2B5B"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6 days</w:t>
            </w:r>
          </w:p>
        </w:tc>
        <w:tc>
          <w:tcPr>
            <w:tcW w:w="689" w:type="pct"/>
            <w:vAlign w:val="center"/>
          </w:tcPr>
          <w:p w14:paraId="56FF464E"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UM HMS</w:t>
            </w:r>
          </w:p>
          <w:p w14:paraId="1A390F1B"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7 days</w:t>
            </w:r>
          </w:p>
        </w:tc>
        <w:tc>
          <w:tcPr>
            <w:tcW w:w="689" w:type="pct"/>
            <w:vAlign w:val="center"/>
          </w:tcPr>
          <w:p w14:paraId="1A054073"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UM HMS</w:t>
            </w:r>
          </w:p>
          <w:p w14:paraId="568633BF"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8 days</w:t>
            </w:r>
          </w:p>
        </w:tc>
        <w:tc>
          <w:tcPr>
            <w:tcW w:w="689" w:type="pct"/>
            <w:vAlign w:val="center"/>
          </w:tcPr>
          <w:p w14:paraId="757C1A86"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UM HMS</w:t>
            </w:r>
          </w:p>
          <w:p w14:paraId="3512755A"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&gt;8 days</w:t>
            </w:r>
          </w:p>
        </w:tc>
      </w:tr>
      <w:tr w:rsidR="0062202B" w:rsidRPr="006A0FFD" w14:paraId="25793499" w14:textId="77777777" w:rsidTr="00754C0A">
        <w:trPr>
          <w:cantSplit/>
        </w:trPr>
        <w:tc>
          <w:tcPr>
            <w:tcW w:w="865" w:type="pct"/>
          </w:tcPr>
          <w:p w14:paraId="6F3963C6" w14:textId="77777777" w:rsidR="0062202B" w:rsidRPr="006A0FFD" w:rsidRDefault="0062202B" w:rsidP="005D3606">
            <w:pPr>
              <w:rPr>
                <w:rFonts w:ascii="Arial" w:hAnsi="Arial" w:cs="Arial"/>
                <w:sz w:val="20"/>
                <w:szCs w:val="20"/>
              </w:rPr>
            </w:pPr>
            <w:r w:rsidRPr="006A0FFD">
              <w:rPr>
                <w:rFonts w:ascii="Arial" w:hAnsi="Arial" w:cs="Arial"/>
                <w:sz w:val="20"/>
                <w:szCs w:val="20"/>
              </w:rPr>
              <w:t xml:space="preserve">UM eCQM </w:t>
            </w:r>
          </w:p>
          <w:p w14:paraId="07B58876" w14:textId="77777777" w:rsidR="0062202B" w:rsidRPr="006A0FFD" w:rsidRDefault="0062202B" w:rsidP="005D3606">
            <w:pPr>
              <w:rPr>
                <w:rFonts w:ascii="Arial" w:hAnsi="Arial" w:cs="Arial"/>
                <w:sz w:val="20"/>
                <w:szCs w:val="20"/>
              </w:rPr>
            </w:pPr>
            <w:r w:rsidRPr="006A0FFD">
              <w:rPr>
                <w:rFonts w:ascii="Arial" w:hAnsi="Arial" w:cs="Arial"/>
                <w:sz w:val="20"/>
                <w:szCs w:val="20"/>
              </w:rPr>
              <w:t>&lt;5 days</w:t>
            </w:r>
          </w:p>
        </w:tc>
        <w:tc>
          <w:tcPr>
            <w:tcW w:w="689" w:type="pct"/>
            <w:shd w:val="clear" w:color="auto" w:fill="4EA72E" w:themeFill="accent6"/>
            <w:vAlign w:val="center"/>
          </w:tcPr>
          <w:p w14:paraId="5A40CF23"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14 (3.1%)</w:t>
            </w:r>
          </w:p>
        </w:tc>
        <w:tc>
          <w:tcPr>
            <w:tcW w:w="689" w:type="pct"/>
            <w:shd w:val="clear" w:color="auto" w:fill="FFFF99"/>
            <w:vAlign w:val="center"/>
          </w:tcPr>
          <w:p w14:paraId="03575B5E"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0</w:t>
            </w:r>
          </w:p>
        </w:tc>
        <w:tc>
          <w:tcPr>
            <w:tcW w:w="689" w:type="pct"/>
            <w:vAlign w:val="center"/>
          </w:tcPr>
          <w:p w14:paraId="4958DCF8"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0</w:t>
            </w:r>
          </w:p>
        </w:tc>
        <w:tc>
          <w:tcPr>
            <w:tcW w:w="689" w:type="pct"/>
            <w:vAlign w:val="center"/>
          </w:tcPr>
          <w:p w14:paraId="7121FC4B"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1 (0.2%)</w:t>
            </w:r>
          </w:p>
        </w:tc>
        <w:tc>
          <w:tcPr>
            <w:tcW w:w="689" w:type="pct"/>
            <w:vAlign w:val="center"/>
          </w:tcPr>
          <w:p w14:paraId="3FD8C028"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0</w:t>
            </w:r>
          </w:p>
        </w:tc>
        <w:tc>
          <w:tcPr>
            <w:tcW w:w="689" w:type="pct"/>
            <w:vAlign w:val="center"/>
          </w:tcPr>
          <w:p w14:paraId="7950A28F"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2 (0.4%</w:t>
            </w:r>
          </w:p>
        </w:tc>
      </w:tr>
      <w:tr w:rsidR="0062202B" w:rsidRPr="006A0FFD" w14:paraId="4D290DE1" w14:textId="77777777" w:rsidTr="00754C0A">
        <w:trPr>
          <w:cantSplit/>
        </w:trPr>
        <w:tc>
          <w:tcPr>
            <w:tcW w:w="865" w:type="pct"/>
          </w:tcPr>
          <w:p w14:paraId="35E393BF" w14:textId="77777777" w:rsidR="0062202B" w:rsidRPr="006A0FFD" w:rsidRDefault="0062202B" w:rsidP="005D3606">
            <w:pPr>
              <w:rPr>
                <w:rFonts w:ascii="Arial" w:hAnsi="Arial" w:cs="Arial"/>
                <w:sz w:val="20"/>
                <w:szCs w:val="20"/>
              </w:rPr>
            </w:pPr>
            <w:r w:rsidRPr="006A0FFD">
              <w:rPr>
                <w:rFonts w:ascii="Arial" w:hAnsi="Arial" w:cs="Arial"/>
                <w:sz w:val="20"/>
                <w:szCs w:val="20"/>
              </w:rPr>
              <w:t xml:space="preserve">UM eCQM </w:t>
            </w:r>
          </w:p>
          <w:p w14:paraId="76A7C8C5" w14:textId="77777777" w:rsidR="0062202B" w:rsidRPr="006A0FFD" w:rsidRDefault="0062202B" w:rsidP="005D3606">
            <w:pPr>
              <w:rPr>
                <w:rFonts w:ascii="Arial" w:hAnsi="Arial" w:cs="Arial"/>
                <w:sz w:val="20"/>
                <w:szCs w:val="20"/>
              </w:rPr>
            </w:pPr>
            <w:r w:rsidRPr="006A0FFD">
              <w:rPr>
                <w:rFonts w:ascii="Arial" w:hAnsi="Arial" w:cs="Arial"/>
                <w:sz w:val="20"/>
                <w:szCs w:val="20"/>
              </w:rPr>
              <w:t>5-5.5 days</w:t>
            </w:r>
          </w:p>
        </w:tc>
        <w:tc>
          <w:tcPr>
            <w:tcW w:w="689" w:type="pct"/>
            <w:shd w:val="clear" w:color="auto" w:fill="FFFF99"/>
            <w:vAlign w:val="center"/>
          </w:tcPr>
          <w:p w14:paraId="1DCE2B39"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0</w:t>
            </w:r>
          </w:p>
        </w:tc>
        <w:tc>
          <w:tcPr>
            <w:tcW w:w="689" w:type="pct"/>
            <w:shd w:val="clear" w:color="auto" w:fill="4EA72E" w:themeFill="accent6"/>
            <w:vAlign w:val="center"/>
          </w:tcPr>
          <w:p w14:paraId="095CF4B7"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62 (13.8%)</w:t>
            </w:r>
          </w:p>
        </w:tc>
        <w:tc>
          <w:tcPr>
            <w:tcW w:w="689" w:type="pct"/>
            <w:shd w:val="clear" w:color="auto" w:fill="FFFF99"/>
            <w:vAlign w:val="center"/>
          </w:tcPr>
          <w:p w14:paraId="4E24BD23"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5 (1.1%)</w:t>
            </w:r>
          </w:p>
        </w:tc>
        <w:tc>
          <w:tcPr>
            <w:tcW w:w="689" w:type="pct"/>
            <w:vAlign w:val="center"/>
          </w:tcPr>
          <w:p w14:paraId="7278CB71"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3 (0.7%)</w:t>
            </w:r>
          </w:p>
        </w:tc>
        <w:tc>
          <w:tcPr>
            <w:tcW w:w="689" w:type="pct"/>
            <w:vAlign w:val="center"/>
          </w:tcPr>
          <w:p w14:paraId="1F21A530"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0</w:t>
            </w:r>
          </w:p>
        </w:tc>
        <w:tc>
          <w:tcPr>
            <w:tcW w:w="689" w:type="pct"/>
            <w:vAlign w:val="center"/>
          </w:tcPr>
          <w:p w14:paraId="68CAF515"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0</w:t>
            </w:r>
          </w:p>
        </w:tc>
      </w:tr>
      <w:tr w:rsidR="0062202B" w:rsidRPr="006A0FFD" w14:paraId="25A90B47" w14:textId="77777777" w:rsidTr="00754C0A">
        <w:trPr>
          <w:cantSplit/>
        </w:trPr>
        <w:tc>
          <w:tcPr>
            <w:tcW w:w="865" w:type="pct"/>
          </w:tcPr>
          <w:p w14:paraId="3B06561E" w14:textId="77777777" w:rsidR="0062202B" w:rsidRPr="006A0FFD" w:rsidRDefault="0062202B" w:rsidP="005D3606">
            <w:pPr>
              <w:rPr>
                <w:rFonts w:ascii="Arial" w:hAnsi="Arial" w:cs="Arial"/>
                <w:sz w:val="20"/>
                <w:szCs w:val="20"/>
              </w:rPr>
            </w:pPr>
            <w:r w:rsidRPr="006A0FFD">
              <w:rPr>
                <w:rFonts w:ascii="Arial" w:hAnsi="Arial" w:cs="Arial"/>
                <w:sz w:val="20"/>
                <w:szCs w:val="20"/>
              </w:rPr>
              <w:t>UM eCQM</w:t>
            </w:r>
          </w:p>
          <w:p w14:paraId="7D228D85" w14:textId="77777777" w:rsidR="0062202B" w:rsidRPr="006A0FFD" w:rsidRDefault="0062202B" w:rsidP="005D3606">
            <w:pPr>
              <w:rPr>
                <w:rFonts w:ascii="Arial" w:hAnsi="Arial" w:cs="Arial"/>
                <w:sz w:val="20"/>
                <w:szCs w:val="20"/>
              </w:rPr>
            </w:pPr>
            <w:r w:rsidRPr="006A0FFD">
              <w:rPr>
                <w:rFonts w:ascii="Arial" w:hAnsi="Arial" w:cs="Arial"/>
                <w:sz w:val="20"/>
                <w:szCs w:val="20"/>
              </w:rPr>
              <w:t>6-6.5 days</w:t>
            </w:r>
          </w:p>
        </w:tc>
        <w:tc>
          <w:tcPr>
            <w:tcW w:w="689" w:type="pct"/>
            <w:vAlign w:val="center"/>
          </w:tcPr>
          <w:p w14:paraId="319C123E"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0</w:t>
            </w:r>
          </w:p>
        </w:tc>
        <w:tc>
          <w:tcPr>
            <w:tcW w:w="689" w:type="pct"/>
            <w:shd w:val="clear" w:color="auto" w:fill="FFFF99"/>
            <w:vAlign w:val="center"/>
          </w:tcPr>
          <w:p w14:paraId="4B748FCB"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4 (0.9%)</w:t>
            </w:r>
          </w:p>
        </w:tc>
        <w:tc>
          <w:tcPr>
            <w:tcW w:w="689" w:type="pct"/>
            <w:shd w:val="clear" w:color="auto" w:fill="4EA72E" w:themeFill="accent6"/>
            <w:vAlign w:val="center"/>
          </w:tcPr>
          <w:p w14:paraId="51BD2C39"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81 (18.0%)</w:t>
            </w:r>
          </w:p>
        </w:tc>
        <w:tc>
          <w:tcPr>
            <w:tcW w:w="689" w:type="pct"/>
            <w:shd w:val="clear" w:color="auto" w:fill="FFFF99"/>
            <w:vAlign w:val="center"/>
          </w:tcPr>
          <w:p w14:paraId="61565980"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1 (0.2%)</w:t>
            </w:r>
          </w:p>
        </w:tc>
        <w:tc>
          <w:tcPr>
            <w:tcW w:w="689" w:type="pct"/>
            <w:vAlign w:val="center"/>
          </w:tcPr>
          <w:p w14:paraId="48B478B0"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0</w:t>
            </w:r>
          </w:p>
        </w:tc>
        <w:tc>
          <w:tcPr>
            <w:tcW w:w="689" w:type="pct"/>
            <w:vAlign w:val="center"/>
          </w:tcPr>
          <w:p w14:paraId="4E86D513"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3 (0.7%)</w:t>
            </w:r>
          </w:p>
        </w:tc>
      </w:tr>
      <w:tr w:rsidR="0062202B" w:rsidRPr="006A0FFD" w14:paraId="5F70C9A2" w14:textId="77777777" w:rsidTr="00754C0A">
        <w:trPr>
          <w:cantSplit/>
        </w:trPr>
        <w:tc>
          <w:tcPr>
            <w:tcW w:w="865" w:type="pct"/>
          </w:tcPr>
          <w:p w14:paraId="6122604F" w14:textId="77777777" w:rsidR="0062202B" w:rsidRPr="006A0FFD" w:rsidRDefault="0062202B" w:rsidP="005D3606">
            <w:pPr>
              <w:rPr>
                <w:rFonts w:ascii="Arial" w:hAnsi="Arial" w:cs="Arial"/>
                <w:sz w:val="20"/>
                <w:szCs w:val="20"/>
              </w:rPr>
            </w:pPr>
            <w:r w:rsidRPr="006A0FFD">
              <w:rPr>
                <w:rFonts w:ascii="Arial" w:hAnsi="Arial" w:cs="Arial"/>
                <w:sz w:val="20"/>
                <w:szCs w:val="20"/>
              </w:rPr>
              <w:t>UM eCQM</w:t>
            </w:r>
          </w:p>
          <w:p w14:paraId="7ED59568" w14:textId="77777777" w:rsidR="0062202B" w:rsidRPr="006A0FFD" w:rsidRDefault="0062202B" w:rsidP="005D3606">
            <w:pPr>
              <w:rPr>
                <w:rFonts w:ascii="Arial" w:hAnsi="Arial" w:cs="Arial"/>
                <w:sz w:val="20"/>
                <w:szCs w:val="20"/>
              </w:rPr>
            </w:pPr>
            <w:r w:rsidRPr="006A0FFD">
              <w:rPr>
                <w:rFonts w:ascii="Arial" w:hAnsi="Arial" w:cs="Arial"/>
                <w:sz w:val="20"/>
                <w:szCs w:val="20"/>
              </w:rPr>
              <w:t>7-7.5 days</w:t>
            </w:r>
          </w:p>
        </w:tc>
        <w:tc>
          <w:tcPr>
            <w:tcW w:w="689" w:type="pct"/>
            <w:vAlign w:val="center"/>
          </w:tcPr>
          <w:p w14:paraId="62D1A766"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1 (0.2%)</w:t>
            </w:r>
          </w:p>
        </w:tc>
        <w:tc>
          <w:tcPr>
            <w:tcW w:w="689" w:type="pct"/>
            <w:vAlign w:val="center"/>
          </w:tcPr>
          <w:p w14:paraId="200FCE32"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0</w:t>
            </w:r>
          </w:p>
        </w:tc>
        <w:tc>
          <w:tcPr>
            <w:tcW w:w="689" w:type="pct"/>
            <w:shd w:val="clear" w:color="auto" w:fill="FFFF99"/>
            <w:vAlign w:val="center"/>
          </w:tcPr>
          <w:p w14:paraId="19661B59"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3 (0.7%)</w:t>
            </w:r>
          </w:p>
        </w:tc>
        <w:tc>
          <w:tcPr>
            <w:tcW w:w="689" w:type="pct"/>
            <w:shd w:val="clear" w:color="auto" w:fill="4EA72E" w:themeFill="accent6"/>
            <w:vAlign w:val="center"/>
          </w:tcPr>
          <w:p w14:paraId="7D33EE3C"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78 (17.3%)</w:t>
            </w:r>
          </w:p>
        </w:tc>
        <w:tc>
          <w:tcPr>
            <w:tcW w:w="689" w:type="pct"/>
            <w:shd w:val="clear" w:color="auto" w:fill="FFFF99"/>
            <w:vAlign w:val="center"/>
          </w:tcPr>
          <w:p w14:paraId="4C4769E2"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3 (0.7%)</w:t>
            </w:r>
          </w:p>
        </w:tc>
        <w:tc>
          <w:tcPr>
            <w:tcW w:w="689" w:type="pct"/>
            <w:vAlign w:val="center"/>
          </w:tcPr>
          <w:p w14:paraId="6AB5E721"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3 (0.7%)</w:t>
            </w:r>
          </w:p>
        </w:tc>
      </w:tr>
      <w:tr w:rsidR="0062202B" w:rsidRPr="006A0FFD" w14:paraId="0B52F5AC" w14:textId="77777777" w:rsidTr="00754C0A">
        <w:trPr>
          <w:cantSplit/>
        </w:trPr>
        <w:tc>
          <w:tcPr>
            <w:tcW w:w="865" w:type="pct"/>
          </w:tcPr>
          <w:p w14:paraId="04F4343B" w14:textId="77777777" w:rsidR="0062202B" w:rsidRPr="006A0FFD" w:rsidRDefault="0062202B" w:rsidP="005D3606">
            <w:pPr>
              <w:rPr>
                <w:rFonts w:ascii="Arial" w:hAnsi="Arial" w:cs="Arial"/>
                <w:sz w:val="20"/>
                <w:szCs w:val="20"/>
              </w:rPr>
            </w:pPr>
            <w:r w:rsidRPr="006A0FFD">
              <w:rPr>
                <w:rFonts w:ascii="Arial" w:hAnsi="Arial" w:cs="Arial"/>
                <w:sz w:val="20"/>
                <w:szCs w:val="20"/>
              </w:rPr>
              <w:t>UM eCQM</w:t>
            </w:r>
          </w:p>
          <w:p w14:paraId="27846FE3" w14:textId="77777777" w:rsidR="0062202B" w:rsidRPr="006A0FFD" w:rsidRDefault="0062202B" w:rsidP="005D3606">
            <w:pPr>
              <w:rPr>
                <w:rFonts w:ascii="Arial" w:hAnsi="Arial" w:cs="Arial"/>
                <w:sz w:val="20"/>
                <w:szCs w:val="20"/>
              </w:rPr>
            </w:pPr>
            <w:r w:rsidRPr="006A0FFD">
              <w:rPr>
                <w:rFonts w:ascii="Arial" w:hAnsi="Arial" w:cs="Arial"/>
                <w:sz w:val="20"/>
                <w:szCs w:val="20"/>
              </w:rPr>
              <w:t>8-8.5 days</w:t>
            </w:r>
          </w:p>
        </w:tc>
        <w:tc>
          <w:tcPr>
            <w:tcW w:w="689" w:type="pct"/>
            <w:vAlign w:val="center"/>
          </w:tcPr>
          <w:p w14:paraId="1EC510A3"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0</w:t>
            </w:r>
          </w:p>
        </w:tc>
        <w:tc>
          <w:tcPr>
            <w:tcW w:w="689" w:type="pct"/>
            <w:vAlign w:val="center"/>
          </w:tcPr>
          <w:p w14:paraId="091C0766"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1 (0.2%)</w:t>
            </w:r>
          </w:p>
        </w:tc>
        <w:tc>
          <w:tcPr>
            <w:tcW w:w="689" w:type="pct"/>
            <w:vAlign w:val="center"/>
          </w:tcPr>
          <w:p w14:paraId="135480CA"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1 (0.2%)</w:t>
            </w:r>
          </w:p>
        </w:tc>
        <w:tc>
          <w:tcPr>
            <w:tcW w:w="689" w:type="pct"/>
            <w:shd w:val="clear" w:color="auto" w:fill="FFFF99"/>
            <w:vAlign w:val="center"/>
          </w:tcPr>
          <w:p w14:paraId="2BDD89B8"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1 (0.2%)</w:t>
            </w:r>
          </w:p>
        </w:tc>
        <w:tc>
          <w:tcPr>
            <w:tcW w:w="689" w:type="pct"/>
            <w:shd w:val="clear" w:color="auto" w:fill="4EA72E" w:themeFill="accent6"/>
            <w:vAlign w:val="center"/>
          </w:tcPr>
          <w:p w14:paraId="6CF9247E"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71 (15.8%)</w:t>
            </w:r>
          </w:p>
        </w:tc>
        <w:tc>
          <w:tcPr>
            <w:tcW w:w="689" w:type="pct"/>
            <w:shd w:val="clear" w:color="auto" w:fill="FFFF99"/>
            <w:vAlign w:val="center"/>
          </w:tcPr>
          <w:p w14:paraId="2CF9EF02"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4 (0.9%)</w:t>
            </w:r>
          </w:p>
        </w:tc>
      </w:tr>
      <w:tr w:rsidR="0062202B" w:rsidRPr="006A0FFD" w14:paraId="66BE6029" w14:textId="77777777" w:rsidTr="00754C0A">
        <w:trPr>
          <w:cantSplit/>
        </w:trPr>
        <w:tc>
          <w:tcPr>
            <w:tcW w:w="865" w:type="pct"/>
          </w:tcPr>
          <w:p w14:paraId="08A78814" w14:textId="77777777" w:rsidR="0062202B" w:rsidRPr="006A0FFD" w:rsidRDefault="0062202B" w:rsidP="005D3606">
            <w:pPr>
              <w:rPr>
                <w:rFonts w:ascii="Arial" w:hAnsi="Arial" w:cs="Arial"/>
                <w:sz w:val="20"/>
                <w:szCs w:val="20"/>
              </w:rPr>
            </w:pPr>
            <w:r w:rsidRPr="006A0FFD">
              <w:rPr>
                <w:rFonts w:ascii="Arial" w:hAnsi="Arial" w:cs="Arial"/>
                <w:sz w:val="20"/>
                <w:szCs w:val="20"/>
              </w:rPr>
              <w:t>UM eCQM</w:t>
            </w:r>
          </w:p>
          <w:p w14:paraId="1E1C0A69" w14:textId="77777777" w:rsidR="0062202B" w:rsidRPr="006A0FFD" w:rsidRDefault="0062202B" w:rsidP="005D3606">
            <w:pPr>
              <w:rPr>
                <w:rFonts w:ascii="Arial" w:hAnsi="Arial" w:cs="Arial"/>
                <w:sz w:val="20"/>
                <w:szCs w:val="20"/>
              </w:rPr>
            </w:pPr>
            <w:r w:rsidRPr="006A0FFD">
              <w:rPr>
                <w:rFonts w:ascii="Arial" w:hAnsi="Arial" w:cs="Arial"/>
                <w:sz w:val="20"/>
                <w:szCs w:val="20"/>
              </w:rPr>
              <w:t>&gt;8.5 days</w:t>
            </w:r>
          </w:p>
        </w:tc>
        <w:tc>
          <w:tcPr>
            <w:tcW w:w="689" w:type="pct"/>
            <w:vAlign w:val="center"/>
          </w:tcPr>
          <w:p w14:paraId="34C818E4"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0</w:t>
            </w:r>
          </w:p>
        </w:tc>
        <w:tc>
          <w:tcPr>
            <w:tcW w:w="689" w:type="pct"/>
            <w:vAlign w:val="center"/>
          </w:tcPr>
          <w:p w14:paraId="7B6FA5E3"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0</w:t>
            </w:r>
          </w:p>
        </w:tc>
        <w:tc>
          <w:tcPr>
            <w:tcW w:w="689" w:type="pct"/>
            <w:vAlign w:val="center"/>
          </w:tcPr>
          <w:p w14:paraId="053BE51D"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0</w:t>
            </w:r>
          </w:p>
        </w:tc>
        <w:tc>
          <w:tcPr>
            <w:tcW w:w="689" w:type="pct"/>
            <w:vAlign w:val="center"/>
          </w:tcPr>
          <w:p w14:paraId="65D12F86"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1 (0.2%)</w:t>
            </w:r>
          </w:p>
        </w:tc>
        <w:tc>
          <w:tcPr>
            <w:tcW w:w="689" w:type="pct"/>
            <w:shd w:val="clear" w:color="auto" w:fill="FFFF99"/>
            <w:vAlign w:val="center"/>
          </w:tcPr>
          <w:p w14:paraId="2519050B"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2 (0.4%)</w:t>
            </w:r>
          </w:p>
        </w:tc>
        <w:tc>
          <w:tcPr>
            <w:tcW w:w="689" w:type="pct"/>
            <w:shd w:val="clear" w:color="auto" w:fill="4EA72E" w:themeFill="accent6"/>
            <w:vAlign w:val="center"/>
          </w:tcPr>
          <w:p w14:paraId="4BE336E9"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105 (23.3%)</w:t>
            </w:r>
          </w:p>
        </w:tc>
      </w:tr>
    </w:tbl>
    <w:bookmarkEnd w:id="0"/>
    <w:p w14:paraId="1C0299A0" w14:textId="589230B9" w:rsidR="0062202B" w:rsidRDefault="0062202B" w:rsidP="00FB693F">
      <w:pPr>
        <w:spacing w:before="120" w:after="0" w:line="264" w:lineRule="auto"/>
        <w:rPr>
          <w:rFonts w:ascii="Arial" w:hAnsi="Arial" w:cs="Arial"/>
          <w:sz w:val="18"/>
          <w:szCs w:val="18"/>
        </w:rPr>
      </w:pPr>
      <w:r w:rsidRPr="00FB693F">
        <w:rPr>
          <w:rFonts w:ascii="Arial" w:hAnsi="Arial" w:cs="Arial"/>
          <w:sz w:val="18"/>
          <w:szCs w:val="18"/>
        </w:rPr>
        <w:t>411/450 (91.3%) in green were accurate within a ½ day</w:t>
      </w:r>
      <w:r w:rsidR="00FB693F">
        <w:rPr>
          <w:rFonts w:ascii="Arial" w:hAnsi="Arial" w:cs="Arial"/>
          <w:sz w:val="18"/>
          <w:szCs w:val="18"/>
        </w:rPr>
        <w:t xml:space="preserve">; </w:t>
      </w:r>
      <w:r w:rsidRPr="00FB693F">
        <w:rPr>
          <w:rFonts w:ascii="Arial" w:hAnsi="Arial" w:cs="Arial"/>
          <w:sz w:val="18"/>
          <w:szCs w:val="18"/>
        </w:rPr>
        <w:t>434/450 (96.4%) green/yellow were accurate within 1.5 days</w:t>
      </w:r>
    </w:p>
    <w:p w14:paraId="2CE60F9B" w14:textId="5AEBEF69" w:rsidR="00FB693F" w:rsidRPr="00FB693F" w:rsidRDefault="00FB693F" w:rsidP="00FB693F">
      <w:pPr>
        <w:spacing w:after="0" w:line="264" w:lineRule="auto"/>
        <w:rPr>
          <w:rFonts w:ascii="Arial" w:hAnsi="Arial" w:cs="Arial"/>
          <w:sz w:val="18"/>
          <w:szCs w:val="18"/>
        </w:rPr>
      </w:pPr>
      <w:r>
        <w:rPr>
          <w:rFonts w:ascii="Arial" w:hAnsi="Arial" w:cs="Arial"/>
          <w:sz w:val="18"/>
          <w:szCs w:val="18"/>
        </w:rPr>
        <w:t xml:space="preserve">Abbreviations: </w:t>
      </w:r>
      <w:r w:rsidR="004D0EFE">
        <w:rPr>
          <w:rFonts w:ascii="Arial" w:hAnsi="Arial" w:cs="Arial"/>
          <w:sz w:val="18"/>
          <w:szCs w:val="18"/>
        </w:rPr>
        <w:t xml:space="preserve">CAP, community-acquired pneumonia; </w:t>
      </w:r>
      <w:r>
        <w:rPr>
          <w:rFonts w:ascii="Arial" w:hAnsi="Arial" w:cs="Arial"/>
          <w:sz w:val="18"/>
          <w:szCs w:val="18"/>
        </w:rPr>
        <w:t xml:space="preserve">UM, </w:t>
      </w:r>
      <w:r w:rsidRPr="00FB693F">
        <w:rPr>
          <w:rFonts w:ascii="Arial" w:hAnsi="Arial" w:cs="Arial"/>
          <w:sz w:val="18"/>
          <w:szCs w:val="18"/>
        </w:rPr>
        <w:t>University of Michigan</w:t>
      </w:r>
      <w:r>
        <w:rPr>
          <w:rFonts w:ascii="Arial" w:hAnsi="Arial" w:cs="Arial"/>
          <w:sz w:val="18"/>
          <w:szCs w:val="18"/>
        </w:rPr>
        <w:t>; HMS,</w:t>
      </w:r>
      <w:r w:rsidRPr="00FB693F">
        <w:rPr>
          <w:rFonts w:ascii="Arial" w:hAnsi="Arial" w:cs="Arial"/>
          <w:sz w:val="18"/>
          <w:szCs w:val="18"/>
        </w:rPr>
        <w:t xml:space="preserve"> </w:t>
      </w:r>
      <w:r w:rsidR="00E752DD">
        <w:rPr>
          <w:rFonts w:ascii="Arial" w:hAnsi="Arial" w:cs="Arial"/>
          <w:sz w:val="18"/>
          <w:szCs w:val="18"/>
        </w:rPr>
        <w:t>Michigan</w:t>
      </w:r>
      <w:r w:rsidRPr="00FB693F">
        <w:rPr>
          <w:rFonts w:ascii="Arial" w:hAnsi="Arial" w:cs="Arial"/>
          <w:sz w:val="18"/>
          <w:szCs w:val="18"/>
        </w:rPr>
        <w:t xml:space="preserve"> Hospital Medicine Safety Consortium </w:t>
      </w:r>
    </w:p>
    <w:p w14:paraId="2ACC51BD" w14:textId="77777777" w:rsidR="0062202B" w:rsidRPr="006A0FFD" w:rsidRDefault="0062202B" w:rsidP="0062202B">
      <w:pPr>
        <w:spacing w:after="0" w:line="264" w:lineRule="auto"/>
        <w:jc w:val="center"/>
        <w:rPr>
          <w:rFonts w:ascii="Arial" w:hAnsi="Arial" w:cs="Arial"/>
          <w:sz w:val="22"/>
          <w:szCs w:val="22"/>
        </w:rPr>
      </w:pPr>
    </w:p>
    <w:p w14:paraId="202C7C0C" w14:textId="77777777" w:rsidR="00E752DD" w:rsidRDefault="00E752DD" w:rsidP="0062202B">
      <w:pPr>
        <w:rPr>
          <w:rFonts w:ascii="Arial" w:hAnsi="Arial" w:cs="Arial"/>
          <w:b/>
          <w:bCs/>
          <w:sz w:val="22"/>
          <w:szCs w:val="22"/>
        </w:rPr>
      </w:pPr>
    </w:p>
    <w:p w14:paraId="73D617B3" w14:textId="73730FA7" w:rsidR="0062202B" w:rsidRDefault="0062202B" w:rsidP="0062202B">
      <w:pPr>
        <w:rPr>
          <w:rFonts w:ascii="Arial" w:hAnsi="Arial" w:cs="Arial"/>
          <w:sz w:val="22"/>
          <w:szCs w:val="22"/>
        </w:rPr>
      </w:pPr>
      <w:r w:rsidRPr="006A0FFD">
        <w:rPr>
          <w:rFonts w:ascii="Arial" w:hAnsi="Arial" w:cs="Arial"/>
          <w:b/>
          <w:bCs/>
          <w:sz w:val="22"/>
          <w:szCs w:val="22"/>
        </w:rPr>
        <w:t>Table 14.</w:t>
      </w:r>
      <w:r w:rsidRPr="006A0FFD">
        <w:rPr>
          <w:rFonts w:ascii="Arial" w:hAnsi="Arial" w:cs="Arial"/>
          <w:sz w:val="22"/>
          <w:szCs w:val="22"/>
        </w:rPr>
        <w:t xml:space="preserve"> Inpatient antibiotic duration comparison for UM HMS manually abstracted data (gold standard) to UM eCQM in 450 CAP patients </w:t>
      </w:r>
    </w:p>
    <w:tbl>
      <w:tblPr>
        <w:tblStyle w:val="TableGrid"/>
        <w:tblW w:w="4830" w:type="pct"/>
        <w:tblLook w:val="04A0" w:firstRow="1" w:lastRow="0" w:firstColumn="1" w:lastColumn="0" w:noHBand="0" w:noVBand="1"/>
        <w:tblCaption w:val="Table 14. Inpatient antibiotic duration comparison for UM HMS manually abstracted data (gold standard) to UM eCQM in 450 CAP patients"/>
        <w:tblDescription w:val="Manually abstracted (UM HMS) data compared to eCQM data for inpatient antibiotic duration (&lt;5 to &gt;8.5 days) in 450 patients hospitalized with uncomplicated CAP. Inpatient duration accuracy within 1/2 day was 91.6%, and 98.5% for within 1.5 days."/>
      </w:tblPr>
      <w:tblGrid>
        <w:gridCol w:w="1345"/>
        <w:gridCol w:w="1455"/>
        <w:gridCol w:w="1455"/>
        <w:gridCol w:w="1455"/>
        <w:gridCol w:w="1455"/>
        <w:gridCol w:w="1455"/>
        <w:gridCol w:w="1455"/>
      </w:tblGrid>
      <w:tr w:rsidR="0062202B" w:rsidRPr="006A0FFD" w14:paraId="4B9392E3" w14:textId="77777777" w:rsidTr="004C3D07">
        <w:trPr>
          <w:cantSplit/>
          <w:tblHeader/>
        </w:trPr>
        <w:tc>
          <w:tcPr>
            <w:tcW w:w="667" w:type="pct"/>
          </w:tcPr>
          <w:p w14:paraId="775821A3" w14:textId="77777777" w:rsidR="0062202B" w:rsidRPr="006A0FFD" w:rsidRDefault="0062202B" w:rsidP="005D3606">
            <w:pPr>
              <w:rPr>
                <w:rFonts w:ascii="Arial" w:hAnsi="Arial" w:cs="Arial"/>
                <w:sz w:val="20"/>
                <w:szCs w:val="20"/>
              </w:rPr>
            </w:pPr>
            <w:r>
              <w:rPr>
                <w:rFonts w:ascii="Arial" w:hAnsi="Arial" w:cs="Arial"/>
                <w:sz w:val="20"/>
                <w:szCs w:val="20"/>
              </w:rPr>
              <w:t>Inpatient Duration</w:t>
            </w:r>
          </w:p>
        </w:tc>
        <w:tc>
          <w:tcPr>
            <w:tcW w:w="722" w:type="pct"/>
            <w:vAlign w:val="center"/>
          </w:tcPr>
          <w:p w14:paraId="0B0F74E9"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UM HMS</w:t>
            </w:r>
          </w:p>
          <w:p w14:paraId="6B04CA83"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&lt;5 days</w:t>
            </w:r>
          </w:p>
        </w:tc>
        <w:tc>
          <w:tcPr>
            <w:tcW w:w="722" w:type="pct"/>
            <w:vAlign w:val="center"/>
          </w:tcPr>
          <w:p w14:paraId="31D9E273"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UM HMS</w:t>
            </w:r>
          </w:p>
          <w:p w14:paraId="0ED12E1F"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5 days</w:t>
            </w:r>
          </w:p>
        </w:tc>
        <w:tc>
          <w:tcPr>
            <w:tcW w:w="722" w:type="pct"/>
            <w:vAlign w:val="center"/>
          </w:tcPr>
          <w:p w14:paraId="09E314A9"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UM HMS</w:t>
            </w:r>
          </w:p>
          <w:p w14:paraId="679C501D"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6 days</w:t>
            </w:r>
          </w:p>
        </w:tc>
        <w:tc>
          <w:tcPr>
            <w:tcW w:w="722" w:type="pct"/>
            <w:vAlign w:val="center"/>
          </w:tcPr>
          <w:p w14:paraId="72BA55A1"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UM HMS</w:t>
            </w:r>
          </w:p>
          <w:p w14:paraId="7173ED4F"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7 days</w:t>
            </w:r>
          </w:p>
        </w:tc>
        <w:tc>
          <w:tcPr>
            <w:tcW w:w="722" w:type="pct"/>
            <w:vAlign w:val="center"/>
          </w:tcPr>
          <w:p w14:paraId="0763D83A"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UM HMS</w:t>
            </w:r>
          </w:p>
          <w:p w14:paraId="1C6AEB89"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8 days</w:t>
            </w:r>
          </w:p>
        </w:tc>
        <w:tc>
          <w:tcPr>
            <w:tcW w:w="722" w:type="pct"/>
            <w:vAlign w:val="center"/>
          </w:tcPr>
          <w:p w14:paraId="4CDA9EAA"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UM HMS</w:t>
            </w:r>
          </w:p>
          <w:p w14:paraId="7A05CCED"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&gt;8 days</w:t>
            </w:r>
          </w:p>
        </w:tc>
      </w:tr>
      <w:tr w:rsidR="0062202B" w:rsidRPr="006A0FFD" w14:paraId="537C9394" w14:textId="77777777" w:rsidTr="004C3D07">
        <w:trPr>
          <w:cantSplit/>
        </w:trPr>
        <w:tc>
          <w:tcPr>
            <w:tcW w:w="667" w:type="pct"/>
          </w:tcPr>
          <w:p w14:paraId="7776F2CA" w14:textId="77777777" w:rsidR="0062202B" w:rsidRPr="006A0FFD" w:rsidRDefault="0062202B" w:rsidP="005D3606">
            <w:pPr>
              <w:rPr>
                <w:rFonts w:ascii="Arial" w:hAnsi="Arial" w:cs="Arial"/>
                <w:sz w:val="20"/>
                <w:szCs w:val="20"/>
              </w:rPr>
            </w:pPr>
            <w:r w:rsidRPr="006A0FFD">
              <w:rPr>
                <w:rFonts w:ascii="Arial" w:hAnsi="Arial" w:cs="Arial"/>
                <w:sz w:val="20"/>
                <w:szCs w:val="20"/>
              </w:rPr>
              <w:t xml:space="preserve">UM eCQM </w:t>
            </w:r>
          </w:p>
          <w:p w14:paraId="294D37E7" w14:textId="77777777" w:rsidR="0062202B" w:rsidRPr="006A0FFD" w:rsidRDefault="0062202B" w:rsidP="005D3606">
            <w:pPr>
              <w:rPr>
                <w:rFonts w:ascii="Arial" w:hAnsi="Arial" w:cs="Arial"/>
                <w:sz w:val="20"/>
                <w:szCs w:val="20"/>
              </w:rPr>
            </w:pPr>
            <w:r w:rsidRPr="006A0FFD">
              <w:rPr>
                <w:rFonts w:ascii="Arial" w:hAnsi="Arial" w:cs="Arial"/>
                <w:sz w:val="20"/>
                <w:szCs w:val="20"/>
              </w:rPr>
              <w:t>&lt;5 days</w:t>
            </w:r>
          </w:p>
        </w:tc>
        <w:tc>
          <w:tcPr>
            <w:tcW w:w="722" w:type="pct"/>
            <w:shd w:val="clear" w:color="auto" w:fill="4EA72E" w:themeFill="accent6"/>
            <w:vAlign w:val="center"/>
          </w:tcPr>
          <w:p w14:paraId="126670F6" w14:textId="77777777" w:rsidR="0062202B" w:rsidRPr="006A0FFD" w:rsidRDefault="0062202B" w:rsidP="005D3606">
            <w:pPr>
              <w:jc w:val="center"/>
              <w:rPr>
                <w:rFonts w:ascii="Arial" w:hAnsi="Arial" w:cs="Arial"/>
                <w:sz w:val="20"/>
                <w:szCs w:val="20"/>
              </w:rPr>
            </w:pPr>
            <w:r w:rsidRPr="006A0FFD">
              <w:rPr>
                <w:rFonts w:ascii="Arial" w:hAnsi="Arial" w:cs="Arial"/>
                <w:sz w:val="20"/>
                <w:szCs w:val="20"/>
                <w:shd w:val="clear" w:color="auto" w:fill="4EA72E" w:themeFill="accent6"/>
              </w:rPr>
              <w:t>278 (61.2%)</w:t>
            </w:r>
          </w:p>
        </w:tc>
        <w:tc>
          <w:tcPr>
            <w:tcW w:w="722" w:type="pct"/>
            <w:shd w:val="clear" w:color="auto" w:fill="FFFF99"/>
            <w:vAlign w:val="center"/>
          </w:tcPr>
          <w:p w14:paraId="7F085140"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1 (0.2%)</w:t>
            </w:r>
          </w:p>
        </w:tc>
        <w:tc>
          <w:tcPr>
            <w:tcW w:w="722" w:type="pct"/>
            <w:vAlign w:val="center"/>
          </w:tcPr>
          <w:p w14:paraId="7D21F3D1"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3 (0.7%)</w:t>
            </w:r>
          </w:p>
        </w:tc>
        <w:tc>
          <w:tcPr>
            <w:tcW w:w="722" w:type="pct"/>
            <w:vAlign w:val="center"/>
          </w:tcPr>
          <w:p w14:paraId="1A93849A"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0</w:t>
            </w:r>
          </w:p>
        </w:tc>
        <w:tc>
          <w:tcPr>
            <w:tcW w:w="722" w:type="pct"/>
            <w:vAlign w:val="center"/>
          </w:tcPr>
          <w:p w14:paraId="2852BC2C"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0</w:t>
            </w:r>
          </w:p>
        </w:tc>
        <w:tc>
          <w:tcPr>
            <w:tcW w:w="722" w:type="pct"/>
            <w:vAlign w:val="center"/>
          </w:tcPr>
          <w:p w14:paraId="0909AE9E"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0</w:t>
            </w:r>
          </w:p>
        </w:tc>
      </w:tr>
      <w:tr w:rsidR="0062202B" w:rsidRPr="006A0FFD" w14:paraId="40769B4A" w14:textId="77777777" w:rsidTr="004C3D07">
        <w:trPr>
          <w:cantSplit/>
        </w:trPr>
        <w:tc>
          <w:tcPr>
            <w:tcW w:w="667" w:type="pct"/>
          </w:tcPr>
          <w:p w14:paraId="6D3666BC" w14:textId="77777777" w:rsidR="0062202B" w:rsidRPr="006A0FFD" w:rsidRDefault="0062202B" w:rsidP="005D3606">
            <w:pPr>
              <w:rPr>
                <w:rFonts w:ascii="Arial" w:hAnsi="Arial" w:cs="Arial"/>
                <w:sz w:val="20"/>
                <w:szCs w:val="20"/>
              </w:rPr>
            </w:pPr>
            <w:r w:rsidRPr="006A0FFD">
              <w:rPr>
                <w:rFonts w:ascii="Arial" w:hAnsi="Arial" w:cs="Arial"/>
                <w:sz w:val="20"/>
                <w:szCs w:val="20"/>
              </w:rPr>
              <w:t xml:space="preserve">UM eCQM </w:t>
            </w:r>
          </w:p>
          <w:p w14:paraId="5B102F8F" w14:textId="77777777" w:rsidR="0062202B" w:rsidRPr="006A0FFD" w:rsidRDefault="0062202B" w:rsidP="005D3606">
            <w:pPr>
              <w:rPr>
                <w:rFonts w:ascii="Arial" w:hAnsi="Arial" w:cs="Arial"/>
                <w:sz w:val="20"/>
                <w:szCs w:val="20"/>
              </w:rPr>
            </w:pPr>
            <w:r w:rsidRPr="006A0FFD">
              <w:rPr>
                <w:rFonts w:ascii="Arial" w:hAnsi="Arial" w:cs="Arial"/>
                <w:sz w:val="20"/>
                <w:szCs w:val="20"/>
              </w:rPr>
              <w:t>5-5.5 days</w:t>
            </w:r>
          </w:p>
        </w:tc>
        <w:tc>
          <w:tcPr>
            <w:tcW w:w="722" w:type="pct"/>
            <w:shd w:val="clear" w:color="auto" w:fill="FFFF99"/>
            <w:vAlign w:val="center"/>
          </w:tcPr>
          <w:p w14:paraId="16FD6522"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0</w:t>
            </w:r>
          </w:p>
        </w:tc>
        <w:tc>
          <w:tcPr>
            <w:tcW w:w="722" w:type="pct"/>
            <w:shd w:val="clear" w:color="auto" w:fill="4EA72E" w:themeFill="accent6"/>
            <w:vAlign w:val="center"/>
          </w:tcPr>
          <w:p w14:paraId="121D7736" w14:textId="77777777" w:rsidR="0062202B" w:rsidRPr="006A0FFD" w:rsidRDefault="0062202B" w:rsidP="005D3606">
            <w:pPr>
              <w:jc w:val="center"/>
              <w:rPr>
                <w:rFonts w:ascii="Arial" w:hAnsi="Arial" w:cs="Arial"/>
                <w:sz w:val="20"/>
                <w:szCs w:val="20"/>
              </w:rPr>
            </w:pPr>
            <w:r w:rsidRPr="006A0FFD">
              <w:rPr>
                <w:rFonts w:ascii="Arial" w:hAnsi="Arial" w:cs="Arial"/>
                <w:sz w:val="20"/>
                <w:szCs w:val="20"/>
                <w:shd w:val="clear" w:color="auto" w:fill="4EA72E" w:themeFill="accent6"/>
              </w:rPr>
              <w:t>82 (18.1%)</w:t>
            </w:r>
          </w:p>
        </w:tc>
        <w:tc>
          <w:tcPr>
            <w:tcW w:w="722" w:type="pct"/>
            <w:shd w:val="clear" w:color="auto" w:fill="FFFF99"/>
            <w:vAlign w:val="center"/>
          </w:tcPr>
          <w:p w14:paraId="0F730C64"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1 (0.2%)</w:t>
            </w:r>
          </w:p>
        </w:tc>
        <w:tc>
          <w:tcPr>
            <w:tcW w:w="722" w:type="pct"/>
            <w:vAlign w:val="center"/>
          </w:tcPr>
          <w:p w14:paraId="4BAF0D87"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1 (0.2%)</w:t>
            </w:r>
          </w:p>
        </w:tc>
        <w:tc>
          <w:tcPr>
            <w:tcW w:w="722" w:type="pct"/>
            <w:vAlign w:val="center"/>
          </w:tcPr>
          <w:p w14:paraId="15A6CC89"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0</w:t>
            </w:r>
          </w:p>
        </w:tc>
        <w:tc>
          <w:tcPr>
            <w:tcW w:w="722" w:type="pct"/>
            <w:vAlign w:val="center"/>
          </w:tcPr>
          <w:p w14:paraId="3B016B1A"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1 (0.2%)</w:t>
            </w:r>
          </w:p>
        </w:tc>
      </w:tr>
      <w:tr w:rsidR="0062202B" w:rsidRPr="006A0FFD" w14:paraId="2ED66D32" w14:textId="77777777" w:rsidTr="004C3D07">
        <w:trPr>
          <w:cantSplit/>
        </w:trPr>
        <w:tc>
          <w:tcPr>
            <w:tcW w:w="667" w:type="pct"/>
          </w:tcPr>
          <w:p w14:paraId="21302D5E" w14:textId="77777777" w:rsidR="0062202B" w:rsidRPr="006A0FFD" w:rsidRDefault="0062202B" w:rsidP="005D3606">
            <w:pPr>
              <w:rPr>
                <w:rFonts w:ascii="Arial" w:hAnsi="Arial" w:cs="Arial"/>
                <w:sz w:val="20"/>
                <w:szCs w:val="20"/>
              </w:rPr>
            </w:pPr>
            <w:r w:rsidRPr="006A0FFD">
              <w:rPr>
                <w:rFonts w:ascii="Arial" w:hAnsi="Arial" w:cs="Arial"/>
                <w:sz w:val="20"/>
                <w:szCs w:val="20"/>
              </w:rPr>
              <w:t>UM eCQM</w:t>
            </w:r>
          </w:p>
          <w:p w14:paraId="50492D90" w14:textId="77777777" w:rsidR="0062202B" w:rsidRPr="006A0FFD" w:rsidRDefault="0062202B" w:rsidP="005D3606">
            <w:pPr>
              <w:rPr>
                <w:rFonts w:ascii="Arial" w:hAnsi="Arial" w:cs="Arial"/>
                <w:sz w:val="20"/>
                <w:szCs w:val="20"/>
              </w:rPr>
            </w:pPr>
            <w:r w:rsidRPr="006A0FFD">
              <w:rPr>
                <w:rFonts w:ascii="Arial" w:hAnsi="Arial" w:cs="Arial"/>
                <w:sz w:val="20"/>
                <w:szCs w:val="20"/>
              </w:rPr>
              <w:t>6-6.5 days</w:t>
            </w:r>
          </w:p>
        </w:tc>
        <w:tc>
          <w:tcPr>
            <w:tcW w:w="722" w:type="pct"/>
            <w:vAlign w:val="center"/>
          </w:tcPr>
          <w:p w14:paraId="2265D2EB"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0</w:t>
            </w:r>
          </w:p>
        </w:tc>
        <w:tc>
          <w:tcPr>
            <w:tcW w:w="722" w:type="pct"/>
            <w:shd w:val="clear" w:color="auto" w:fill="FFFF99"/>
            <w:vAlign w:val="center"/>
          </w:tcPr>
          <w:p w14:paraId="37594089"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1 (0.2%)</w:t>
            </w:r>
          </w:p>
        </w:tc>
        <w:tc>
          <w:tcPr>
            <w:tcW w:w="722" w:type="pct"/>
            <w:shd w:val="clear" w:color="auto" w:fill="4EA72E" w:themeFill="accent6"/>
            <w:vAlign w:val="center"/>
          </w:tcPr>
          <w:p w14:paraId="760DA653" w14:textId="77777777" w:rsidR="0062202B" w:rsidRPr="006A0FFD" w:rsidRDefault="0062202B" w:rsidP="005D3606">
            <w:pPr>
              <w:jc w:val="center"/>
              <w:rPr>
                <w:rFonts w:ascii="Arial" w:hAnsi="Arial" w:cs="Arial"/>
                <w:sz w:val="20"/>
                <w:szCs w:val="20"/>
              </w:rPr>
            </w:pPr>
            <w:r w:rsidRPr="006A0FFD">
              <w:rPr>
                <w:rFonts w:ascii="Arial" w:hAnsi="Arial" w:cs="Arial"/>
                <w:sz w:val="20"/>
                <w:szCs w:val="20"/>
                <w:shd w:val="clear" w:color="auto" w:fill="4EA72E" w:themeFill="accent6"/>
              </w:rPr>
              <w:t>47 (10.4</w:t>
            </w:r>
            <w:r w:rsidRPr="006A0FFD">
              <w:rPr>
                <w:rFonts w:ascii="Arial" w:hAnsi="Arial" w:cs="Arial"/>
                <w:sz w:val="20"/>
                <w:szCs w:val="20"/>
              </w:rPr>
              <w:t>%)</w:t>
            </w:r>
          </w:p>
        </w:tc>
        <w:tc>
          <w:tcPr>
            <w:tcW w:w="722" w:type="pct"/>
            <w:shd w:val="clear" w:color="auto" w:fill="FFFF99"/>
            <w:vAlign w:val="center"/>
          </w:tcPr>
          <w:p w14:paraId="04B2C733"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2 (0.4%)</w:t>
            </w:r>
          </w:p>
        </w:tc>
        <w:tc>
          <w:tcPr>
            <w:tcW w:w="722" w:type="pct"/>
            <w:vAlign w:val="center"/>
          </w:tcPr>
          <w:p w14:paraId="5990AB8B"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0</w:t>
            </w:r>
          </w:p>
        </w:tc>
        <w:tc>
          <w:tcPr>
            <w:tcW w:w="722" w:type="pct"/>
            <w:vAlign w:val="center"/>
          </w:tcPr>
          <w:p w14:paraId="1E11E04B"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0</w:t>
            </w:r>
          </w:p>
        </w:tc>
      </w:tr>
      <w:tr w:rsidR="0062202B" w:rsidRPr="006A0FFD" w14:paraId="35BFBBB1" w14:textId="77777777" w:rsidTr="004C3D07">
        <w:trPr>
          <w:cantSplit/>
        </w:trPr>
        <w:tc>
          <w:tcPr>
            <w:tcW w:w="667" w:type="pct"/>
          </w:tcPr>
          <w:p w14:paraId="7327E9BB" w14:textId="77777777" w:rsidR="0062202B" w:rsidRPr="006A0FFD" w:rsidRDefault="0062202B" w:rsidP="005D3606">
            <w:pPr>
              <w:rPr>
                <w:rFonts w:ascii="Arial" w:hAnsi="Arial" w:cs="Arial"/>
                <w:sz w:val="20"/>
                <w:szCs w:val="20"/>
              </w:rPr>
            </w:pPr>
            <w:r w:rsidRPr="006A0FFD">
              <w:rPr>
                <w:rFonts w:ascii="Arial" w:hAnsi="Arial" w:cs="Arial"/>
                <w:sz w:val="20"/>
                <w:szCs w:val="20"/>
              </w:rPr>
              <w:t>UM eCQM</w:t>
            </w:r>
          </w:p>
          <w:p w14:paraId="5D3EB194" w14:textId="77777777" w:rsidR="0062202B" w:rsidRPr="006A0FFD" w:rsidRDefault="0062202B" w:rsidP="005D3606">
            <w:pPr>
              <w:rPr>
                <w:rFonts w:ascii="Arial" w:hAnsi="Arial" w:cs="Arial"/>
                <w:sz w:val="20"/>
                <w:szCs w:val="20"/>
              </w:rPr>
            </w:pPr>
            <w:r w:rsidRPr="006A0FFD">
              <w:rPr>
                <w:rFonts w:ascii="Arial" w:hAnsi="Arial" w:cs="Arial"/>
                <w:sz w:val="20"/>
                <w:szCs w:val="20"/>
              </w:rPr>
              <w:t>7-7.5 days</w:t>
            </w:r>
          </w:p>
        </w:tc>
        <w:tc>
          <w:tcPr>
            <w:tcW w:w="722" w:type="pct"/>
            <w:vAlign w:val="center"/>
          </w:tcPr>
          <w:p w14:paraId="492F6457"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0</w:t>
            </w:r>
          </w:p>
        </w:tc>
        <w:tc>
          <w:tcPr>
            <w:tcW w:w="722" w:type="pct"/>
            <w:vAlign w:val="center"/>
          </w:tcPr>
          <w:p w14:paraId="3A2934D3"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0</w:t>
            </w:r>
          </w:p>
        </w:tc>
        <w:tc>
          <w:tcPr>
            <w:tcW w:w="722" w:type="pct"/>
            <w:shd w:val="clear" w:color="auto" w:fill="FFFF99"/>
            <w:vAlign w:val="center"/>
          </w:tcPr>
          <w:p w14:paraId="59DC469C"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2 (0.4%)</w:t>
            </w:r>
          </w:p>
        </w:tc>
        <w:tc>
          <w:tcPr>
            <w:tcW w:w="722" w:type="pct"/>
            <w:shd w:val="clear" w:color="auto" w:fill="4EA72E" w:themeFill="accent6"/>
            <w:vAlign w:val="center"/>
          </w:tcPr>
          <w:p w14:paraId="728DC535" w14:textId="77777777" w:rsidR="0062202B" w:rsidRPr="006A0FFD" w:rsidRDefault="0062202B" w:rsidP="005D3606">
            <w:pPr>
              <w:jc w:val="center"/>
              <w:rPr>
                <w:rFonts w:ascii="Arial" w:hAnsi="Arial" w:cs="Arial"/>
                <w:sz w:val="20"/>
                <w:szCs w:val="20"/>
              </w:rPr>
            </w:pPr>
            <w:r w:rsidRPr="006A0FFD">
              <w:rPr>
                <w:rFonts w:ascii="Arial" w:hAnsi="Arial" w:cs="Arial"/>
                <w:sz w:val="20"/>
                <w:szCs w:val="20"/>
                <w:shd w:val="clear" w:color="auto" w:fill="4EA72E" w:themeFill="accent6"/>
              </w:rPr>
              <w:t>18 (4.0%)</w:t>
            </w:r>
          </w:p>
        </w:tc>
        <w:tc>
          <w:tcPr>
            <w:tcW w:w="722" w:type="pct"/>
            <w:shd w:val="clear" w:color="auto" w:fill="FFFF99"/>
            <w:vAlign w:val="center"/>
          </w:tcPr>
          <w:p w14:paraId="43D369BB"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1 (0.2%)</w:t>
            </w:r>
          </w:p>
        </w:tc>
        <w:tc>
          <w:tcPr>
            <w:tcW w:w="722" w:type="pct"/>
            <w:vAlign w:val="center"/>
          </w:tcPr>
          <w:p w14:paraId="208BFEEE"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2 (0.4%)</w:t>
            </w:r>
          </w:p>
        </w:tc>
      </w:tr>
      <w:tr w:rsidR="0062202B" w:rsidRPr="006A0FFD" w14:paraId="0C86F371" w14:textId="77777777" w:rsidTr="004C3D07">
        <w:trPr>
          <w:cantSplit/>
        </w:trPr>
        <w:tc>
          <w:tcPr>
            <w:tcW w:w="667" w:type="pct"/>
          </w:tcPr>
          <w:p w14:paraId="179036DE" w14:textId="77777777" w:rsidR="0062202B" w:rsidRPr="006A0FFD" w:rsidRDefault="0062202B" w:rsidP="005D3606">
            <w:pPr>
              <w:rPr>
                <w:rFonts w:ascii="Arial" w:hAnsi="Arial" w:cs="Arial"/>
                <w:sz w:val="20"/>
                <w:szCs w:val="20"/>
              </w:rPr>
            </w:pPr>
            <w:r w:rsidRPr="006A0FFD">
              <w:rPr>
                <w:rFonts w:ascii="Arial" w:hAnsi="Arial" w:cs="Arial"/>
                <w:sz w:val="20"/>
                <w:szCs w:val="20"/>
              </w:rPr>
              <w:t>UM eCQM</w:t>
            </w:r>
          </w:p>
          <w:p w14:paraId="129593A8" w14:textId="77777777" w:rsidR="0062202B" w:rsidRPr="006A0FFD" w:rsidRDefault="0062202B" w:rsidP="005D3606">
            <w:pPr>
              <w:rPr>
                <w:rFonts w:ascii="Arial" w:hAnsi="Arial" w:cs="Arial"/>
                <w:sz w:val="20"/>
                <w:szCs w:val="20"/>
              </w:rPr>
            </w:pPr>
            <w:r w:rsidRPr="006A0FFD">
              <w:rPr>
                <w:rFonts w:ascii="Arial" w:hAnsi="Arial" w:cs="Arial"/>
                <w:sz w:val="20"/>
                <w:szCs w:val="20"/>
              </w:rPr>
              <w:t>8-8.5 days</w:t>
            </w:r>
          </w:p>
        </w:tc>
        <w:tc>
          <w:tcPr>
            <w:tcW w:w="722" w:type="pct"/>
            <w:vAlign w:val="center"/>
          </w:tcPr>
          <w:p w14:paraId="0F4E3F91"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0</w:t>
            </w:r>
          </w:p>
        </w:tc>
        <w:tc>
          <w:tcPr>
            <w:tcW w:w="722" w:type="pct"/>
            <w:vAlign w:val="center"/>
          </w:tcPr>
          <w:p w14:paraId="47E9659B"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0</w:t>
            </w:r>
          </w:p>
        </w:tc>
        <w:tc>
          <w:tcPr>
            <w:tcW w:w="722" w:type="pct"/>
            <w:vAlign w:val="center"/>
          </w:tcPr>
          <w:p w14:paraId="5FEBD388"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0</w:t>
            </w:r>
          </w:p>
        </w:tc>
        <w:tc>
          <w:tcPr>
            <w:tcW w:w="722" w:type="pct"/>
            <w:shd w:val="clear" w:color="auto" w:fill="FFFF99"/>
            <w:vAlign w:val="center"/>
          </w:tcPr>
          <w:p w14:paraId="751EFBA5"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0</w:t>
            </w:r>
          </w:p>
        </w:tc>
        <w:tc>
          <w:tcPr>
            <w:tcW w:w="722" w:type="pct"/>
            <w:shd w:val="clear" w:color="auto" w:fill="4EA72E" w:themeFill="accent6"/>
            <w:vAlign w:val="center"/>
          </w:tcPr>
          <w:p w14:paraId="40A8D0B8" w14:textId="77777777" w:rsidR="0062202B" w:rsidRPr="006A0FFD" w:rsidRDefault="0062202B" w:rsidP="005D3606">
            <w:pPr>
              <w:jc w:val="center"/>
              <w:rPr>
                <w:rFonts w:ascii="Arial" w:hAnsi="Arial" w:cs="Arial"/>
                <w:sz w:val="20"/>
                <w:szCs w:val="20"/>
              </w:rPr>
            </w:pPr>
            <w:r w:rsidRPr="006A0FFD">
              <w:rPr>
                <w:rFonts w:ascii="Arial" w:hAnsi="Arial" w:cs="Arial"/>
                <w:sz w:val="20"/>
                <w:szCs w:val="20"/>
                <w:shd w:val="clear" w:color="auto" w:fill="4EA72E" w:themeFill="accent6"/>
              </w:rPr>
              <w:t>11 (2.4%)</w:t>
            </w:r>
          </w:p>
        </w:tc>
        <w:tc>
          <w:tcPr>
            <w:tcW w:w="722" w:type="pct"/>
            <w:shd w:val="clear" w:color="auto" w:fill="FFFF99"/>
            <w:vAlign w:val="center"/>
          </w:tcPr>
          <w:p w14:paraId="275BEC5A"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0</w:t>
            </w:r>
          </w:p>
        </w:tc>
      </w:tr>
      <w:tr w:rsidR="0062202B" w:rsidRPr="006A0FFD" w14:paraId="11664047" w14:textId="77777777" w:rsidTr="004C3D07">
        <w:trPr>
          <w:cantSplit/>
        </w:trPr>
        <w:tc>
          <w:tcPr>
            <w:tcW w:w="667" w:type="pct"/>
          </w:tcPr>
          <w:p w14:paraId="3035F91D" w14:textId="77777777" w:rsidR="0062202B" w:rsidRPr="006A0FFD" w:rsidRDefault="0062202B" w:rsidP="005D3606">
            <w:pPr>
              <w:rPr>
                <w:rFonts w:ascii="Arial" w:hAnsi="Arial" w:cs="Arial"/>
                <w:sz w:val="20"/>
                <w:szCs w:val="20"/>
              </w:rPr>
            </w:pPr>
            <w:r w:rsidRPr="006A0FFD">
              <w:rPr>
                <w:rFonts w:ascii="Arial" w:hAnsi="Arial" w:cs="Arial"/>
                <w:sz w:val="20"/>
                <w:szCs w:val="20"/>
              </w:rPr>
              <w:t>UM eCQM</w:t>
            </w:r>
          </w:p>
          <w:p w14:paraId="21A296D1" w14:textId="77777777" w:rsidR="0062202B" w:rsidRPr="006A0FFD" w:rsidRDefault="0062202B" w:rsidP="005D3606">
            <w:pPr>
              <w:rPr>
                <w:rFonts w:ascii="Arial" w:hAnsi="Arial" w:cs="Arial"/>
                <w:sz w:val="20"/>
                <w:szCs w:val="20"/>
              </w:rPr>
            </w:pPr>
            <w:r w:rsidRPr="006A0FFD">
              <w:rPr>
                <w:rFonts w:ascii="Arial" w:hAnsi="Arial" w:cs="Arial"/>
                <w:sz w:val="20"/>
                <w:szCs w:val="20"/>
              </w:rPr>
              <w:t>&gt;8.5 days</w:t>
            </w:r>
          </w:p>
        </w:tc>
        <w:tc>
          <w:tcPr>
            <w:tcW w:w="722" w:type="pct"/>
            <w:vAlign w:val="center"/>
          </w:tcPr>
          <w:p w14:paraId="75809C20"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0</w:t>
            </w:r>
          </w:p>
        </w:tc>
        <w:tc>
          <w:tcPr>
            <w:tcW w:w="722" w:type="pct"/>
            <w:vAlign w:val="center"/>
          </w:tcPr>
          <w:p w14:paraId="61F26D69"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0</w:t>
            </w:r>
          </w:p>
        </w:tc>
        <w:tc>
          <w:tcPr>
            <w:tcW w:w="722" w:type="pct"/>
            <w:vAlign w:val="center"/>
          </w:tcPr>
          <w:p w14:paraId="2C5C43AA"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0</w:t>
            </w:r>
          </w:p>
        </w:tc>
        <w:tc>
          <w:tcPr>
            <w:tcW w:w="722" w:type="pct"/>
            <w:vAlign w:val="center"/>
          </w:tcPr>
          <w:p w14:paraId="6A9CA786"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0</w:t>
            </w:r>
          </w:p>
        </w:tc>
        <w:tc>
          <w:tcPr>
            <w:tcW w:w="722" w:type="pct"/>
            <w:shd w:val="clear" w:color="auto" w:fill="FFFF99"/>
            <w:vAlign w:val="center"/>
          </w:tcPr>
          <w:p w14:paraId="16D3A68F" w14:textId="77777777" w:rsidR="0062202B" w:rsidRPr="006A0FFD" w:rsidRDefault="0062202B" w:rsidP="005D3606">
            <w:pPr>
              <w:jc w:val="center"/>
              <w:rPr>
                <w:rFonts w:ascii="Arial" w:hAnsi="Arial" w:cs="Arial"/>
                <w:sz w:val="20"/>
                <w:szCs w:val="20"/>
              </w:rPr>
            </w:pPr>
            <w:r w:rsidRPr="006A0FFD">
              <w:rPr>
                <w:rFonts w:ascii="Arial" w:hAnsi="Arial" w:cs="Arial"/>
                <w:sz w:val="20"/>
                <w:szCs w:val="20"/>
              </w:rPr>
              <w:t>0</w:t>
            </w:r>
          </w:p>
        </w:tc>
        <w:tc>
          <w:tcPr>
            <w:tcW w:w="722" w:type="pct"/>
            <w:shd w:val="clear" w:color="auto" w:fill="4EA72E" w:themeFill="accent6"/>
            <w:vAlign w:val="center"/>
          </w:tcPr>
          <w:p w14:paraId="50A97E7C" w14:textId="77777777" w:rsidR="0062202B" w:rsidRPr="006A0FFD" w:rsidRDefault="0062202B" w:rsidP="005D3606">
            <w:pPr>
              <w:jc w:val="center"/>
              <w:rPr>
                <w:rFonts w:ascii="Arial" w:hAnsi="Arial" w:cs="Arial"/>
                <w:sz w:val="20"/>
                <w:szCs w:val="20"/>
              </w:rPr>
            </w:pPr>
            <w:r w:rsidRPr="006A0FFD">
              <w:rPr>
                <w:rFonts w:ascii="Arial" w:hAnsi="Arial" w:cs="Arial"/>
                <w:sz w:val="20"/>
                <w:szCs w:val="20"/>
                <w:shd w:val="clear" w:color="auto" w:fill="4EA72E" w:themeFill="accent6"/>
              </w:rPr>
              <w:t>3 (0.7%)</w:t>
            </w:r>
          </w:p>
        </w:tc>
      </w:tr>
    </w:tbl>
    <w:p w14:paraId="05A5BC76" w14:textId="185D0FD5" w:rsidR="00754C0A" w:rsidRDefault="00754C0A" w:rsidP="00754C0A">
      <w:pPr>
        <w:spacing w:before="120" w:after="0" w:line="264" w:lineRule="auto"/>
        <w:rPr>
          <w:rFonts w:ascii="Arial" w:hAnsi="Arial" w:cs="Arial"/>
          <w:sz w:val="18"/>
          <w:szCs w:val="18"/>
        </w:rPr>
      </w:pPr>
      <w:r w:rsidRPr="00754C0A">
        <w:rPr>
          <w:rFonts w:ascii="Arial" w:hAnsi="Arial" w:cs="Arial"/>
          <w:sz w:val="18"/>
          <w:szCs w:val="18"/>
        </w:rPr>
        <w:t xml:space="preserve">439/454 (96.7%) </w:t>
      </w:r>
      <w:r w:rsidRPr="00FB693F">
        <w:rPr>
          <w:rFonts w:ascii="Arial" w:hAnsi="Arial" w:cs="Arial"/>
          <w:sz w:val="18"/>
          <w:szCs w:val="18"/>
        </w:rPr>
        <w:t>in green were accurate within a ½ day</w:t>
      </w:r>
      <w:r>
        <w:rPr>
          <w:rFonts w:ascii="Arial" w:hAnsi="Arial" w:cs="Arial"/>
          <w:sz w:val="18"/>
          <w:szCs w:val="18"/>
        </w:rPr>
        <w:t xml:space="preserve">; </w:t>
      </w:r>
      <w:r w:rsidRPr="00754C0A">
        <w:rPr>
          <w:rFonts w:ascii="Arial" w:hAnsi="Arial" w:cs="Arial"/>
          <w:sz w:val="18"/>
          <w:szCs w:val="18"/>
        </w:rPr>
        <w:t xml:space="preserve">447/454 (98.5%) </w:t>
      </w:r>
      <w:r w:rsidRPr="00FB693F">
        <w:rPr>
          <w:rFonts w:ascii="Arial" w:hAnsi="Arial" w:cs="Arial"/>
          <w:sz w:val="18"/>
          <w:szCs w:val="18"/>
        </w:rPr>
        <w:t>green/yellow</w:t>
      </w:r>
      <w:r w:rsidR="00F307B1">
        <w:rPr>
          <w:rFonts w:ascii="Arial" w:hAnsi="Arial" w:cs="Arial"/>
          <w:sz w:val="18"/>
          <w:szCs w:val="18"/>
        </w:rPr>
        <w:t xml:space="preserve"> </w:t>
      </w:r>
      <w:r w:rsidRPr="00FB693F">
        <w:rPr>
          <w:rFonts w:ascii="Arial" w:hAnsi="Arial" w:cs="Arial"/>
          <w:sz w:val="18"/>
          <w:szCs w:val="18"/>
        </w:rPr>
        <w:t>were accurate within 1.5 days</w:t>
      </w:r>
    </w:p>
    <w:p w14:paraId="423BBAB5" w14:textId="5C089AAB" w:rsidR="00754C0A" w:rsidRPr="00FB693F" w:rsidRDefault="00754C0A" w:rsidP="00754C0A">
      <w:pPr>
        <w:spacing w:after="0" w:line="264" w:lineRule="auto"/>
        <w:rPr>
          <w:rFonts w:ascii="Arial" w:hAnsi="Arial" w:cs="Arial"/>
          <w:sz w:val="18"/>
          <w:szCs w:val="18"/>
        </w:rPr>
      </w:pPr>
      <w:r>
        <w:rPr>
          <w:rFonts w:ascii="Arial" w:hAnsi="Arial" w:cs="Arial"/>
          <w:sz w:val="18"/>
          <w:szCs w:val="18"/>
        </w:rPr>
        <w:t xml:space="preserve">Abbreviations: </w:t>
      </w:r>
      <w:r w:rsidR="004D0EFE">
        <w:rPr>
          <w:rFonts w:ascii="Arial" w:hAnsi="Arial" w:cs="Arial"/>
          <w:sz w:val="18"/>
          <w:szCs w:val="18"/>
        </w:rPr>
        <w:t xml:space="preserve">CAP, community-acquired pneumonia; </w:t>
      </w:r>
      <w:r>
        <w:rPr>
          <w:rFonts w:ascii="Arial" w:hAnsi="Arial" w:cs="Arial"/>
          <w:sz w:val="18"/>
          <w:szCs w:val="18"/>
        </w:rPr>
        <w:t xml:space="preserve">UM, </w:t>
      </w:r>
      <w:r w:rsidRPr="00FB693F">
        <w:rPr>
          <w:rFonts w:ascii="Arial" w:hAnsi="Arial" w:cs="Arial"/>
          <w:sz w:val="18"/>
          <w:szCs w:val="18"/>
        </w:rPr>
        <w:t>University of Michigan</w:t>
      </w:r>
      <w:r>
        <w:rPr>
          <w:rFonts w:ascii="Arial" w:hAnsi="Arial" w:cs="Arial"/>
          <w:sz w:val="18"/>
          <w:szCs w:val="18"/>
        </w:rPr>
        <w:t>; HMS,</w:t>
      </w:r>
      <w:r w:rsidRPr="00FB693F">
        <w:rPr>
          <w:rFonts w:ascii="Arial" w:hAnsi="Arial" w:cs="Arial"/>
          <w:sz w:val="18"/>
          <w:szCs w:val="18"/>
        </w:rPr>
        <w:t xml:space="preserve"> Michigan Hospital Medicine Safety Consortium </w:t>
      </w:r>
    </w:p>
    <w:p w14:paraId="09B526FF" w14:textId="77777777" w:rsidR="00754C0A" w:rsidRDefault="00754C0A" w:rsidP="00754C0A">
      <w:pPr>
        <w:pStyle w:val="ListParagraph"/>
        <w:ind w:left="1440"/>
        <w:rPr>
          <w:rFonts w:ascii="Arial" w:hAnsi="Arial" w:cs="Arial"/>
          <w:sz w:val="20"/>
          <w:szCs w:val="20"/>
        </w:rPr>
      </w:pPr>
    </w:p>
    <w:p w14:paraId="5A93CED8" w14:textId="77777777" w:rsidR="00E752DD" w:rsidRDefault="00E752DD">
      <w:pPr>
        <w:rPr>
          <w:rFonts w:ascii="Arial" w:hAnsi="Arial" w:cs="Arial"/>
          <w:b/>
          <w:bCs/>
          <w:sz w:val="22"/>
          <w:szCs w:val="22"/>
        </w:rPr>
      </w:pPr>
      <w:r>
        <w:rPr>
          <w:rFonts w:ascii="Arial" w:hAnsi="Arial" w:cs="Arial"/>
          <w:b/>
          <w:bCs/>
          <w:sz w:val="22"/>
          <w:szCs w:val="22"/>
        </w:rPr>
        <w:br w:type="page"/>
      </w:r>
    </w:p>
    <w:p w14:paraId="19D358F0" w14:textId="6859DD83" w:rsidR="0062202B" w:rsidRDefault="0062202B" w:rsidP="0062202B">
      <w:pPr>
        <w:rPr>
          <w:rFonts w:ascii="Arial" w:hAnsi="Arial" w:cs="Arial"/>
          <w:sz w:val="22"/>
          <w:szCs w:val="22"/>
        </w:rPr>
      </w:pPr>
      <w:r w:rsidRPr="006A0FFD">
        <w:rPr>
          <w:rFonts w:ascii="Arial" w:hAnsi="Arial" w:cs="Arial"/>
          <w:b/>
          <w:bCs/>
          <w:sz w:val="22"/>
          <w:szCs w:val="22"/>
        </w:rPr>
        <w:lastRenderedPageBreak/>
        <w:t>Table 15.</w:t>
      </w:r>
      <w:r w:rsidRPr="006A0FFD">
        <w:rPr>
          <w:rFonts w:ascii="Arial" w:hAnsi="Arial" w:cs="Arial"/>
          <w:sz w:val="22"/>
          <w:szCs w:val="22"/>
        </w:rPr>
        <w:t xml:space="preserve"> Discharge antibiotic duration comparison for UM HMS manually abstracted data (gold standard) to UM eCQM in 450 CAP patients </w:t>
      </w:r>
    </w:p>
    <w:tbl>
      <w:tblPr>
        <w:tblStyle w:val="TableGrid"/>
        <w:tblW w:w="4830" w:type="pct"/>
        <w:tblLook w:val="04A0" w:firstRow="1" w:lastRow="0" w:firstColumn="1" w:lastColumn="0" w:noHBand="0" w:noVBand="1"/>
        <w:tblCaption w:val="Table 15. Discharge antibiotic duration comparison for UM HMS manually abstracted data (gold standard) to UM eCQM in 450 CAP patients"/>
        <w:tblDescription w:val="Manually abstracted (UM HMS) data compared to eCQM data for discharge antibiotic duration (0 to &gt;6.5 days) in 450 patients hospitalized with uncomplicated CAP. Discharge duration accuracy within 1/2 day was 93.2%, and 95.0% for within 1.5 days."/>
      </w:tblPr>
      <w:tblGrid>
        <w:gridCol w:w="1437"/>
        <w:gridCol w:w="1078"/>
        <w:gridCol w:w="1080"/>
        <w:gridCol w:w="1080"/>
        <w:gridCol w:w="1080"/>
        <w:gridCol w:w="1080"/>
        <w:gridCol w:w="1080"/>
        <w:gridCol w:w="1080"/>
        <w:gridCol w:w="1080"/>
      </w:tblGrid>
      <w:tr w:rsidR="00AF4DB5" w:rsidRPr="003A3CE5" w14:paraId="63336B4B" w14:textId="77777777" w:rsidTr="004C3D07">
        <w:trPr>
          <w:cantSplit/>
          <w:tblHeader/>
        </w:trPr>
        <w:tc>
          <w:tcPr>
            <w:tcW w:w="713" w:type="pct"/>
            <w:shd w:val="clear" w:color="auto" w:fill="auto"/>
          </w:tcPr>
          <w:p w14:paraId="2F733D57" w14:textId="7683ECE9" w:rsidR="0062202B" w:rsidRPr="003A3CE5" w:rsidRDefault="004C3D07" w:rsidP="005D3606">
            <w:pPr>
              <w:rPr>
                <w:rFonts w:ascii="Arial" w:hAnsi="Arial" w:cs="Arial"/>
                <w:sz w:val="20"/>
                <w:szCs w:val="20"/>
              </w:rPr>
            </w:pPr>
            <w:r>
              <w:rPr>
                <w:rFonts w:ascii="Arial" w:hAnsi="Arial" w:cs="Arial"/>
                <w:sz w:val="20"/>
                <w:szCs w:val="20"/>
              </w:rPr>
              <w:t>Discharge Duration</w:t>
            </w:r>
          </w:p>
        </w:tc>
        <w:tc>
          <w:tcPr>
            <w:tcW w:w="535" w:type="pct"/>
            <w:shd w:val="clear" w:color="auto" w:fill="auto"/>
          </w:tcPr>
          <w:p w14:paraId="73050074" w14:textId="77777777" w:rsidR="0062202B" w:rsidRPr="003A3CE5" w:rsidRDefault="0062202B" w:rsidP="005D3606">
            <w:pPr>
              <w:jc w:val="center"/>
              <w:rPr>
                <w:rFonts w:ascii="Arial" w:hAnsi="Arial" w:cs="Arial"/>
                <w:sz w:val="20"/>
                <w:szCs w:val="20"/>
              </w:rPr>
            </w:pPr>
            <w:r w:rsidRPr="003A3CE5">
              <w:rPr>
                <w:rFonts w:ascii="Arial" w:hAnsi="Arial" w:cs="Arial"/>
                <w:sz w:val="20"/>
                <w:szCs w:val="20"/>
              </w:rPr>
              <w:t>UM HMS</w:t>
            </w:r>
          </w:p>
          <w:p w14:paraId="21EF57C8" w14:textId="77777777" w:rsidR="0062202B" w:rsidRPr="003A3CE5" w:rsidRDefault="0062202B" w:rsidP="005D3606">
            <w:pPr>
              <w:jc w:val="center"/>
              <w:rPr>
                <w:rFonts w:ascii="Arial" w:hAnsi="Arial" w:cs="Arial"/>
                <w:sz w:val="20"/>
                <w:szCs w:val="20"/>
              </w:rPr>
            </w:pPr>
            <w:r w:rsidRPr="003A3CE5">
              <w:rPr>
                <w:rFonts w:ascii="Arial" w:hAnsi="Arial" w:cs="Arial"/>
                <w:sz w:val="20"/>
                <w:szCs w:val="20"/>
              </w:rPr>
              <w:t>0 days</w:t>
            </w:r>
          </w:p>
        </w:tc>
        <w:tc>
          <w:tcPr>
            <w:tcW w:w="536" w:type="pct"/>
            <w:shd w:val="clear" w:color="auto" w:fill="auto"/>
          </w:tcPr>
          <w:p w14:paraId="76074E06" w14:textId="77777777" w:rsidR="0062202B" w:rsidRPr="003A3CE5" w:rsidRDefault="0062202B" w:rsidP="005D3606">
            <w:pPr>
              <w:jc w:val="center"/>
              <w:rPr>
                <w:rFonts w:ascii="Arial" w:hAnsi="Arial" w:cs="Arial"/>
                <w:sz w:val="20"/>
                <w:szCs w:val="20"/>
              </w:rPr>
            </w:pPr>
            <w:r w:rsidRPr="003A3CE5">
              <w:rPr>
                <w:rFonts w:ascii="Arial" w:hAnsi="Arial" w:cs="Arial"/>
                <w:sz w:val="20"/>
                <w:szCs w:val="20"/>
              </w:rPr>
              <w:t>UM HMS</w:t>
            </w:r>
          </w:p>
          <w:p w14:paraId="11492921" w14:textId="77777777" w:rsidR="0062202B" w:rsidRPr="003A3CE5" w:rsidRDefault="0062202B" w:rsidP="005D3606">
            <w:pPr>
              <w:jc w:val="center"/>
              <w:rPr>
                <w:rFonts w:ascii="Arial" w:hAnsi="Arial" w:cs="Arial"/>
                <w:sz w:val="20"/>
                <w:szCs w:val="20"/>
              </w:rPr>
            </w:pPr>
            <w:r w:rsidRPr="003A3CE5">
              <w:rPr>
                <w:rFonts w:ascii="Arial" w:hAnsi="Arial" w:cs="Arial"/>
                <w:sz w:val="20"/>
                <w:szCs w:val="20"/>
              </w:rPr>
              <w:t>1 day</w:t>
            </w:r>
          </w:p>
        </w:tc>
        <w:tc>
          <w:tcPr>
            <w:tcW w:w="536" w:type="pct"/>
            <w:shd w:val="clear" w:color="auto" w:fill="auto"/>
          </w:tcPr>
          <w:p w14:paraId="3EBB8EA9" w14:textId="77777777" w:rsidR="0062202B" w:rsidRPr="003A3CE5" w:rsidRDefault="0062202B" w:rsidP="005D3606">
            <w:pPr>
              <w:jc w:val="center"/>
              <w:rPr>
                <w:rFonts w:ascii="Arial" w:hAnsi="Arial" w:cs="Arial"/>
                <w:sz w:val="20"/>
                <w:szCs w:val="20"/>
              </w:rPr>
            </w:pPr>
            <w:r w:rsidRPr="003A3CE5">
              <w:rPr>
                <w:rFonts w:ascii="Arial" w:hAnsi="Arial" w:cs="Arial"/>
                <w:sz w:val="20"/>
                <w:szCs w:val="20"/>
              </w:rPr>
              <w:t>UM HMS</w:t>
            </w:r>
          </w:p>
          <w:p w14:paraId="3C5CC1A9" w14:textId="77777777" w:rsidR="0062202B" w:rsidRPr="003A3CE5" w:rsidRDefault="0062202B" w:rsidP="005D3606">
            <w:pPr>
              <w:jc w:val="center"/>
              <w:rPr>
                <w:rFonts w:ascii="Arial" w:hAnsi="Arial" w:cs="Arial"/>
                <w:sz w:val="20"/>
                <w:szCs w:val="20"/>
              </w:rPr>
            </w:pPr>
            <w:r w:rsidRPr="003A3CE5">
              <w:rPr>
                <w:rFonts w:ascii="Arial" w:hAnsi="Arial" w:cs="Arial"/>
                <w:sz w:val="20"/>
                <w:szCs w:val="20"/>
              </w:rPr>
              <w:t>2 days</w:t>
            </w:r>
          </w:p>
        </w:tc>
        <w:tc>
          <w:tcPr>
            <w:tcW w:w="536" w:type="pct"/>
            <w:shd w:val="clear" w:color="auto" w:fill="auto"/>
          </w:tcPr>
          <w:p w14:paraId="4D7E492F" w14:textId="77777777" w:rsidR="0062202B" w:rsidRPr="003A3CE5" w:rsidRDefault="0062202B" w:rsidP="005D3606">
            <w:pPr>
              <w:jc w:val="center"/>
              <w:rPr>
                <w:rFonts w:ascii="Arial" w:hAnsi="Arial" w:cs="Arial"/>
                <w:sz w:val="20"/>
                <w:szCs w:val="20"/>
              </w:rPr>
            </w:pPr>
            <w:r w:rsidRPr="003A3CE5">
              <w:rPr>
                <w:rFonts w:ascii="Arial" w:hAnsi="Arial" w:cs="Arial"/>
                <w:sz w:val="20"/>
                <w:szCs w:val="20"/>
              </w:rPr>
              <w:t>UM HMS</w:t>
            </w:r>
          </w:p>
          <w:p w14:paraId="00CA7349" w14:textId="77777777" w:rsidR="0062202B" w:rsidRPr="003A3CE5" w:rsidRDefault="0062202B" w:rsidP="005D3606">
            <w:pPr>
              <w:jc w:val="center"/>
              <w:rPr>
                <w:rFonts w:ascii="Arial" w:hAnsi="Arial" w:cs="Arial"/>
                <w:sz w:val="20"/>
                <w:szCs w:val="20"/>
              </w:rPr>
            </w:pPr>
            <w:r w:rsidRPr="003A3CE5">
              <w:rPr>
                <w:rFonts w:ascii="Arial" w:hAnsi="Arial" w:cs="Arial"/>
                <w:sz w:val="20"/>
                <w:szCs w:val="20"/>
              </w:rPr>
              <w:t>3 days</w:t>
            </w:r>
          </w:p>
        </w:tc>
        <w:tc>
          <w:tcPr>
            <w:tcW w:w="536" w:type="pct"/>
            <w:shd w:val="clear" w:color="auto" w:fill="auto"/>
          </w:tcPr>
          <w:p w14:paraId="71B55783" w14:textId="77777777" w:rsidR="0062202B" w:rsidRPr="003A3CE5" w:rsidRDefault="0062202B" w:rsidP="005D3606">
            <w:pPr>
              <w:jc w:val="center"/>
              <w:rPr>
                <w:rFonts w:ascii="Arial" w:hAnsi="Arial" w:cs="Arial"/>
                <w:sz w:val="20"/>
                <w:szCs w:val="20"/>
              </w:rPr>
            </w:pPr>
            <w:r w:rsidRPr="003A3CE5">
              <w:rPr>
                <w:rFonts w:ascii="Arial" w:hAnsi="Arial" w:cs="Arial"/>
                <w:sz w:val="20"/>
                <w:szCs w:val="20"/>
              </w:rPr>
              <w:t>UM HMS</w:t>
            </w:r>
          </w:p>
          <w:p w14:paraId="54EB2BEF" w14:textId="77777777" w:rsidR="0062202B" w:rsidRPr="003A3CE5" w:rsidRDefault="0062202B" w:rsidP="005D3606">
            <w:pPr>
              <w:jc w:val="center"/>
              <w:rPr>
                <w:rFonts w:ascii="Arial" w:hAnsi="Arial" w:cs="Arial"/>
                <w:sz w:val="20"/>
                <w:szCs w:val="20"/>
              </w:rPr>
            </w:pPr>
            <w:r w:rsidRPr="003A3CE5">
              <w:rPr>
                <w:rFonts w:ascii="Arial" w:hAnsi="Arial" w:cs="Arial"/>
                <w:sz w:val="20"/>
                <w:szCs w:val="20"/>
              </w:rPr>
              <w:t>4 days</w:t>
            </w:r>
          </w:p>
        </w:tc>
        <w:tc>
          <w:tcPr>
            <w:tcW w:w="536" w:type="pct"/>
            <w:shd w:val="clear" w:color="auto" w:fill="auto"/>
          </w:tcPr>
          <w:p w14:paraId="5D01520E" w14:textId="77777777" w:rsidR="0062202B" w:rsidRPr="003A3CE5" w:rsidRDefault="0062202B" w:rsidP="005D3606">
            <w:pPr>
              <w:jc w:val="center"/>
              <w:rPr>
                <w:rFonts w:ascii="Arial" w:hAnsi="Arial" w:cs="Arial"/>
                <w:sz w:val="20"/>
                <w:szCs w:val="20"/>
              </w:rPr>
            </w:pPr>
            <w:r w:rsidRPr="003A3CE5">
              <w:rPr>
                <w:rFonts w:ascii="Arial" w:hAnsi="Arial" w:cs="Arial"/>
                <w:sz w:val="20"/>
                <w:szCs w:val="20"/>
              </w:rPr>
              <w:t>UM HMS</w:t>
            </w:r>
          </w:p>
          <w:p w14:paraId="16B5C1F3" w14:textId="77777777" w:rsidR="0062202B" w:rsidRPr="003A3CE5" w:rsidRDefault="0062202B" w:rsidP="005D3606">
            <w:pPr>
              <w:jc w:val="center"/>
              <w:rPr>
                <w:rFonts w:ascii="Arial" w:hAnsi="Arial" w:cs="Arial"/>
                <w:sz w:val="20"/>
                <w:szCs w:val="20"/>
              </w:rPr>
            </w:pPr>
            <w:r w:rsidRPr="003A3CE5">
              <w:rPr>
                <w:rFonts w:ascii="Arial" w:hAnsi="Arial" w:cs="Arial"/>
                <w:sz w:val="20"/>
                <w:szCs w:val="20"/>
              </w:rPr>
              <w:t>5 days</w:t>
            </w:r>
          </w:p>
        </w:tc>
        <w:tc>
          <w:tcPr>
            <w:tcW w:w="536" w:type="pct"/>
            <w:shd w:val="clear" w:color="auto" w:fill="auto"/>
          </w:tcPr>
          <w:p w14:paraId="55DE391B" w14:textId="77777777" w:rsidR="0062202B" w:rsidRPr="003A3CE5" w:rsidRDefault="0062202B" w:rsidP="005D3606">
            <w:pPr>
              <w:jc w:val="center"/>
              <w:rPr>
                <w:rFonts w:ascii="Arial" w:hAnsi="Arial" w:cs="Arial"/>
                <w:sz w:val="20"/>
                <w:szCs w:val="20"/>
              </w:rPr>
            </w:pPr>
            <w:r w:rsidRPr="003A3CE5">
              <w:rPr>
                <w:rFonts w:ascii="Arial" w:hAnsi="Arial" w:cs="Arial"/>
                <w:sz w:val="20"/>
                <w:szCs w:val="20"/>
              </w:rPr>
              <w:t>UM HMS</w:t>
            </w:r>
          </w:p>
          <w:p w14:paraId="494192A1" w14:textId="77777777" w:rsidR="0062202B" w:rsidRPr="003A3CE5" w:rsidRDefault="0062202B" w:rsidP="005D3606">
            <w:pPr>
              <w:jc w:val="center"/>
              <w:rPr>
                <w:rFonts w:ascii="Arial" w:hAnsi="Arial" w:cs="Arial"/>
                <w:sz w:val="20"/>
                <w:szCs w:val="20"/>
              </w:rPr>
            </w:pPr>
            <w:r w:rsidRPr="003A3CE5">
              <w:rPr>
                <w:rFonts w:ascii="Arial" w:hAnsi="Arial" w:cs="Arial"/>
                <w:sz w:val="20"/>
                <w:szCs w:val="20"/>
              </w:rPr>
              <w:t>6 days</w:t>
            </w:r>
          </w:p>
        </w:tc>
        <w:tc>
          <w:tcPr>
            <w:tcW w:w="536" w:type="pct"/>
            <w:shd w:val="clear" w:color="auto" w:fill="auto"/>
          </w:tcPr>
          <w:p w14:paraId="73A311D0" w14:textId="77777777" w:rsidR="0062202B" w:rsidRPr="003A3CE5" w:rsidRDefault="0062202B" w:rsidP="005D3606">
            <w:pPr>
              <w:jc w:val="center"/>
              <w:rPr>
                <w:rFonts w:ascii="Arial" w:hAnsi="Arial" w:cs="Arial"/>
                <w:sz w:val="20"/>
                <w:szCs w:val="20"/>
              </w:rPr>
            </w:pPr>
            <w:r w:rsidRPr="003A3CE5">
              <w:rPr>
                <w:rFonts w:ascii="Arial" w:hAnsi="Arial" w:cs="Arial"/>
                <w:sz w:val="20"/>
                <w:szCs w:val="20"/>
              </w:rPr>
              <w:t>UM HMS</w:t>
            </w:r>
          </w:p>
          <w:p w14:paraId="51EF44E8" w14:textId="77777777" w:rsidR="0062202B" w:rsidRPr="003A3CE5" w:rsidRDefault="0062202B" w:rsidP="005D3606">
            <w:pPr>
              <w:jc w:val="center"/>
              <w:rPr>
                <w:rFonts w:ascii="Arial" w:hAnsi="Arial" w:cs="Arial"/>
                <w:sz w:val="20"/>
                <w:szCs w:val="20"/>
              </w:rPr>
            </w:pPr>
            <w:r w:rsidRPr="003A3CE5">
              <w:rPr>
                <w:rFonts w:ascii="Arial" w:hAnsi="Arial" w:cs="Arial"/>
                <w:sz w:val="20"/>
                <w:szCs w:val="20"/>
              </w:rPr>
              <w:t>&gt;6 days</w:t>
            </w:r>
          </w:p>
        </w:tc>
      </w:tr>
      <w:tr w:rsidR="00AF4DB5" w:rsidRPr="003A3CE5" w14:paraId="4638C96F" w14:textId="77777777" w:rsidTr="004C3D07">
        <w:trPr>
          <w:cantSplit/>
        </w:trPr>
        <w:tc>
          <w:tcPr>
            <w:tcW w:w="713" w:type="pct"/>
            <w:shd w:val="clear" w:color="auto" w:fill="auto"/>
          </w:tcPr>
          <w:p w14:paraId="46A8157B" w14:textId="77777777" w:rsidR="0062202B" w:rsidRPr="003A3CE5" w:rsidRDefault="0062202B" w:rsidP="005D3606">
            <w:pPr>
              <w:rPr>
                <w:rFonts w:ascii="Arial" w:hAnsi="Arial" w:cs="Arial"/>
                <w:sz w:val="20"/>
                <w:szCs w:val="20"/>
              </w:rPr>
            </w:pPr>
            <w:r w:rsidRPr="003A3CE5">
              <w:rPr>
                <w:rFonts w:ascii="Arial" w:hAnsi="Arial" w:cs="Arial"/>
                <w:sz w:val="20"/>
                <w:szCs w:val="20"/>
              </w:rPr>
              <w:t xml:space="preserve">UM eCQM </w:t>
            </w:r>
          </w:p>
          <w:p w14:paraId="394CE57A" w14:textId="77777777" w:rsidR="0062202B" w:rsidRPr="003A3CE5" w:rsidRDefault="0062202B" w:rsidP="005D3606">
            <w:pPr>
              <w:rPr>
                <w:rFonts w:ascii="Arial" w:hAnsi="Arial" w:cs="Arial"/>
                <w:sz w:val="20"/>
                <w:szCs w:val="20"/>
              </w:rPr>
            </w:pPr>
            <w:r w:rsidRPr="003A3CE5">
              <w:rPr>
                <w:rFonts w:ascii="Arial" w:hAnsi="Arial" w:cs="Arial"/>
                <w:sz w:val="20"/>
                <w:szCs w:val="20"/>
              </w:rPr>
              <w:t>0-0.5 days</w:t>
            </w:r>
          </w:p>
        </w:tc>
        <w:tc>
          <w:tcPr>
            <w:tcW w:w="535" w:type="pct"/>
            <w:shd w:val="clear" w:color="auto" w:fill="4EA72E" w:themeFill="accent6"/>
            <w:vAlign w:val="center"/>
          </w:tcPr>
          <w:p w14:paraId="560C5256" w14:textId="77777777" w:rsidR="0062202B" w:rsidRPr="00660DA4" w:rsidRDefault="0062202B" w:rsidP="005D3606">
            <w:pPr>
              <w:jc w:val="center"/>
              <w:rPr>
                <w:rFonts w:ascii="Arial" w:hAnsi="Arial" w:cs="Arial"/>
                <w:sz w:val="20"/>
                <w:szCs w:val="20"/>
              </w:rPr>
            </w:pPr>
            <w:r w:rsidRPr="00660DA4">
              <w:rPr>
                <w:rFonts w:ascii="Arial" w:hAnsi="Arial" w:cs="Arial"/>
                <w:sz w:val="20"/>
                <w:szCs w:val="20"/>
              </w:rPr>
              <w:t>85 (18.9%)</w:t>
            </w:r>
          </w:p>
        </w:tc>
        <w:tc>
          <w:tcPr>
            <w:tcW w:w="536" w:type="pct"/>
            <w:shd w:val="clear" w:color="auto" w:fill="FFFF99"/>
            <w:vAlign w:val="center"/>
          </w:tcPr>
          <w:p w14:paraId="31BF7EFD" w14:textId="264A825F" w:rsidR="0062202B" w:rsidRPr="00660DA4" w:rsidRDefault="00762ED5" w:rsidP="005D3606">
            <w:pPr>
              <w:jc w:val="center"/>
              <w:rPr>
                <w:rFonts w:ascii="Arial" w:hAnsi="Arial" w:cs="Arial"/>
                <w:sz w:val="20"/>
                <w:szCs w:val="20"/>
                <w:shd w:val="clear" w:color="auto" w:fill="95DCF7" w:themeFill="accent4" w:themeFillTint="66"/>
              </w:rPr>
            </w:pPr>
            <w:r w:rsidRPr="00660DA4">
              <w:rPr>
                <w:rFonts w:ascii="Arial" w:hAnsi="Arial" w:cs="Arial"/>
                <w:sz w:val="20"/>
                <w:szCs w:val="20"/>
              </w:rPr>
              <w:t>0</w:t>
            </w:r>
          </w:p>
        </w:tc>
        <w:tc>
          <w:tcPr>
            <w:tcW w:w="536" w:type="pct"/>
            <w:shd w:val="clear" w:color="auto" w:fill="auto"/>
            <w:vAlign w:val="center"/>
          </w:tcPr>
          <w:p w14:paraId="1A779045" w14:textId="77777777" w:rsidR="0062202B" w:rsidRPr="00660DA4" w:rsidRDefault="0062202B" w:rsidP="005D3606">
            <w:pPr>
              <w:jc w:val="center"/>
              <w:rPr>
                <w:rFonts w:ascii="Arial" w:hAnsi="Arial" w:cs="Arial"/>
                <w:sz w:val="20"/>
                <w:szCs w:val="20"/>
              </w:rPr>
            </w:pPr>
            <w:r w:rsidRPr="00660DA4">
              <w:rPr>
                <w:rFonts w:ascii="Arial" w:hAnsi="Arial" w:cs="Arial"/>
                <w:sz w:val="20"/>
                <w:szCs w:val="20"/>
              </w:rPr>
              <w:t>0</w:t>
            </w:r>
          </w:p>
        </w:tc>
        <w:tc>
          <w:tcPr>
            <w:tcW w:w="536" w:type="pct"/>
            <w:shd w:val="clear" w:color="auto" w:fill="auto"/>
            <w:vAlign w:val="center"/>
          </w:tcPr>
          <w:p w14:paraId="77E6712B" w14:textId="77777777" w:rsidR="0062202B" w:rsidRPr="00660DA4" w:rsidRDefault="0062202B" w:rsidP="005D3606">
            <w:pPr>
              <w:jc w:val="center"/>
              <w:rPr>
                <w:rFonts w:ascii="Arial" w:hAnsi="Arial" w:cs="Arial"/>
                <w:sz w:val="20"/>
                <w:szCs w:val="20"/>
              </w:rPr>
            </w:pPr>
            <w:r w:rsidRPr="00660DA4">
              <w:rPr>
                <w:rFonts w:ascii="Arial" w:hAnsi="Arial" w:cs="Arial"/>
                <w:sz w:val="20"/>
                <w:szCs w:val="20"/>
              </w:rPr>
              <w:t>1 (0.2</w:t>
            </w:r>
            <w:r>
              <w:rPr>
                <w:rFonts w:ascii="Arial" w:hAnsi="Arial" w:cs="Arial"/>
                <w:sz w:val="20"/>
                <w:szCs w:val="20"/>
              </w:rPr>
              <w:t>%</w:t>
            </w:r>
            <w:r w:rsidRPr="00660DA4">
              <w:rPr>
                <w:rFonts w:ascii="Arial" w:hAnsi="Arial" w:cs="Arial"/>
                <w:sz w:val="20"/>
                <w:szCs w:val="20"/>
              </w:rPr>
              <w:t>)</w:t>
            </w:r>
          </w:p>
        </w:tc>
        <w:tc>
          <w:tcPr>
            <w:tcW w:w="536" w:type="pct"/>
            <w:shd w:val="clear" w:color="auto" w:fill="auto"/>
            <w:vAlign w:val="center"/>
          </w:tcPr>
          <w:p w14:paraId="5E90711C" w14:textId="77777777" w:rsidR="0062202B" w:rsidRPr="00660DA4" w:rsidRDefault="0062202B" w:rsidP="005D3606">
            <w:pPr>
              <w:jc w:val="center"/>
              <w:rPr>
                <w:rFonts w:ascii="Arial" w:hAnsi="Arial" w:cs="Arial"/>
                <w:sz w:val="20"/>
                <w:szCs w:val="20"/>
              </w:rPr>
            </w:pPr>
            <w:r w:rsidRPr="00660DA4">
              <w:rPr>
                <w:rFonts w:ascii="Arial" w:hAnsi="Arial" w:cs="Arial"/>
                <w:sz w:val="20"/>
                <w:szCs w:val="20"/>
              </w:rPr>
              <w:t>1 (0.2</w:t>
            </w:r>
            <w:r>
              <w:rPr>
                <w:rFonts w:ascii="Arial" w:hAnsi="Arial" w:cs="Arial"/>
                <w:sz w:val="20"/>
                <w:szCs w:val="20"/>
              </w:rPr>
              <w:t>%</w:t>
            </w:r>
            <w:r w:rsidRPr="00660DA4">
              <w:rPr>
                <w:rFonts w:ascii="Arial" w:hAnsi="Arial" w:cs="Arial"/>
                <w:sz w:val="20"/>
                <w:szCs w:val="20"/>
              </w:rPr>
              <w:t>)</w:t>
            </w:r>
          </w:p>
        </w:tc>
        <w:tc>
          <w:tcPr>
            <w:tcW w:w="536" w:type="pct"/>
            <w:shd w:val="clear" w:color="auto" w:fill="auto"/>
            <w:vAlign w:val="center"/>
          </w:tcPr>
          <w:p w14:paraId="66502DFD" w14:textId="77777777" w:rsidR="0062202B" w:rsidRPr="00660DA4" w:rsidRDefault="0062202B" w:rsidP="005D3606">
            <w:pPr>
              <w:jc w:val="center"/>
              <w:rPr>
                <w:rFonts w:ascii="Arial" w:hAnsi="Arial" w:cs="Arial"/>
                <w:sz w:val="20"/>
                <w:szCs w:val="20"/>
              </w:rPr>
            </w:pPr>
            <w:r w:rsidRPr="00660DA4">
              <w:rPr>
                <w:rFonts w:ascii="Arial" w:hAnsi="Arial" w:cs="Arial"/>
                <w:sz w:val="20"/>
                <w:szCs w:val="20"/>
              </w:rPr>
              <w:t>0</w:t>
            </w:r>
          </w:p>
        </w:tc>
        <w:tc>
          <w:tcPr>
            <w:tcW w:w="536" w:type="pct"/>
            <w:shd w:val="clear" w:color="auto" w:fill="auto"/>
            <w:vAlign w:val="center"/>
          </w:tcPr>
          <w:p w14:paraId="2D01358D" w14:textId="77777777" w:rsidR="0062202B" w:rsidRPr="00660DA4" w:rsidRDefault="0062202B" w:rsidP="005D3606">
            <w:pPr>
              <w:jc w:val="center"/>
              <w:rPr>
                <w:rFonts w:ascii="Arial" w:hAnsi="Arial" w:cs="Arial"/>
                <w:sz w:val="20"/>
                <w:szCs w:val="20"/>
              </w:rPr>
            </w:pPr>
            <w:r w:rsidRPr="00660DA4">
              <w:rPr>
                <w:rFonts w:ascii="Arial" w:hAnsi="Arial" w:cs="Arial"/>
                <w:sz w:val="20"/>
                <w:szCs w:val="20"/>
              </w:rPr>
              <w:t>2 (0.4%)</w:t>
            </w:r>
          </w:p>
        </w:tc>
        <w:tc>
          <w:tcPr>
            <w:tcW w:w="536" w:type="pct"/>
            <w:shd w:val="clear" w:color="auto" w:fill="auto"/>
            <w:vAlign w:val="center"/>
          </w:tcPr>
          <w:p w14:paraId="2270389E" w14:textId="77777777" w:rsidR="0062202B" w:rsidRPr="00660DA4" w:rsidRDefault="0062202B" w:rsidP="005D3606">
            <w:pPr>
              <w:jc w:val="center"/>
              <w:rPr>
                <w:rFonts w:ascii="Arial" w:hAnsi="Arial" w:cs="Arial"/>
                <w:sz w:val="20"/>
                <w:szCs w:val="20"/>
              </w:rPr>
            </w:pPr>
            <w:r w:rsidRPr="00660DA4">
              <w:rPr>
                <w:rFonts w:ascii="Arial" w:hAnsi="Arial" w:cs="Arial"/>
                <w:sz w:val="20"/>
                <w:szCs w:val="20"/>
              </w:rPr>
              <w:t>0</w:t>
            </w:r>
          </w:p>
        </w:tc>
      </w:tr>
      <w:tr w:rsidR="00AF4DB5" w:rsidRPr="003A3CE5" w14:paraId="4A2AEF0B" w14:textId="77777777" w:rsidTr="004C3D07">
        <w:trPr>
          <w:cantSplit/>
        </w:trPr>
        <w:tc>
          <w:tcPr>
            <w:tcW w:w="713" w:type="pct"/>
            <w:shd w:val="clear" w:color="auto" w:fill="auto"/>
          </w:tcPr>
          <w:p w14:paraId="0B947E78" w14:textId="77777777" w:rsidR="0062202B" w:rsidRPr="003A3CE5" w:rsidRDefault="0062202B" w:rsidP="005D3606">
            <w:pPr>
              <w:rPr>
                <w:rFonts w:ascii="Arial" w:hAnsi="Arial" w:cs="Arial"/>
                <w:sz w:val="20"/>
                <w:szCs w:val="20"/>
              </w:rPr>
            </w:pPr>
            <w:r w:rsidRPr="003A3CE5">
              <w:rPr>
                <w:rFonts w:ascii="Arial" w:hAnsi="Arial" w:cs="Arial"/>
                <w:sz w:val="20"/>
                <w:szCs w:val="20"/>
              </w:rPr>
              <w:t xml:space="preserve">UM eCQM </w:t>
            </w:r>
          </w:p>
          <w:p w14:paraId="5AC47E96" w14:textId="77777777" w:rsidR="0062202B" w:rsidRPr="003A3CE5" w:rsidRDefault="0062202B" w:rsidP="005D3606">
            <w:pPr>
              <w:rPr>
                <w:rFonts w:ascii="Arial" w:hAnsi="Arial" w:cs="Arial"/>
                <w:sz w:val="20"/>
                <w:szCs w:val="20"/>
              </w:rPr>
            </w:pPr>
            <w:r w:rsidRPr="003A3CE5">
              <w:rPr>
                <w:rFonts w:ascii="Arial" w:hAnsi="Arial" w:cs="Arial"/>
                <w:sz w:val="20"/>
                <w:szCs w:val="20"/>
              </w:rPr>
              <w:t>1-1.5</w:t>
            </w:r>
          </w:p>
        </w:tc>
        <w:tc>
          <w:tcPr>
            <w:tcW w:w="535" w:type="pct"/>
            <w:shd w:val="clear" w:color="auto" w:fill="FFFF99"/>
            <w:vAlign w:val="center"/>
          </w:tcPr>
          <w:p w14:paraId="3F3914C9" w14:textId="22EF3452" w:rsidR="0062202B" w:rsidRPr="00660DA4" w:rsidRDefault="00B9548A" w:rsidP="005D3606">
            <w:pPr>
              <w:jc w:val="center"/>
              <w:rPr>
                <w:rFonts w:ascii="Arial" w:hAnsi="Arial" w:cs="Arial"/>
                <w:sz w:val="20"/>
                <w:szCs w:val="20"/>
              </w:rPr>
            </w:pPr>
            <w:r>
              <w:rPr>
                <w:rFonts w:ascii="Arial" w:hAnsi="Arial" w:cs="Arial"/>
                <w:sz w:val="20"/>
                <w:szCs w:val="20"/>
              </w:rPr>
              <w:t>1 (0</w:t>
            </w:r>
            <w:r w:rsidR="0062202B" w:rsidRPr="00660DA4">
              <w:rPr>
                <w:rFonts w:ascii="Arial" w:hAnsi="Arial" w:cs="Arial"/>
                <w:sz w:val="20"/>
                <w:szCs w:val="20"/>
              </w:rPr>
              <w:t>.2</w:t>
            </w:r>
            <w:r w:rsidR="0062202B">
              <w:rPr>
                <w:rFonts w:ascii="Arial" w:hAnsi="Arial" w:cs="Arial"/>
                <w:sz w:val="20"/>
                <w:szCs w:val="20"/>
              </w:rPr>
              <w:t>%</w:t>
            </w:r>
            <w:r w:rsidR="0062202B" w:rsidRPr="00660DA4">
              <w:rPr>
                <w:rFonts w:ascii="Arial" w:hAnsi="Arial" w:cs="Arial"/>
                <w:sz w:val="20"/>
                <w:szCs w:val="20"/>
              </w:rPr>
              <w:t>)</w:t>
            </w:r>
          </w:p>
        </w:tc>
        <w:tc>
          <w:tcPr>
            <w:tcW w:w="536" w:type="pct"/>
            <w:shd w:val="clear" w:color="auto" w:fill="4EA72E" w:themeFill="accent6"/>
            <w:vAlign w:val="center"/>
          </w:tcPr>
          <w:p w14:paraId="0BDF4A20" w14:textId="77777777" w:rsidR="0062202B" w:rsidRPr="00660DA4" w:rsidRDefault="0062202B" w:rsidP="005D3606">
            <w:pPr>
              <w:jc w:val="center"/>
              <w:rPr>
                <w:rFonts w:ascii="Arial" w:hAnsi="Arial" w:cs="Arial"/>
                <w:sz w:val="20"/>
                <w:szCs w:val="20"/>
              </w:rPr>
            </w:pPr>
            <w:r w:rsidRPr="00660DA4">
              <w:rPr>
                <w:rFonts w:ascii="Arial" w:hAnsi="Arial" w:cs="Arial"/>
                <w:sz w:val="20"/>
                <w:szCs w:val="20"/>
              </w:rPr>
              <w:t>28 (6.1%)</w:t>
            </w:r>
          </w:p>
        </w:tc>
        <w:tc>
          <w:tcPr>
            <w:tcW w:w="536" w:type="pct"/>
            <w:shd w:val="clear" w:color="auto" w:fill="FFFF99"/>
            <w:vAlign w:val="center"/>
          </w:tcPr>
          <w:p w14:paraId="102B5EB5" w14:textId="564AB4BD" w:rsidR="0062202B" w:rsidRPr="00660DA4" w:rsidRDefault="00762ED5" w:rsidP="005D3606">
            <w:pPr>
              <w:jc w:val="center"/>
              <w:rPr>
                <w:rFonts w:ascii="Arial" w:hAnsi="Arial" w:cs="Arial"/>
                <w:sz w:val="20"/>
                <w:szCs w:val="20"/>
              </w:rPr>
            </w:pPr>
            <w:r w:rsidRPr="00660DA4">
              <w:rPr>
                <w:rFonts w:ascii="Arial" w:hAnsi="Arial" w:cs="Arial"/>
                <w:sz w:val="20"/>
                <w:szCs w:val="20"/>
              </w:rPr>
              <w:t>2 (0.4%)</w:t>
            </w:r>
          </w:p>
        </w:tc>
        <w:tc>
          <w:tcPr>
            <w:tcW w:w="536" w:type="pct"/>
            <w:shd w:val="clear" w:color="auto" w:fill="auto"/>
            <w:vAlign w:val="center"/>
          </w:tcPr>
          <w:p w14:paraId="6ADCF841" w14:textId="77777777" w:rsidR="0062202B" w:rsidRPr="00660DA4" w:rsidRDefault="0062202B" w:rsidP="005D3606">
            <w:pPr>
              <w:jc w:val="center"/>
              <w:rPr>
                <w:rFonts w:ascii="Arial" w:hAnsi="Arial" w:cs="Arial"/>
                <w:sz w:val="20"/>
                <w:szCs w:val="20"/>
              </w:rPr>
            </w:pPr>
            <w:r w:rsidRPr="00660DA4">
              <w:rPr>
                <w:rFonts w:ascii="Arial" w:hAnsi="Arial" w:cs="Arial"/>
                <w:sz w:val="20"/>
                <w:szCs w:val="20"/>
              </w:rPr>
              <w:t>2 (0.4%)</w:t>
            </w:r>
          </w:p>
        </w:tc>
        <w:tc>
          <w:tcPr>
            <w:tcW w:w="536" w:type="pct"/>
            <w:shd w:val="clear" w:color="auto" w:fill="auto"/>
            <w:vAlign w:val="center"/>
          </w:tcPr>
          <w:p w14:paraId="3A2CBFCA" w14:textId="77777777" w:rsidR="0062202B" w:rsidRPr="00660DA4" w:rsidRDefault="0062202B" w:rsidP="005D3606">
            <w:pPr>
              <w:jc w:val="center"/>
              <w:rPr>
                <w:rFonts w:ascii="Arial" w:hAnsi="Arial" w:cs="Arial"/>
                <w:sz w:val="20"/>
                <w:szCs w:val="20"/>
              </w:rPr>
            </w:pPr>
            <w:r w:rsidRPr="00660DA4">
              <w:rPr>
                <w:rFonts w:ascii="Arial" w:hAnsi="Arial" w:cs="Arial"/>
                <w:sz w:val="20"/>
                <w:szCs w:val="20"/>
              </w:rPr>
              <w:t>0</w:t>
            </w:r>
          </w:p>
        </w:tc>
        <w:tc>
          <w:tcPr>
            <w:tcW w:w="536" w:type="pct"/>
            <w:shd w:val="clear" w:color="auto" w:fill="auto"/>
            <w:vAlign w:val="center"/>
          </w:tcPr>
          <w:p w14:paraId="61C66AB1" w14:textId="77777777" w:rsidR="0062202B" w:rsidRPr="00660DA4" w:rsidRDefault="0062202B" w:rsidP="005D3606">
            <w:pPr>
              <w:jc w:val="center"/>
              <w:rPr>
                <w:rFonts w:ascii="Arial" w:hAnsi="Arial" w:cs="Arial"/>
                <w:sz w:val="20"/>
                <w:szCs w:val="20"/>
              </w:rPr>
            </w:pPr>
            <w:r w:rsidRPr="00660DA4">
              <w:rPr>
                <w:rFonts w:ascii="Arial" w:hAnsi="Arial" w:cs="Arial"/>
                <w:sz w:val="20"/>
                <w:szCs w:val="20"/>
              </w:rPr>
              <w:t>0</w:t>
            </w:r>
          </w:p>
        </w:tc>
        <w:tc>
          <w:tcPr>
            <w:tcW w:w="536" w:type="pct"/>
            <w:shd w:val="clear" w:color="auto" w:fill="auto"/>
            <w:vAlign w:val="center"/>
          </w:tcPr>
          <w:p w14:paraId="13F7FEFD" w14:textId="77777777" w:rsidR="0062202B" w:rsidRPr="00660DA4" w:rsidRDefault="0062202B" w:rsidP="005D3606">
            <w:pPr>
              <w:jc w:val="center"/>
              <w:rPr>
                <w:rFonts w:ascii="Arial" w:hAnsi="Arial" w:cs="Arial"/>
                <w:sz w:val="20"/>
                <w:szCs w:val="20"/>
              </w:rPr>
            </w:pPr>
            <w:r w:rsidRPr="00660DA4">
              <w:rPr>
                <w:rFonts w:ascii="Arial" w:hAnsi="Arial" w:cs="Arial"/>
                <w:sz w:val="20"/>
                <w:szCs w:val="20"/>
              </w:rPr>
              <w:t>0</w:t>
            </w:r>
          </w:p>
        </w:tc>
        <w:tc>
          <w:tcPr>
            <w:tcW w:w="536" w:type="pct"/>
            <w:shd w:val="clear" w:color="auto" w:fill="auto"/>
            <w:vAlign w:val="center"/>
          </w:tcPr>
          <w:p w14:paraId="2BFDFEF6" w14:textId="77777777" w:rsidR="0062202B" w:rsidRPr="00660DA4" w:rsidRDefault="0062202B" w:rsidP="005D3606">
            <w:pPr>
              <w:jc w:val="center"/>
              <w:rPr>
                <w:rFonts w:ascii="Arial" w:hAnsi="Arial" w:cs="Arial"/>
                <w:sz w:val="20"/>
                <w:szCs w:val="20"/>
              </w:rPr>
            </w:pPr>
            <w:r w:rsidRPr="00660DA4">
              <w:rPr>
                <w:rFonts w:ascii="Arial" w:hAnsi="Arial" w:cs="Arial"/>
                <w:sz w:val="20"/>
                <w:szCs w:val="20"/>
              </w:rPr>
              <w:t>0</w:t>
            </w:r>
          </w:p>
        </w:tc>
      </w:tr>
      <w:tr w:rsidR="00AF4DB5" w:rsidRPr="003A3CE5" w14:paraId="55EEC20C" w14:textId="77777777" w:rsidTr="004C3D07">
        <w:trPr>
          <w:cantSplit/>
        </w:trPr>
        <w:tc>
          <w:tcPr>
            <w:tcW w:w="713" w:type="pct"/>
            <w:shd w:val="clear" w:color="auto" w:fill="auto"/>
          </w:tcPr>
          <w:p w14:paraId="6C21645E" w14:textId="77777777" w:rsidR="0062202B" w:rsidRPr="003A3CE5" w:rsidRDefault="0062202B" w:rsidP="005D3606">
            <w:pPr>
              <w:rPr>
                <w:rFonts w:ascii="Arial" w:hAnsi="Arial" w:cs="Arial"/>
                <w:sz w:val="20"/>
                <w:szCs w:val="20"/>
              </w:rPr>
            </w:pPr>
            <w:r w:rsidRPr="003A3CE5">
              <w:rPr>
                <w:rFonts w:ascii="Arial" w:hAnsi="Arial" w:cs="Arial"/>
                <w:sz w:val="20"/>
                <w:szCs w:val="20"/>
              </w:rPr>
              <w:t xml:space="preserve">UM eCQM </w:t>
            </w:r>
          </w:p>
          <w:p w14:paraId="58144F27" w14:textId="77777777" w:rsidR="0062202B" w:rsidRPr="003A3CE5" w:rsidRDefault="0062202B" w:rsidP="005D3606">
            <w:pPr>
              <w:rPr>
                <w:rFonts w:ascii="Arial" w:hAnsi="Arial" w:cs="Arial"/>
                <w:sz w:val="20"/>
                <w:szCs w:val="20"/>
              </w:rPr>
            </w:pPr>
            <w:r w:rsidRPr="003A3CE5">
              <w:rPr>
                <w:rFonts w:ascii="Arial" w:hAnsi="Arial" w:cs="Arial"/>
                <w:sz w:val="20"/>
                <w:szCs w:val="20"/>
              </w:rPr>
              <w:t>2-2.5</w:t>
            </w:r>
          </w:p>
        </w:tc>
        <w:tc>
          <w:tcPr>
            <w:tcW w:w="535" w:type="pct"/>
            <w:shd w:val="clear" w:color="auto" w:fill="auto"/>
            <w:vAlign w:val="center"/>
          </w:tcPr>
          <w:p w14:paraId="1E2D5F51" w14:textId="77777777" w:rsidR="0062202B" w:rsidRPr="00660DA4" w:rsidRDefault="0062202B" w:rsidP="005D3606">
            <w:pPr>
              <w:jc w:val="center"/>
              <w:rPr>
                <w:rFonts w:ascii="Arial" w:hAnsi="Arial" w:cs="Arial"/>
                <w:sz w:val="20"/>
                <w:szCs w:val="20"/>
              </w:rPr>
            </w:pPr>
            <w:r w:rsidRPr="00660DA4">
              <w:rPr>
                <w:rFonts w:ascii="Arial" w:hAnsi="Arial" w:cs="Arial"/>
                <w:sz w:val="20"/>
                <w:szCs w:val="20"/>
              </w:rPr>
              <w:t>0</w:t>
            </w:r>
          </w:p>
        </w:tc>
        <w:tc>
          <w:tcPr>
            <w:tcW w:w="536" w:type="pct"/>
            <w:shd w:val="clear" w:color="auto" w:fill="FFFF99"/>
            <w:vAlign w:val="center"/>
          </w:tcPr>
          <w:p w14:paraId="4DAE593A" w14:textId="6E25B13C" w:rsidR="0062202B" w:rsidRPr="00660DA4" w:rsidRDefault="00762ED5" w:rsidP="005D3606">
            <w:pPr>
              <w:jc w:val="center"/>
              <w:rPr>
                <w:rFonts w:ascii="Arial" w:hAnsi="Arial" w:cs="Arial"/>
                <w:sz w:val="20"/>
                <w:szCs w:val="20"/>
              </w:rPr>
            </w:pPr>
            <w:r w:rsidRPr="00660DA4">
              <w:rPr>
                <w:rFonts w:ascii="Arial" w:hAnsi="Arial" w:cs="Arial"/>
                <w:sz w:val="20"/>
                <w:szCs w:val="20"/>
              </w:rPr>
              <w:t>0</w:t>
            </w:r>
          </w:p>
        </w:tc>
        <w:tc>
          <w:tcPr>
            <w:tcW w:w="536" w:type="pct"/>
            <w:shd w:val="clear" w:color="auto" w:fill="4EA72E" w:themeFill="accent6"/>
            <w:vAlign w:val="center"/>
          </w:tcPr>
          <w:p w14:paraId="34A1E5C1" w14:textId="77777777" w:rsidR="0062202B" w:rsidRPr="00660DA4" w:rsidRDefault="0062202B" w:rsidP="005D3606">
            <w:pPr>
              <w:jc w:val="center"/>
              <w:rPr>
                <w:rFonts w:ascii="Arial" w:hAnsi="Arial" w:cs="Arial"/>
                <w:sz w:val="20"/>
                <w:szCs w:val="20"/>
              </w:rPr>
            </w:pPr>
            <w:r w:rsidRPr="00660DA4">
              <w:rPr>
                <w:rFonts w:ascii="Arial" w:hAnsi="Arial" w:cs="Arial"/>
                <w:sz w:val="20"/>
                <w:szCs w:val="20"/>
              </w:rPr>
              <w:t>52 (11.4%)</w:t>
            </w:r>
          </w:p>
        </w:tc>
        <w:tc>
          <w:tcPr>
            <w:tcW w:w="536" w:type="pct"/>
            <w:shd w:val="clear" w:color="auto" w:fill="FFFF99"/>
            <w:vAlign w:val="center"/>
          </w:tcPr>
          <w:p w14:paraId="41F7F53B" w14:textId="0B5FEDEF" w:rsidR="0062202B" w:rsidRPr="00660DA4" w:rsidRDefault="00762ED5" w:rsidP="005D3606">
            <w:pPr>
              <w:jc w:val="center"/>
              <w:rPr>
                <w:rFonts w:ascii="Arial" w:hAnsi="Arial" w:cs="Arial"/>
                <w:sz w:val="20"/>
                <w:szCs w:val="20"/>
              </w:rPr>
            </w:pPr>
            <w:r w:rsidRPr="00660DA4">
              <w:rPr>
                <w:rFonts w:ascii="Arial" w:hAnsi="Arial" w:cs="Arial"/>
                <w:sz w:val="20"/>
                <w:szCs w:val="20"/>
              </w:rPr>
              <w:t>1 (0.2</w:t>
            </w:r>
            <w:r>
              <w:rPr>
                <w:rFonts w:ascii="Arial" w:hAnsi="Arial" w:cs="Arial"/>
                <w:sz w:val="20"/>
                <w:szCs w:val="20"/>
              </w:rPr>
              <w:t>%</w:t>
            </w:r>
            <w:r w:rsidRPr="00660DA4">
              <w:rPr>
                <w:rFonts w:ascii="Arial" w:hAnsi="Arial" w:cs="Arial"/>
                <w:sz w:val="20"/>
                <w:szCs w:val="20"/>
              </w:rPr>
              <w:t>)</w:t>
            </w:r>
          </w:p>
        </w:tc>
        <w:tc>
          <w:tcPr>
            <w:tcW w:w="536" w:type="pct"/>
            <w:shd w:val="clear" w:color="auto" w:fill="auto"/>
            <w:vAlign w:val="center"/>
          </w:tcPr>
          <w:p w14:paraId="6087A349" w14:textId="77777777" w:rsidR="0062202B" w:rsidRPr="00660DA4" w:rsidRDefault="0062202B" w:rsidP="005D3606">
            <w:pPr>
              <w:jc w:val="center"/>
              <w:rPr>
                <w:rFonts w:ascii="Arial" w:hAnsi="Arial" w:cs="Arial"/>
                <w:sz w:val="20"/>
                <w:szCs w:val="20"/>
              </w:rPr>
            </w:pPr>
            <w:r w:rsidRPr="00660DA4">
              <w:rPr>
                <w:rFonts w:ascii="Arial" w:hAnsi="Arial" w:cs="Arial"/>
                <w:sz w:val="20"/>
                <w:szCs w:val="20"/>
              </w:rPr>
              <w:t>1 (0.2</w:t>
            </w:r>
            <w:r>
              <w:rPr>
                <w:rFonts w:ascii="Arial" w:hAnsi="Arial" w:cs="Arial"/>
                <w:sz w:val="20"/>
                <w:szCs w:val="20"/>
              </w:rPr>
              <w:t>%</w:t>
            </w:r>
            <w:r w:rsidRPr="00660DA4">
              <w:rPr>
                <w:rFonts w:ascii="Arial" w:hAnsi="Arial" w:cs="Arial"/>
                <w:sz w:val="20"/>
                <w:szCs w:val="20"/>
              </w:rPr>
              <w:t>)</w:t>
            </w:r>
          </w:p>
        </w:tc>
        <w:tc>
          <w:tcPr>
            <w:tcW w:w="536" w:type="pct"/>
            <w:shd w:val="clear" w:color="auto" w:fill="auto"/>
            <w:vAlign w:val="center"/>
          </w:tcPr>
          <w:p w14:paraId="4E9012F7" w14:textId="77777777" w:rsidR="0062202B" w:rsidRPr="00660DA4" w:rsidRDefault="0062202B" w:rsidP="005D3606">
            <w:pPr>
              <w:jc w:val="center"/>
              <w:rPr>
                <w:rFonts w:ascii="Arial" w:hAnsi="Arial" w:cs="Arial"/>
                <w:sz w:val="20"/>
                <w:szCs w:val="20"/>
              </w:rPr>
            </w:pPr>
            <w:r w:rsidRPr="00660DA4">
              <w:rPr>
                <w:rFonts w:ascii="Arial" w:hAnsi="Arial" w:cs="Arial"/>
                <w:sz w:val="20"/>
                <w:szCs w:val="20"/>
              </w:rPr>
              <w:t>2 (0.4%)</w:t>
            </w:r>
          </w:p>
        </w:tc>
        <w:tc>
          <w:tcPr>
            <w:tcW w:w="536" w:type="pct"/>
            <w:shd w:val="clear" w:color="auto" w:fill="auto"/>
            <w:vAlign w:val="center"/>
          </w:tcPr>
          <w:p w14:paraId="083479B5" w14:textId="77777777" w:rsidR="0062202B" w:rsidRPr="00660DA4" w:rsidRDefault="0062202B" w:rsidP="005D3606">
            <w:pPr>
              <w:jc w:val="center"/>
              <w:rPr>
                <w:rFonts w:ascii="Arial" w:hAnsi="Arial" w:cs="Arial"/>
                <w:sz w:val="20"/>
                <w:szCs w:val="20"/>
              </w:rPr>
            </w:pPr>
            <w:r w:rsidRPr="00660DA4">
              <w:rPr>
                <w:rFonts w:ascii="Arial" w:hAnsi="Arial" w:cs="Arial"/>
                <w:sz w:val="20"/>
                <w:szCs w:val="20"/>
              </w:rPr>
              <w:t>0</w:t>
            </w:r>
          </w:p>
        </w:tc>
        <w:tc>
          <w:tcPr>
            <w:tcW w:w="536" w:type="pct"/>
            <w:shd w:val="clear" w:color="auto" w:fill="auto"/>
            <w:vAlign w:val="center"/>
          </w:tcPr>
          <w:p w14:paraId="602DBE6A" w14:textId="77777777" w:rsidR="0062202B" w:rsidRPr="00660DA4" w:rsidRDefault="0062202B" w:rsidP="005D3606">
            <w:pPr>
              <w:jc w:val="center"/>
              <w:rPr>
                <w:rFonts w:ascii="Arial" w:hAnsi="Arial" w:cs="Arial"/>
                <w:sz w:val="20"/>
                <w:szCs w:val="20"/>
              </w:rPr>
            </w:pPr>
            <w:r w:rsidRPr="00660DA4">
              <w:rPr>
                <w:rFonts w:ascii="Arial" w:hAnsi="Arial" w:cs="Arial"/>
                <w:sz w:val="20"/>
                <w:szCs w:val="20"/>
              </w:rPr>
              <w:t>0</w:t>
            </w:r>
          </w:p>
        </w:tc>
      </w:tr>
      <w:tr w:rsidR="00AF4DB5" w:rsidRPr="003A3CE5" w14:paraId="5BAFAFF2" w14:textId="77777777" w:rsidTr="004C3D07">
        <w:trPr>
          <w:cantSplit/>
        </w:trPr>
        <w:tc>
          <w:tcPr>
            <w:tcW w:w="713" w:type="pct"/>
            <w:shd w:val="clear" w:color="auto" w:fill="auto"/>
          </w:tcPr>
          <w:p w14:paraId="43972285" w14:textId="77777777" w:rsidR="0062202B" w:rsidRPr="003A3CE5" w:rsidRDefault="0062202B" w:rsidP="005D3606">
            <w:pPr>
              <w:rPr>
                <w:rFonts w:ascii="Arial" w:hAnsi="Arial" w:cs="Arial"/>
                <w:sz w:val="20"/>
                <w:szCs w:val="20"/>
              </w:rPr>
            </w:pPr>
            <w:r w:rsidRPr="003A3CE5">
              <w:rPr>
                <w:rFonts w:ascii="Arial" w:hAnsi="Arial" w:cs="Arial"/>
                <w:sz w:val="20"/>
                <w:szCs w:val="20"/>
              </w:rPr>
              <w:t xml:space="preserve">UM eCQM </w:t>
            </w:r>
          </w:p>
          <w:p w14:paraId="18143231" w14:textId="77777777" w:rsidR="0062202B" w:rsidRPr="003A3CE5" w:rsidRDefault="0062202B" w:rsidP="005D3606">
            <w:pPr>
              <w:rPr>
                <w:rFonts w:ascii="Arial" w:hAnsi="Arial" w:cs="Arial"/>
                <w:sz w:val="20"/>
                <w:szCs w:val="20"/>
              </w:rPr>
            </w:pPr>
            <w:r w:rsidRPr="003A3CE5">
              <w:rPr>
                <w:rFonts w:ascii="Arial" w:hAnsi="Arial" w:cs="Arial"/>
                <w:sz w:val="20"/>
                <w:szCs w:val="20"/>
              </w:rPr>
              <w:t>3-3.5</w:t>
            </w:r>
          </w:p>
        </w:tc>
        <w:tc>
          <w:tcPr>
            <w:tcW w:w="535" w:type="pct"/>
            <w:shd w:val="clear" w:color="auto" w:fill="auto"/>
            <w:vAlign w:val="center"/>
          </w:tcPr>
          <w:p w14:paraId="59D64E87" w14:textId="77777777" w:rsidR="0062202B" w:rsidRPr="00660DA4" w:rsidRDefault="0062202B" w:rsidP="005D3606">
            <w:pPr>
              <w:jc w:val="center"/>
              <w:rPr>
                <w:rFonts w:ascii="Arial" w:hAnsi="Arial" w:cs="Arial"/>
                <w:sz w:val="20"/>
                <w:szCs w:val="20"/>
              </w:rPr>
            </w:pPr>
            <w:r w:rsidRPr="00660DA4">
              <w:rPr>
                <w:rFonts w:ascii="Arial" w:hAnsi="Arial" w:cs="Arial"/>
                <w:sz w:val="20"/>
                <w:szCs w:val="20"/>
              </w:rPr>
              <w:t>1 (0.2</w:t>
            </w:r>
            <w:r>
              <w:rPr>
                <w:rFonts w:ascii="Arial" w:hAnsi="Arial" w:cs="Arial"/>
                <w:sz w:val="20"/>
                <w:szCs w:val="20"/>
              </w:rPr>
              <w:t>%</w:t>
            </w:r>
            <w:r w:rsidRPr="00660DA4">
              <w:rPr>
                <w:rFonts w:ascii="Arial" w:hAnsi="Arial" w:cs="Arial"/>
                <w:sz w:val="20"/>
                <w:szCs w:val="20"/>
              </w:rPr>
              <w:t>)</w:t>
            </w:r>
          </w:p>
        </w:tc>
        <w:tc>
          <w:tcPr>
            <w:tcW w:w="536" w:type="pct"/>
            <w:shd w:val="clear" w:color="auto" w:fill="auto"/>
            <w:vAlign w:val="center"/>
          </w:tcPr>
          <w:p w14:paraId="0D8F6AE3" w14:textId="77777777" w:rsidR="0062202B" w:rsidRPr="00660DA4" w:rsidRDefault="0062202B" w:rsidP="005D3606">
            <w:pPr>
              <w:jc w:val="center"/>
              <w:rPr>
                <w:rFonts w:ascii="Arial" w:hAnsi="Arial" w:cs="Arial"/>
                <w:sz w:val="20"/>
                <w:szCs w:val="20"/>
              </w:rPr>
            </w:pPr>
            <w:r w:rsidRPr="00660DA4">
              <w:rPr>
                <w:rFonts w:ascii="Arial" w:hAnsi="Arial" w:cs="Arial"/>
                <w:sz w:val="20"/>
                <w:szCs w:val="20"/>
              </w:rPr>
              <w:t>1 (0.2</w:t>
            </w:r>
            <w:r>
              <w:rPr>
                <w:rFonts w:ascii="Arial" w:hAnsi="Arial" w:cs="Arial"/>
                <w:sz w:val="20"/>
                <w:szCs w:val="20"/>
              </w:rPr>
              <w:t>%</w:t>
            </w:r>
            <w:r w:rsidRPr="00660DA4">
              <w:rPr>
                <w:rFonts w:ascii="Arial" w:hAnsi="Arial" w:cs="Arial"/>
                <w:sz w:val="20"/>
                <w:szCs w:val="20"/>
              </w:rPr>
              <w:t>)</w:t>
            </w:r>
          </w:p>
        </w:tc>
        <w:tc>
          <w:tcPr>
            <w:tcW w:w="536" w:type="pct"/>
            <w:shd w:val="clear" w:color="auto" w:fill="FFFF99"/>
            <w:vAlign w:val="center"/>
          </w:tcPr>
          <w:p w14:paraId="520431C6" w14:textId="4B0B3A72" w:rsidR="0062202B" w:rsidRPr="00660DA4" w:rsidRDefault="00762ED5" w:rsidP="005D3606">
            <w:pPr>
              <w:jc w:val="center"/>
              <w:rPr>
                <w:rFonts w:ascii="Arial" w:hAnsi="Arial" w:cs="Arial"/>
                <w:sz w:val="20"/>
                <w:szCs w:val="20"/>
              </w:rPr>
            </w:pPr>
            <w:r w:rsidRPr="00660DA4">
              <w:rPr>
                <w:rFonts w:ascii="Arial" w:hAnsi="Arial" w:cs="Arial"/>
                <w:sz w:val="20"/>
                <w:szCs w:val="20"/>
              </w:rPr>
              <w:t>2 (0.4%)</w:t>
            </w:r>
          </w:p>
        </w:tc>
        <w:tc>
          <w:tcPr>
            <w:tcW w:w="536" w:type="pct"/>
            <w:shd w:val="clear" w:color="auto" w:fill="4EA72E" w:themeFill="accent6"/>
            <w:vAlign w:val="center"/>
          </w:tcPr>
          <w:p w14:paraId="05F65253" w14:textId="77777777" w:rsidR="0062202B" w:rsidRPr="00660DA4" w:rsidRDefault="0062202B" w:rsidP="005D3606">
            <w:pPr>
              <w:jc w:val="center"/>
              <w:rPr>
                <w:rFonts w:ascii="Arial" w:hAnsi="Arial" w:cs="Arial"/>
                <w:sz w:val="20"/>
                <w:szCs w:val="20"/>
              </w:rPr>
            </w:pPr>
            <w:r w:rsidRPr="00660DA4">
              <w:rPr>
                <w:rFonts w:ascii="Arial" w:hAnsi="Arial" w:cs="Arial"/>
                <w:sz w:val="20"/>
                <w:szCs w:val="20"/>
              </w:rPr>
              <w:t>70 (15.3%)</w:t>
            </w:r>
          </w:p>
        </w:tc>
        <w:tc>
          <w:tcPr>
            <w:tcW w:w="536" w:type="pct"/>
            <w:shd w:val="clear" w:color="auto" w:fill="FFFF99"/>
            <w:vAlign w:val="center"/>
          </w:tcPr>
          <w:p w14:paraId="55C0E203" w14:textId="1A8254D6" w:rsidR="0062202B" w:rsidRPr="00660DA4" w:rsidRDefault="00762ED5" w:rsidP="005D3606">
            <w:pPr>
              <w:jc w:val="center"/>
              <w:rPr>
                <w:rFonts w:ascii="Arial" w:hAnsi="Arial" w:cs="Arial"/>
                <w:sz w:val="20"/>
                <w:szCs w:val="20"/>
              </w:rPr>
            </w:pPr>
            <w:r w:rsidRPr="00660DA4">
              <w:rPr>
                <w:rFonts w:ascii="Arial" w:hAnsi="Arial" w:cs="Arial"/>
                <w:sz w:val="20"/>
                <w:szCs w:val="20"/>
              </w:rPr>
              <w:t>0</w:t>
            </w:r>
          </w:p>
        </w:tc>
        <w:tc>
          <w:tcPr>
            <w:tcW w:w="536" w:type="pct"/>
            <w:shd w:val="clear" w:color="auto" w:fill="auto"/>
            <w:vAlign w:val="center"/>
          </w:tcPr>
          <w:p w14:paraId="63AB7F34" w14:textId="77777777" w:rsidR="0062202B" w:rsidRPr="00660DA4" w:rsidRDefault="0062202B" w:rsidP="005D3606">
            <w:pPr>
              <w:jc w:val="center"/>
              <w:rPr>
                <w:rFonts w:ascii="Arial" w:hAnsi="Arial" w:cs="Arial"/>
                <w:sz w:val="20"/>
                <w:szCs w:val="20"/>
              </w:rPr>
            </w:pPr>
            <w:r w:rsidRPr="00660DA4">
              <w:rPr>
                <w:rFonts w:ascii="Arial" w:hAnsi="Arial" w:cs="Arial"/>
                <w:sz w:val="20"/>
                <w:szCs w:val="20"/>
              </w:rPr>
              <w:t>0</w:t>
            </w:r>
          </w:p>
        </w:tc>
        <w:tc>
          <w:tcPr>
            <w:tcW w:w="536" w:type="pct"/>
            <w:shd w:val="clear" w:color="auto" w:fill="auto"/>
            <w:vAlign w:val="center"/>
          </w:tcPr>
          <w:p w14:paraId="453BE03B" w14:textId="77777777" w:rsidR="0062202B" w:rsidRPr="00660DA4" w:rsidRDefault="0062202B" w:rsidP="005D3606">
            <w:pPr>
              <w:jc w:val="center"/>
              <w:rPr>
                <w:rFonts w:ascii="Arial" w:hAnsi="Arial" w:cs="Arial"/>
                <w:sz w:val="20"/>
                <w:szCs w:val="20"/>
              </w:rPr>
            </w:pPr>
            <w:r w:rsidRPr="00660DA4">
              <w:rPr>
                <w:rFonts w:ascii="Arial" w:hAnsi="Arial" w:cs="Arial"/>
                <w:sz w:val="20"/>
                <w:szCs w:val="20"/>
              </w:rPr>
              <w:t>0</w:t>
            </w:r>
          </w:p>
        </w:tc>
        <w:tc>
          <w:tcPr>
            <w:tcW w:w="536" w:type="pct"/>
            <w:shd w:val="clear" w:color="auto" w:fill="auto"/>
            <w:vAlign w:val="center"/>
          </w:tcPr>
          <w:p w14:paraId="25161851" w14:textId="77777777" w:rsidR="0062202B" w:rsidRPr="00660DA4" w:rsidRDefault="0062202B" w:rsidP="005D3606">
            <w:pPr>
              <w:jc w:val="center"/>
              <w:rPr>
                <w:rFonts w:ascii="Arial" w:hAnsi="Arial" w:cs="Arial"/>
                <w:sz w:val="20"/>
                <w:szCs w:val="20"/>
              </w:rPr>
            </w:pPr>
            <w:r w:rsidRPr="00660DA4">
              <w:rPr>
                <w:rFonts w:ascii="Arial" w:hAnsi="Arial" w:cs="Arial"/>
                <w:sz w:val="20"/>
                <w:szCs w:val="20"/>
              </w:rPr>
              <w:t>1 (0.2%)</w:t>
            </w:r>
          </w:p>
        </w:tc>
      </w:tr>
      <w:tr w:rsidR="00AF4DB5" w:rsidRPr="003A3CE5" w14:paraId="21DC3E72" w14:textId="77777777" w:rsidTr="004C3D07">
        <w:trPr>
          <w:cantSplit/>
        </w:trPr>
        <w:tc>
          <w:tcPr>
            <w:tcW w:w="713" w:type="pct"/>
            <w:shd w:val="clear" w:color="auto" w:fill="auto"/>
          </w:tcPr>
          <w:p w14:paraId="7DFDAC8E" w14:textId="77777777" w:rsidR="0062202B" w:rsidRPr="003A3CE5" w:rsidRDefault="0062202B" w:rsidP="005D3606">
            <w:pPr>
              <w:rPr>
                <w:rFonts w:ascii="Arial" w:hAnsi="Arial" w:cs="Arial"/>
                <w:sz w:val="20"/>
                <w:szCs w:val="20"/>
              </w:rPr>
            </w:pPr>
            <w:r w:rsidRPr="003A3CE5">
              <w:rPr>
                <w:rFonts w:ascii="Arial" w:hAnsi="Arial" w:cs="Arial"/>
                <w:sz w:val="20"/>
                <w:szCs w:val="20"/>
              </w:rPr>
              <w:t xml:space="preserve">UM eCQM </w:t>
            </w:r>
          </w:p>
          <w:p w14:paraId="07D1B508" w14:textId="77777777" w:rsidR="0062202B" w:rsidRPr="003A3CE5" w:rsidRDefault="0062202B" w:rsidP="005D3606">
            <w:pPr>
              <w:rPr>
                <w:rFonts w:ascii="Arial" w:hAnsi="Arial" w:cs="Arial"/>
                <w:sz w:val="20"/>
                <w:szCs w:val="20"/>
              </w:rPr>
            </w:pPr>
            <w:r w:rsidRPr="003A3CE5">
              <w:rPr>
                <w:rFonts w:ascii="Arial" w:hAnsi="Arial" w:cs="Arial"/>
                <w:sz w:val="20"/>
                <w:szCs w:val="20"/>
              </w:rPr>
              <w:t>4-4.5</w:t>
            </w:r>
          </w:p>
        </w:tc>
        <w:tc>
          <w:tcPr>
            <w:tcW w:w="535" w:type="pct"/>
            <w:shd w:val="clear" w:color="auto" w:fill="auto"/>
            <w:vAlign w:val="center"/>
          </w:tcPr>
          <w:p w14:paraId="131AA7AF" w14:textId="77777777" w:rsidR="0062202B" w:rsidRPr="00660DA4" w:rsidRDefault="0062202B" w:rsidP="005D3606">
            <w:pPr>
              <w:jc w:val="center"/>
              <w:rPr>
                <w:rFonts w:ascii="Arial" w:hAnsi="Arial" w:cs="Arial"/>
                <w:sz w:val="20"/>
                <w:szCs w:val="20"/>
              </w:rPr>
            </w:pPr>
            <w:r w:rsidRPr="00660DA4">
              <w:rPr>
                <w:rFonts w:ascii="Arial" w:hAnsi="Arial" w:cs="Arial"/>
                <w:sz w:val="20"/>
                <w:szCs w:val="20"/>
              </w:rPr>
              <w:t>1 (0.2</w:t>
            </w:r>
            <w:r>
              <w:rPr>
                <w:rFonts w:ascii="Arial" w:hAnsi="Arial" w:cs="Arial"/>
                <w:sz w:val="20"/>
                <w:szCs w:val="20"/>
              </w:rPr>
              <w:t>%</w:t>
            </w:r>
            <w:r w:rsidRPr="00660DA4">
              <w:rPr>
                <w:rFonts w:ascii="Arial" w:hAnsi="Arial" w:cs="Arial"/>
                <w:sz w:val="20"/>
                <w:szCs w:val="20"/>
              </w:rPr>
              <w:t>)</w:t>
            </w:r>
          </w:p>
        </w:tc>
        <w:tc>
          <w:tcPr>
            <w:tcW w:w="536" w:type="pct"/>
            <w:shd w:val="clear" w:color="auto" w:fill="auto"/>
            <w:vAlign w:val="center"/>
          </w:tcPr>
          <w:p w14:paraId="009FABC3" w14:textId="77777777" w:rsidR="0062202B" w:rsidRPr="00660DA4" w:rsidRDefault="0062202B" w:rsidP="005D3606">
            <w:pPr>
              <w:jc w:val="center"/>
              <w:rPr>
                <w:rFonts w:ascii="Arial" w:hAnsi="Arial" w:cs="Arial"/>
                <w:sz w:val="20"/>
                <w:szCs w:val="20"/>
              </w:rPr>
            </w:pPr>
            <w:r w:rsidRPr="00660DA4">
              <w:rPr>
                <w:rFonts w:ascii="Arial" w:hAnsi="Arial" w:cs="Arial"/>
                <w:sz w:val="20"/>
                <w:szCs w:val="20"/>
              </w:rPr>
              <w:t>1 (0.2</w:t>
            </w:r>
            <w:r>
              <w:rPr>
                <w:rFonts w:ascii="Arial" w:hAnsi="Arial" w:cs="Arial"/>
                <w:sz w:val="20"/>
                <w:szCs w:val="20"/>
              </w:rPr>
              <w:t>%</w:t>
            </w:r>
            <w:r w:rsidRPr="00660DA4">
              <w:rPr>
                <w:rFonts w:ascii="Arial" w:hAnsi="Arial" w:cs="Arial"/>
                <w:sz w:val="20"/>
                <w:szCs w:val="20"/>
              </w:rPr>
              <w:t>)</w:t>
            </w:r>
          </w:p>
        </w:tc>
        <w:tc>
          <w:tcPr>
            <w:tcW w:w="536" w:type="pct"/>
            <w:shd w:val="clear" w:color="auto" w:fill="auto"/>
            <w:vAlign w:val="center"/>
          </w:tcPr>
          <w:p w14:paraId="088CFA63" w14:textId="77777777" w:rsidR="0062202B" w:rsidRPr="00660DA4" w:rsidRDefault="0062202B" w:rsidP="005D3606">
            <w:pPr>
              <w:jc w:val="center"/>
              <w:rPr>
                <w:rFonts w:ascii="Arial" w:hAnsi="Arial" w:cs="Arial"/>
                <w:sz w:val="20"/>
                <w:szCs w:val="20"/>
              </w:rPr>
            </w:pPr>
            <w:r w:rsidRPr="00660DA4">
              <w:rPr>
                <w:rFonts w:ascii="Arial" w:hAnsi="Arial" w:cs="Arial"/>
                <w:sz w:val="20"/>
                <w:szCs w:val="20"/>
              </w:rPr>
              <w:t>1 (0.2</w:t>
            </w:r>
            <w:r>
              <w:rPr>
                <w:rFonts w:ascii="Arial" w:hAnsi="Arial" w:cs="Arial"/>
                <w:sz w:val="20"/>
                <w:szCs w:val="20"/>
              </w:rPr>
              <w:t>%</w:t>
            </w:r>
            <w:r w:rsidRPr="00660DA4">
              <w:rPr>
                <w:rFonts w:ascii="Arial" w:hAnsi="Arial" w:cs="Arial"/>
                <w:sz w:val="20"/>
                <w:szCs w:val="20"/>
              </w:rPr>
              <w:t>)</w:t>
            </w:r>
          </w:p>
        </w:tc>
        <w:tc>
          <w:tcPr>
            <w:tcW w:w="536" w:type="pct"/>
            <w:shd w:val="clear" w:color="auto" w:fill="FFFF99"/>
            <w:vAlign w:val="center"/>
          </w:tcPr>
          <w:p w14:paraId="236E5154" w14:textId="6EAA9414" w:rsidR="0062202B" w:rsidRPr="00660DA4" w:rsidRDefault="00762ED5" w:rsidP="005D3606">
            <w:pPr>
              <w:jc w:val="center"/>
              <w:rPr>
                <w:rFonts w:ascii="Arial" w:hAnsi="Arial" w:cs="Arial"/>
                <w:sz w:val="20"/>
                <w:szCs w:val="20"/>
              </w:rPr>
            </w:pPr>
            <w:r w:rsidRPr="00660DA4">
              <w:rPr>
                <w:rFonts w:ascii="Arial" w:hAnsi="Arial" w:cs="Arial"/>
                <w:sz w:val="20"/>
                <w:szCs w:val="20"/>
              </w:rPr>
              <w:t>1 (0.2</w:t>
            </w:r>
            <w:r>
              <w:rPr>
                <w:rFonts w:ascii="Arial" w:hAnsi="Arial" w:cs="Arial"/>
                <w:sz w:val="20"/>
                <w:szCs w:val="20"/>
              </w:rPr>
              <w:t>%</w:t>
            </w:r>
            <w:r w:rsidRPr="00660DA4">
              <w:rPr>
                <w:rFonts w:ascii="Arial" w:hAnsi="Arial" w:cs="Arial"/>
                <w:sz w:val="20"/>
                <w:szCs w:val="20"/>
              </w:rPr>
              <w:t>)</w:t>
            </w:r>
          </w:p>
        </w:tc>
        <w:tc>
          <w:tcPr>
            <w:tcW w:w="536" w:type="pct"/>
            <w:shd w:val="clear" w:color="auto" w:fill="4EA72E" w:themeFill="accent6"/>
            <w:vAlign w:val="center"/>
          </w:tcPr>
          <w:p w14:paraId="5A32CCAF" w14:textId="77777777" w:rsidR="0062202B" w:rsidRPr="00660DA4" w:rsidRDefault="0062202B" w:rsidP="005D3606">
            <w:pPr>
              <w:jc w:val="center"/>
              <w:rPr>
                <w:rFonts w:ascii="Arial" w:hAnsi="Arial" w:cs="Arial"/>
                <w:sz w:val="20"/>
                <w:szCs w:val="20"/>
              </w:rPr>
            </w:pPr>
            <w:r w:rsidRPr="00660DA4">
              <w:rPr>
                <w:rFonts w:ascii="Arial" w:hAnsi="Arial" w:cs="Arial"/>
                <w:sz w:val="20"/>
                <w:szCs w:val="20"/>
              </w:rPr>
              <w:t>67 (14.6%)</w:t>
            </w:r>
          </w:p>
        </w:tc>
        <w:tc>
          <w:tcPr>
            <w:tcW w:w="536" w:type="pct"/>
            <w:shd w:val="clear" w:color="auto" w:fill="FFFF99"/>
            <w:vAlign w:val="center"/>
          </w:tcPr>
          <w:p w14:paraId="69E32A81" w14:textId="21762FE7" w:rsidR="0062202B" w:rsidRPr="00660DA4" w:rsidRDefault="00762ED5" w:rsidP="005D3606">
            <w:pPr>
              <w:jc w:val="center"/>
              <w:rPr>
                <w:rFonts w:ascii="Arial" w:hAnsi="Arial" w:cs="Arial"/>
                <w:sz w:val="20"/>
                <w:szCs w:val="20"/>
              </w:rPr>
            </w:pPr>
            <w:r w:rsidRPr="00660DA4">
              <w:rPr>
                <w:rFonts w:ascii="Arial" w:hAnsi="Arial" w:cs="Arial"/>
                <w:sz w:val="20"/>
                <w:szCs w:val="20"/>
              </w:rPr>
              <w:t>0</w:t>
            </w:r>
          </w:p>
        </w:tc>
        <w:tc>
          <w:tcPr>
            <w:tcW w:w="536" w:type="pct"/>
            <w:shd w:val="clear" w:color="auto" w:fill="auto"/>
            <w:vAlign w:val="center"/>
          </w:tcPr>
          <w:p w14:paraId="4AE27F9D" w14:textId="77777777" w:rsidR="0062202B" w:rsidRPr="00660DA4" w:rsidRDefault="0062202B" w:rsidP="005D3606">
            <w:pPr>
              <w:jc w:val="center"/>
              <w:rPr>
                <w:rFonts w:ascii="Arial" w:hAnsi="Arial" w:cs="Arial"/>
                <w:sz w:val="20"/>
                <w:szCs w:val="20"/>
              </w:rPr>
            </w:pPr>
            <w:r w:rsidRPr="00660DA4">
              <w:rPr>
                <w:rFonts w:ascii="Arial" w:hAnsi="Arial" w:cs="Arial"/>
                <w:sz w:val="20"/>
                <w:szCs w:val="20"/>
              </w:rPr>
              <w:t>0</w:t>
            </w:r>
          </w:p>
        </w:tc>
        <w:tc>
          <w:tcPr>
            <w:tcW w:w="536" w:type="pct"/>
            <w:shd w:val="clear" w:color="auto" w:fill="auto"/>
            <w:vAlign w:val="center"/>
          </w:tcPr>
          <w:p w14:paraId="6E468153" w14:textId="77777777" w:rsidR="0062202B" w:rsidRPr="00660DA4" w:rsidRDefault="0062202B" w:rsidP="005D3606">
            <w:pPr>
              <w:jc w:val="center"/>
              <w:rPr>
                <w:rFonts w:ascii="Arial" w:hAnsi="Arial" w:cs="Arial"/>
                <w:sz w:val="20"/>
                <w:szCs w:val="20"/>
              </w:rPr>
            </w:pPr>
            <w:r w:rsidRPr="00660DA4">
              <w:rPr>
                <w:rFonts w:ascii="Arial" w:hAnsi="Arial" w:cs="Arial"/>
                <w:sz w:val="20"/>
                <w:szCs w:val="20"/>
              </w:rPr>
              <w:t>0</w:t>
            </w:r>
          </w:p>
        </w:tc>
      </w:tr>
      <w:tr w:rsidR="00AF4DB5" w:rsidRPr="003A3CE5" w14:paraId="74662590" w14:textId="77777777" w:rsidTr="004C3D07">
        <w:trPr>
          <w:cantSplit/>
        </w:trPr>
        <w:tc>
          <w:tcPr>
            <w:tcW w:w="713" w:type="pct"/>
            <w:shd w:val="clear" w:color="auto" w:fill="auto"/>
          </w:tcPr>
          <w:p w14:paraId="19546778" w14:textId="77777777" w:rsidR="0062202B" w:rsidRPr="003A3CE5" w:rsidRDefault="0062202B" w:rsidP="005D3606">
            <w:pPr>
              <w:rPr>
                <w:rFonts w:ascii="Arial" w:hAnsi="Arial" w:cs="Arial"/>
                <w:sz w:val="20"/>
                <w:szCs w:val="20"/>
              </w:rPr>
            </w:pPr>
            <w:r w:rsidRPr="003A3CE5">
              <w:rPr>
                <w:rFonts w:ascii="Arial" w:hAnsi="Arial" w:cs="Arial"/>
                <w:sz w:val="20"/>
                <w:szCs w:val="20"/>
              </w:rPr>
              <w:t xml:space="preserve">UM eCQM </w:t>
            </w:r>
          </w:p>
          <w:p w14:paraId="56122814" w14:textId="77777777" w:rsidR="0062202B" w:rsidRPr="003A3CE5" w:rsidRDefault="0062202B" w:rsidP="005D3606">
            <w:pPr>
              <w:rPr>
                <w:rFonts w:ascii="Arial" w:hAnsi="Arial" w:cs="Arial"/>
                <w:sz w:val="20"/>
                <w:szCs w:val="20"/>
              </w:rPr>
            </w:pPr>
            <w:r w:rsidRPr="003A3CE5">
              <w:rPr>
                <w:rFonts w:ascii="Arial" w:hAnsi="Arial" w:cs="Arial"/>
                <w:sz w:val="20"/>
                <w:szCs w:val="20"/>
              </w:rPr>
              <w:t>5-5.5</w:t>
            </w:r>
          </w:p>
        </w:tc>
        <w:tc>
          <w:tcPr>
            <w:tcW w:w="535" w:type="pct"/>
            <w:shd w:val="clear" w:color="auto" w:fill="auto"/>
            <w:vAlign w:val="center"/>
          </w:tcPr>
          <w:p w14:paraId="11987E08" w14:textId="77777777" w:rsidR="0062202B" w:rsidRPr="00660DA4" w:rsidRDefault="0062202B" w:rsidP="005D3606">
            <w:pPr>
              <w:jc w:val="center"/>
              <w:rPr>
                <w:rFonts w:ascii="Arial" w:hAnsi="Arial" w:cs="Arial"/>
                <w:sz w:val="20"/>
                <w:szCs w:val="20"/>
              </w:rPr>
            </w:pPr>
            <w:r w:rsidRPr="00660DA4">
              <w:rPr>
                <w:rFonts w:ascii="Arial" w:hAnsi="Arial" w:cs="Arial"/>
                <w:sz w:val="20"/>
                <w:szCs w:val="20"/>
              </w:rPr>
              <w:t>1 (0.2</w:t>
            </w:r>
            <w:r>
              <w:rPr>
                <w:rFonts w:ascii="Arial" w:hAnsi="Arial" w:cs="Arial"/>
                <w:sz w:val="20"/>
                <w:szCs w:val="20"/>
              </w:rPr>
              <w:t>%</w:t>
            </w:r>
            <w:r w:rsidRPr="00660DA4">
              <w:rPr>
                <w:rFonts w:ascii="Arial" w:hAnsi="Arial" w:cs="Arial"/>
                <w:sz w:val="20"/>
                <w:szCs w:val="20"/>
              </w:rPr>
              <w:t>)</w:t>
            </w:r>
          </w:p>
        </w:tc>
        <w:tc>
          <w:tcPr>
            <w:tcW w:w="536" w:type="pct"/>
            <w:shd w:val="clear" w:color="auto" w:fill="auto"/>
            <w:vAlign w:val="center"/>
          </w:tcPr>
          <w:p w14:paraId="2227A890" w14:textId="77777777" w:rsidR="0062202B" w:rsidRPr="00660DA4" w:rsidRDefault="0062202B" w:rsidP="005D3606">
            <w:pPr>
              <w:jc w:val="center"/>
              <w:rPr>
                <w:rFonts w:ascii="Arial" w:hAnsi="Arial" w:cs="Arial"/>
                <w:sz w:val="20"/>
                <w:szCs w:val="20"/>
              </w:rPr>
            </w:pPr>
            <w:r w:rsidRPr="00660DA4">
              <w:rPr>
                <w:rFonts w:ascii="Arial" w:hAnsi="Arial" w:cs="Arial"/>
                <w:sz w:val="20"/>
                <w:szCs w:val="20"/>
              </w:rPr>
              <w:t>0</w:t>
            </w:r>
          </w:p>
        </w:tc>
        <w:tc>
          <w:tcPr>
            <w:tcW w:w="536" w:type="pct"/>
            <w:shd w:val="clear" w:color="auto" w:fill="auto"/>
            <w:vAlign w:val="center"/>
          </w:tcPr>
          <w:p w14:paraId="667A63DE" w14:textId="77777777" w:rsidR="0062202B" w:rsidRPr="00660DA4" w:rsidRDefault="0062202B" w:rsidP="005D3606">
            <w:pPr>
              <w:jc w:val="center"/>
              <w:rPr>
                <w:rFonts w:ascii="Arial" w:hAnsi="Arial" w:cs="Arial"/>
                <w:sz w:val="20"/>
                <w:szCs w:val="20"/>
              </w:rPr>
            </w:pPr>
            <w:r w:rsidRPr="00660DA4">
              <w:rPr>
                <w:rFonts w:ascii="Arial" w:hAnsi="Arial" w:cs="Arial"/>
                <w:sz w:val="20"/>
                <w:szCs w:val="20"/>
              </w:rPr>
              <w:t>1 (0.2</w:t>
            </w:r>
            <w:r>
              <w:rPr>
                <w:rFonts w:ascii="Arial" w:hAnsi="Arial" w:cs="Arial"/>
                <w:sz w:val="20"/>
                <w:szCs w:val="20"/>
              </w:rPr>
              <w:t>%</w:t>
            </w:r>
            <w:r w:rsidRPr="00660DA4">
              <w:rPr>
                <w:rFonts w:ascii="Arial" w:hAnsi="Arial" w:cs="Arial"/>
                <w:sz w:val="20"/>
                <w:szCs w:val="20"/>
              </w:rPr>
              <w:t>)</w:t>
            </w:r>
          </w:p>
        </w:tc>
        <w:tc>
          <w:tcPr>
            <w:tcW w:w="536" w:type="pct"/>
            <w:shd w:val="clear" w:color="auto" w:fill="auto"/>
            <w:vAlign w:val="center"/>
          </w:tcPr>
          <w:p w14:paraId="00562766" w14:textId="77777777" w:rsidR="0062202B" w:rsidRPr="00660DA4" w:rsidRDefault="0062202B" w:rsidP="005D3606">
            <w:pPr>
              <w:jc w:val="center"/>
              <w:rPr>
                <w:rFonts w:ascii="Arial" w:hAnsi="Arial" w:cs="Arial"/>
                <w:sz w:val="20"/>
                <w:szCs w:val="20"/>
              </w:rPr>
            </w:pPr>
            <w:r w:rsidRPr="00660DA4">
              <w:rPr>
                <w:rFonts w:ascii="Arial" w:hAnsi="Arial" w:cs="Arial"/>
                <w:sz w:val="20"/>
                <w:szCs w:val="20"/>
              </w:rPr>
              <w:t>0</w:t>
            </w:r>
          </w:p>
        </w:tc>
        <w:tc>
          <w:tcPr>
            <w:tcW w:w="536" w:type="pct"/>
            <w:shd w:val="clear" w:color="auto" w:fill="FFFF99"/>
            <w:vAlign w:val="center"/>
          </w:tcPr>
          <w:p w14:paraId="04322F2D" w14:textId="29A28962" w:rsidR="0062202B" w:rsidRPr="00660DA4" w:rsidRDefault="00762ED5" w:rsidP="005D3606">
            <w:pPr>
              <w:jc w:val="center"/>
              <w:rPr>
                <w:rFonts w:ascii="Arial" w:hAnsi="Arial" w:cs="Arial"/>
                <w:sz w:val="20"/>
                <w:szCs w:val="20"/>
              </w:rPr>
            </w:pPr>
            <w:r w:rsidRPr="00660DA4">
              <w:rPr>
                <w:rFonts w:ascii="Arial" w:hAnsi="Arial" w:cs="Arial"/>
                <w:sz w:val="20"/>
                <w:szCs w:val="20"/>
              </w:rPr>
              <w:t>1 (0.2</w:t>
            </w:r>
            <w:r>
              <w:rPr>
                <w:rFonts w:ascii="Arial" w:hAnsi="Arial" w:cs="Arial"/>
                <w:sz w:val="20"/>
                <w:szCs w:val="20"/>
              </w:rPr>
              <w:t>%</w:t>
            </w:r>
            <w:r w:rsidRPr="00660DA4">
              <w:rPr>
                <w:rFonts w:ascii="Arial" w:hAnsi="Arial" w:cs="Arial"/>
                <w:sz w:val="20"/>
                <w:szCs w:val="20"/>
              </w:rPr>
              <w:t>)</w:t>
            </w:r>
          </w:p>
        </w:tc>
        <w:tc>
          <w:tcPr>
            <w:tcW w:w="536" w:type="pct"/>
            <w:shd w:val="clear" w:color="auto" w:fill="4EA72E" w:themeFill="accent6"/>
            <w:vAlign w:val="center"/>
          </w:tcPr>
          <w:p w14:paraId="144890E4" w14:textId="77777777" w:rsidR="0062202B" w:rsidRPr="00660DA4" w:rsidRDefault="0062202B" w:rsidP="005D3606">
            <w:pPr>
              <w:jc w:val="center"/>
              <w:rPr>
                <w:rFonts w:ascii="Arial" w:hAnsi="Arial" w:cs="Arial"/>
                <w:sz w:val="20"/>
                <w:szCs w:val="20"/>
              </w:rPr>
            </w:pPr>
            <w:r w:rsidRPr="00660DA4">
              <w:rPr>
                <w:rFonts w:ascii="Arial" w:hAnsi="Arial" w:cs="Arial"/>
                <w:sz w:val="20"/>
                <w:szCs w:val="20"/>
              </w:rPr>
              <w:t>74 (16.2%)</w:t>
            </w:r>
          </w:p>
        </w:tc>
        <w:tc>
          <w:tcPr>
            <w:tcW w:w="536" w:type="pct"/>
            <w:shd w:val="clear" w:color="auto" w:fill="FFFF99"/>
            <w:vAlign w:val="center"/>
          </w:tcPr>
          <w:p w14:paraId="3EEB3DE0" w14:textId="214AAD2B" w:rsidR="0062202B" w:rsidRPr="00660DA4" w:rsidRDefault="00762ED5" w:rsidP="005D3606">
            <w:pPr>
              <w:jc w:val="center"/>
              <w:rPr>
                <w:rFonts w:ascii="Arial" w:hAnsi="Arial" w:cs="Arial"/>
                <w:sz w:val="20"/>
                <w:szCs w:val="20"/>
              </w:rPr>
            </w:pPr>
            <w:r w:rsidRPr="00660DA4">
              <w:rPr>
                <w:rFonts w:ascii="Arial" w:hAnsi="Arial" w:cs="Arial"/>
                <w:sz w:val="20"/>
                <w:szCs w:val="20"/>
              </w:rPr>
              <w:t>0</w:t>
            </w:r>
          </w:p>
        </w:tc>
        <w:tc>
          <w:tcPr>
            <w:tcW w:w="536" w:type="pct"/>
            <w:shd w:val="clear" w:color="auto" w:fill="auto"/>
            <w:vAlign w:val="center"/>
          </w:tcPr>
          <w:p w14:paraId="61B19320" w14:textId="77777777" w:rsidR="0062202B" w:rsidRPr="00660DA4" w:rsidRDefault="0062202B" w:rsidP="005D3606">
            <w:pPr>
              <w:jc w:val="center"/>
              <w:rPr>
                <w:rFonts w:ascii="Arial" w:hAnsi="Arial" w:cs="Arial"/>
                <w:sz w:val="20"/>
                <w:szCs w:val="20"/>
              </w:rPr>
            </w:pPr>
            <w:r w:rsidRPr="00660DA4">
              <w:rPr>
                <w:rFonts w:ascii="Arial" w:hAnsi="Arial" w:cs="Arial"/>
                <w:sz w:val="20"/>
                <w:szCs w:val="20"/>
              </w:rPr>
              <w:t>0</w:t>
            </w:r>
          </w:p>
        </w:tc>
      </w:tr>
      <w:tr w:rsidR="00AF4DB5" w:rsidRPr="003A3CE5" w14:paraId="7C8D263E" w14:textId="77777777" w:rsidTr="004C3D07">
        <w:trPr>
          <w:cantSplit/>
        </w:trPr>
        <w:tc>
          <w:tcPr>
            <w:tcW w:w="713" w:type="pct"/>
            <w:shd w:val="clear" w:color="auto" w:fill="auto"/>
          </w:tcPr>
          <w:p w14:paraId="0DBBF795" w14:textId="77777777" w:rsidR="0062202B" w:rsidRPr="003A3CE5" w:rsidRDefault="0062202B" w:rsidP="005D3606">
            <w:pPr>
              <w:rPr>
                <w:rFonts w:ascii="Arial" w:hAnsi="Arial" w:cs="Arial"/>
                <w:sz w:val="20"/>
                <w:szCs w:val="20"/>
              </w:rPr>
            </w:pPr>
            <w:r w:rsidRPr="003A3CE5">
              <w:rPr>
                <w:rFonts w:ascii="Arial" w:hAnsi="Arial" w:cs="Arial"/>
                <w:sz w:val="20"/>
                <w:szCs w:val="20"/>
              </w:rPr>
              <w:t xml:space="preserve">UM eCQM </w:t>
            </w:r>
          </w:p>
          <w:p w14:paraId="7F15C2C0" w14:textId="77777777" w:rsidR="0062202B" w:rsidRPr="003A3CE5" w:rsidRDefault="0062202B" w:rsidP="005D3606">
            <w:pPr>
              <w:rPr>
                <w:rFonts w:ascii="Arial" w:hAnsi="Arial" w:cs="Arial"/>
                <w:sz w:val="20"/>
                <w:szCs w:val="20"/>
              </w:rPr>
            </w:pPr>
            <w:r w:rsidRPr="003A3CE5">
              <w:rPr>
                <w:rFonts w:ascii="Arial" w:hAnsi="Arial" w:cs="Arial"/>
                <w:sz w:val="20"/>
                <w:szCs w:val="20"/>
              </w:rPr>
              <w:t>6-6.5</w:t>
            </w:r>
          </w:p>
        </w:tc>
        <w:tc>
          <w:tcPr>
            <w:tcW w:w="535" w:type="pct"/>
            <w:shd w:val="clear" w:color="auto" w:fill="auto"/>
            <w:vAlign w:val="center"/>
          </w:tcPr>
          <w:p w14:paraId="00DD45BA" w14:textId="77777777" w:rsidR="0062202B" w:rsidRPr="00660DA4" w:rsidRDefault="0062202B" w:rsidP="005D3606">
            <w:pPr>
              <w:jc w:val="center"/>
              <w:rPr>
                <w:rFonts w:ascii="Arial" w:hAnsi="Arial" w:cs="Arial"/>
                <w:sz w:val="20"/>
                <w:szCs w:val="20"/>
              </w:rPr>
            </w:pPr>
            <w:r w:rsidRPr="00660DA4">
              <w:rPr>
                <w:rFonts w:ascii="Arial" w:hAnsi="Arial" w:cs="Arial"/>
                <w:sz w:val="20"/>
                <w:szCs w:val="20"/>
              </w:rPr>
              <w:t>0</w:t>
            </w:r>
          </w:p>
        </w:tc>
        <w:tc>
          <w:tcPr>
            <w:tcW w:w="536" w:type="pct"/>
            <w:shd w:val="clear" w:color="auto" w:fill="auto"/>
            <w:vAlign w:val="center"/>
          </w:tcPr>
          <w:p w14:paraId="43C89B5B" w14:textId="77777777" w:rsidR="0062202B" w:rsidRPr="00660DA4" w:rsidRDefault="0062202B" w:rsidP="005D3606">
            <w:pPr>
              <w:jc w:val="center"/>
              <w:rPr>
                <w:rFonts w:ascii="Arial" w:hAnsi="Arial" w:cs="Arial"/>
                <w:sz w:val="20"/>
                <w:szCs w:val="20"/>
              </w:rPr>
            </w:pPr>
            <w:r w:rsidRPr="00660DA4">
              <w:rPr>
                <w:rFonts w:ascii="Arial" w:hAnsi="Arial" w:cs="Arial"/>
                <w:sz w:val="20"/>
                <w:szCs w:val="20"/>
              </w:rPr>
              <w:t>0</w:t>
            </w:r>
          </w:p>
        </w:tc>
        <w:tc>
          <w:tcPr>
            <w:tcW w:w="536" w:type="pct"/>
            <w:shd w:val="clear" w:color="auto" w:fill="auto"/>
            <w:vAlign w:val="center"/>
          </w:tcPr>
          <w:p w14:paraId="01FCC10A" w14:textId="77777777" w:rsidR="0062202B" w:rsidRPr="00660DA4" w:rsidRDefault="0062202B" w:rsidP="005D3606">
            <w:pPr>
              <w:jc w:val="center"/>
              <w:rPr>
                <w:rFonts w:ascii="Arial" w:hAnsi="Arial" w:cs="Arial"/>
                <w:sz w:val="20"/>
                <w:szCs w:val="20"/>
              </w:rPr>
            </w:pPr>
            <w:r w:rsidRPr="00660DA4">
              <w:rPr>
                <w:rFonts w:ascii="Arial" w:hAnsi="Arial" w:cs="Arial"/>
                <w:sz w:val="20"/>
                <w:szCs w:val="20"/>
              </w:rPr>
              <w:t>1 (0.2</w:t>
            </w:r>
            <w:r>
              <w:rPr>
                <w:rFonts w:ascii="Arial" w:hAnsi="Arial" w:cs="Arial"/>
                <w:sz w:val="20"/>
                <w:szCs w:val="20"/>
              </w:rPr>
              <w:t>%</w:t>
            </w:r>
            <w:r w:rsidRPr="00660DA4">
              <w:rPr>
                <w:rFonts w:ascii="Arial" w:hAnsi="Arial" w:cs="Arial"/>
                <w:sz w:val="20"/>
                <w:szCs w:val="20"/>
              </w:rPr>
              <w:t>)</w:t>
            </w:r>
          </w:p>
        </w:tc>
        <w:tc>
          <w:tcPr>
            <w:tcW w:w="536" w:type="pct"/>
            <w:shd w:val="clear" w:color="auto" w:fill="auto"/>
            <w:vAlign w:val="center"/>
          </w:tcPr>
          <w:p w14:paraId="58864671" w14:textId="77777777" w:rsidR="0062202B" w:rsidRPr="00660DA4" w:rsidRDefault="0062202B" w:rsidP="005D3606">
            <w:pPr>
              <w:jc w:val="center"/>
              <w:rPr>
                <w:rFonts w:ascii="Arial" w:hAnsi="Arial" w:cs="Arial"/>
                <w:sz w:val="20"/>
                <w:szCs w:val="20"/>
              </w:rPr>
            </w:pPr>
            <w:r w:rsidRPr="00660DA4">
              <w:rPr>
                <w:rFonts w:ascii="Arial" w:hAnsi="Arial" w:cs="Arial"/>
                <w:sz w:val="20"/>
                <w:szCs w:val="20"/>
              </w:rPr>
              <w:t>0</w:t>
            </w:r>
          </w:p>
        </w:tc>
        <w:tc>
          <w:tcPr>
            <w:tcW w:w="536" w:type="pct"/>
            <w:shd w:val="clear" w:color="auto" w:fill="auto"/>
            <w:vAlign w:val="center"/>
          </w:tcPr>
          <w:p w14:paraId="32494488" w14:textId="77777777" w:rsidR="0062202B" w:rsidRPr="00660DA4" w:rsidRDefault="0062202B" w:rsidP="005D3606">
            <w:pPr>
              <w:jc w:val="center"/>
              <w:rPr>
                <w:rFonts w:ascii="Arial" w:hAnsi="Arial" w:cs="Arial"/>
                <w:sz w:val="20"/>
                <w:szCs w:val="20"/>
              </w:rPr>
            </w:pPr>
            <w:r w:rsidRPr="00660DA4">
              <w:rPr>
                <w:rFonts w:ascii="Arial" w:hAnsi="Arial" w:cs="Arial"/>
                <w:sz w:val="20"/>
                <w:szCs w:val="20"/>
              </w:rPr>
              <w:t>0</w:t>
            </w:r>
          </w:p>
        </w:tc>
        <w:tc>
          <w:tcPr>
            <w:tcW w:w="536" w:type="pct"/>
            <w:shd w:val="clear" w:color="auto" w:fill="FFFF99"/>
            <w:vAlign w:val="center"/>
          </w:tcPr>
          <w:p w14:paraId="3FD6D9F7" w14:textId="0F404796" w:rsidR="0062202B" w:rsidRPr="00660DA4" w:rsidRDefault="00762ED5" w:rsidP="005D3606">
            <w:pPr>
              <w:jc w:val="center"/>
              <w:rPr>
                <w:rFonts w:ascii="Arial" w:hAnsi="Arial" w:cs="Arial"/>
                <w:sz w:val="20"/>
                <w:szCs w:val="20"/>
              </w:rPr>
            </w:pPr>
            <w:r w:rsidRPr="00660DA4">
              <w:rPr>
                <w:rFonts w:ascii="Arial" w:hAnsi="Arial" w:cs="Arial"/>
                <w:sz w:val="20"/>
                <w:szCs w:val="20"/>
              </w:rPr>
              <w:t>0</w:t>
            </w:r>
          </w:p>
        </w:tc>
        <w:tc>
          <w:tcPr>
            <w:tcW w:w="536" w:type="pct"/>
            <w:shd w:val="clear" w:color="auto" w:fill="4EA72E" w:themeFill="accent6"/>
            <w:vAlign w:val="center"/>
          </w:tcPr>
          <w:p w14:paraId="3074BA4A" w14:textId="77777777" w:rsidR="0062202B" w:rsidRPr="00660DA4" w:rsidRDefault="0062202B" w:rsidP="005D3606">
            <w:pPr>
              <w:jc w:val="center"/>
              <w:rPr>
                <w:rFonts w:ascii="Arial" w:hAnsi="Arial" w:cs="Arial"/>
                <w:sz w:val="20"/>
                <w:szCs w:val="20"/>
              </w:rPr>
            </w:pPr>
            <w:r w:rsidRPr="00660DA4">
              <w:rPr>
                <w:rFonts w:ascii="Arial" w:hAnsi="Arial" w:cs="Arial"/>
                <w:sz w:val="20"/>
                <w:szCs w:val="20"/>
              </w:rPr>
              <w:t>19 (4.2%)</w:t>
            </w:r>
          </w:p>
        </w:tc>
        <w:tc>
          <w:tcPr>
            <w:tcW w:w="536" w:type="pct"/>
            <w:shd w:val="clear" w:color="auto" w:fill="FFFF99"/>
            <w:vAlign w:val="center"/>
          </w:tcPr>
          <w:p w14:paraId="091B6F65" w14:textId="2F006B0B" w:rsidR="0062202B" w:rsidRPr="00660DA4" w:rsidRDefault="00762ED5" w:rsidP="005D3606">
            <w:pPr>
              <w:jc w:val="center"/>
              <w:rPr>
                <w:rFonts w:ascii="Arial" w:hAnsi="Arial" w:cs="Arial"/>
                <w:sz w:val="20"/>
                <w:szCs w:val="20"/>
              </w:rPr>
            </w:pPr>
            <w:r w:rsidRPr="00660DA4">
              <w:rPr>
                <w:rFonts w:ascii="Arial" w:hAnsi="Arial" w:cs="Arial"/>
                <w:sz w:val="20"/>
                <w:szCs w:val="20"/>
              </w:rPr>
              <w:t>0</w:t>
            </w:r>
          </w:p>
        </w:tc>
      </w:tr>
      <w:tr w:rsidR="00AF4DB5" w:rsidRPr="003A3CE5" w14:paraId="65BF0106" w14:textId="77777777" w:rsidTr="004C3D07">
        <w:trPr>
          <w:cantSplit/>
        </w:trPr>
        <w:tc>
          <w:tcPr>
            <w:tcW w:w="713" w:type="pct"/>
            <w:shd w:val="clear" w:color="auto" w:fill="auto"/>
          </w:tcPr>
          <w:p w14:paraId="4E010D56" w14:textId="77777777" w:rsidR="0062202B" w:rsidRPr="003A3CE5" w:rsidRDefault="0062202B" w:rsidP="005D3606">
            <w:pPr>
              <w:rPr>
                <w:rFonts w:ascii="Arial" w:hAnsi="Arial" w:cs="Arial"/>
                <w:sz w:val="20"/>
                <w:szCs w:val="20"/>
              </w:rPr>
            </w:pPr>
            <w:r w:rsidRPr="003A3CE5">
              <w:rPr>
                <w:rFonts w:ascii="Arial" w:hAnsi="Arial" w:cs="Arial"/>
                <w:sz w:val="20"/>
                <w:szCs w:val="20"/>
              </w:rPr>
              <w:t xml:space="preserve">UM eCQM </w:t>
            </w:r>
          </w:p>
          <w:p w14:paraId="19697CFA" w14:textId="77777777" w:rsidR="0062202B" w:rsidRPr="003A3CE5" w:rsidRDefault="0062202B" w:rsidP="005D3606">
            <w:pPr>
              <w:rPr>
                <w:rFonts w:ascii="Arial" w:hAnsi="Arial" w:cs="Arial"/>
                <w:sz w:val="20"/>
                <w:szCs w:val="20"/>
              </w:rPr>
            </w:pPr>
            <w:r w:rsidRPr="003A3CE5">
              <w:rPr>
                <w:rFonts w:ascii="Arial" w:hAnsi="Arial" w:cs="Arial"/>
                <w:sz w:val="20"/>
                <w:szCs w:val="20"/>
              </w:rPr>
              <w:t>&gt;6.5</w:t>
            </w:r>
          </w:p>
        </w:tc>
        <w:tc>
          <w:tcPr>
            <w:tcW w:w="535" w:type="pct"/>
            <w:shd w:val="clear" w:color="auto" w:fill="auto"/>
            <w:vAlign w:val="center"/>
          </w:tcPr>
          <w:p w14:paraId="7EEC4966" w14:textId="77777777" w:rsidR="0062202B" w:rsidRPr="00660DA4" w:rsidRDefault="0062202B" w:rsidP="005D3606">
            <w:pPr>
              <w:jc w:val="center"/>
              <w:rPr>
                <w:rFonts w:ascii="Arial" w:hAnsi="Arial" w:cs="Arial"/>
                <w:sz w:val="20"/>
                <w:szCs w:val="20"/>
              </w:rPr>
            </w:pPr>
            <w:r w:rsidRPr="00660DA4">
              <w:rPr>
                <w:rFonts w:ascii="Arial" w:hAnsi="Arial" w:cs="Arial"/>
                <w:sz w:val="20"/>
                <w:szCs w:val="20"/>
              </w:rPr>
              <w:t>3 (0.7%)</w:t>
            </w:r>
          </w:p>
        </w:tc>
        <w:tc>
          <w:tcPr>
            <w:tcW w:w="536" w:type="pct"/>
            <w:shd w:val="clear" w:color="auto" w:fill="auto"/>
            <w:vAlign w:val="center"/>
          </w:tcPr>
          <w:p w14:paraId="49C8D24E" w14:textId="77777777" w:rsidR="0062202B" w:rsidRPr="00660DA4" w:rsidRDefault="0062202B" w:rsidP="005D3606">
            <w:pPr>
              <w:jc w:val="center"/>
              <w:rPr>
                <w:rFonts w:ascii="Arial" w:hAnsi="Arial" w:cs="Arial"/>
                <w:sz w:val="20"/>
                <w:szCs w:val="20"/>
              </w:rPr>
            </w:pPr>
            <w:r w:rsidRPr="00660DA4">
              <w:rPr>
                <w:rFonts w:ascii="Arial" w:hAnsi="Arial" w:cs="Arial"/>
                <w:sz w:val="20"/>
                <w:szCs w:val="20"/>
              </w:rPr>
              <w:t>0</w:t>
            </w:r>
          </w:p>
        </w:tc>
        <w:tc>
          <w:tcPr>
            <w:tcW w:w="536" w:type="pct"/>
            <w:shd w:val="clear" w:color="auto" w:fill="auto"/>
            <w:vAlign w:val="center"/>
          </w:tcPr>
          <w:p w14:paraId="3838C4BE" w14:textId="77777777" w:rsidR="0062202B" w:rsidRPr="00660DA4" w:rsidRDefault="0062202B" w:rsidP="005D3606">
            <w:pPr>
              <w:jc w:val="center"/>
              <w:rPr>
                <w:rFonts w:ascii="Arial" w:hAnsi="Arial" w:cs="Arial"/>
                <w:sz w:val="20"/>
                <w:szCs w:val="20"/>
              </w:rPr>
            </w:pPr>
            <w:r w:rsidRPr="00660DA4">
              <w:rPr>
                <w:rFonts w:ascii="Arial" w:hAnsi="Arial" w:cs="Arial"/>
                <w:sz w:val="20"/>
                <w:szCs w:val="20"/>
              </w:rPr>
              <w:t>0</w:t>
            </w:r>
          </w:p>
        </w:tc>
        <w:tc>
          <w:tcPr>
            <w:tcW w:w="536" w:type="pct"/>
            <w:shd w:val="clear" w:color="auto" w:fill="auto"/>
            <w:vAlign w:val="center"/>
          </w:tcPr>
          <w:p w14:paraId="74E06EA8" w14:textId="77777777" w:rsidR="0062202B" w:rsidRPr="00660DA4" w:rsidRDefault="0062202B" w:rsidP="005D3606">
            <w:pPr>
              <w:jc w:val="center"/>
              <w:rPr>
                <w:rFonts w:ascii="Arial" w:hAnsi="Arial" w:cs="Arial"/>
                <w:sz w:val="20"/>
                <w:szCs w:val="20"/>
              </w:rPr>
            </w:pPr>
            <w:r w:rsidRPr="00660DA4">
              <w:rPr>
                <w:rFonts w:ascii="Arial" w:hAnsi="Arial" w:cs="Arial"/>
                <w:sz w:val="20"/>
                <w:szCs w:val="20"/>
              </w:rPr>
              <w:t>1 (0.2)</w:t>
            </w:r>
          </w:p>
        </w:tc>
        <w:tc>
          <w:tcPr>
            <w:tcW w:w="536" w:type="pct"/>
            <w:shd w:val="clear" w:color="auto" w:fill="auto"/>
            <w:vAlign w:val="center"/>
          </w:tcPr>
          <w:p w14:paraId="610227BA" w14:textId="77777777" w:rsidR="0062202B" w:rsidRPr="00660DA4" w:rsidRDefault="0062202B" w:rsidP="005D3606">
            <w:pPr>
              <w:jc w:val="center"/>
              <w:rPr>
                <w:rFonts w:ascii="Arial" w:hAnsi="Arial" w:cs="Arial"/>
                <w:sz w:val="20"/>
                <w:szCs w:val="20"/>
              </w:rPr>
            </w:pPr>
            <w:r w:rsidRPr="00660DA4">
              <w:rPr>
                <w:rFonts w:ascii="Arial" w:hAnsi="Arial" w:cs="Arial"/>
                <w:sz w:val="20"/>
                <w:szCs w:val="20"/>
              </w:rPr>
              <w:t>0</w:t>
            </w:r>
          </w:p>
        </w:tc>
        <w:tc>
          <w:tcPr>
            <w:tcW w:w="536" w:type="pct"/>
            <w:shd w:val="clear" w:color="auto" w:fill="auto"/>
            <w:vAlign w:val="center"/>
          </w:tcPr>
          <w:p w14:paraId="2ABAFEC9" w14:textId="77777777" w:rsidR="0062202B" w:rsidRPr="00660DA4" w:rsidRDefault="0062202B" w:rsidP="005D3606">
            <w:pPr>
              <w:jc w:val="center"/>
              <w:rPr>
                <w:rFonts w:ascii="Arial" w:hAnsi="Arial" w:cs="Arial"/>
                <w:sz w:val="20"/>
                <w:szCs w:val="20"/>
              </w:rPr>
            </w:pPr>
            <w:r w:rsidRPr="00660DA4">
              <w:rPr>
                <w:rFonts w:ascii="Arial" w:hAnsi="Arial" w:cs="Arial"/>
                <w:sz w:val="20"/>
                <w:szCs w:val="20"/>
              </w:rPr>
              <w:t>1 (0.2</w:t>
            </w:r>
            <w:r>
              <w:rPr>
                <w:rFonts w:ascii="Arial" w:hAnsi="Arial" w:cs="Arial"/>
                <w:sz w:val="20"/>
                <w:szCs w:val="20"/>
              </w:rPr>
              <w:t>%</w:t>
            </w:r>
            <w:r w:rsidRPr="00660DA4">
              <w:rPr>
                <w:rFonts w:ascii="Arial" w:hAnsi="Arial" w:cs="Arial"/>
                <w:sz w:val="20"/>
                <w:szCs w:val="20"/>
              </w:rPr>
              <w:t>)</w:t>
            </w:r>
          </w:p>
        </w:tc>
        <w:tc>
          <w:tcPr>
            <w:tcW w:w="536" w:type="pct"/>
            <w:shd w:val="clear" w:color="auto" w:fill="FFFF99"/>
            <w:vAlign w:val="center"/>
          </w:tcPr>
          <w:p w14:paraId="62CD344B" w14:textId="14E94685" w:rsidR="0062202B" w:rsidRPr="00660DA4" w:rsidRDefault="00762ED5" w:rsidP="005D3606">
            <w:pPr>
              <w:jc w:val="center"/>
              <w:rPr>
                <w:rFonts w:ascii="Arial" w:hAnsi="Arial" w:cs="Arial"/>
                <w:sz w:val="20"/>
                <w:szCs w:val="20"/>
              </w:rPr>
            </w:pPr>
            <w:r w:rsidRPr="00660DA4">
              <w:rPr>
                <w:rFonts w:ascii="Arial" w:hAnsi="Arial" w:cs="Arial"/>
                <w:sz w:val="20"/>
                <w:szCs w:val="20"/>
              </w:rPr>
              <w:t>0</w:t>
            </w:r>
          </w:p>
        </w:tc>
        <w:tc>
          <w:tcPr>
            <w:tcW w:w="536" w:type="pct"/>
            <w:shd w:val="clear" w:color="auto" w:fill="4EA72E" w:themeFill="accent6"/>
            <w:vAlign w:val="center"/>
          </w:tcPr>
          <w:p w14:paraId="755C01D3" w14:textId="77777777" w:rsidR="0062202B" w:rsidRPr="00660DA4" w:rsidRDefault="0062202B" w:rsidP="005D3606">
            <w:pPr>
              <w:jc w:val="center"/>
              <w:rPr>
                <w:rFonts w:ascii="Arial" w:hAnsi="Arial" w:cs="Arial"/>
                <w:sz w:val="20"/>
                <w:szCs w:val="20"/>
              </w:rPr>
            </w:pPr>
            <w:r w:rsidRPr="00660DA4">
              <w:rPr>
                <w:rFonts w:ascii="Arial" w:hAnsi="Arial" w:cs="Arial"/>
                <w:sz w:val="20"/>
                <w:szCs w:val="20"/>
              </w:rPr>
              <w:t>32 (7.0%)</w:t>
            </w:r>
          </w:p>
        </w:tc>
      </w:tr>
    </w:tbl>
    <w:p w14:paraId="2DAF6F3A" w14:textId="2983BD1A" w:rsidR="00E752DD" w:rsidRDefault="00E752DD" w:rsidP="00E752DD">
      <w:pPr>
        <w:spacing w:before="120" w:after="0" w:line="264" w:lineRule="auto"/>
        <w:rPr>
          <w:rFonts w:ascii="Arial" w:hAnsi="Arial" w:cs="Arial"/>
          <w:sz w:val="18"/>
          <w:szCs w:val="18"/>
        </w:rPr>
      </w:pPr>
      <w:r w:rsidRPr="00E752DD">
        <w:rPr>
          <w:rFonts w:ascii="Arial" w:hAnsi="Arial" w:cs="Arial"/>
          <w:sz w:val="18"/>
          <w:szCs w:val="18"/>
        </w:rPr>
        <w:t xml:space="preserve">427/458 (93.2%) </w:t>
      </w:r>
      <w:r w:rsidRPr="00FB693F">
        <w:rPr>
          <w:rFonts w:ascii="Arial" w:hAnsi="Arial" w:cs="Arial"/>
          <w:sz w:val="18"/>
          <w:szCs w:val="18"/>
        </w:rPr>
        <w:t>in green were accurate within a ½ day</w:t>
      </w:r>
      <w:r>
        <w:rPr>
          <w:rFonts w:ascii="Arial" w:hAnsi="Arial" w:cs="Arial"/>
          <w:sz w:val="18"/>
          <w:szCs w:val="18"/>
        </w:rPr>
        <w:t xml:space="preserve">; </w:t>
      </w:r>
      <w:r w:rsidRPr="003A3CE5">
        <w:rPr>
          <w:rFonts w:ascii="Arial" w:hAnsi="Arial" w:cs="Arial"/>
          <w:sz w:val="20"/>
          <w:szCs w:val="20"/>
        </w:rPr>
        <w:t xml:space="preserve">435/458 (95.0%) </w:t>
      </w:r>
      <w:r w:rsidRPr="00FB693F">
        <w:rPr>
          <w:rFonts w:ascii="Arial" w:hAnsi="Arial" w:cs="Arial"/>
          <w:sz w:val="18"/>
          <w:szCs w:val="18"/>
        </w:rPr>
        <w:t>green/yellow were accurate within 1.5 days</w:t>
      </w:r>
    </w:p>
    <w:p w14:paraId="3E4AD298" w14:textId="6A8AA5D6" w:rsidR="00E752DD" w:rsidRPr="00FB693F" w:rsidRDefault="00E752DD" w:rsidP="00E752DD">
      <w:pPr>
        <w:spacing w:after="0" w:line="264" w:lineRule="auto"/>
        <w:rPr>
          <w:rFonts w:ascii="Arial" w:hAnsi="Arial" w:cs="Arial"/>
          <w:sz w:val="18"/>
          <w:szCs w:val="18"/>
        </w:rPr>
      </w:pPr>
      <w:bookmarkStart w:id="1" w:name="_Hlk181282620"/>
      <w:r>
        <w:rPr>
          <w:rFonts w:ascii="Arial" w:hAnsi="Arial" w:cs="Arial"/>
          <w:sz w:val="18"/>
          <w:szCs w:val="18"/>
        </w:rPr>
        <w:t xml:space="preserve">Abbreviations: </w:t>
      </w:r>
      <w:r w:rsidR="00917DED">
        <w:rPr>
          <w:rFonts w:ascii="Arial" w:hAnsi="Arial" w:cs="Arial"/>
          <w:sz w:val="18"/>
          <w:szCs w:val="18"/>
        </w:rPr>
        <w:t xml:space="preserve">CAP, community-acquired pneumonia; </w:t>
      </w:r>
      <w:r>
        <w:rPr>
          <w:rFonts w:ascii="Arial" w:hAnsi="Arial" w:cs="Arial"/>
          <w:sz w:val="18"/>
          <w:szCs w:val="18"/>
        </w:rPr>
        <w:t xml:space="preserve">UM, </w:t>
      </w:r>
      <w:r w:rsidRPr="00FB693F">
        <w:rPr>
          <w:rFonts w:ascii="Arial" w:hAnsi="Arial" w:cs="Arial"/>
          <w:sz w:val="18"/>
          <w:szCs w:val="18"/>
        </w:rPr>
        <w:t>University of Michigan</w:t>
      </w:r>
      <w:r>
        <w:rPr>
          <w:rFonts w:ascii="Arial" w:hAnsi="Arial" w:cs="Arial"/>
          <w:sz w:val="18"/>
          <w:szCs w:val="18"/>
        </w:rPr>
        <w:t>; HMS,</w:t>
      </w:r>
      <w:r w:rsidRPr="00FB693F">
        <w:rPr>
          <w:rFonts w:ascii="Arial" w:hAnsi="Arial" w:cs="Arial"/>
          <w:sz w:val="18"/>
          <w:szCs w:val="18"/>
        </w:rPr>
        <w:t xml:space="preserve"> Michigan Hospital Medicine Safety Consortium </w:t>
      </w:r>
    </w:p>
    <w:bookmarkEnd w:id="1"/>
    <w:p w14:paraId="3562293B" w14:textId="77777777" w:rsidR="00E752DD" w:rsidRDefault="00E752DD" w:rsidP="00E752DD">
      <w:pPr>
        <w:spacing w:after="0" w:line="264" w:lineRule="auto"/>
        <w:rPr>
          <w:rFonts w:ascii="Arial" w:hAnsi="Arial" w:cs="Arial"/>
          <w:sz w:val="20"/>
          <w:szCs w:val="20"/>
        </w:rPr>
      </w:pPr>
    </w:p>
    <w:p w14:paraId="44BDDD05" w14:textId="77777777" w:rsidR="0062202B" w:rsidRDefault="0062202B" w:rsidP="0062202B">
      <w:pPr>
        <w:rPr>
          <w:rFonts w:ascii="Arial" w:hAnsi="Arial" w:cs="Arial"/>
          <w:sz w:val="20"/>
          <w:szCs w:val="20"/>
        </w:rPr>
      </w:pPr>
    </w:p>
    <w:p w14:paraId="42D4D5B1" w14:textId="67A8865B" w:rsidR="0062202B" w:rsidRPr="00917DED" w:rsidRDefault="0062202B" w:rsidP="0062202B">
      <w:pPr>
        <w:rPr>
          <w:rFonts w:ascii="Arial" w:hAnsi="Arial" w:cs="Arial"/>
          <w:sz w:val="22"/>
          <w:szCs w:val="22"/>
        </w:rPr>
      </w:pPr>
      <w:bookmarkStart w:id="2" w:name="_Hlk181282227"/>
      <w:r w:rsidRPr="00917DED">
        <w:rPr>
          <w:rFonts w:ascii="Arial" w:hAnsi="Arial" w:cs="Arial"/>
          <w:b/>
          <w:bCs/>
          <w:sz w:val="22"/>
          <w:szCs w:val="22"/>
        </w:rPr>
        <w:t>Table 16.</w:t>
      </w:r>
      <w:r w:rsidRPr="00917DED">
        <w:rPr>
          <w:rFonts w:ascii="Arial" w:hAnsi="Arial" w:cs="Arial"/>
          <w:sz w:val="22"/>
          <w:szCs w:val="22"/>
        </w:rPr>
        <w:t xml:space="preserve"> Sensitivity and Specificity</w:t>
      </w:r>
      <w:r w:rsidR="00917DED">
        <w:rPr>
          <w:rFonts w:ascii="Arial" w:hAnsi="Arial" w:cs="Arial"/>
          <w:sz w:val="22"/>
          <w:szCs w:val="22"/>
        </w:rPr>
        <w:t xml:space="preserve"> of </w:t>
      </w:r>
      <w:r w:rsidR="005A3625">
        <w:rPr>
          <w:rFonts w:ascii="Arial" w:hAnsi="Arial" w:cs="Arial"/>
          <w:sz w:val="22"/>
          <w:szCs w:val="22"/>
        </w:rPr>
        <w:t>the eCQM in assessing excess antibiotic duration</w:t>
      </w:r>
      <w:r w:rsidRPr="00917DED">
        <w:rPr>
          <w:rFonts w:ascii="Arial" w:hAnsi="Arial" w:cs="Arial"/>
          <w:sz w:val="22"/>
          <w:szCs w:val="22"/>
        </w:rPr>
        <w:t xml:space="preserve"> </w:t>
      </w:r>
    </w:p>
    <w:tbl>
      <w:tblPr>
        <w:tblStyle w:val="TableGrid"/>
        <w:tblW w:w="0" w:type="auto"/>
        <w:tblLook w:val="04A0" w:firstRow="1" w:lastRow="0" w:firstColumn="1" w:lastColumn="0" w:noHBand="0" w:noVBand="1"/>
        <w:tblCaption w:val="Table 16. Sensitivity and specificity of the eCQM in assessing excess antibiotic duration"/>
        <w:tblDescription w:val="In 450 hospitalized uncomplicated CAP patients, the percentage of excess antibiotic duration (i.e., &gt;= 7-day total antibiotic duraiton) of those eligible for a 5-day duration was compared using chart review (UM HMS, gold standard) and eCQM to determine sensitivity and specificity for the eCQM. Sensitivity was 96%, and specificity was 93%."/>
      </w:tblPr>
      <w:tblGrid>
        <w:gridCol w:w="2154"/>
        <w:gridCol w:w="1657"/>
        <w:gridCol w:w="1605"/>
        <w:gridCol w:w="2497"/>
        <w:gridCol w:w="2517"/>
      </w:tblGrid>
      <w:tr w:rsidR="00AF4DB5" w:rsidRPr="00215488" w14:paraId="1F0D8FAD" w14:textId="77777777" w:rsidTr="0078375B">
        <w:trPr>
          <w:cantSplit/>
          <w:tblHeader/>
        </w:trPr>
        <w:tc>
          <w:tcPr>
            <w:tcW w:w="0" w:type="auto"/>
            <w:vAlign w:val="center"/>
          </w:tcPr>
          <w:bookmarkEnd w:id="2"/>
          <w:p w14:paraId="7A16CF13" w14:textId="77777777" w:rsidR="0062202B" w:rsidRPr="00215488" w:rsidRDefault="0062202B" w:rsidP="005D3606">
            <w:pPr>
              <w:pStyle w:val="ListParagraph"/>
              <w:ind w:left="0"/>
              <w:rPr>
                <w:b/>
                <w:bCs/>
              </w:rPr>
            </w:pPr>
            <w:r>
              <w:rPr>
                <w:b/>
                <w:bCs/>
              </w:rPr>
              <w:t>n=450 patients</w:t>
            </w:r>
          </w:p>
        </w:tc>
        <w:tc>
          <w:tcPr>
            <w:tcW w:w="0" w:type="auto"/>
            <w:vAlign w:val="center"/>
          </w:tcPr>
          <w:p w14:paraId="35A80DEE" w14:textId="77777777" w:rsidR="00917DED" w:rsidRDefault="0062202B" w:rsidP="005D3606">
            <w:pPr>
              <w:pStyle w:val="ListParagraph"/>
              <w:ind w:left="0"/>
              <w:jc w:val="center"/>
              <w:rPr>
                <w:rFonts w:ascii="Aptos" w:hAnsi="Aptos" w:cs="Arial"/>
              </w:rPr>
            </w:pPr>
            <w:r w:rsidRPr="00AE2A13">
              <w:rPr>
                <w:rFonts w:ascii="Aptos" w:hAnsi="Aptos" w:cs="Arial"/>
              </w:rPr>
              <w:t xml:space="preserve">UM eCQM (electronic) </w:t>
            </w:r>
          </w:p>
          <w:p w14:paraId="5812FBB2" w14:textId="1794770E" w:rsidR="0062202B" w:rsidRPr="00215488" w:rsidRDefault="0062202B" w:rsidP="005D3606">
            <w:pPr>
              <w:pStyle w:val="ListParagraph"/>
              <w:ind w:left="0"/>
              <w:jc w:val="center"/>
            </w:pPr>
            <w:r w:rsidRPr="00AE2A13">
              <w:rPr>
                <w:rFonts w:ascii="Aptos" w:hAnsi="Aptos" w:cs="Arial"/>
              </w:rPr>
              <w:t>n (%)</w:t>
            </w:r>
          </w:p>
        </w:tc>
        <w:tc>
          <w:tcPr>
            <w:tcW w:w="0" w:type="auto"/>
            <w:vAlign w:val="center"/>
          </w:tcPr>
          <w:p w14:paraId="1628F5A5" w14:textId="77777777" w:rsidR="00917DED" w:rsidRDefault="0062202B" w:rsidP="005D3606">
            <w:pPr>
              <w:pStyle w:val="ListParagraph"/>
              <w:ind w:left="0"/>
              <w:jc w:val="center"/>
              <w:rPr>
                <w:rFonts w:ascii="Aptos" w:hAnsi="Aptos" w:cs="Arial"/>
              </w:rPr>
            </w:pPr>
            <w:r w:rsidRPr="00AE2A13">
              <w:rPr>
                <w:rFonts w:ascii="Aptos" w:hAnsi="Aptos" w:cs="Arial"/>
              </w:rPr>
              <w:t xml:space="preserve">UM HMS data (chart review) </w:t>
            </w:r>
          </w:p>
          <w:p w14:paraId="6B4EB5CD" w14:textId="0B2B45FF" w:rsidR="0062202B" w:rsidRPr="00215488" w:rsidRDefault="0062202B" w:rsidP="005D3606">
            <w:pPr>
              <w:pStyle w:val="ListParagraph"/>
              <w:ind w:left="0"/>
              <w:jc w:val="center"/>
            </w:pPr>
            <w:r w:rsidRPr="00AE2A13">
              <w:rPr>
                <w:rFonts w:ascii="Aptos" w:hAnsi="Aptos" w:cs="Arial"/>
              </w:rPr>
              <w:t>n (%)</w:t>
            </w:r>
          </w:p>
        </w:tc>
        <w:tc>
          <w:tcPr>
            <w:tcW w:w="0" w:type="auto"/>
            <w:shd w:val="clear" w:color="auto" w:fill="auto"/>
            <w:vAlign w:val="center"/>
          </w:tcPr>
          <w:p w14:paraId="45A16705" w14:textId="77777777" w:rsidR="0062202B" w:rsidRPr="00215488" w:rsidRDefault="0062202B" w:rsidP="005D3606">
            <w:pPr>
              <w:pStyle w:val="ListParagraph"/>
              <w:ind w:left="0"/>
              <w:jc w:val="center"/>
            </w:pPr>
            <w:r w:rsidRPr="00AE2A13">
              <w:rPr>
                <w:rFonts w:ascii="Aptos" w:hAnsi="Aptos" w:cs="Arial"/>
              </w:rPr>
              <w:t>Sensitivity of UM eCQM (vs. UM HMS chart review)</w:t>
            </w:r>
          </w:p>
        </w:tc>
        <w:tc>
          <w:tcPr>
            <w:tcW w:w="0" w:type="auto"/>
            <w:shd w:val="clear" w:color="auto" w:fill="auto"/>
            <w:vAlign w:val="center"/>
          </w:tcPr>
          <w:p w14:paraId="5BF9F3DF" w14:textId="14BFA7C9" w:rsidR="0062202B" w:rsidRPr="00215488" w:rsidRDefault="0062202B" w:rsidP="005D3606">
            <w:pPr>
              <w:pStyle w:val="ListParagraph"/>
              <w:ind w:left="0"/>
              <w:jc w:val="center"/>
            </w:pPr>
            <w:r w:rsidRPr="00AE2A13">
              <w:rPr>
                <w:rFonts w:ascii="Aptos" w:hAnsi="Aptos" w:cs="Arial"/>
              </w:rPr>
              <w:t xml:space="preserve">Specificity of UM eCQM </w:t>
            </w:r>
            <w:r w:rsidR="00917DED">
              <w:rPr>
                <w:rFonts w:ascii="Aptos" w:hAnsi="Aptos" w:cs="Arial"/>
              </w:rPr>
              <w:t>(vs. UM HMS chart review)</w:t>
            </w:r>
          </w:p>
        </w:tc>
      </w:tr>
      <w:tr w:rsidR="00AF4DB5" w14:paraId="1B2B186A" w14:textId="77777777" w:rsidTr="0078375B">
        <w:trPr>
          <w:cantSplit/>
        </w:trPr>
        <w:tc>
          <w:tcPr>
            <w:tcW w:w="0" w:type="auto"/>
            <w:vAlign w:val="center"/>
          </w:tcPr>
          <w:p w14:paraId="664D9545" w14:textId="77777777" w:rsidR="0062202B" w:rsidRPr="00215488" w:rsidRDefault="0062202B" w:rsidP="005D3606">
            <w:pPr>
              <w:pStyle w:val="ListParagraph"/>
              <w:ind w:left="0"/>
            </w:pPr>
            <w:r w:rsidRPr="00215488">
              <w:t>Receive</w:t>
            </w:r>
            <w:r>
              <w:t>d</w:t>
            </w:r>
            <w:r w:rsidRPr="00215488">
              <w:t xml:space="preserve"> </w:t>
            </w:r>
            <w:r w:rsidRPr="00215488">
              <w:rPr>
                <w:rFonts w:ascii="Corbel" w:hAnsi="Corbel"/>
              </w:rPr>
              <w:t>≥7</w:t>
            </w:r>
            <w:r w:rsidRPr="00215488">
              <w:t xml:space="preserve"> days total</w:t>
            </w:r>
            <w:r>
              <w:t xml:space="preserve"> antibiotic duration</w:t>
            </w:r>
          </w:p>
        </w:tc>
        <w:tc>
          <w:tcPr>
            <w:tcW w:w="0" w:type="auto"/>
            <w:vAlign w:val="center"/>
          </w:tcPr>
          <w:p w14:paraId="49646576" w14:textId="77777777" w:rsidR="0062202B" w:rsidRPr="00215488" w:rsidRDefault="0062202B" w:rsidP="005D3606">
            <w:pPr>
              <w:pStyle w:val="ListParagraph"/>
              <w:ind w:left="0"/>
              <w:jc w:val="center"/>
            </w:pPr>
            <w:r w:rsidRPr="00215488">
              <w:t>28</w:t>
            </w:r>
            <w:r>
              <w:t>1</w:t>
            </w:r>
            <w:r w:rsidRPr="00215488">
              <w:t xml:space="preserve"> (61</w:t>
            </w:r>
            <w:r>
              <w:t>.4</w:t>
            </w:r>
            <w:r w:rsidRPr="00215488">
              <w:t>%)</w:t>
            </w:r>
          </w:p>
        </w:tc>
        <w:tc>
          <w:tcPr>
            <w:tcW w:w="0" w:type="auto"/>
            <w:vAlign w:val="center"/>
          </w:tcPr>
          <w:p w14:paraId="2B954133" w14:textId="77777777" w:rsidR="0062202B" w:rsidRPr="00215488" w:rsidRDefault="0062202B" w:rsidP="005D3606">
            <w:pPr>
              <w:pStyle w:val="ListParagraph"/>
              <w:ind w:left="0"/>
              <w:jc w:val="center"/>
            </w:pPr>
            <w:r w:rsidRPr="00215488">
              <w:t>2</w:t>
            </w:r>
            <w:r>
              <w:t>7</w:t>
            </w:r>
            <w:r w:rsidRPr="00215488">
              <w:t>8 (6</w:t>
            </w:r>
            <w:r>
              <w:t>0.7</w:t>
            </w:r>
            <w:r w:rsidRPr="00215488">
              <w:t>%)</w:t>
            </w:r>
          </w:p>
        </w:tc>
        <w:tc>
          <w:tcPr>
            <w:tcW w:w="0" w:type="auto"/>
            <w:vAlign w:val="center"/>
          </w:tcPr>
          <w:p w14:paraId="17F3197F" w14:textId="77777777" w:rsidR="0062202B" w:rsidRPr="00215488" w:rsidRDefault="0062202B" w:rsidP="005D3606">
            <w:pPr>
              <w:pStyle w:val="ListParagraph"/>
              <w:ind w:left="0"/>
              <w:jc w:val="center"/>
              <w:rPr>
                <w:b/>
                <w:bCs/>
              </w:rPr>
            </w:pPr>
            <w:r w:rsidRPr="00215488">
              <w:rPr>
                <w:b/>
                <w:bCs/>
              </w:rPr>
              <w:t>96% (2</w:t>
            </w:r>
            <w:r>
              <w:rPr>
                <w:b/>
                <w:bCs/>
              </w:rPr>
              <w:t>68</w:t>
            </w:r>
            <w:r w:rsidRPr="00215488">
              <w:rPr>
                <w:b/>
                <w:bCs/>
              </w:rPr>
              <w:t>/2</w:t>
            </w:r>
            <w:r>
              <w:rPr>
                <w:b/>
                <w:bCs/>
              </w:rPr>
              <w:t>7</w:t>
            </w:r>
            <w:r w:rsidRPr="00215488">
              <w:rPr>
                <w:b/>
                <w:bCs/>
              </w:rPr>
              <w:t>8)</w:t>
            </w:r>
          </w:p>
        </w:tc>
        <w:tc>
          <w:tcPr>
            <w:tcW w:w="0" w:type="auto"/>
            <w:vAlign w:val="center"/>
          </w:tcPr>
          <w:p w14:paraId="6425DA0D" w14:textId="77777777" w:rsidR="0062202B" w:rsidRPr="00215488" w:rsidRDefault="0062202B" w:rsidP="005D3606">
            <w:pPr>
              <w:pStyle w:val="ListParagraph"/>
              <w:ind w:left="0"/>
              <w:jc w:val="center"/>
              <w:rPr>
                <w:b/>
                <w:bCs/>
              </w:rPr>
            </w:pPr>
            <w:r w:rsidRPr="00215488">
              <w:rPr>
                <w:b/>
                <w:bCs/>
              </w:rPr>
              <w:t>9</w:t>
            </w:r>
            <w:r>
              <w:rPr>
                <w:b/>
                <w:bCs/>
              </w:rPr>
              <w:t>3</w:t>
            </w:r>
            <w:r w:rsidRPr="00215488">
              <w:rPr>
                <w:b/>
                <w:bCs/>
              </w:rPr>
              <w:t>% (16</w:t>
            </w:r>
            <w:r>
              <w:rPr>
                <w:b/>
                <w:bCs/>
              </w:rPr>
              <w:t>7</w:t>
            </w:r>
            <w:r w:rsidRPr="00215488">
              <w:rPr>
                <w:b/>
                <w:bCs/>
              </w:rPr>
              <w:t>/1</w:t>
            </w:r>
            <w:r>
              <w:rPr>
                <w:b/>
                <w:bCs/>
              </w:rPr>
              <w:t>80</w:t>
            </w:r>
            <w:r w:rsidRPr="00215488">
              <w:rPr>
                <w:b/>
                <w:bCs/>
              </w:rPr>
              <w:t>)</w:t>
            </w:r>
          </w:p>
        </w:tc>
      </w:tr>
    </w:tbl>
    <w:p w14:paraId="0061D018" w14:textId="44E74FCD" w:rsidR="005A3625" w:rsidRDefault="005A3625" w:rsidP="00917DED">
      <w:pPr>
        <w:spacing w:before="120" w:after="0"/>
        <w:rPr>
          <w:rFonts w:ascii="Arial" w:hAnsi="Arial" w:cs="Arial"/>
          <w:sz w:val="18"/>
          <w:szCs w:val="18"/>
        </w:rPr>
      </w:pPr>
      <w:r>
        <w:rPr>
          <w:rFonts w:ascii="Arial" w:hAnsi="Arial" w:cs="Arial"/>
          <w:sz w:val="18"/>
          <w:szCs w:val="18"/>
        </w:rPr>
        <w:t>Excess antibiotic duration is defined as receiving &gt;=7 days total antibiotic duration in patients considered eligible for a 5-day duration according to national guidelines</w:t>
      </w:r>
    </w:p>
    <w:p w14:paraId="5F545F5E" w14:textId="71811725" w:rsidR="0062202B" w:rsidRDefault="00917DED" w:rsidP="005A3625">
      <w:pPr>
        <w:spacing w:after="0"/>
        <w:rPr>
          <w:rFonts w:ascii="Aptos" w:eastAsia="Calibri" w:hAnsi="Aptos" w:cs="Times New Roman"/>
          <w:b/>
          <w:bCs/>
          <w:highlight w:val="green"/>
        </w:rPr>
      </w:pPr>
      <w:r>
        <w:rPr>
          <w:rFonts w:ascii="Arial" w:hAnsi="Arial" w:cs="Arial"/>
          <w:sz w:val="18"/>
          <w:szCs w:val="18"/>
        </w:rPr>
        <w:t xml:space="preserve">Abbreviations: UM, </w:t>
      </w:r>
      <w:r w:rsidRPr="00FB693F">
        <w:rPr>
          <w:rFonts w:ascii="Arial" w:hAnsi="Arial" w:cs="Arial"/>
          <w:sz w:val="18"/>
          <w:szCs w:val="18"/>
        </w:rPr>
        <w:t>University of Michigan</w:t>
      </w:r>
      <w:r>
        <w:rPr>
          <w:rFonts w:ascii="Arial" w:hAnsi="Arial" w:cs="Arial"/>
          <w:sz w:val="18"/>
          <w:szCs w:val="18"/>
        </w:rPr>
        <w:t>; HMS,</w:t>
      </w:r>
      <w:r w:rsidRPr="00FB693F">
        <w:rPr>
          <w:rFonts w:ascii="Arial" w:hAnsi="Arial" w:cs="Arial"/>
          <w:sz w:val="18"/>
          <w:szCs w:val="18"/>
        </w:rPr>
        <w:t xml:space="preserve"> Michigan Hospital Medicine Safety Consortium</w:t>
      </w:r>
    </w:p>
    <w:p w14:paraId="673B8208" w14:textId="77777777" w:rsidR="00917DED" w:rsidRDefault="00917DED" w:rsidP="0062202B">
      <w:pPr>
        <w:rPr>
          <w:rFonts w:ascii="Aptos" w:eastAsia="Calibri" w:hAnsi="Aptos" w:cs="Times New Roman"/>
          <w:b/>
          <w:bCs/>
        </w:rPr>
      </w:pPr>
    </w:p>
    <w:p w14:paraId="3B3902EC" w14:textId="77777777" w:rsidR="005C2A94" w:rsidRDefault="005C2A94">
      <w:pPr>
        <w:rPr>
          <w:rFonts w:ascii="Aptos" w:eastAsia="Calibri" w:hAnsi="Aptos" w:cs="Times New Roman"/>
          <w:b/>
          <w:bCs/>
        </w:rPr>
      </w:pPr>
      <w:r>
        <w:rPr>
          <w:rFonts w:ascii="Aptos" w:eastAsia="Calibri" w:hAnsi="Aptos" w:cs="Times New Roman"/>
          <w:b/>
          <w:bCs/>
        </w:rPr>
        <w:br w:type="page"/>
      </w:r>
    </w:p>
    <w:p w14:paraId="6C88EB77" w14:textId="56AC1C22" w:rsidR="0062202B" w:rsidRPr="008815A7" w:rsidRDefault="0062202B" w:rsidP="008815A7">
      <w:pPr>
        <w:spacing w:after="120" w:line="264" w:lineRule="auto"/>
        <w:rPr>
          <w:rFonts w:ascii="Arial" w:eastAsia="Calibri" w:hAnsi="Arial" w:cs="Arial"/>
          <w:sz w:val="22"/>
          <w:szCs w:val="22"/>
        </w:rPr>
      </w:pPr>
      <w:r w:rsidRPr="008815A7">
        <w:rPr>
          <w:rFonts w:ascii="Arial" w:eastAsia="Calibri" w:hAnsi="Arial" w:cs="Arial"/>
          <w:b/>
          <w:bCs/>
          <w:sz w:val="22"/>
          <w:szCs w:val="22"/>
        </w:rPr>
        <w:lastRenderedPageBreak/>
        <w:t>Table 17</w:t>
      </w:r>
      <w:r w:rsidRPr="008815A7">
        <w:rPr>
          <w:rFonts w:ascii="Arial" w:eastAsia="Calibri" w:hAnsi="Arial" w:cs="Arial"/>
          <w:sz w:val="22"/>
          <w:szCs w:val="22"/>
        </w:rPr>
        <w:t xml:space="preserve">. </w:t>
      </w:r>
      <w:bookmarkStart w:id="3" w:name="_Hlk181285340"/>
      <w:r w:rsidR="009A38BA">
        <w:rPr>
          <w:rFonts w:ascii="Arial" w:eastAsia="Calibri" w:hAnsi="Arial" w:cs="Arial"/>
          <w:sz w:val="22"/>
          <w:szCs w:val="22"/>
        </w:rPr>
        <w:t>Denominator e</w:t>
      </w:r>
      <w:r w:rsidRPr="008815A7">
        <w:rPr>
          <w:rFonts w:ascii="Arial" w:eastAsia="Calibri" w:hAnsi="Arial" w:cs="Arial"/>
          <w:sz w:val="22"/>
          <w:szCs w:val="22"/>
        </w:rPr>
        <w:t xml:space="preserve">xclusions to </w:t>
      </w:r>
      <w:r w:rsidR="009A38BA">
        <w:rPr>
          <w:rFonts w:ascii="Arial" w:eastAsia="Calibri" w:hAnsi="Arial" w:cs="Arial"/>
          <w:sz w:val="22"/>
          <w:szCs w:val="22"/>
        </w:rPr>
        <w:t>d</w:t>
      </w:r>
      <w:r w:rsidRPr="008815A7">
        <w:rPr>
          <w:rFonts w:ascii="Arial" w:eastAsia="Calibri" w:hAnsi="Arial" w:cs="Arial"/>
          <w:sz w:val="22"/>
          <w:szCs w:val="22"/>
        </w:rPr>
        <w:t xml:space="preserve">efine the </w:t>
      </w:r>
      <w:r w:rsidR="009A38BA">
        <w:rPr>
          <w:rFonts w:ascii="Arial" w:eastAsia="Calibri" w:hAnsi="Arial" w:cs="Arial"/>
          <w:sz w:val="22"/>
          <w:szCs w:val="22"/>
        </w:rPr>
        <w:t>p</w:t>
      </w:r>
      <w:r w:rsidRPr="008815A7">
        <w:rPr>
          <w:rFonts w:ascii="Arial" w:eastAsia="Calibri" w:hAnsi="Arial" w:cs="Arial"/>
          <w:sz w:val="22"/>
          <w:szCs w:val="22"/>
        </w:rPr>
        <w:t>opulation</w:t>
      </w:r>
      <w:r w:rsidR="008815A7">
        <w:rPr>
          <w:rFonts w:ascii="Arial" w:eastAsia="Calibri" w:hAnsi="Arial" w:cs="Arial"/>
          <w:sz w:val="22"/>
          <w:szCs w:val="22"/>
        </w:rPr>
        <w:t xml:space="preserve">: </w:t>
      </w:r>
      <w:r w:rsidRPr="008815A7">
        <w:rPr>
          <w:rFonts w:ascii="Arial" w:eastAsia="Calibri" w:hAnsi="Arial" w:cs="Arial"/>
          <w:sz w:val="22"/>
          <w:szCs w:val="22"/>
        </w:rPr>
        <w:t xml:space="preserve">Hospitalized non-ICU </w:t>
      </w:r>
      <w:r w:rsidR="009A38BA">
        <w:rPr>
          <w:rFonts w:ascii="Arial" w:eastAsia="Calibri" w:hAnsi="Arial" w:cs="Arial"/>
          <w:sz w:val="22"/>
          <w:szCs w:val="22"/>
        </w:rPr>
        <w:t>a</w:t>
      </w:r>
      <w:r w:rsidRPr="008815A7">
        <w:rPr>
          <w:rFonts w:ascii="Arial" w:eastAsia="Calibri" w:hAnsi="Arial" w:cs="Arial"/>
          <w:sz w:val="22"/>
          <w:szCs w:val="22"/>
        </w:rPr>
        <w:t>dults with CAP</w:t>
      </w:r>
      <w:r w:rsidR="009A38BA">
        <w:rPr>
          <w:rFonts w:ascii="Arial" w:eastAsia="Calibri" w:hAnsi="Arial" w:cs="Arial"/>
          <w:sz w:val="22"/>
          <w:szCs w:val="22"/>
        </w:rPr>
        <w:t xml:space="preserve">; </w:t>
      </w:r>
      <w:r w:rsidRPr="008815A7">
        <w:rPr>
          <w:rFonts w:ascii="Arial" w:eastAsia="Calibri" w:hAnsi="Arial" w:cs="Arial"/>
          <w:sz w:val="22"/>
          <w:szCs w:val="22"/>
        </w:rPr>
        <w:t>comparison of measured entities</w:t>
      </w:r>
    </w:p>
    <w:tbl>
      <w:tblPr>
        <w:tblStyle w:val="TableGrid"/>
        <w:tblW w:w="4700" w:type="pct"/>
        <w:tblLayout w:type="fixed"/>
        <w:tblLook w:val="04A0" w:firstRow="1" w:lastRow="0" w:firstColumn="1" w:lastColumn="0" w:noHBand="0" w:noVBand="1"/>
        <w:tblCaption w:val="Table 17. Denominator exclusions to define the population: hospitalized non-ICU adults with CAP; comparison of measured entities"/>
        <w:tblDescription w:val="This table compares University of Michigan, University of Utah, and VA health care systems data for denominator exclusions that define the hospitalized non-ICU adults with CAP. "/>
      </w:tblPr>
      <w:tblGrid>
        <w:gridCol w:w="4225"/>
        <w:gridCol w:w="1859"/>
        <w:gridCol w:w="1859"/>
        <w:gridCol w:w="1861"/>
      </w:tblGrid>
      <w:tr w:rsidR="008815A7" w:rsidRPr="008815A7" w14:paraId="5BB4F156" w14:textId="77777777" w:rsidTr="00892633">
        <w:trPr>
          <w:cantSplit/>
          <w:tblHeader/>
        </w:trPr>
        <w:tc>
          <w:tcPr>
            <w:tcW w:w="2155" w:type="pct"/>
            <w:vAlign w:val="center"/>
          </w:tcPr>
          <w:p w14:paraId="5BBE3388" w14:textId="77777777" w:rsidR="008815A7" w:rsidRPr="008815A7" w:rsidRDefault="008815A7" w:rsidP="008815A7">
            <w:pPr>
              <w:spacing w:line="264" w:lineRule="auto"/>
              <w:rPr>
                <w:rFonts w:ascii="Arial" w:eastAsia="Calibri" w:hAnsi="Arial" w:cs="Arial"/>
                <w:b/>
                <w:bCs/>
              </w:rPr>
            </w:pPr>
            <w:bookmarkStart w:id="4" w:name="_Hlk181285324"/>
            <w:bookmarkEnd w:id="3"/>
            <w:r w:rsidRPr="008815A7">
              <w:rPr>
                <w:rFonts w:ascii="Arial" w:eastAsia="Calibri" w:hAnsi="Arial" w:cs="Arial"/>
                <w:b/>
                <w:bCs/>
              </w:rPr>
              <w:t>Exclusion</w:t>
            </w:r>
          </w:p>
        </w:tc>
        <w:tc>
          <w:tcPr>
            <w:tcW w:w="948" w:type="pct"/>
            <w:vAlign w:val="center"/>
          </w:tcPr>
          <w:p w14:paraId="2ACBD9A0" w14:textId="77777777" w:rsidR="008815A7" w:rsidRPr="008815A7" w:rsidRDefault="008815A7" w:rsidP="008815A7">
            <w:pPr>
              <w:spacing w:line="264" w:lineRule="auto"/>
              <w:jc w:val="center"/>
              <w:rPr>
                <w:rFonts w:ascii="Arial" w:eastAsia="Calibri" w:hAnsi="Arial" w:cs="Arial"/>
                <w:b/>
                <w:bCs/>
              </w:rPr>
            </w:pPr>
            <w:r w:rsidRPr="008815A7">
              <w:rPr>
                <w:rFonts w:ascii="Arial" w:eastAsia="Calibri" w:hAnsi="Arial" w:cs="Arial"/>
                <w:b/>
                <w:bCs/>
              </w:rPr>
              <w:t>Michigan</w:t>
            </w:r>
          </w:p>
          <w:p w14:paraId="69689435" w14:textId="77777777" w:rsidR="008815A7" w:rsidRPr="008815A7" w:rsidRDefault="008815A7" w:rsidP="008815A7">
            <w:pPr>
              <w:spacing w:line="264" w:lineRule="auto"/>
              <w:jc w:val="center"/>
              <w:rPr>
                <w:rFonts w:ascii="Arial" w:eastAsia="Calibri" w:hAnsi="Arial" w:cs="Arial"/>
                <w:b/>
                <w:bCs/>
              </w:rPr>
            </w:pPr>
            <w:r w:rsidRPr="008815A7">
              <w:rPr>
                <w:rFonts w:ascii="Arial" w:eastAsia="Calibri" w:hAnsi="Arial" w:cs="Arial"/>
                <w:b/>
                <w:bCs/>
              </w:rPr>
              <w:t>(n=49,205)</w:t>
            </w:r>
          </w:p>
        </w:tc>
        <w:tc>
          <w:tcPr>
            <w:tcW w:w="948" w:type="pct"/>
            <w:vAlign w:val="center"/>
          </w:tcPr>
          <w:p w14:paraId="6ED7FE17" w14:textId="77777777" w:rsidR="008815A7" w:rsidRPr="008815A7" w:rsidRDefault="008815A7" w:rsidP="008815A7">
            <w:pPr>
              <w:spacing w:line="264" w:lineRule="auto"/>
              <w:jc w:val="center"/>
              <w:rPr>
                <w:rFonts w:ascii="Arial" w:eastAsia="Calibri" w:hAnsi="Arial" w:cs="Arial"/>
                <w:b/>
                <w:bCs/>
              </w:rPr>
            </w:pPr>
            <w:r w:rsidRPr="008815A7">
              <w:rPr>
                <w:rFonts w:ascii="Arial" w:eastAsia="Calibri" w:hAnsi="Arial" w:cs="Arial"/>
                <w:b/>
                <w:bCs/>
              </w:rPr>
              <w:t>Utah</w:t>
            </w:r>
          </w:p>
          <w:p w14:paraId="6F3BB841" w14:textId="77777777" w:rsidR="008815A7" w:rsidRPr="008815A7" w:rsidRDefault="008815A7" w:rsidP="008815A7">
            <w:pPr>
              <w:spacing w:line="264" w:lineRule="auto"/>
              <w:jc w:val="center"/>
              <w:rPr>
                <w:rFonts w:ascii="Arial" w:eastAsia="Calibri" w:hAnsi="Arial" w:cs="Arial"/>
                <w:b/>
                <w:bCs/>
              </w:rPr>
            </w:pPr>
            <w:r w:rsidRPr="008815A7">
              <w:rPr>
                <w:rFonts w:ascii="Arial" w:eastAsia="Calibri" w:hAnsi="Arial" w:cs="Arial"/>
                <w:b/>
                <w:bCs/>
              </w:rPr>
              <w:t>(n=5,909)</w:t>
            </w:r>
          </w:p>
        </w:tc>
        <w:tc>
          <w:tcPr>
            <w:tcW w:w="949" w:type="pct"/>
            <w:vAlign w:val="center"/>
          </w:tcPr>
          <w:p w14:paraId="0794408A" w14:textId="77777777" w:rsidR="008815A7" w:rsidRPr="008815A7" w:rsidRDefault="008815A7" w:rsidP="008815A7">
            <w:pPr>
              <w:spacing w:line="264" w:lineRule="auto"/>
              <w:jc w:val="center"/>
              <w:rPr>
                <w:rFonts w:ascii="Arial" w:eastAsia="Calibri" w:hAnsi="Arial" w:cs="Arial"/>
                <w:b/>
                <w:bCs/>
              </w:rPr>
            </w:pPr>
            <w:r w:rsidRPr="008815A7">
              <w:rPr>
                <w:rFonts w:ascii="Arial" w:eastAsia="Calibri" w:hAnsi="Arial" w:cs="Arial"/>
                <w:b/>
                <w:bCs/>
              </w:rPr>
              <w:t>VA</w:t>
            </w:r>
          </w:p>
          <w:p w14:paraId="5D7C9758" w14:textId="77777777" w:rsidR="008815A7" w:rsidRPr="008815A7" w:rsidRDefault="008815A7" w:rsidP="008815A7">
            <w:pPr>
              <w:spacing w:line="264" w:lineRule="auto"/>
              <w:jc w:val="center"/>
              <w:rPr>
                <w:rFonts w:ascii="Arial" w:eastAsia="Calibri" w:hAnsi="Arial" w:cs="Arial"/>
                <w:b/>
                <w:bCs/>
              </w:rPr>
            </w:pPr>
            <w:r w:rsidRPr="008815A7">
              <w:rPr>
                <w:rFonts w:ascii="Arial" w:eastAsia="Calibri" w:hAnsi="Arial" w:cs="Arial"/>
                <w:b/>
                <w:bCs/>
              </w:rPr>
              <w:t>(n=102,416)</w:t>
            </w:r>
          </w:p>
        </w:tc>
      </w:tr>
      <w:tr w:rsidR="008815A7" w:rsidRPr="008815A7" w14:paraId="6E947004" w14:textId="77777777" w:rsidTr="00892633">
        <w:trPr>
          <w:cantSplit/>
        </w:trPr>
        <w:tc>
          <w:tcPr>
            <w:tcW w:w="2155" w:type="pct"/>
            <w:vAlign w:val="center"/>
          </w:tcPr>
          <w:p w14:paraId="479B57DE" w14:textId="77777777" w:rsidR="008815A7" w:rsidRPr="008815A7" w:rsidRDefault="008815A7" w:rsidP="008815A7">
            <w:pPr>
              <w:spacing w:line="264" w:lineRule="auto"/>
              <w:rPr>
                <w:rFonts w:ascii="Arial" w:eastAsia="Calibri" w:hAnsi="Arial" w:cs="Arial"/>
              </w:rPr>
            </w:pPr>
            <w:r w:rsidRPr="008815A7">
              <w:rPr>
                <w:rFonts w:ascii="Arial" w:eastAsia="Calibri" w:hAnsi="Arial" w:cs="Arial"/>
              </w:rPr>
              <w:t>Under 18 on admission</w:t>
            </w:r>
          </w:p>
        </w:tc>
        <w:tc>
          <w:tcPr>
            <w:tcW w:w="948" w:type="pct"/>
            <w:vAlign w:val="center"/>
          </w:tcPr>
          <w:p w14:paraId="2D86C182" w14:textId="15EBFB48" w:rsidR="008815A7" w:rsidRPr="008815A7" w:rsidRDefault="008815A7" w:rsidP="008815A7">
            <w:pPr>
              <w:spacing w:line="264" w:lineRule="auto"/>
              <w:jc w:val="center"/>
              <w:rPr>
                <w:rFonts w:ascii="Arial" w:eastAsia="Calibri" w:hAnsi="Arial" w:cs="Arial"/>
              </w:rPr>
            </w:pPr>
            <w:r w:rsidRPr="008815A7">
              <w:rPr>
                <w:rFonts w:ascii="Arial" w:eastAsia="Calibri" w:hAnsi="Arial" w:cs="Arial"/>
              </w:rPr>
              <w:t>8,905 (18.1%)</w:t>
            </w:r>
          </w:p>
        </w:tc>
        <w:tc>
          <w:tcPr>
            <w:tcW w:w="948" w:type="pct"/>
            <w:vAlign w:val="center"/>
          </w:tcPr>
          <w:p w14:paraId="783EBB51" w14:textId="3EEEFF62" w:rsidR="008815A7" w:rsidRPr="008815A7" w:rsidRDefault="008815A7" w:rsidP="008815A7">
            <w:pPr>
              <w:spacing w:line="264" w:lineRule="auto"/>
              <w:jc w:val="center"/>
              <w:rPr>
                <w:rFonts w:ascii="Arial" w:eastAsia="Calibri" w:hAnsi="Arial" w:cs="Arial"/>
              </w:rPr>
            </w:pPr>
            <w:r>
              <w:rPr>
                <w:rFonts w:ascii="Arial" w:eastAsia="Calibri" w:hAnsi="Arial" w:cs="Arial"/>
              </w:rPr>
              <w:t>0</w:t>
            </w:r>
          </w:p>
        </w:tc>
        <w:tc>
          <w:tcPr>
            <w:tcW w:w="949" w:type="pct"/>
            <w:vAlign w:val="center"/>
          </w:tcPr>
          <w:p w14:paraId="6B4D0D4E" w14:textId="77777777" w:rsidR="008815A7" w:rsidRPr="008815A7" w:rsidRDefault="008815A7" w:rsidP="008815A7">
            <w:pPr>
              <w:spacing w:line="264" w:lineRule="auto"/>
              <w:jc w:val="center"/>
              <w:rPr>
                <w:rFonts w:ascii="Arial" w:eastAsia="Calibri" w:hAnsi="Arial" w:cs="Arial"/>
              </w:rPr>
            </w:pPr>
            <w:r w:rsidRPr="008815A7">
              <w:rPr>
                <w:rFonts w:ascii="Arial" w:eastAsia="Calibri" w:hAnsi="Arial" w:cs="Arial"/>
              </w:rPr>
              <w:t>0</w:t>
            </w:r>
          </w:p>
        </w:tc>
      </w:tr>
      <w:tr w:rsidR="008815A7" w:rsidRPr="008815A7" w14:paraId="3699CD64" w14:textId="77777777" w:rsidTr="00892633">
        <w:trPr>
          <w:cantSplit/>
        </w:trPr>
        <w:tc>
          <w:tcPr>
            <w:tcW w:w="2155" w:type="pct"/>
            <w:vAlign w:val="center"/>
          </w:tcPr>
          <w:p w14:paraId="4F9A4E60" w14:textId="77777777" w:rsidR="008815A7" w:rsidRPr="008815A7" w:rsidRDefault="008815A7" w:rsidP="008815A7">
            <w:pPr>
              <w:spacing w:line="264" w:lineRule="auto"/>
              <w:rPr>
                <w:rFonts w:ascii="Arial" w:eastAsia="Calibri" w:hAnsi="Arial" w:cs="Arial"/>
              </w:rPr>
            </w:pPr>
            <w:r w:rsidRPr="008815A7">
              <w:rPr>
                <w:rFonts w:ascii="Arial" w:eastAsia="Calibri" w:hAnsi="Arial" w:cs="Arial"/>
              </w:rPr>
              <w:t>Patient class NOT inpatient or observation</w:t>
            </w:r>
          </w:p>
        </w:tc>
        <w:tc>
          <w:tcPr>
            <w:tcW w:w="948" w:type="pct"/>
            <w:vAlign w:val="center"/>
          </w:tcPr>
          <w:p w14:paraId="6DBD9BB4" w14:textId="67B22485" w:rsidR="008815A7" w:rsidRPr="008815A7" w:rsidRDefault="008815A7" w:rsidP="008815A7">
            <w:pPr>
              <w:spacing w:line="264" w:lineRule="auto"/>
              <w:jc w:val="center"/>
              <w:rPr>
                <w:rFonts w:ascii="Arial" w:eastAsia="Calibri" w:hAnsi="Arial" w:cs="Arial"/>
              </w:rPr>
            </w:pPr>
            <w:r w:rsidRPr="008815A7">
              <w:rPr>
                <w:rFonts w:ascii="Arial" w:eastAsia="Calibri" w:hAnsi="Arial" w:cs="Arial"/>
              </w:rPr>
              <w:t>4,289 (8.7%)</w:t>
            </w:r>
          </w:p>
        </w:tc>
        <w:tc>
          <w:tcPr>
            <w:tcW w:w="948" w:type="pct"/>
            <w:vAlign w:val="center"/>
          </w:tcPr>
          <w:p w14:paraId="2F887C97" w14:textId="2D30CFA1" w:rsidR="008815A7" w:rsidRPr="008815A7" w:rsidRDefault="008815A7" w:rsidP="008815A7">
            <w:pPr>
              <w:spacing w:line="264" w:lineRule="auto"/>
              <w:jc w:val="center"/>
              <w:rPr>
                <w:rFonts w:ascii="Arial" w:eastAsia="Calibri" w:hAnsi="Arial" w:cs="Arial"/>
              </w:rPr>
            </w:pPr>
            <w:r w:rsidRPr="008815A7">
              <w:rPr>
                <w:rFonts w:ascii="Arial" w:eastAsia="Calibri" w:hAnsi="Arial" w:cs="Arial"/>
              </w:rPr>
              <w:t>908 (15.4%)</w:t>
            </w:r>
          </w:p>
        </w:tc>
        <w:tc>
          <w:tcPr>
            <w:tcW w:w="949" w:type="pct"/>
            <w:vAlign w:val="center"/>
          </w:tcPr>
          <w:p w14:paraId="50727F29" w14:textId="79DC4D36" w:rsidR="008815A7" w:rsidRPr="008815A7" w:rsidRDefault="008815A7" w:rsidP="008815A7">
            <w:pPr>
              <w:spacing w:line="264" w:lineRule="auto"/>
              <w:jc w:val="center"/>
              <w:rPr>
                <w:rFonts w:ascii="Arial" w:eastAsia="Calibri" w:hAnsi="Arial" w:cs="Arial"/>
              </w:rPr>
            </w:pPr>
            <w:r w:rsidRPr="008815A7">
              <w:rPr>
                <w:rFonts w:ascii="Arial" w:eastAsia="Calibri" w:hAnsi="Arial" w:cs="Arial"/>
              </w:rPr>
              <w:t>NA</w:t>
            </w:r>
          </w:p>
        </w:tc>
      </w:tr>
      <w:tr w:rsidR="008815A7" w:rsidRPr="008815A7" w14:paraId="53624B64" w14:textId="77777777" w:rsidTr="00892633">
        <w:trPr>
          <w:cantSplit/>
        </w:trPr>
        <w:tc>
          <w:tcPr>
            <w:tcW w:w="2155" w:type="pct"/>
            <w:vAlign w:val="center"/>
          </w:tcPr>
          <w:p w14:paraId="45694401" w14:textId="77777777" w:rsidR="008815A7" w:rsidRPr="008815A7" w:rsidRDefault="008815A7" w:rsidP="008815A7">
            <w:pPr>
              <w:spacing w:line="264" w:lineRule="auto"/>
              <w:rPr>
                <w:rFonts w:ascii="Arial" w:eastAsia="Calibri" w:hAnsi="Arial" w:cs="Arial"/>
              </w:rPr>
            </w:pPr>
            <w:r w:rsidRPr="008815A7">
              <w:rPr>
                <w:rFonts w:ascii="Arial" w:eastAsia="Calibri" w:hAnsi="Arial" w:cs="Arial"/>
              </w:rPr>
              <w:t>Died in the first 48 hours of hospitalization</w:t>
            </w:r>
          </w:p>
        </w:tc>
        <w:tc>
          <w:tcPr>
            <w:tcW w:w="948" w:type="pct"/>
            <w:vAlign w:val="center"/>
          </w:tcPr>
          <w:p w14:paraId="7262A98F" w14:textId="32DF4F4A" w:rsidR="008815A7" w:rsidRPr="008815A7" w:rsidRDefault="008815A7" w:rsidP="008815A7">
            <w:pPr>
              <w:spacing w:line="264" w:lineRule="auto"/>
              <w:jc w:val="center"/>
              <w:rPr>
                <w:rFonts w:ascii="Arial" w:eastAsia="Calibri" w:hAnsi="Arial" w:cs="Arial"/>
              </w:rPr>
            </w:pPr>
            <w:r w:rsidRPr="008815A7">
              <w:rPr>
                <w:rFonts w:ascii="Arial" w:eastAsia="Calibri" w:hAnsi="Arial" w:cs="Arial"/>
              </w:rPr>
              <w:t>709 (1.4%)</w:t>
            </w:r>
          </w:p>
        </w:tc>
        <w:tc>
          <w:tcPr>
            <w:tcW w:w="948" w:type="pct"/>
            <w:vAlign w:val="center"/>
          </w:tcPr>
          <w:p w14:paraId="501BB13A" w14:textId="6476972C" w:rsidR="008815A7" w:rsidRPr="008815A7" w:rsidRDefault="008815A7" w:rsidP="008815A7">
            <w:pPr>
              <w:spacing w:line="264" w:lineRule="auto"/>
              <w:jc w:val="center"/>
              <w:rPr>
                <w:rFonts w:ascii="Arial" w:eastAsia="Calibri" w:hAnsi="Arial" w:cs="Arial"/>
              </w:rPr>
            </w:pPr>
            <w:r w:rsidRPr="008815A7">
              <w:rPr>
                <w:rFonts w:ascii="Arial" w:eastAsia="Calibri" w:hAnsi="Arial" w:cs="Arial"/>
              </w:rPr>
              <w:t>133 (2.3%)</w:t>
            </w:r>
          </w:p>
        </w:tc>
        <w:tc>
          <w:tcPr>
            <w:tcW w:w="949" w:type="pct"/>
            <w:vAlign w:val="center"/>
          </w:tcPr>
          <w:p w14:paraId="0CB2E2C2" w14:textId="6D74E542" w:rsidR="008815A7" w:rsidRPr="008815A7" w:rsidRDefault="008815A7" w:rsidP="008815A7">
            <w:pPr>
              <w:spacing w:line="264" w:lineRule="auto"/>
              <w:jc w:val="center"/>
              <w:rPr>
                <w:rFonts w:ascii="Arial" w:eastAsia="Calibri" w:hAnsi="Arial" w:cs="Arial"/>
              </w:rPr>
            </w:pPr>
            <w:r w:rsidRPr="008815A7">
              <w:rPr>
                <w:rFonts w:ascii="Arial" w:eastAsia="Calibri" w:hAnsi="Arial" w:cs="Arial"/>
              </w:rPr>
              <w:t>418 (0.4%)</w:t>
            </w:r>
          </w:p>
        </w:tc>
      </w:tr>
      <w:tr w:rsidR="008815A7" w:rsidRPr="008815A7" w14:paraId="70794760" w14:textId="77777777" w:rsidTr="00892633">
        <w:trPr>
          <w:cantSplit/>
        </w:trPr>
        <w:tc>
          <w:tcPr>
            <w:tcW w:w="2155" w:type="pct"/>
            <w:vAlign w:val="center"/>
          </w:tcPr>
          <w:p w14:paraId="7CF31696" w14:textId="77777777" w:rsidR="008815A7" w:rsidRPr="008815A7" w:rsidRDefault="008815A7" w:rsidP="008815A7">
            <w:pPr>
              <w:spacing w:line="264" w:lineRule="auto"/>
              <w:rPr>
                <w:rFonts w:ascii="Arial" w:eastAsia="Calibri" w:hAnsi="Arial" w:cs="Arial"/>
              </w:rPr>
            </w:pPr>
            <w:r w:rsidRPr="008815A7">
              <w:rPr>
                <w:rFonts w:ascii="Arial" w:eastAsia="Calibri" w:hAnsi="Arial" w:cs="Arial"/>
              </w:rPr>
              <w:t>Any time in ICU in the first 48 hours of hospitalization</w:t>
            </w:r>
          </w:p>
        </w:tc>
        <w:tc>
          <w:tcPr>
            <w:tcW w:w="948" w:type="pct"/>
            <w:vAlign w:val="center"/>
          </w:tcPr>
          <w:p w14:paraId="14B681D7" w14:textId="23BD9F80" w:rsidR="008815A7" w:rsidRPr="008815A7" w:rsidRDefault="008815A7" w:rsidP="008815A7">
            <w:pPr>
              <w:spacing w:line="264" w:lineRule="auto"/>
              <w:jc w:val="center"/>
              <w:rPr>
                <w:rFonts w:ascii="Arial" w:eastAsia="Calibri" w:hAnsi="Arial" w:cs="Arial"/>
              </w:rPr>
            </w:pPr>
            <w:r w:rsidRPr="008815A7">
              <w:rPr>
                <w:rFonts w:ascii="Arial" w:eastAsia="Calibri" w:hAnsi="Arial" w:cs="Arial"/>
              </w:rPr>
              <w:t>10,910 (22.2%)</w:t>
            </w:r>
          </w:p>
        </w:tc>
        <w:tc>
          <w:tcPr>
            <w:tcW w:w="948" w:type="pct"/>
            <w:vAlign w:val="center"/>
          </w:tcPr>
          <w:p w14:paraId="64941129" w14:textId="022EA715" w:rsidR="008815A7" w:rsidRPr="008815A7" w:rsidRDefault="008815A7" w:rsidP="008815A7">
            <w:pPr>
              <w:spacing w:line="264" w:lineRule="auto"/>
              <w:jc w:val="center"/>
              <w:rPr>
                <w:rFonts w:ascii="Arial" w:eastAsia="Calibri" w:hAnsi="Arial" w:cs="Arial"/>
              </w:rPr>
            </w:pPr>
            <w:r w:rsidRPr="008815A7">
              <w:rPr>
                <w:rFonts w:ascii="Arial" w:eastAsia="Calibri" w:hAnsi="Arial" w:cs="Arial"/>
              </w:rPr>
              <w:t>2391 (40.5%)</w:t>
            </w:r>
          </w:p>
        </w:tc>
        <w:tc>
          <w:tcPr>
            <w:tcW w:w="949" w:type="pct"/>
            <w:vAlign w:val="center"/>
          </w:tcPr>
          <w:p w14:paraId="3F0F693D" w14:textId="32DF3474" w:rsidR="008815A7" w:rsidRPr="008815A7" w:rsidRDefault="008815A7" w:rsidP="008815A7">
            <w:pPr>
              <w:spacing w:line="264" w:lineRule="auto"/>
              <w:jc w:val="center"/>
              <w:rPr>
                <w:rFonts w:ascii="Arial" w:eastAsia="Calibri" w:hAnsi="Arial" w:cs="Arial"/>
              </w:rPr>
            </w:pPr>
            <w:r w:rsidRPr="008815A7">
              <w:rPr>
                <w:rFonts w:ascii="Arial" w:eastAsia="Calibri" w:hAnsi="Arial" w:cs="Arial"/>
              </w:rPr>
              <w:t>17512 (17.1%)</w:t>
            </w:r>
          </w:p>
        </w:tc>
      </w:tr>
      <w:tr w:rsidR="008815A7" w:rsidRPr="008815A7" w14:paraId="60B96B90" w14:textId="77777777" w:rsidTr="00892633">
        <w:trPr>
          <w:cantSplit/>
        </w:trPr>
        <w:tc>
          <w:tcPr>
            <w:tcW w:w="2155" w:type="pct"/>
            <w:vAlign w:val="center"/>
          </w:tcPr>
          <w:p w14:paraId="77B42AC7" w14:textId="77777777" w:rsidR="008815A7" w:rsidRPr="008815A7" w:rsidRDefault="008815A7" w:rsidP="008815A7">
            <w:pPr>
              <w:spacing w:line="264" w:lineRule="auto"/>
              <w:rPr>
                <w:rFonts w:ascii="Arial" w:eastAsia="Calibri" w:hAnsi="Arial" w:cs="Arial"/>
              </w:rPr>
            </w:pPr>
            <w:r w:rsidRPr="008815A7">
              <w:rPr>
                <w:rFonts w:ascii="Arial" w:eastAsia="Calibri" w:hAnsi="Arial" w:cs="Arial"/>
              </w:rPr>
              <w:t>Admitted from another hospital or long-term acute care facility</w:t>
            </w:r>
          </w:p>
        </w:tc>
        <w:tc>
          <w:tcPr>
            <w:tcW w:w="948" w:type="pct"/>
            <w:vAlign w:val="center"/>
          </w:tcPr>
          <w:p w14:paraId="55DA0CB4" w14:textId="5A050C4D" w:rsidR="008815A7" w:rsidRPr="008815A7" w:rsidRDefault="008815A7" w:rsidP="008815A7">
            <w:pPr>
              <w:spacing w:line="264" w:lineRule="auto"/>
              <w:jc w:val="center"/>
              <w:rPr>
                <w:rFonts w:ascii="Arial" w:eastAsia="Calibri" w:hAnsi="Arial" w:cs="Arial"/>
              </w:rPr>
            </w:pPr>
            <w:r w:rsidRPr="008815A7">
              <w:rPr>
                <w:rFonts w:ascii="Arial" w:eastAsia="Calibri" w:hAnsi="Arial" w:cs="Arial"/>
              </w:rPr>
              <w:t>1,272 (2.6%)</w:t>
            </w:r>
          </w:p>
        </w:tc>
        <w:tc>
          <w:tcPr>
            <w:tcW w:w="948" w:type="pct"/>
            <w:vAlign w:val="center"/>
          </w:tcPr>
          <w:p w14:paraId="385942D5" w14:textId="27EC280E" w:rsidR="008815A7" w:rsidRPr="008815A7" w:rsidRDefault="008815A7" w:rsidP="008815A7">
            <w:pPr>
              <w:spacing w:line="264" w:lineRule="auto"/>
              <w:jc w:val="center"/>
              <w:rPr>
                <w:rFonts w:ascii="Arial" w:eastAsia="Calibri" w:hAnsi="Arial" w:cs="Arial"/>
              </w:rPr>
            </w:pPr>
            <w:r w:rsidRPr="008815A7">
              <w:rPr>
                <w:rFonts w:ascii="Arial" w:eastAsia="Calibri" w:hAnsi="Arial" w:cs="Arial"/>
              </w:rPr>
              <w:t>1,506 (25.5%)</w:t>
            </w:r>
          </w:p>
        </w:tc>
        <w:tc>
          <w:tcPr>
            <w:tcW w:w="949" w:type="pct"/>
            <w:vAlign w:val="center"/>
          </w:tcPr>
          <w:p w14:paraId="7EF2F535" w14:textId="48402640" w:rsidR="008815A7" w:rsidRPr="008815A7" w:rsidRDefault="008815A7" w:rsidP="008815A7">
            <w:pPr>
              <w:spacing w:line="264" w:lineRule="auto"/>
              <w:jc w:val="center"/>
              <w:rPr>
                <w:rFonts w:ascii="Arial" w:eastAsia="Calibri" w:hAnsi="Arial" w:cs="Arial"/>
              </w:rPr>
            </w:pPr>
            <w:r w:rsidRPr="008815A7">
              <w:rPr>
                <w:rFonts w:ascii="Arial" w:eastAsia="Calibri" w:hAnsi="Arial" w:cs="Arial"/>
              </w:rPr>
              <w:t>7153 (7.0%)</w:t>
            </w:r>
          </w:p>
        </w:tc>
      </w:tr>
      <w:tr w:rsidR="008815A7" w:rsidRPr="008815A7" w14:paraId="070C4515" w14:textId="77777777" w:rsidTr="00892633">
        <w:trPr>
          <w:cantSplit/>
        </w:trPr>
        <w:tc>
          <w:tcPr>
            <w:tcW w:w="2155" w:type="pct"/>
            <w:vAlign w:val="center"/>
          </w:tcPr>
          <w:p w14:paraId="44606CD9" w14:textId="77777777" w:rsidR="008815A7" w:rsidRPr="008815A7" w:rsidRDefault="008815A7" w:rsidP="008815A7">
            <w:pPr>
              <w:spacing w:line="264" w:lineRule="auto"/>
              <w:rPr>
                <w:rFonts w:ascii="Arial" w:eastAsia="Calibri" w:hAnsi="Arial" w:cs="Arial"/>
              </w:rPr>
            </w:pPr>
            <w:r w:rsidRPr="008815A7">
              <w:rPr>
                <w:rFonts w:ascii="Arial" w:eastAsia="Calibri" w:hAnsi="Arial" w:cs="Arial"/>
                <w:color w:val="000000"/>
              </w:rPr>
              <w:t>Concurrent infection by ICD10</w:t>
            </w:r>
          </w:p>
        </w:tc>
        <w:tc>
          <w:tcPr>
            <w:tcW w:w="948" w:type="pct"/>
            <w:vAlign w:val="center"/>
          </w:tcPr>
          <w:p w14:paraId="423C8C23" w14:textId="2911A6DF" w:rsidR="008815A7" w:rsidRPr="008815A7" w:rsidRDefault="008815A7" w:rsidP="008815A7">
            <w:pPr>
              <w:spacing w:line="264" w:lineRule="auto"/>
              <w:jc w:val="center"/>
              <w:rPr>
                <w:rFonts w:ascii="Arial" w:eastAsia="Calibri" w:hAnsi="Arial" w:cs="Arial"/>
                <w:b/>
                <w:bCs/>
              </w:rPr>
            </w:pPr>
            <w:r w:rsidRPr="008815A7">
              <w:rPr>
                <w:rFonts w:ascii="Arial" w:eastAsia="Calibri" w:hAnsi="Arial" w:cs="Arial"/>
              </w:rPr>
              <w:t>7,903 (16.1%)</w:t>
            </w:r>
          </w:p>
        </w:tc>
        <w:tc>
          <w:tcPr>
            <w:tcW w:w="948" w:type="pct"/>
            <w:vAlign w:val="center"/>
          </w:tcPr>
          <w:p w14:paraId="4692BB22" w14:textId="7BB19674" w:rsidR="008815A7" w:rsidRPr="008815A7" w:rsidRDefault="008815A7" w:rsidP="008815A7">
            <w:pPr>
              <w:spacing w:line="264" w:lineRule="auto"/>
              <w:jc w:val="center"/>
              <w:rPr>
                <w:rFonts w:ascii="Arial" w:eastAsia="Calibri" w:hAnsi="Arial" w:cs="Arial"/>
                <w:b/>
                <w:bCs/>
              </w:rPr>
            </w:pPr>
            <w:r w:rsidRPr="008815A7">
              <w:rPr>
                <w:rFonts w:ascii="Arial" w:eastAsia="Calibri" w:hAnsi="Arial" w:cs="Arial"/>
              </w:rPr>
              <w:t>2,424 (41.0%)</w:t>
            </w:r>
          </w:p>
        </w:tc>
        <w:tc>
          <w:tcPr>
            <w:tcW w:w="949" w:type="pct"/>
            <w:vAlign w:val="center"/>
          </w:tcPr>
          <w:p w14:paraId="5BA69388" w14:textId="1AB321A8" w:rsidR="008815A7" w:rsidRPr="008815A7" w:rsidRDefault="008815A7" w:rsidP="008815A7">
            <w:pPr>
              <w:spacing w:line="264" w:lineRule="auto"/>
              <w:jc w:val="center"/>
              <w:rPr>
                <w:rFonts w:ascii="Arial" w:eastAsia="Calibri" w:hAnsi="Arial" w:cs="Arial"/>
              </w:rPr>
            </w:pPr>
            <w:r w:rsidRPr="008815A7">
              <w:rPr>
                <w:rFonts w:ascii="Arial" w:eastAsia="Calibri" w:hAnsi="Arial" w:cs="Arial"/>
              </w:rPr>
              <w:t>24719 (24.1%)</w:t>
            </w:r>
          </w:p>
        </w:tc>
      </w:tr>
      <w:tr w:rsidR="008815A7" w:rsidRPr="008815A7" w14:paraId="0711E04D" w14:textId="77777777" w:rsidTr="00892633">
        <w:trPr>
          <w:cantSplit/>
        </w:trPr>
        <w:tc>
          <w:tcPr>
            <w:tcW w:w="2155" w:type="pct"/>
            <w:vAlign w:val="center"/>
          </w:tcPr>
          <w:p w14:paraId="7CC2E66E" w14:textId="77777777" w:rsidR="008815A7" w:rsidRPr="008815A7" w:rsidRDefault="008815A7" w:rsidP="008815A7">
            <w:pPr>
              <w:spacing w:line="264" w:lineRule="auto"/>
              <w:rPr>
                <w:rFonts w:ascii="Arial" w:eastAsia="Calibri" w:hAnsi="Arial" w:cs="Arial"/>
              </w:rPr>
            </w:pPr>
            <w:r w:rsidRPr="008815A7">
              <w:rPr>
                <w:rFonts w:ascii="Arial" w:eastAsia="Calibri" w:hAnsi="Arial" w:cs="Arial"/>
              </w:rPr>
              <w:t>Chest imaging required (day -3 to day 3 of admission)</w:t>
            </w:r>
          </w:p>
        </w:tc>
        <w:tc>
          <w:tcPr>
            <w:tcW w:w="948" w:type="pct"/>
            <w:vAlign w:val="center"/>
          </w:tcPr>
          <w:p w14:paraId="5C0F05D1" w14:textId="27DF2C37" w:rsidR="008815A7" w:rsidRPr="008815A7" w:rsidRDefault="008815A7" w:rsidP="008815A7">
            <w:pPr>
              <w:spacing w:line="264" w:lineRule="auto"/>
              <w:jc w:val="center"/>
              <w:rPr>
                <w:rFonts w:ascii="Arial" w:eastAsia="Calibri" w:hAnsi="Arial" w:cs="Arial"/>
              </w:rPr>
            </w:pPr>
            <w:r w:rsidRPr="008815A7">
              <w:rPr>
                <w:rFonts w:ascii="Arial" w:eastAsia="Calibri" w:hAnsi="Arial" w:cs="Arial"/>
              </w:rPr>
              <w:t>465 (0.9%)</w:t>
            </w:r>
          </w:p>
        </w:tc>
        <w:tc>
          <w:tcPr>
            <w:tcW w:w="948" w:type="pct"/>
            <w:vAlign w:val="center"/>
          </w:tcPr>
          <w:p w14:paraId="23896C11" w14:textId="4B6E7277" w:rsidR="008815A7" w:rsidRPr="008815A7" w:rsidRDefault="008815A7" w:rsidP="008815A7">
            <w:pPr>
              <w:spacing w:line="264" w:lineRule="auto"/>
              <w:jc w:val="center"/>
              <w:rPr>
                <w:rFonts w:ascii="Arial" w:eastAsia="Calibri" w:hAnsi="Arial" w:cs="Arial"/>
              </w:rPr>
            </w:pPr>
            <w:r w:rsidRPr="008815A7">
              <w:rPr>
                <w:rFonts w:ascii="Arial" w:eastAsia="Calibri" w:hAnsi="Arial" w:cs="Arial"/>
              </w:rPr>
              <w:t>726 (12.3%)</w:t>
            </w:r>
          </w:p>
        </w:tc>
        <w:tc>
          <w:tcPr>
            <w:tcW w:w="949" w:type="pct"/>
            <w:vAlign w:val="center"/>
          </w:tcPr>
          <w:p w14:paraId="22CE05CA" w14:textId="01EA40C3" w:rsidR="008815A7" w:rsidRPr="008815A7" w:rsidRDefault="008815A7" w:rsidP="008815A7">
            <w:pPr>
              <w:spacing w:line="264" w:lineRule="auto"/>
              <w:jc w:val="center"/>
              <w:rPr>
                <w:rFonts w:ascii="Arial" w:eastAsia="Calibri" w:hAnsi="Arial" w:cs="Arial"/>
              </w:rPr>
            </w:pPr>
            <w:r w:rsidRPr="008815A7">
              <w:rPr>
                <w:rFonts w:ascii="Arial" w:eastAsia="Calibri" w:hAnsi="Arial" w:cs="Arial"/>
              </w:rPr>
              <w:t>2189 (2.1%)</w:t>
            </w:r>
          </w:p>
        </w:tc>
      </w:tr>
      <w:tr w:rsidR="008815A7" w:rsidRPr="008815A7" w14:paraId="3AEF775F" w14:textId="77777777" w:rsidTr="00892633">
        <w:trPr>
          <w:cantSplit/>
        </w:trPr>
        <w:tc>
          <w:tcPr>
            <w:tcW w:w="2155" w:type="pct"/>
            <w:vAlign w:val="center"/>
          </w:tcPr>
          <w:p w14:paraId="53D68B77" w14:textId="77777777" w:rsidR="008815A7" w:rsidRPr="008815A7" w:rsidRDefault="008815A7" w:rsidP="008815A7">
            <w:pPr>
              <w:spacing w:line="264" w:lineRule="auto"/>
              <w:rPr>
                <w:rFonts w:ascii="Arial" w:eastAsia="Calibri" w:hAnsi="Arial" w:cs="Arial"/>
                <w:b/>
                <w:bCs/>
              </w:rPr>
            </w:pPr>
            <w:r w:rsidRPr="008815A7">
              <w:rPr>
                <w:rFonts w:ascii="Arial" w:eastAsia="Calibri" w:hAnsi="Arial" w:cs="Arial"/>
                <w:b/>
                <w:bCs/>
              </w:rPr>
              <w:t xml:space="preserve">Ending population </w:t>
            </w:r>
          </w:p>
        </w:tc>
        <w:tc>
          <w:tcPr>
            <w:tcW w:w="948" w:type="pct"/>
            <w:vAlign w:val="center"/>
          </w:tcPr>
          <w:p w14:paraId="68B1357C" w14:textId="259B195A" w:rsidR="008815A7" w:rsidRPr="008815A7" w:rsidRDefault="008815A7" w:rsidP="008815A7">
            <w:pPr>
              <w:spacing w:line="264" w:lineRule="auto"/>
              <w:jc w:val="center"/>
              <w:rPr>
                <w:rFonts w:ascii="Arial" w:eastAsia="Calibri" w:hAnsi="Arial" w:cs="Arial"/>
                <w:b/>
                <w:bCs/>
              </w:rPr>
            </w:pPr>
            <w:r w:rsidRPr="008815A7">
              <w:rPr>
                <w:rFonts w:ascii="Arial" w:eastAsia="Calibri" w:hAnsi="Arial" w:cs="Arial"/>
                <w:b/>
                <w:bCs/>
              </w:rPr>
              <w:t>10,366 (21.1%)</w:t>
            </w:r>
          </w:p>
        </w:tc>
        <w:tc>
          <w:tcPr>
            <w:tcW w:w="948" w:type="pct"/>
            <w:vAlign w:val="center"/>
          </w:tcPr>
          <w:p w14:paraId="369DF62F" w14:textId="2A114F6D" w:rsidR="008815A7" w:rsidRPr="008815A7" w:rsidRDefault="008815A7" w:rsidP="008815A7">
            <w:pPr>
              <w:spacing w:line="264" w:lineRule="auto"/>
              <w:jc w:val="center"/>
              <w:rPr>
                <w:rFonts w:ascii="Arial" w:eastAsia="Calibri" w:hAnsi="Arial" w:cs="Arial"/>
                <w:b/>
                <w:bCs/>
              </w:rPr>
            </w:pPr>
            <w:r w:rsidRPr="008815A7">
              <w:rPr>
                <w:rFonts w:ascii="Arial" w:eastAsia="Calibri" w:hAnsi="Arial" w:cs="Arial"/>
                <w:b/>
                <w:bCs/>
              </w:rPr>
              <w:t>1049 (17.8%)</w:t>
            </w:r>
          </w:p>
        </w:tc>
        <w:tc>
          <w:tcPr>
            <w:tcW w:w="949" w:type="pct"/>
            <w:vAlign w:val="center"/>
          </w:tcPr>
          <w:p w14:paraId="6DF772EC" w14:textId="1ACA769C" w:rsidR="008815A7" w:rsidRPr="008815A7" w:rsidRDefault="008815A7" w:rsidP="008815A7">
            <w:pPr>
              <w:spacing w:line="264" w:lineRule="auto"/>
              <w:jc w:val="center"/>
              <w:rPr>
                <w:rFonts w:ascii="Arial" w:eastAsia="Calibri" w:hAnsi="Arial" w:cs="Arial"/>
                <w:b/>
                <w:bCs/>
              </w:rPr>
            </w:pPr>
            <w:r w:rsidRPr="008815A7">
              <w:rPr>
                <w:rFonts w:ascii="Arial" w:eastAsia="Calibri" w:hAnsi="Arial" w:cs="Arial"/>
                <w:b/>
                <w:bCs/>
              </w:rPr>
              <w:t>60,943 (59.5%)</w:t>
            </w:r>
          </w:p>
        </w:tc>
      </w:tr>
    </w:tbl>
    <w:bookmarkEnd w:id="4"/>
    <w:p w14:paraId="10F511EC" w14:textId="3F7F7C18" w:rsidR="00404CD9" w:rsidRDefault="00404CD9" w:rsidP="00404CD9">
      <w:pPr>
        <w:spacing w:after="0"/>
        <w:rPr>
          <w:rFonts w:ascii="Aptos" w:eastAsia="Calibri" w:hAnsi="Aptos" w:cs="Times New Roman"/>
          <w:b/>
          <w:bCs/>
          <w:highlight w:val="green"/>
        </w:rPr>
      </w:pPr>
      <w:r>
        <w:rPr>
          <w:rFonts w:ascii="Arial" w:hAnsi="Arial" w:cs="Arial"/>
          <w:sz w:val="18"/>
          <w:szCs w:val="18"/>
        </w:rPr>
        <w:t>Abbreviations: ICU, intensive care unit; CAP, community-acquired pneumonia</w:t>
      </w:r>
    </w:p>
    <w:p w14:paraId="0FC34225" w14:textId="77777777" w:rsidR="0062202B" w:rsidRPr="008815A7" w:rsidRDefault="0062202B" w:rsidP="0062202B">
      <w:pPr>
        <w:rPr>
          <w:rFonts w:ascii="Arial" w:eastAsia="Calibri" w:hAnsi="Arial" w:cs="Arial"/>
          <w:b/>
          <w:bCs/>
        </w:rPr>
      </w:pPr>
    </w:p>
    <w:p w14:paraId="50CD359F" w14:textId="77777777" w:rsidR="0062202B" w:rsidRPr="00A664D4" w:rsidRDefault="0062202B" w:rsidP="0062202B">
      <w:pPr>
        <w:rPr>
          <w:rFonts w:ascii="Arial" w:eastAsia="Calibri" w:hAnsi="Arial" w:cs="Arial"/>
          <w:sz w:val="22"/>
          <w:szCs w:val="22"/>
        </w:rPr>
      </w:pPr>
      <w:bookmarkStart w:id="5" w:name="_Hlk181285383"/>
      <w:r w:rsidRPr="00A664D4">
        <w:rPr>
          <w:rFonts w:ascii="Arial" w:eastAsia="Calibri" w:hAnsi="Arial" w:cs="Arial"/>
          <w:b/>
          <w:bCs/>
          <w:sz w:val="22"/>
          <w:szCs w:val="22"/>
        </w:rPr>
        <w:t xml:space="preserve">Table 18. </w:t>
      </w:r>
      <w:r w:rsidRPr="00A664D4">
        <w:rPr>
          <w:rFonts w:ascii="Arial" w:eastAsia="Calibri" w:hAnsi="Arial" w:cs="Arial"/>
          <w:sz w:val="22"/>
          <w:szCs w:val="22"/>
        </w:rPr>
        <w:t>Exclusions to Narrow Population to Uncomplicated CAP</w:t>
      </w:r>
    </w:p>
    <w:tbl>
      <w:tblPr>
        <w:tblStyle w:val="TableGrid"/>
        <w:tblW w:w="4700" w:type="pct"/>
        <w:tblLook w:val="04A0" w:firstRow="1" w:lastRow="0" w:firstColumn="1" w:lastColumn="0" w:noHBand="0" w:noVBand="1"/>
        <w:tblCaption w:val="Table 18. Exclusions to narrow population to uncomplicated CAP"/>
        <w:tblDescription w:val="This table compares University of Michigan, University of Utah, and VA health care systems data for denominator exclusions that narrow  the adult hospitalized non-ICU patients with CAP to those with uncomplicated CAP. "/>
      </w:tblPr>
      <w:tblGrid>
        <w:gridCol w:w="4044"/>
        <w:gridCol w:w="1920"/>
        <w:gridCol w:w="1920"/>
        <w:gridCol w:w="1920"/>
      </w:tblGrid>
      <w:tr w:rsidR="00A664D4" w:rsidRPr="00A664D4" w14:paraId="12E17EC5" w14:textId="77777777" w:rsidTr="00A664D4">
        <w:trPr>
          <w:cantSplit/>
          <w:tblHeader/>
        </w:trPr>
        <w:tc>
          <w:tcPr>
            <w:tcW w:w="2063" w:type="pct"/>
            <w:vAlign w:val="center"/>
          </w:tcPr>
          <w:p w14:paraId="6B8EE6BB" w14:textId="77777777" w:rsidR="00A664D4" w:rsidRPr="00A664D4" w:rsidRDefault="00A664D4" w:rsidP="005D3606">
            <w:pPr>
              <w:rPr>
                <w:rFonts w:ascii="Arial" w:eastAsia="Calibri" w:hAnsi="Arial" w:cs="Arial"/>
                <w:b/>
                <w:bCs/>
              </w:rPr>
            </w:pPr>
            <w:r w:rsidRPr="00A664D4">
              <w:rPr>
                <w:rFonts w:ascii="Arial" w:eastAsia="Calibri" w:hAnsi="Arial" w:cs="Arial"/>
                <w:b/>
                <w:bCs/>
              </w:rPr>
              <w:t>Exclusion</w:t>
            </w:r>
          </w:p>
        </w:tc>
        <w:tc>
          <w:tcPr>
            <w:tcW w:w="979" w:type="pct"/>
            <w:vAlign w:val="center"/>
          </w:tcPr>
          <w:p w14:paraId="64368932" w14:textId="77777777" w:rsidR="00A664D4" w:rsidRPr="00A664D4" w:rsidRDefault="00A664D4" w:rsidP="005D3606">
            <w:pPr>
              <w:jc w:val="center"/>
              <w:rPr>
                <w:rFonts w:ascii="Arial" w:eastAsia="Calibri" w:hAnsi="Arial" w:cs="Arial"/>
                <w:b/>
                <w:bCs/>
              </w:rPr>
            </w:pPr>
            <w:r w:rsidRPr="00A664D4">
              <w:rPr>
                <w:rFonts w:ascii="Arial" w:eastAsia="Calibri" w:hAnsi="Arial" w:cs="Arial"/>
                <w:b/>
                <w:bCs/>
              </w:rPr>
              <w:t>Michigan (n=10,366)</w:t>
            </w:r>
          </w:p>
        </w:tc>
        <w:tc>
          <w:tcPr>
            <w:tcW w:w="979" w:type="pct"/>
            <w:vAlign w:val="center"/>
          </w:tcPr>
          <w:p w14:paraId="21042F31" w14:textId="77777777" w:rsidR="00A664D4" w:rsidRPr="00A664D4" w:rsidRDefault="00A664D4" w:rsidP="005D3606">
            <w:pPr>
              <w:jc w:val="center"/>
              <w:rPr>
                <w:rFonts w:ascii="Arial" w:eastAsia="Calibri" w:hAnsi="Arial" w:cs="Arial"/>
                <w:b/>
                <w:bCs/>
              </w:rPr>
            </w:pPr>
            <w:r w:rsidRPr="00A664D4">
              <w:rPr>
                <w:rFonts w:ascii="Arial" w:eastAsia="Calibri" w:hAnsi="Arial" w:cs="Arial"/>
                <w:b/>
                <w:bCs/>
              </w:rPr>
              <w:t>Utah</w:t>
            </w:r>
          </w:p>
          <w:p w14:paraId="38932492" w14:textId="77777777" w:rsidR="00A664D4" w:rsidRPr="00A664D4" w:rsidRDefault="00A664D4" w:rsidP="005D3606">
            <w:pPr>
              <w:jc w:val="center"/>
              <w:rPr>
                <w:rFonts w:ascii="Arial" w:eastAsia="Calibri" w:hAnsi="Arial" w:cs="Arial"/>
                <w:b/>
                <w:bCs/>
              </w:rPr>
            </w:pPr>
            <w:r w:rsidRPr="00A664D4">
              <w:rPr>
                <w:rFonts w:ascii="Arial" w:eastAsia="Calibri" w:hAnsi="Arial" w:cs="Arial"/>
                <w:b/>
                <w:bCs/>
              </w:rPr>
              <w:t>(n=1049)</w:t>
            </w:r>
          </w:p>
        </w:tc>
        <w:tc>
          <w:tcPr>
            <w:tcW w:w="979" w:type="pct"/>
            <w:vAlign w:val="center"/>
          </w:tcPr>
          <w:p w14:paraId="07C57C70" w14:textId="77777777" w:rsidR="00A664D4" w:rsidRPr="00A664D4" w:rsidRDefault="00A664D4" w:rsidP="005D3606">
            <w:pPr>
              <w:jc w:val="center"/>
              <w:rPr>
                <w:rFonts w:ascii="Arial" w:eastAsia="Calibri" w:hAnsi="Arial" w:cs="Arial"/>
                <w:b/>
                <w:bCs/>
              </w:rPr>
            </w:pPr>
            <w:r w:rsidRPr="00A664D4">
              <w:rPr>
                <w:rFonts w:ascii="Arial" w:eastAsia="Calibri" w:hAnsi="Arial" w:cs="Arial"/>
                <w:b/>
                <w:bCs/>
              </w:rPr>
              <w:t>VA</w:t>
            </w:r>
          </w:p>
          <w:p w14:paraId="3E439C18" w14:textId="77777777" w:rsidR="00A664D4" w:rsidRPr="00A664D4" w:rsidRDefault="00A664D4" w:rsidP="005D3606">
            <w:pPr>
              <w:jc w:val="center"/>
              <w:rPr>
                <w:rFonts w:ascii="Arial" w:eastAsia="Calibri" w:hAnsi="Arial" w:cs="Arial"/>
                <w:b/>
                <w:bCs/>
              </w:rPr>
            </w:pPr>
            <w:r w:rsidRPr="00A664D4">
              <w:rPr>
                <w:rFonts w:ascii="Arial" w:eastAsia="Calibri" w:hAnsi="Arial" w:cs="Arial"/>
                <w:b/>
                <w:bCs/>
              </w:rPr>
              <w:t>(n=60,943)</w:t>
            </w:r>
          </w:p>
        </w:tc>
      </w:tr>
      <w:tr w:rsidR="00A664D4" w:rsidRPr="00A664D4" w14:paraId="6346C09A" w14:textId="77777777" w:rsidTr="00A664D4">
        <w:trPr>
          <w:cantSplit/>
        </w:trPr>
        <w:tc>
          <w:tcPr>
            <w:tcW w:w="2063" w:type="pct"/>
            <w:vAlign w:val="center"/>
          </w:tcPr>
          <w:p w14:paraId="6FC90A5B" w14:textId="77777777" w:rsidR="00A664D4" w:rsidRPr="00A664D4" w:rsidRDefault="00A664D4" w:rsidP="005D3606">
            <w:pPr>
              <w:rPr>
                <w:rFonts w:ascii="Arial" w:eastAsia="Calibri" w:hAnsi="Arial" w:cs="Arial"/>
              </w:rPr>
            </w:pPr>
            <w:r w:rsidRPr="00A664D4">
              <w:rPr>
                <w:rFonts w:ascii="Arial" w:eastAsia="Calibri" w:hAnsi="Arial" w:cs="Arial"/>
              </w:rPr>
              <w:t>Cystic Fibrosis</w:t>
            </w:r>
          </w:p>
        </w:tc>
        <w:tc>
          <w:tcPr>
            <w:tcW w:w="979" w:type="pct"/>
            <w:vAlign w:val="center"/>
          </w:tcPr>
          <w:p w14:paraId="0E9F2725" w14:textId="22008637" w:rsidR="00A664D4" w:rsidRPr="00A664D4" w:rsidRDefault="00A664D4" w:rsidP="005D3606">
            <w:pPr>
              <w:jc w:val="center"/>
              <w:rPr>
                <w:rFonts w:ascii="Arial" w:eastAsia="Calibri" w:hAnsi="Arial" w:cs="Arial"/>
              </w:rPr>
            </w:pPr>
            <w:r w:rsidRPr="00A664D4">
              <w:rPr>
                <w:rFonts w:ascii="Arial" w:eastAsia="Calibri" w:hAnsi="Arial" w:cs="Arial"/>
              </w:rPr>
              <w:t>286 (2.8%)</w:t>
            </w:r>
          </w:p>
        </w:tc>
        <w:tc>
          <w:tcPr>
            <w:tcW w:w="979" w:type="pct"/>
            <w:vAlign w:val="center"/>
          </w:tcPr>
          <w:p w14:paraId="3871FD4E" w14:textId="1C59145D" w:rsidR="00A664D4" w:rsidRPr="00A664D4" w:rsidRDefault="00A664D4" w:rsidP="005D3606">
            <w:pPr>
              <w:jc w:val="center"/>
              <w:rPr>
                <w:rFonts w:ascii="Arial" w:eastAsia="Calibri" w:hAnsi="Arial" w:cs="Arial"/>
              </w:rPr>
            </w:pPr>
            <w:r w:rsidRPr="00A664D4">
              <w:rPr>
                <w:rFonts w:ascii="Arial" w:eastAsia="Calibri" w:hAnsi="Arial" w:cs="Arial"/>
              </w:rPr>
              <w:t>19 (1.8%)</w:t>
            </w:r>
          </w:p>
        </w:tc>
        <w:tc>
          <w:tcPr>
            <w:tcW w:w="979" w:type="pct"/>
            <w:vAlign w:val="center"/>
          </w:tcPr>
          <w:p w14:paraId="51D3ED43" w14:textId="4808AB39" w:rsidR="00A664D4" w:rsidRPr="00A664D4" w:rsidRDefault="00A664D4" w:rsidP="005D3606">
            <w:pPr>
              <w:jc w:val="center"/>
              <w:rPr>
                <w:rFonts w:ascii="Arial" w:eastAsia="Calibri" w:hAnsi="Arial" w:cs="Arial"/>
              </w:rPr>
            </w:pPr>
            <w:r w:rsidRPr="00A664D4">
              <w:rPr>
                <w:rFonts w:ascii="Arial" w:eastAsia="Calibri" w:hAnsi="Arial" w:cs="Arial"/>
              </w:rPr>
              <w:t>18 (0.0%)</w:t>
            </w:r>
          </w:p>
        </w:tc>
      </w:tr>
      <w:tr w:rsidR="00A664D4" w:rsidRPr="00A664D4" w14:paraId="767C5D48" w14:textId="77777777" w:rsidTr="00A664D4">
        <w:trPr>
          <w:cantSplit/>
        </w:trPr>
        <w:tc>
          <w:tcPr>
            <w:tcW w:w="2063" w:type="pct"/>
            <w:vAlign w:val="center"/>
          </w:tcPr>
          <w:p w14:paraId="2C57BDF8" w14:textId="77777777" w:rsidR="00A664D4" w:rsidRPr="00A664D4" w:rsidRDefault="00A664D4" w:rsidP="005D3606">
            <w:pPr>
              <w:rPr>
                <w:rFonts w:ascii="Arial" w:eastAsia="Calibri" w:hAnsi="Arial" w:cs="Arial"/>
              </w:rPr>
            </w:pPr>
            <w:r w:rsidRPr="00A664D4">
              <w:rPr>
                <w:rFonts w:ascii="Arial" w:eastAsia="Calibri" w:hAnsi="Arial" w:cs="Arial"/>
              </w:rPr>
              <w:t>On mechanical ventilation in first 48 hours of hospitalization</w:t>
            </w:r>
          </w:p>
        </w:tc>
        <w:tc>
          <w:tcPr>
            <w:tcW w:w="979" w:type="pct"/>
            <w:vAlign w:val="center"/>
          </w:tcPr>
          <w:p w14:paraId="3D1FADC2" w14:textId="67CC772E" w:rsidR="00A664D4" w:rsidRPr="00A664D4" w:rsidRDefault="00A664D4" w:rsidP="005D3606">
            <w:pPr>
              <w:jc w:val="center"/>
              <w:rPr>
                <w:rFonts w:ascii="Arial" w:eastAsia="Calibri" w:hAnsi="Arial" w:cs="Arial"/>
              </w:rPr>
            </w:pPr>
            <w:r w:rsidRPr="00A664D4">
              <w:rPr>
                <w:rFonts w:ascii="Arial" w:eastAsia="Calibri" w:hAnsi="Arial" w:cs="Arial"/>
              </w:rPr>
              <w:t>690 (6.7%)</w:t>
            </w:r>
          </w:p>
        </w:tc>
        <w:tc>
          <w:tcPr>
            <w:tcW w:w="979" w:type="pct"/>
            <w:vAlign w:val="center"/>
          </w:tcPr>
          <w:p w14:paraId="24B75453" w14:textId="4CE4CF96" w:rsidR="00A664D4" w:rsidRPr="00A664D4" w:rsidRDefault="00A664D4" w:rsidP="005D3606">
            <w:pPr>
              <w:jc w:val="center"/>
              <w:rPr>
                <w:rFonts w:ascii="Arial" w:eastAsia="Calibri" w:hAnsi="Arial" w:cs="Arial"/>
              </w:rPr>
            </w:pPr>
            <w:r w:rsidRPr="00A664D4">
              <w:rPr>
                <w:rFonts w:ascii="Arial" w:eastAsia="Calibri" w:hAnsi="Arial" w:cs="Arial"/>
              </w:rPr>
              <w:t>46 (4.4%)</w:t>
            </w:r>
          </w:p>
        </w:tc>
        <w:tc>
          <w:tcPr>
            <w:tcW w:w="979" w:type="pct"/>
            <w:vAlign w:val="center"/>
          </w:tcPr>
          <w:p w14:paraId="0C0DE7E2" w14:textId="77777777" w:rsidR="00A664D4" w:rsidRPr="00A664D4" w:rsidRDefault="00A664D4" w:rsidP="005D3606">
            <w:pPr>
              <w:jc w:val="center"/>
              <w:rPr>
                <w:rFonts w:ascii="Arial" w:eastAsia="Calibri" w:hAnsi="Arial" w:cs="Arial"/>
              </w:rPr>
            </w:pPr>
            <w:r w:rsidRPr="00A664D4">
              <w:rPr>
                <w:rFonts w:ascii="Arial" w:eastAsia="Calibri" w:hAnsi="Arial" w:cs="Arial"/>
              </w:rPr>
              <w:t>NA</w:t>
            </w:r>
          </w:p>
        </w:tc>
      </w:tr>
      <w:tr w:rsidR="00A664D4" w:rsidRPr="00A664D4" w14:paraId="21E5919E" w14:textId="77777777" w:rsidTr="00A664D4">
        <w:trPr>
          <w:cantSplit/>
        </w:trPr>
        <w:tc>
          <w:tcPr>
            <w:tcW w:w="2063" w:type="pct"/>
            <w:vAlign w:val="center"/>
          </w:tcPr>
          <w:p w14:paraId="1C138C2B" w14:textId="77777777" w:rsidR="00A664D4" w:rsidRPr="00A664D4" w:rsidRDefault="00A664D4" w:rsidP="005D3606">
            <w:pPr>
              <w:pStyle w:val="BodyText"/>
              <w:rPr>
                <w:sz w:val="22"/>
                <w:szCs w:val="22"/>
              </w:rPr>
            </w:pPr>
            <w:r w:rsidRPr="00A664D4">
              <w:rPr>
                <w:sz w:val="22"/>
                <w:szCs w:val="22"/>
              </w:rPr>
              <w:t>Absolute neutrophil count &lt;500 cells/uL</w:t>
            </w:r>
          </w:p>
          <w:p w14:paraId="34F50E96" w14:textId="77777777" w:rsidR="00A664D4" w:rsidRPr="00A664D4" w:rsidRDefault="00A664D4" w:rsidP="005D3606">
            <w:pPr>
              <w:rPr>
                <w:rFonts w:ascii="Arial" w:eastAsia="Calibri" w:hAnsi="Arial" w:cs="Arial"/>
              </w:rPr>
            </w:pPr>
          </w:p>
        </w:tc>
        <w:tc>
          <w:tcPr>
            <w:tcW w:w="979" w:type="pct"/>
            <w:vAlign w:val="center"/>
          </w:tcPr>
          <w:p w14:paraId="383D567A" w14:textId="19B1AD14" w:rsidR="00A664D4" w:rsidRPr="00A664D4" w:rsidRDefault="00A664D4" w:rsidP="005D3606">
            <w:pPr>
              <w:jc w:val="center"/>
              <w:rPr>
                <w:rFonts w:ascii="Arial" w:eastAsia="Calibri" w:hAnsi="Arial" w:cs="Arial"/>
              </w:rPr>
            </w:pPr>
            <w:r w:rsidRPr="00A664D4">
              <w:rPr>
                <w:rFonts w:ascii="Arial" w:eastAsia="Calibri" w:hAnsi="Arial" w:cs="Arial"/>
              </w:rPr>
              <w:t>443 (4.3%)</w:t>
            </w:r>
          </w:p>
        </w:tc>
        <w:tc>
          <w:tcPr>
            <w:tcW w:w="979" w:type="pct"/>
            <w:vAlign w:val="center"/>
          </w:tcPr>
          <w:p w14:paraId="2D152D96" w14:textId="064D75BE" w:rsidR="00A664D4" w:rsidRPr="00A664D4" w:rsidRDefault="00A664D4" w:rsidP="005D3606">
            <w:pPr>
              <w:jc w:val="center"/>
              <w:rPr>
                <w:rFonts w:ascii="Arial" w:eastAsia="Calibri" w:hAnsi="Arial" w:cs="Arial"/>
              </w:rPr>
            </w:pPr>
            <w:r w:rsidRPr="00A664D4">
              <w:rPr>
                <w:rFonts w:ascii="Arial" w:eastAsia="Calibri" w:hAnsi="Arial" w:cs="Arial"/>
              </w:rPr>
              <w:t>81 (7.7%)</w:t>
            </w:r>
          </w:p>
        </w:tc>
        <w:tc>
          <w:tcPr>
            <w:tcW w:w="979" w:type="pct"/>
            <w:vAlign w:val="center"/>
          </w:tcPr>
          <w:p w14:paraId="50E1604F" w14:textId="45B09353" w:rsidR="00A664D4" w:rsidRPr="00A664D4" w:rsidRDefault="00A664D4" w:rsidP="005D3606">
            <w:pPr>
              <w:jc w:val="center"/>
              <w:rPr>
                <w:rFonts w:ascii="Arial" w:eastAsia="Calibri" w:hAnsi="Arial" w:cs="Arial"/>
              </w:rPr>
            </w:pPr>
            <w:r w:rsidRPr="00A664D4">
              <w:rPr>
                <w:rFonts w:ascii="Arial" w:eastAsia="Calibri" w:hAnsi="Arial" w:cs="Arial"/>
              </w:rPr>
              <w:t>111 (0.2%)</w:t>
            </w:r>
          </w:p>
        </w:tc>
      </w:tr>
      <w:tr w:rsidR="00A664D4" w:rsidRPr="00A664D4" w14:paraId="7EC42F36" w14:textId="77777777" w:rsidTr="00A664D4">
        <w:trPr>
          <w:cantSplit/>
        </w:trPr>
        <w:tc>
          <w:tcPr>
            <w:tcW w:w="2063" w:type="pct"/>
            <w:vAlign w:val="center"/>
          </w:tcPr>
          <w:p w14:paraId="7F1020C1" w14:textId="77777777" w:rsidR="00A664D4" w:rsidRPr="00A664D4" w:rsidRDefault="00A664D4" w:rsidP="005D3606">
            <w:pPr>
              <w:rPr>
                <w:rFonts w:ascii="Arial" w:eastAsia="Calibri" w:hAnsi="Arial" w:cs="Arial"/>
              </w:rPr>
            </w:pPr>
            <w:r w:rsidRPr="00A664D4">
              <w:rPr>
                <w:rFonts w:ascii="Arial" w:eastAsia="Calibri" w:hAnsi="Arial" w:cs="Arial"/>
              </w:rPr>
              <w:t>Bronchiectasis</w:t>
            </w:r>
          </w:p>
        </w:tc>
        <w:tc>
          <w:tcPr>
            <w:tcW w:w="979" w:type="pct"/>
            <w:vAlign w:val="center"/>
          </w:tcPr>
          <w:p w14:paraId="28C57B75" w14:textId="1287C8D7" w:rsidR="00A664D4" w:rsidRPr="00A664D4" w:rsidRDefault="00A664D4" w:rsidP="005D3606">
            <w:pPr>
              <w:jc w:val="center"/>
              <w:rPr>
                <w:rFonts w:ascii="Arial" w:eastAsia="Calibri" w:hAnsi="Arial" w:cs="Arial"/>
              </w:rPr>
            </w:pPr>
            <w:r w:rsidRPr="00A664D4">
              <w:rPr>
                <w:rFonts w:ascii="Arial" w:eastAsia="Calibri" w:hAnsi="Arial" w:cs="Arial"/>
              </w:rPr>
              <w:t>791 (7.6%)</w:t>
            </w:r>
          </w:p>
        </w:tc>
        <w:tc>
          <w:tcPr>
            <w:tcW w:w="979" w:type="pct"/>
            <w:vAlign w:val="center"/>
          </w:tcPr>
          <w:p w14:paraId="0B1933D1" w14:textId="2F2C52EC" w:rsidR="00A664D4" w:rsidRPr="00A664D4" w:rsidRDefault="00A664D4" w:rsidP="005D3606">
            <w:pPr>
              <w:jc w:val="center"/>
              <w:rPr>
                <w:rFonts w:ascii="Arial" w:eastAsia="Calibri" w:hAnsi="Arial" w:cs="Arial"/>
              </w:rPr>
            </w:pPr>
            <w:r w:rsidRPr="00A664D4">
              <w:rPr>
                <w:rFonts w:ascii="Arial" w:eastAsia="Calibri" w:hAnsi="Arial" w:cs="Arial"/>
              </w:rPr>
              <w:t>58 (5.5%)</w:t>
            </w:r>
          </w:p>
        </w:tc>
        <w:tc>
          <w:tcPr>
            <w:tcW w:w="979" w:type="pct"/>
            <w:vAlign w:val="center"/>
          </w:tcPr>
          <w:p w14:paraId="62EBCA35" w14:textId="09FE475E" w:rsidR="00A664D4" w:rsidRPr="00A664D4" w:rsidRDefault="00A664D4" w:rsidP="005D3606">
            <w:pPr>
              <w:jc w:val="center"/>
              <w:rPr>
                <w:rFonts w:ascii="Arial" w:eastAsia="Calibri" w:hAnsi="Arial" w:cs="Arial"/>
              </w:rPr>
            </w:pPr>
            <w:r w:rsidRPr="00A664D4">
              <w:rPr>
                <w:rFonts w:ascii="Arial" w:eastAsia="Calibri" w:hAnsi="Arial" w:cs="Arial"/>
              </w:rPr>
              <w:t>2803 (4.6%)</w:t>
            </w:r>
          </w:p>
        </w:tc>
      </w:tr>
      <w:tr w:rsidR="00A664D4" w:rsidRPr="00A664D4" w14:paraId="51D7131C" w14:textId="77777777" w:rsidTr="00A664D4">
        <w:trPr>
          <w:cantSplit/>
          <w:trHeight w:val="70"/>
        </w:trPr>
        <w:tc>
          <w:tcPr>
            <w:tcW w:w="2063" w:type="pct"/>
            <w:vAlign w:val="center"/>
          </w:tcPr>
          <w:p w14:paraId="475433A9" w14:textId="77777777" w:rsidR="00A664D4" w:rsidRPr="00A664D4" w:rsidRDefault="00A664D4" w:rsidP="005D3606">
            <w:pPr>
              <w:rPr>
                <w:rFonts w:ascii="Arial" w:eastAsia="Calibri" w:hAnsi="Arial" w:cs="Arial"/>
              </w:rPr>
            </w:pPr>
            <w:r w:rsidRPr="00A664D4">
              <w:rPr>
                <w:rFonts w:ascii="Arial" w:eastAsia="Calibri" w:hAnsi="Arial" w:cs="Arial"/>
              </w:rPr>
              <w:t>HIV (irrespective of CD4)</w:t>
            </w:r>
          </w:p>
        </w:tc>
        <w:tc>
          <w:tcPr>
            <w:tcW w:w="979" w:type="pct"/>
            <w:vAlign w:val="center"/>
          </w:tcPr>
          <w:p w14:paraId="044EBCC8" w14:textId="01E7E6ED" w:rsidR="00A664D4" w:rsidRPr="00A664D4" w:rsidRDefault="00A664D4" w:rsidP="005D3606">
            <w:pPr>
              <w:jc w:val="center"/>
              <w:rPr>
                <w:rFonts w:ascii="Arial" w:eastAsia="Calibri" w:hAnsi="Arial" w:cs="Arial"/>
              </w:rPr>
            </w:pPr>
            <w:r w:rsidRPr="00A664D4">
              <w:rPr>
                <w:rFonts w:ascii="Arial" w:eastAsia="Calibri" w:hAnsi="Arial" w:cs="Arial"/>
              </w:rPr>
              <w:t>52 (0.5%)</w:t>
            </w:r>
          </w:p>
        </w:tc>
        <w:tc>
          <w:tcPr>
            <w:tcW w:w="979" w:type="pct"/>
            <w:vAlign w:val="center"/>
          </w:tcPr>
          <w:p w14:paraId="3DF557E3" w14:textId="7D665505" w:rsidR="00A664D4" w:rsidRPr="00A664D4" w:rsidRDefault="00A664D4" w:rsidP="00A664D4">
            <w:pPr>
              <w:jc w:val="center"/>
              <w:rPr>
                <w:rFonts w:ascii="Arial" w:eastAsia="Calibri" w:hAnsi="Arial" w:cs="Arial"/>
              </w:rPr>
            </w:pPr>
            <w:r w:rsidRPr="00A664D4">
              <w:rPr>
                <w:rFonts w:ascii="Arial" w:eastAsia="Calibri" w:hAnsi="Arial" w:cs="Arial"/>
              </w:rPr>
              <w:t>26 (2.5%)</w:t>
            </w:r>
          </w:p>
        </w:tc>
        <w:tc>
          <w:tcPr>
            <w:tcW w:w="979" w:type="pct"/>
            <w:vAlign w:val="center"/>
          </w:tcPr>
          <w:p w14:paraId="4C5CF3B6" w14:textId="2540BCBF" w:rsidR="00A664D4" w:rsidRPr="00A664D4" w:rsidRDefault="00A664D4" w:rsidP="005D3606">
            <w:pPr>
              <w:jc w:val="center"/>
              <w:rPr>
                <w:rFonts w:ascii="Arial" w:eastAsia="Calibri" w:hAnsi="Arial" w:cs="Arial"/>
              </w:rPr>
            </w:pPr>
            <w:r w:rsidRPr="00A664D4">
              <w:rPr>
                <w:rFonts w:ascii="Arial" w:eastAsia="Calibri" w:hAnsi="Arial" w:cs="Arial"/>
              </w:rPr>
              <w:t>978 (1.6%)</w:t>
            </w:r>
          </w:p>
        </w:tc>
      </w:tr>
      <w:tr w:rsidR="00A664D4" w:rsidRPr="00A664D4" w14:paraId="01DE98EB" w14:textId="77777777" w:rsidTr="00A664D4">
        <w:trPr>
          <w:cantSplit/>
        </w:trPr>
        <w:tc>
          <w:tcPr>
            <w:tcW w:w="2063" w:type="pct"/>
            <w:vAlign w:val="center"/>
          </w:tcPr>
          <w:p w14:paraId="4305042B" w14:textId="77777777" w:rsidR="00A664D4" w:rsidRPr="00A664D4" w:rsidRDefault="00A664D4" w:rsidP="005D3606">
            <w:pPr>
              <w:rPr>
                <w:rFonts w:ascii="Arial" w:eastAsia="Calibri" w:hAnsi="Arial" w:cs="Arial"/>
              </w:rPr>
            </w:pPr>
            <w:r w:rsidRPr="00A664D4">
              <w:rPr>
                <w:rFonts w:ascii="Arial" w:eastAsia="Calibri" w:hAnsi="Arial" w:cs="Arial"/>
              </w:rPr>
              <w:t>Tracheostomy</w:t>
            </w:r>
          </w:p>
        </w:tc>
        <w:tc>
          <w:tcPr>
            <w:tcW w:w="979" w:type="pct"/>
            <w:vAlign w:val="center"/>
          </w:tcPr>
          <w:p w14:paraId="327DCE26" w14:textId="49C5FD7E" w:rsidR="00A664D4" w:rsidRPr="00A664D4" w:rsidRDefault="00A664D4" w:rsidP="005D3606">
            <w:pPr>
              <w:jc w:val="center"/>
              <w:rPr>
                <w:rFonts w:ascii="Arial" w:eastAsia="Calibri" w:hAnsi="Arial" w:cs="Arial"/>
              </w:rPr>
            </w:pPr>
            <w:r w:rsidRPr="00A664D4">
              <w:rPr>
                <w:rFonts w:ascii="Arial" w:eastAsia="Calibri" w:hAnsi="Arial" w:cs="Arial"/>
              </w:rPr>
              <w:t>384 (3.7%)</w:t>
            </w:r>
          </w:p>
        </w:tc>
        <w:tc>
          <w:tcPr>
            <w:tcW w:w="979" w:type="pct"/>
            <w:vAlign w:val="center"/>
          </w:tcPr>
          <w:p w14:paraId="65DD1117" w14:textId="54666DFF" w:rsidR="00A664D4" w:rsidRPr="00A664D4" w:rsidRDefault="00A664D4" w:rsidP="005D3606">
            <w:pPr>
              <w:jc w:val="center"/>
              <w:rPr>
                <w:rFonts w:ascii="Arial" w:eastAsia="Calibri" w:hAnsi="Arial" w:cs="Arial"/>
              </w:rPr>
            </w:pPr>
            <w:r w:rsidRPr="00A664D4">
              <w:rPr>
                <w:rFonts w:ascii="Arial" w:eastAsia="Calibri" w:hAnsi="Arial" w:cs="Arial"/>
              </w:rPr>
              <w:t>20 (1.9%)</w:t>
            </w:r>
          </w:p>
        </w:tc>
        <w:tc>
          <w:tcPr>
            <w:tcW w:w="979" w:type="pct"/>
            <w:vAlign w:val="center"/>
          </w:tcPr>
          <w:p w14:paraId="3DEAFC5B" w14:textId="28404CAC" w:rsidR="00A664D4" w:rsidRPr="00A664D4" w:rsidRDefault="00A664D4" w:rsidP="005D3606">
            <w:pPr>
              <w:jc w:val="center"/>
              <w:rPr>
                <w:rFonts w:ascii="Arial" w:eastAsia="Calibri" w:hAnsi="Arial" w:cs="Arial"/>
              </w:rPr>
            </w:pPr>
            <w:r w:rsidRPr="00A664D4">
              <w:rPr>
                <w:rFonts w:ascii="Arial" w:eastAsia="Calibri" w:hAnsi="Arial" w:cs="Arial"/>
              </w:rPr>
              <w:t>633 (1.0%)</w:t>
            </w:r>
          </w:p>
        </w:tc>
      </w:tr>
      <w:tr w:rsidR="00A664D4" w:rsidRPr="00A664D4" w14:paraId="38A54CC2" w14:textId="77777777" w:rsidTr="00A664D4">
        <w:trPr>
          <w:cantSplit/>
        </w:trPr>
        <w:tc>
          <w:tcPr>
            <w:tcW w:w="2063" w:type="pct"/>
            <w:vAlign w:val="center"/>
          </w:tcPr>
          <w:p w14:paraId="539D1B0E" w14:textId="77777777" w:rsidR="00A664D4" w:rsidRPr="00A664D4" w:rsidRDefault="00A664D4" w:rsidP="005D3606">
            <w:pPr>
              <w:rPr>
                <w:rFonts w:ascii="Arial" w:eastAsia="Calibri" w:hAnsi="Arial" w:cs="Arial"/>
              </w:rPr>
            </w:pPr>
            <w:r w:rsidRPr="00A664D4">
              <w:rPr>
                <w:rFonts w:ascii="Arial" w:eastAsia="Calibri" w:hAnsi="Arial" w:cs="Arial"/>
              </w:rPr>
              <w:t>Transplant in prior year</w:t>
            </w:r>
          </w:p>
        </w:tc>
        <w:tc>
          <w:tcPr>
            <w:tcW w:w="979" w:type="pct"/>
            <w:vAlign w:val="center"/>
          </w:tcPr>
          <w:p w14:paraId="4D23BDF5" w14:textId="5DFE077A" w:rsidR="00A664D4" w:rsidRPr="00A664D4" w:rsidRDefault="00A664D4" w:rsidP="005D3606">
            <w:pPr>
              <w:jc w:val="center"/>
              <w:rPr>
                <w:rFonts w:ascii="Arial" w:eastAsia="Calibri" w:hAnsi="Arial" w:cs="Arial"/>
              </w:rPr>
            </w:pPr>
            <w:r w:rsidRPr="00A664D4">
              <w:rPr>
                <w:rFonts w:ascii="Arial" w:eastAsia="Calibri" w:hAnsi="Arial" w:cs="Arial"/>
              </w:rPr>
              <w:t>1522 (14.7%)</w:t>
            </w:r>
          </w:p>
        </w:tc>
        <w:tc>
          <w:tcPr>
            <w:tcW w:w="979" w:type="pct"/>
            <w:vAlign w:val="center"/>
          </w:tcPr>
          <w:p w14:paraId="4CC5550C" w14:textId="758A9C21" w:rsidR="00A664D4" w:rsidRPr="00A664D4" w:rsidRDefault="00A664D4" w:rsidP="005D3606">
            <w:pPr>
              <w:jc w:val="center"/>
              <w:rPr>
                <w:rFonts w:ascii="Arial" w:eastAsia="Calibri" w:hAnsi="Arial" w:cs="Arial"/>
              </w:rPr>
            </w:pPr>
            <w:r w:rsidRPr="00A664D4">
              <w:rPr>
                <w:rFonts w:ascii="Arial" w:eastAsia="Calibri" w:hAnsi="Arial" w:cs="Arial"/>
              </w:rPr>
              <w:t>150 (14.3%)</w:t>
            </w:r>
          </w:p>
        </w:tc>
        <w:tc>
          <w:tcPr>
            <w:tcW w:w="979" w:type="pct"/>
            <w:vAlign w:val="center"/>
          </w:tcPr>
          <w:p w14:paraId="7EE673BF" w14:textId="7B956EC5" w:rsidR="00A664D4" w:rsidRPr="00A664D4" w:rsidRDefault="00A664D4" w:rsidP="005D3606">
            <w:pPr>
              <w:jc w:val="center"/>
              <w:rPr>
                <w:rFonts w:ascii="Arial" w:eastAsia="Calibri" w:hAnsi="Arial" w:cs="Arial"/>
              </w:rPr>
            </w:pPr>
            <w:r w:rsidRPr="00A664D4">
              <w:rPr>
                <w:rFonts w:ascii="Arial" w:eastAsia="Calibri" w:hAnsi="Arial" w:cs="Arial"/>
              </w:rPr>
              <w:t>1478 (2.4%)</w:t>
            </w:r>
          </w:p>
        </w:tc>
      </w:tr>
      <w:tr w:rsidR="00A664D4" w:rsidRPr="00A664D4" w14:paraId="628A741F" w14:textId="77777777" w:rsidTr="00A664D4">
        <w:trPr>
          <w:cantSplit/>
        </w:trPr>
        <w:tc>
          <w:tcPr>
            <w:tcW w:w="2063" w:type="pct"/>
            <w:vAlign w:val="center"/>
          </w:tcPr>
          <w:p w14:paraId="387E9295" w14:textId="77777777" w:rsidR="00A664D4" w:rsidRPr="00A664D4" w:rsidRDefault="00A664D4" w:rsidP="005D3606">
            <w:pPr>
              <w:rPr>
                <w:rFonts w:ascii="Arial" w:eastAsia="Calibri" w:hAnsi="Arial" w:cs="Arial"/>
              </w:rPr>
            </w:pPr>
            <w:r w:rsidRPr="00A664D4">
              <w:rPr>
                <w:rFonts w:ascii="Arial" w:eastAsia="Calibri" w:hAnsi="Arial" w:cs="Arial"/>
              </w:rPr>
              <w:t>Hematologic malignancy</w:t>
            </w:r>
          </w:p>
        </w:tc>
        <w:tc>
          <w:tcPr>
            <w:tcW w:w="979" w:type="pct"/>
            <w:vAlign w:val="center"/>
          </w:tcPr>
          <w:p w14:paraId="6ACA2B61" w14:textId="238A689C" w:rsidR="00A664D4" w:rsidRPr="00A664D4" w:rsidRDefault="00A664D4" w:rsidP="005D3606">
            <w:pPr>
              <w:jc w:val="center"/>
              <w:rPr>
                <w:rFonts w:ascii="Arial" w:eastAsia="Calibri" w:hAnsi="Arial" w:cs="Arial"/>
              </w:rPr>
            </w:pPr>
            <w:r w:rsidRPr="00A664D4">
              <w:rPr>
                <w:rFonts w:ascii="Arial" w:eastAsia="Calibri" w:hAnsi="Arial" w:cs="Arial"/>
              </w:rPr>
              <w:t>1461 (14.1%)</w:t>
            </w:r>
          </w:p>
        </w:tc>
        <w:tc>
          <w:tcPr>
            <w:tcW w:w="979" w:type="pct"/>
            <w:vAlign w:val="center"/>
          </w:tcPr>
          <w:p w14:paraId="35BF191D" w14:textId="02DF6980" w:rsidR="00A664D4" w:rsidRPr="00A664D4" w:rsidRDefault="00A664D4" w:rsidP="005D3606">
            <w:pPr>
              <w:jc w:val="center"/>
              <w:rPr>
                <w:rFonts w:ascii="Arial" w:eastAsia="Calibri" w:hAnsi="Arial" w:cs="Arial"/>
              </w:rPr>
            </w:pPr>
            <w:r w:rsidRPr="00A664D4">
              <w:rPr>
                <w:rFonts w:ascii="Arial" w:eastAsia="Calibri" w:hAnsi="Arial" w:cs="Arial"/>
              </w:rPr>
              <w:t>180 (17.2%)</w:t>
            </w:r>
          </w:p>
        </w:tc>
        <w:tc>
          <w:tcPr>
            <w:tcW w:w="979" w:type="pct"/>
            <w:vAlign w:val="center"/>
          </w:tcPr>
          <w:p w14:paraId="69F045F4" w14:textId="2730BF1D" w:rsidR="00A664D4" w:rsidRPr="00A664D4" w:rsidRDefault="00A664D4" w:rsidP="005D3606">
            <w:pPr>
              <w:jc w:val="center"/>
              <w:rPr>
                <w:rFonts w:ascii="Arial" w:eastAsia="Calibri" w:hAnsi="Arial" w:cs="Arial"/>
              </w:rPr>
            </w:pPr>
            <w:r w:rsidRPr="00A664D4">
              <w:rPr>
                <w:rFonts w:ascii="Arial" w:eastAsia="Calibri" w:hAnsi="Arial" w:cs="Arial"/>
              </w:rPr>
              <w:t>4762 (7.8%)</w:t>
            </w:r>
          </w:p>
        </w:tc>
      </w:tr>
      <w:tr w:rsidR="00A664D4" w:rsidRPr="00A664D4" w14:paraId="5414FF5C" w14:textId="77777777" w:rsidTr="00A664D4">
        <w:trPr>
          <w:cantSplit/>
        </w:trPr>
        <w:tc>
          <w:tcPr>
            <w:tcW w:w="2063" w:type="pct"/>
            <w:vAlign w:val="center"/>
          </w:tcPr>
          <w:p w14:paraId="7495C15E" w14:textId="77777777" w:rsidR="00A664D4" w:rsidRPr="00A664D4" w:rsidRDefault="00A664D4" w:rsidP="005D3606">
            <w:pPr>
              <w:rPr>
                <w:rFonts w:ascii="Arial" w:eastAsia="Calibri" w:hAnsi="Arial" w:cs="Arial"/>
              </w:rPr>
            </w:pPr>
            <w:r w:rsidRPr="00A664D4">
              <w:rPr>
                <w:rFonts w:ascii="Arial" w:eastAsia="Calibri" w:hAnsi="Arial" w:cs="Arial"/>
              </w:rPr>
              <w:t xml:space="preserve">Pulmonary complication: </w:t>
            </w:r>
          </w:p>
        </w:tc>
        <w:tc>
          <w:tcPr>
            <w:tcW w:w="979" w:type="pct"/>
            <w:vAlign w:val="center"/>
          </w:tcPr>
          <w:p w14:paraId="302839DF" w14:textId="3FDEAE8A" w:rsidR="00A664D4" w:rsidRPr="00A664D4" w:rsidRDefault="00A664D4" w:rsidP="005D3606">
            <w:pPr>
              <w:jc w:val="center"/>
              <w:rPr>
                <w:rFonts w:ascii="Arial" w:eastAsia="Calibri" w:hAnsi="Arial" w:cs="Arial"/>
              </w:rPr>
            </w:pPr>
            <w:r w:rsidRPr="00A664D4">
              <w:rPr>
                <w:rFonts w:ascii="Arial" w:eastAsia="Calibri" w:hAnsi="Arial" w:cs="Arial"/>
              </w:rPr>
              <w:t>263 (2.5%)</w:t>
            </w:r>
          </w:p>
        </w:tc>
        <w:tc>
          <w:tcPr>
            <w:tcW w:w="979" w:type="pct"/>
            <w:vAlign w:val="center"/>
          </w:tcPr>
          <w:p w14:paraId="5F680CC4" w14:textId="7D34C0AC" w:rsidR="00A664D4" w:rsidRPr="00A664D4" w:rsidRDefault="00A664D4" w:rsidP="005D3606">
            <w:pPr>
              <w:jc w:val="center"/>
              <w:rPr>
                <w:rFonts w:ascii="Arial" w:eastAsia="Calibri" w:hAnsi="Arial" w:cs="Arial"/>
              </w:rPr>
            </w:pPr>
            <w:r w:rsidRPr="00A664D4">
              <w:rPr>
                <w:rFonts w:ascii="Arial" w:eastAsia="Calibri" w:hAnsi="Arial" w:cs="Arial"/>
              </w:rPr>
              <w:t>38 (3.6%)</w:t>
            </w:r>
          </w:p>
        </w:tc>
        <w:tc>
          <w:tcPr>
            <w:tcW w:w="979" w:type="pct"/>
            <w:vAlign w:val="center"/>
          </w:tcPr>
          <w:p w14:paraId="6D5142AE" w14:textId="64F1924B" w:rsidR="00A664D4" w:rsidRPr="00A664D4" w:rsidRDefault="00A664D4" w:rsidP="005D3606">
            <w:pPr>
              <w:jc w:val="center"/>
              <w:rPr>
                <w:rFonts w:ascii="Arial" w:eastAsia="Calibri" w:hAnsi="Arial" w:cs="Arial"/>
              </w:rPr>
            </w:pPr>
            <w:r w:rsidRPr="00A664D4">
              <w:rPr>
                <w:rFonts w:ascii="Arial" w:eastAsia="Calibri" w:hAnsi="Arial" w:cs="Arial"/>
              </w:rPr>
              <w:t>1698 (2.8%)</w:t>
            </w:r>
          </w:p>
        </w:tc>
      </w:tr>
      <w:tr w:rsidR="00A664D4" w:rsidRPr="00A664D4" w14:paraId="46EAE4AD" w14:textId="77777777" w:rsidTr="00A664D4">
        <w:trPr>
          <w:cantSplit/>
        </w:trPr>
        <w:tc>
          <w:tcPr>
            <w:tcW w:w="2063" w:type="pct"/>
            <w:vAlign w:val="center"/>
          </w:tcPr>
          <w:p w14:paraId="44954E47" w14:textId="77777777" w:rsidR="00A664D4" w:rsidRPr="00A664D4" w:rsidRDefault="00A664D4" w:rsidP="005D3606">
            <w:pPr>
              <w:rPr>
                <w:rFonts w:ascii="Arial" w:eastAsia="Calibri" w:hAnsi="Arial" w:cs="Arial"/>
                <w:b/>
                <w:bCs/>
              </w:rPr>
            </w:pPr>
            <w:r w:rsidRPr="00A664D4">
              <w:rPr>
                <w:rFonts w:ascii="Arial" w:eastAsia="Calibri" w:hAnsi="Arial" w:cs="Arial"/>
                <w:b/>
                <w:bCs/>
              </w:rPr>
              <w:t>Ending population</w:t>
            </w:r>
          </w:p>
        </w:tc>
        <w:tc>
          <w:tcPr>
            <w:tcW w:w="979" w:type="pct"/>
            <w:vAlign w:val="center"/>
          </w:tcPr>
          <w:p w14:paraId="2EE8DC2D" w14:textId="7CBD9BAC" w:rsidR="00A664D4" w:rsidRPr="00A664D4" w:rsidRDefault="00A664D4" w:rsidP="005D3606">
            <w:pPr>
              <w:jc w:val="center"/>
              <w:rPr>
                <w:rFonts w:ascii="Arial" w:eastAsia="Calibri" w:hAnsi="Arial" w:cs="Arial"/>
                <w:b/>
                <w:bCs/>
              </w:rPr>
            </w:pPr>
            <w:r w:rsidRPr="00A664D4">
              <w:rPr>
                <w:rFonts w:ascii="Arial" w:eastAsia="Calibri" w:hAnsi="Arial" w:cs="Arial"/>
                <w:b/>
                <w:bCs/>
              </w:rPr>
              <w:t>6,285 (60.6%)</w:t>
            </w:r>
          </w:p>
        </w:tc>
        <w:tc>
          <w:tcPr>
            <w:tcW w:w="979" w:type="pct"/>
            <w:vAlign w:val="center"/>
          </w:tcPr>
          <w:p w14:paraId="3A1A789B" w14:textId="5ECF26C8" w:rsidR="00A664D4" w:rsidRPr="00A664D4" w:rsidRDefault="00A664D4" w:rsidP="005D3606">
            <w:pPr>
              <w:jc w:val="center"/>
              <w:rPr>
                <w:rFonts w:ascii="Arial" w:eastAsia="Calibri" w:hAnsi="Arial" w:cs="Arial"/>
                <w:b/>
                <w:bCs/>
              </w:rPr>
            </w:pPr>
            <w:r w:rsidRPr="00A664D4">
              <w:rPr>
                <w:rFonts w:ascii="Arial" w:eastAsia="Calibri" w:hAnsi="Arial" w:cs="Arial"/>
                <w:b/>
                <w:bCs/>
              </w:rPr>
              <w:t>655 (62.4%)</w:t>
            </w:r>
          </w:p>
        </w:tc>
        <w:tc>
          <w:tcPr>
            <w:tcW w:w="979" w:type="pct"/>
            <w:vAlign w:val="center"/>
          </w:tcPr>
          <w:p w14:paraId="026F2C06" w14:textId="74A47A85" w:rsidR="00A664D4" w:rsidRPr="00A664D4" w:rsidRDefault="00A664D4" w:rsidP="005D3606">
            <w:pPr>
              <w:jc w:val="center"/>
              <w:rPr>
                <w:rFonts w:ascii="Arial" w:eastAsia="Calibri" w:hAnsi="Arial" w:cs="Arial"/>
                <w:b/>
                <w:bCs/>
              </w:rPr>
            </w:pPr>
            <w:r w:rsidRPr="00A664D4">
              <w:rPr>
                <w:rFonts w:ascii="Arial" w:eastAsia="Calibri" w:hAnsi="Arial" w:cs="Arial"/>
                <w:b/>
                <w:bCs/>
              </w:rPr>
              <w:t>49,774 (81.7%)</w:t>
            </w:r>
          </w:p>
        </w:tc>
      </w:tr>
    </w:tbl>
    <w:p w14:paraId="3C539FEF" w14:textId="77777777" w:rsidR="0062202B" w:rsidRPr="001E511D" w:rsidRDefault="0062202B" w:rsidP="0062202B">
      <w:pPr>
        <w:rPr>
          <w:rFonts w:ascii="Aptos" w:hAnsi="Aptos"/>
        </w:rPr>
      </w:pPr>
    </w:p>
    <w:bookmarkEnd w:id="5"/>
    <w:p w14:paraId="4997C7A7" w14:textId="77777777" w:rsidR="00A664D4" w:rsidRDefault="00A664D4">
      <w:pPr>
        <w:rPr>
          <w:rFonts w:ascii="Aptos" w:eastAsia="Calibri" w:hAnsi="Aptos" w:cs="Times New Roman"/>
          <w:b/>
          <w:bCs/>
        </w:rPr>
      </w:pPr>
      <w:r>
        <w:rPr>
          <w:rFonts w:ascii="Aptos" w:eastAsia="Calibri" w:hAnsi="Aptos" w:cs="Times New Roman"/>
          <w:b/>
          <w:bCs/>
        </w:rPr>
        <w:br w:type="page"/>
      </w:r>
    </w:p>
    <w:p w14:paraId="6F2B5A8E" w14:textId="5ED33EFD" w:rsidR="0062202B" w:rsidRPr="00431C1D" w:rsidRDefault="0062202B" w:rsidP="0062202B">
      <w:pPr>
        <w:rPr>
          <w:rFonts w:ascii="Arial" w:eastAsia="Calibri" w:hAnsi="Arial" w:cs="Arial"/>
          <w:sz w:val="22"/>
          <w:szCs w:val="22"/>
        </w:rPr>
      </w:pPr>
      <w:r w:rsidRPr="00431C1D">
        <w:rPr>
          <w:rFonts w:ascii="Arial" w:eastAsia="Calibri" w:hAnsi="Arial" w:cs="Arial"/>
          <w:b/>
          <w:bCs/>
          <w:sz w:val="22"/>
          <w:szCs w:val="22"/>
        </w:rPr>
        <w:lastRenderedPageBreak/>
        <w:t xml:space="preserve">Table 19. </w:t>
      </w:r>
      <w:r w:rsidRPr="00431C1D">
        <w:rPr>
          <w:rFonts w:ascii="Arial" w:eastAsia="Calibri" w:hAnsi="Arial" w:cs="Arial"/>
          <w:sz w:val="22"/>
          <w:szCs w:val="22"/>
        </w:rPr>
        <w:t>Denominator exclusions specific to calculation of duration</w:t>
      </w:r>
    </w:p>
    <w:tbl>
      <w:tblPr>
        <w:tblStyle w:val="TableGrid"/>
        <w:tblW w:w="4657" w:type="pct"/>
        <w:tblLayout w:type="fixed"/>
        <w:tblLook w:val="04A0" w:firstRow="1" w:lastRow="0" w:firstColumn="1" w:lastColumn="0" w:noHBand="0" w:noVBand="1"/>
        <w:tblCaption w:val="Table 19. Denominator exclusions specific to calculation of duration"/>
        <w:tblDescription w:val="This table compares University of Michigan, University of Utah, and VA health care systems data for denominator exclusions that are specific to the calculation of duration."/>
      </w:tblPr>
      <w:tblGrid>
        <w:gridCol w:w="3775"/>
        <w:gridCol w:w="1980"/>
        <w:gridCol w:w="1980"/>
        <w:gridCol w:w="1980"/>
      </w:tblGrid>
      <w:tr w:rsidR="00431C1D" w:rsidRPr="00431C1D" w14:paraId="16BF53F9" w14:textId="77777777" w:rsidTr="00A169E8">
        <w:trPr>
          <w:cantSplit/>
          <w:tblHeader/>
        </w:trPr>
        <w:tc>
          <w:tcPr>
            <w:tcW w:w="1943" w:type="pct"/>
            <w:vAlign w:val="center"/>
          </w:tcPr>
          <w:p w14:paraId="6D3DE568" w14:textId="77777777" w:rsidR="00431C1D" w:rsidRPr="00431C1D" w:rsidRDefault="00431C1D" w:rsidP="00431C1D">
            <w:pPr>
              <w:rPr>
                <w:rFonts w:ascii="Arial" w:hAnsi="Arial" w:cs="Arial"/>
                <w:b/>
                <w:bCs/>
                <w:color w:val="000000" w:themeColor="text1"/>
              </w:rPr>
            </w:pPr>
            <w:r w:rsidRPr="00431C1D">
              <w:rPr>
                <w:rFonts w:ascii="Arial" w:hAnsi="Arial" w:cs="Arial"/>
                <w:b/>
                <w:bCs/>
                <w:color w:val="000000" w:themeColor="text1"/>
              </w:rPr>
              <w:t>Exclusion</w:t>
            </w:r>
          </w:p>
        </w:tc>
        <w:tc>
          <w:tcPr>
            <w:tcW w:w="1019" w:type="pct"/>
            <w:vAlign w:val="center"/>
          </w:tcPr>
          <w:p w14:paraId="7A96AF4E" w14:textId="77777777" w:rsidR="00431C1D" w:rsidRPr="00431C1D" w:rsidRDefault="00431C1D" w:rsidP="005D3606">
            <w:pPr>
              <w:jc w:val="center"/>
              <w:rPr>
                <w:rFonts w:ascii="Arial" w:hAnsi="Arial" w:cs="Arial"/>
                <w:b/>
                <w:bCs/>
                <w:color w:val="000000" w:themeColor="text1"/>
              </w:rPr>
            </w:pPr>
            <w:r w:rsidRPr="00431C1D">
              <w:rPr>
                <w:rFonts w:ascii="Arial" w:hAnsi="Arial" w:cs="Arial"/>
                <w:b/>
                <w:bCs/>
                <w:color w:val="000000" w:themeColor="text1"/>
              </w:rPr>
              <w:t>Michigan (n=6285)</w:t>
            </w:r>
          </w:p>
        </w:tc>
        <w:tc>
          <w:tcPr>
            <w:tcW w:w="1019" w:type="pct"/>
            <w:vAlign w:val="center"/>
          </w:tcPr>
          <w:p w14:paraId="2A3AFF3B" w14:textId="77777777" w:rsidR="00431C1D" w:rsidRPr="00431C1D" w:rsidRDefault="00431C1D" w:rsidP="005D3606">
            <w:pPr>
              <w:jc w:val="center"/>
              <w:rPr>
                <w:rFonts w:ascii="Arial" w:hAnsi="Arial" w:cs="Arial"/>
                <w:b/>
                <w:bCs/>
                <w:color w:val="000000" w:themeColor="text1"/>
              </w:rPr>
            </w:pPr>
            <w:r w:rsidRPr="00431C1D">
              <w:rPr>
                <w:rFonts w:ascii="Arial" w:hAnsi="Arial" w:cs="Arial"/>
                <w:b/>
                <w:bCs/>
                <w:color w:val="000000" w:themeColor="text1"/>
              </w:rPr>
              <w:t xml:space="preserve">Utah </w:t>
            </w:r>
          </w:p>
          <w:p w14:paraId="345E4836" w14:textId="77777777" w:rsidR="00431C1D" w:rsidRPr="00431C1D" w:rsidRDefault="00431C1D" w:rsidP="005D3606">
            <w:pPr>
              <w:jc w:val="center"/>
              <w:rPr>
                <w:rFonts w:ascii="Arial" w:hAnsi="Arial" w:cs="Arial"/>
                <w:b/>
                <w:bCs/>
                <w:color w:val="000000" w:themeColor="text1"/>
              </w:rPr>
            </w:pPr>
            <w:r w:rsidRPr="00431C1D">
              <w:rPr>
                <w:rFonts w:ascii="Arial" w:hAnsi="Arial" w:cs="Arial"/>
                <w:b/>
                <w:bCs/>
                <w:color w:val="000000" w:themeColor="text1"/>
              </w:rPr>
              <w:t>(n=655)</w:t>
            </w:r>
          </w:p>
        </w:tc>
        <w:tc>
          <w:tcPr>
            <w:tcW w:w="1019" w:type="pct"/>
            <w:vAlign w:val="center"/>
          </w:tcPr>
          <w:p w14:paraId="7F8045BB" w14:textId="77777777" w:rsidR="00431C1D" w:rsidRPr="00431C1D" w:rsidRDefault="00431C1D" w:rsidP="005D3606">
            <w:pPr>
              <w:jc w:val="center"/>
              <w:rPr>
                <w:rFonts w:ascii="Arial" w:hAnsi="Arial" w:cs="Arial"/>
                <w:b/>
                <w:bCs/>
                <w:color w:val="000000" w:themeColor="text1"/>
              </w:rPr>
            </w:pPr>
            <w:r w:rsidRPr="00431C1D">
              <w:rPr>
                <w:rFonts w:ascii="Arial" w:hAnsi="Arial" w:cs="Arial"/>
                <w:b/>
                <w:bCs/>
                <w:color w:val="000000" w:themeColor="text1"/>
              </w:rPr>
              <w:t xml:space="preserve">VA </w:t>
            </w:r>
          </w:p>
          <w:p w14:paraId="77001CC1" w14:textId="77777777" w:rsidR="00431C1D" w:rsidRPr="00431C1D" w:rsidRDefault="00431C1D" w:rsidP="005D3606">
            <w:pPr>
              <w:jc w:val="center"/>
              <w:rPr>
                <w:rFonts w:ascii="Arial" w:hAnsi="Arial" w:cs="Arial"/>
                <w:b/>
                <w:bCs/>
                <w:color w:val="000000" w:themeColor="text1"/>
              </w:rPr>
            </w:pPr>
            <w:r w:rsidRPr="00431C1D">
              <w:rPr>
                <w:rFonts w:ascii="Arial" w:hAnsi="Arial" w:cs="Arial"/>
                <w:b/>
                <w:bCs/>
                <w:color w:val="000000" w:themeColor="text1"/>
              </w:rPr>
              <w:t>(n 49774)</w:t>
            </w:r>
          </w:p>
        </w:tc>
      </w:tr>
      <w:tr w:rsidR="00431C1D" w:rsidRPr="00431C1D" w14:paraId="511D4D7E" w14:textId="77777777" w:rsidTr="00A169E8">
        <w:trPr>
          <w:cantSplit/>
        </w:trPr>
        <w:tc>
          <w:tcPr>
            <w:tcW w:w="1943" w:type="pct"/>
            <w:shd w:val="clear" w:color="auto" w:fill="CAEDFB" w:themeFill="accent4" w:themeFillTint="33"/>
          </w:tcPr>
          <w:p w14:paraId="45053A25" w14:textId="77777777" w:rsidR="00431C1D" w:rsidRPr="00431C1D" w:rsidRDefault="00431C1D" w:rsidP="005D3606">
            <w:pPr>
              <w:rPr>
                <w:rFonts w:ascii="Arial" w:hAnsi="Arial" w:cs="Arial"/>
                <w:color w:val="000000" w:themeColor="text1"/>
              </w:rPr>
            </w:pPr>
            <w:r w:rsidRPr="00431C1D">
              <w:rPr>
                <w:rFonts w:ascii="Arial" w:hAnsi="Arial" w:cs="Arial"/>
                <w:color w:val="000000" w:themeColor="text1"/>
              </w:rPr>
              <w:t>Cannot calculate duration</w:t>
            </w:r>
          </w:p>
        </w:tc>
        <w:tc>
          <w:tcPr>
            <w:tcW w:w="1019" w:type="pct"/>
            <w:shd w:val="clear" w:color="auto" w:fill="CAEDFB" w:themeFill="accent4" w:themeFillTint="33"/>
            <w:vAlign w:val="center"/>
          </w:tcPr>
          <w:p w14:paraId="74946A3D" w14:textId="6B20EEE0" w:rsidR="00431C1D" w:rsidRPr="00431C1D" w:rsidRDefault="00431C1D" w:rsidP="005D3606">
            <w:pPr>
              <w:jc w:val="center"/>
              <w:rPr>
                <w:rFonts w:ascii="Arial" w:hAnsi="Arial" w:cs="Arial"/>
                <w:color w:val="000000" w:themeColor="text1"/>
              </w:rPr>
            </w:pPr>
            <w:r>
              <w:rPr>
                <w:rFonts w:ascii="Arial" w:hAnsi="Arial" w:cs="Arial"/>
                <w:color w:val="000000" w:themeColor="text1"/>
              </w:rPr>
              <w:t>*</w:t>
            </w:r>
          </w:p>
        </w:tc>
        <w:tc>
          <w:tcPr>
            <w:tcW w:w="1019" w:type="pct"/>
            <w:shd w:val="clear" w:color="auto" w:fill="CAEDFB" w:themeFill="accent4" w:themeFillTint="33"/>
            <w:vAlign w:val="center"/>
          </w:tcPr>
          <w:p w14:paraId="6D52636D" w14:textId="6978ECE7" w:rsidR="00431C1D" w:rsidRPr="00431C1D" w:rsidRDefault="00431C1D" w:rsidP="005D3606">
            <w:pPr>
              <w:jc w:val="center"/>
              <w:rPr>
                <w:rFonts w:ascii="Arial" w:hAnsi="Arial" w:cs="Arial"/>
                <w:color w:val="000000" w:themeColor="text1"/>
              </w:rPr>
            </w:pPr>
            <w:r>
              <w:rPr>
                <w:rFonts w:ascii="Arial" w:hAnsi="Arial" w:cs="Arial"/>
                <w:color w:val="000000" w:themeColor="text1"/>
              </w:rPr>
              <w:t>*</w:t>
            </w:r>
          </w:p>
        </w:tc>
        <w:tc>
          <w:tcPr>
            <w:tcW w:w="1019" w:type="pct"/>
            <w:shd w:val="clear" w:color="auto" w:fill="CAEDFB" w:themeFill="accent4" w:themeFillTint="33"/>
            <w:vAlign w:val="center"/>
          </w:tcPr>
          <w:p w14:paraId="55382638" w14:textId="5F25388D" w:rsidR="00431C1D" w:rsidRPr="00431C1D" w:rsidRDefault="00431C1D" w:rsidP="005D3606">
            <w:pPr>
              <w:jc w:val="center"/>
              <w:rPr>
                <w:rFonts w:ascii="Arial" w:hAnsi="Arial" w:cs="Arial"/>
                <w:color w:val="000000" w:themeColor="text1"/>
              </w:rPr>
            </w:pPr>
            <w:r>
              <w:rPr>
                <w:rFonts w:ascii="Arial" w:hAnsi="Arial" w:cs="Arial"/>
                <w:color w:val="000000" w:themeColor="text1"/>
              </w:rPr>
              <w:t>*</w:t>
            </w:r>
          </w:p>
        </w:tc>
      </w:tr>
      <w:tr w:rsidR="00431C1D" w:rsidRPr="00431C1D" w14:paraId="1981C744" w14:textId="77777777" w:rsidTr="00A169E8">
        <w:trPr>
          <w:cantSplit/>
        </w:trPr>
        <w:tc>
          <w:tcPr>
            <w:tcW w:w="1943" w:type="pct"/>
          </w:tcPr>
          <w:p w14:paraId="6C32CD43" w14:textId="77777777" w:rsidR="00431C1D" w:rsidRPr="00431C1D" w:rsidRDefault="00431C1D" w:rsidP="005D3606">
            <w:pPr>
              <w:ind w:left="144"/>
              <w:rPr>
                <w:rFonts w:ascii="Arial" w:hAnsi="Arial" w:cs="Arial"/>
                <w:color w:val="000000" w:themeColor="text1"/>
              </w:rPr>
            </w:pPr>
            <w:r w:rsidRPr="00431C1D">
              <w:rPr>
                <w:rFonts w:ascii="Arial" w:hAnsi="Arial" w:cs="Arial"/>
                <w:color w:val="000000" w:themeColor="text1"/>
              </w:rPr>
              <w:t>Died during hospitalization</w:t>
            </w:r>
          </w:p>
        </w:tc>
        <w:tc>
          <w:tcPr>
            <w:tcW w:w="1019" w:type="pct"/>
            <w:vAlign w:val="center"/>
          </w:tcPr>
          <w:p w14:paraId="73F97228" w14:textId="751CC8B7" w:rsidR="00431C1D" w:rsidRPr="00431C1D" w:rsidRDefault="00431C1D" w:rsidP="005D3606">
            <w:pPr>
              <w:jc w:val="center"/>
              <w:rPr>
                <w:rFonts w:ascii="Arial" w:hAnsi="Arial" w:cs="Arial"/>
                <w:color w:val="000000" w:themeColor="text1"/>
              </w:rPr>
            </w:pPr>
            <w:r w:rsidRPr="00431C1D">
              <w:rPr>
                <w:rFonts w:ascii="Arial" w:hAnsi="Arial" w:cs="Arial"/>
                <w:color w:val="000000" w:themeColor="text1"/>
              </w:rPr>
              <w:t>223</w:t>
            </w:r>
            <w:r>
              <w:rPr>
                <w:rFonts w:ascii="Arial" w:hAnsi="Arial" w:cs="Arial"/>
                <w:color w:val="000000" w:themeColor="text1"/>
              </w:rPr>
              <w:t xml:space="preserve"> (3.5%)</w:t>
            </w:r>
          </w:p>
        </w:tc>
        <w:tc>
          <w:tcPr>
            <w:tcW w:w="1019" w:type="pct"/>
            <w:vAlign w:val="center"/>
          </w:tcPr>
          <w:p w14:paraId="06C25D53" w14:textId="0AE2295D" w:rsidR="00431C1D" w:rsidRPr="00431C1D" w:rsidRDefault="00431C1D" w:rsidP="005D3606">
            <w:pPr>
              <w:jc w:val="center"/>
              <w:rPr>
                <w:rFonts w:ascii="Arial" w:hAnsi="Arial" w:cs="Arial"/>
                <w:color w:val="000000" w:themeColor="text1"/>
              </w:rPr>
            </w:pPr>
            <w:r w:rsidRPr="00431C1D">
              <w:rPr>
                <w:rFonts w:ascii="Arial" w:hAnsi="Arial" w:cs="Arial"/>
                <w:color w:val="000000" w:themeColor="text1"/>
              </w:rPr>
              <w:t>7</w:t>
            </w:r>
            <w:r>
              <w:rPr>
                <w:rFonts w:ascii="Arial" w:hAnsi="Arial" w:cs="Arial"/>
                <w:color w:val="000000" w:themeColor="text1"/>
              </w:rPr>
              <w:t xml:space="preserve"> (1.1%)</w:t>
            </w:r>
          </w:p>
        </w:tc>
        <w:tc>
          <w:tcPr>
            <w:tcW w:w="1019" w:type="pct"/>
            <w:shd w:val="clear" w:color="auto" w:fill="auto"/>
            <w:vAlign w:val="center"/>
          </w:tcPr>
          <w:p w14:paraId="61A52CAA" w14:textId="66765A9C" w:rsidR="00431C1D" w:rsidRPr="00431C1D" w:rsidRDefault="00431C1D" w:rsidP="005D3606">
            <w:pPr>
              <w:jc w:val="center"/>
              <w:rPr>
                <w:rFonts w:ascii="Arial" w:hAnsi="Arial" w:cs="Arial"/>
                <w:color w:val="000000" w:themeColor="text1"/>
              </w:rPr>
            </w:pPr>
            <w:r w:rsidRPr="00431C1D">
              <w:rPr>
                <w:rFonts w:ascii="Arial" w:hAnsi="Arial" w:cs="Arial"/>
                <w:color w:val="000000" w:themeColor="text1"/>
              </w:rPr>
              <w:t>830</w:t>
            </w:r>
            <w:r>
              <w:rPr>
                <w:rFonts w:ascii="Arial" w:hAnsi="Arial" w:cs="Arial"/>
                <w:color w:val="000000" w:themeColor="text1"/>
              </w:rPr>
              <w:t xml:space="preserve"> (1.7%)</w:t>
            </w:r>
          </w:p>
        </w:tc>
      </w:tr>
      <w:tr w:rsidR="00431C1D" w:rsidRPr="00431C1D" w14:paraId="46D5C293" w14:textId="77777777" w:rsidTr="00A169E8">
        <w:trPr>
          <w:cantSplit/>
        </w:trPr>
        <w:tc>
          <w:tcPr>
            <w:tcW w:w="1943" w:type="pct"/>
          </w:tcPr>
          <w:p w14:paraId="22C629B6" w14:textId="77777777" w:rsidR="00431C1D" w:rsidRPr="00431C1D" w:rsidRDefault="00431C1D" w:rsidP="005D3606">
            <w:pPr>
              <w:ind w:left="144"/>
              <w:rPr>
                <w:rFonts w:ascii="Arial" w:hAnsi="Arial" w:cs="Arial"/>
                <w:color w:val="000000" w:themeColor="text1"/>
              </w:rPr>
            </w:pPr>
            <w:r w:rsidRPr="00431C1D">
              <w:rPr>
                <w:rFonts w:ascii="Arial" w:hAnsi="Arial" w:cs="Arial"/>
                <w:color w:val="000000" w:themeColor="text1"/>
              </w:rPr>
              <w:t>Discharged to another hospital</w:t>
            </w:r>
          </w:p>
        </w:tc>
        <w:tc>
          <w:tcPr>
            <w:tcW w:w="1019" w:type="pct"/>
            <w:vAlign w:val="center"/>
          </w:tcPr>
          <w:p w14:paraId="273AF2D3" w14:textId="7E8DE7F4" w:rsidR="00431C1D" w:rsidRPr="00431C1D" w:rsidRDefault="00431C1D" w:rsidP="005D3606">
            <w:pPr>
              <w:jc w:val="center"/>
              <w:rPr>
                <w:rFonts w:ascii="Arial" w:hAnsi="Arial" w:cs="Arial"/>
                <w:color w:val="000000" w:themeColor="text1"/>
              </w:rPr>
            </w:pPr>
            <w:r w:rsidRPr="00431C1D">
              <w:rPr>
                <w:rFonts w:ascii="Arial" w:hAnsi="Arial" w:cs="Arial"/>
                <w:color w:val="000000" w:themeColor="text1"/>
              </w:rPr>
              <w:t>20</w:t>
            </w:r>
            <w:r>
              <w:rPr>
                <w:rFonts w:ascii="Arial" w:hAnsi="Arial" w:cs="Arial"/>
                <w:color w:val="000000" w:themeColor="text1"/>
              </w:rPr>
              <w:t xml:space="preserve"> (0.3%)</w:t>
            </w:r>
          </w:p>
        </w:tc>
        <w:tc>
          <w:tcPr>
            <w:tcW w:w="1019" w:type="pct"/>
            <w:vAlign w:val="center"/>
          </w:tcPr>
          <w:p w14:paraId="730F38B2" w14:textId="4595F9CD" w:rsidR="00431C1D" w:rsidRPr="00431C1D" w:rsidRDefault="00431C1D" w:rsidP="005D3606">
            <w:pPr>
              <w:jc w:val="center"/>
              <w:rPr>
                <w:rFonts w:ascii="Arial" w:hAnsi="Arial" w:cs="Arial"/>
                <w:color w:val="000000" w:themeColor="text1"/>
              </w:rPr>
            </w:pPr>
            <w:r w:rsidRPr="00431C1D">
              <w:rPr>
                <w:rFonts w:ascii="Arial" w:hAnsi="Arial" w:cs="Arial"/>
                <w:color w:val="000000" w:themeColor="text1"/>
              </w:rPr>
              <w:t>6</w:t>
            </w:r>
            <w:r>
              <w:rPr>
                <w:rFonts w:ascii="Arial" w:hAnsi="Arial" w:cs="Arial"/>
                <w:color w:val="000000" w:themeColor="text1"/>
              </w:rPr>
              <w:t xml:space="preserve"> (0.9%)</w:t>
            </w:r>
          </w:p>
        </w:tc>
        <w:tc>
          <w:tcPr>
            <w:tcW w:w="1019" w:type="pct"/>
            <w:shd w:val="clear" w:color="auto" w:fill="auto"/>
            <w:vAlign w:val="center"/>
          </w:tcPr>
          <w:p w14:paraId="33965692" w14:textId="3B8A1F59" w:rsidR="00431C1D" w:rsidRPr="00431C1D" w:rsidRDefault="00431C1D" w:rsidP="005D3606">
            <w:pPr>
              <w:jc w:val="center"/>
              <w:rPr>
                <w:rFonts w:ascii="Arial" w:hAnsi="Arial" w:cs="Arial"/>
                <w:color w:val="000000" w:themeColor="text1"/>
              </w:rPr>
            </w:pPr>
            <w:r w:rsidRPr="00431C1D">
              <w:rPr>
                <w:rFonts w:ascii="Arial" w:hAnsi="Arial" w:cs="Arial"/>
                <w:color w:val="000000" w:themeColor="text1"/>
              </w:rPr>
              <w:t>2994</w:t>
            </w:r>
            <w:r>
              <w:rPr>
                <w:rFonts w:ascii="Arial" w:hAnsi="Arial" w:cs="Arial"/>
                <w:color w:val="000000" w:themeColor="text1"/>
              </w:rPr>
              <w:t xml:space="preserve"> (6.0%)</w:t>
            </w:r>
          </w:p>
        </w:tc>
      </w:tr>
      <w:tr w:rsidR="00431C1D" w:rsidRPr="00431C1D" w14:paraId="00054244" w14:textId="77777777" w:rsidTr="00A169E8">
        <w:trPr>
          <w:cantSplit/>
        </w:trPr>
        <w:tc>
          <w:tcPr>
            <w:tcW w:w="1943" w:type="pct"/>
          </w:tcPr>
          <w:p w14:paraId="11965985" w14:textId="77777777" w:rsidR="00431C1D" w:rsidRPr="00431C1D" w:rsidRDefault="00431C1D" w:rsidP="005D3606">
            <w:pPr>
              <w:ind w:left="144"/>
              <w:rPr>
                <w:rFonts w:ascii="Arial" w:hAnsi="Arial" w:cs="Arial"/>
                <w:color w:val="000000" w:themeColor="text1"/>
              </w:rPr>
            </w:pPr>
            <w:r w:rsidRPr="00431C1D">
              <w:rPr>
                <w:rFonts w:ascii="Arial" w:hAnsi="Arial" w:cs="Arial"/>
                <w:color w:val="000000" w:themeColor="text1"/>
              </w:rPr>
              <w:t>Discharged to inpatient/home hospice</w:t>
            </w:r>
          </w:p>
        </w:tc>
        <w:tc>
          <w:tcPr>
            <w:tcW w:w="1019" w:type="pct"/>
            <w:vAlign w:val="center"/>
          </w:tcPr>
          <w:p w14:paraId="4FF50E2B" w14:textId="3A233DD7" w:rsidR="00431C1D" w:rsidRPr="00431C1D" w:rsidRDefault="00431C1D" w:rsidP="005D3606">
            <w:pPr>
              <w:jc w:val="center"/>
              <w:rPr>
                <w:rFonts w:ascii="Arial" w:hAnsi="Arial" w:cs="Arial"/>
                <w:color w:val="000000" w:themeColor="text1"/>
              </w:rPr>
            </w:pPr>
            <w:r w:rsidRPr="00431C1D">
              <w:rPr>
                <w:rFonts w:ascii="Arial" w:hAnsi="Arial" w:cs="Arial"/>
                <w:color w:val="000000" w:themeColor="text1"/>
              </w:rPr>
              <w:t>284</w:t>
            </w:r>
            <w:r>
              <w:rPr>
                <w:rFonts w:ascii="Arial" w:hAnsi="Arial" w:cs="Arial"/>
                <w:color w:val="000000" w:themeColor="text1"/>
              </w:rPr>
              <w:t xml:space="preserve"> (4.5%)</w:t>
            </w:r>
          </w:p>
        </w:tc>
        <w:tc>
          <w:tcPr>
            <w:tcW w:w="1019" w:type="pct"/>
            <w:vAlign w:val="center"/>
          </w:tcPr>
          <w:p w14:paraId="75A43F25" w14:textId="1C3BB2EA" w:rsidR="00431C1D" w:rsidRPr="00431C1D" w:rsidRDefault="00431C1D" w:rsidP="005D3606">
            <w:pPr>
              <w:jc w:val="center"/>
              <w:rPr>
                <w:rFonts w:ascii="Arial" w:hAnsi="Arial" w:cs="Arial"/>
                <w:color w:val="000000" w:themeColor="text1"/>
              </w:rPr>
            </w:pPr>
            <w:r w:rsidRPr="00431C1D">
              <w:rPr>
                <w:rFonts w:ascii="Arial" w:hAnsi="Arial" w:cs="Arial"/>
                <w:color w:val="000000" w:themeColor="text1"/>
              </w:rPr>
              <w:t>30</w:t>
            </w:r>
            <w:r>
              <w:rPr>
                <w:rFonts w:ascii="Arial" w:hAnsi="Arial" w:cs="Arial"/>
                <w:color w:val="000000" w:themeColor="text1"/>
              </w:rPr>
              <w:t xml:space="preserve"> (4.6%)</w:t>
            </w:r>
          </w:p>
        </w:tc>
        <w:tc>
          <w:tcPr>
            <w:tcW w:w="1019" w:type="pct"/>
            <w:shd w:val="clear" w:color="auto" w:fill="auto"/>
            <w:vAlign w:val="center"/>
          </w:tcPr>
          <w:p w14:paraId="5183F28E" w14:textId="27C313E7" w:rsidR="00431C1D" w:rsidRPr="00431C1D" w:rsidRDefault="00431C1D" w:rsidP="005D3606">
            <w:pPr>
              <w:jc w:val="center"/>
              <w:rPr>
                <w:rFonts w:ascii="Arial" w:hAnsi="Arial" w:cs="Arial"/>
                <w:color w:val="000000" w:themeColor="text1"/>
              </w:rPr>
            </w:pPr>
            <w:r w:rsidRPr="00431C1D">
              <w:rPr>
                <w:rFonts w:ascii="Arial" w:hAnsi="Arial" w:cs="Arial"/>
                <w:color w:val="000000" w:themeColor="text1"/>
              </w:rPr>
              <w:t>333</w:t>
            </w:r>
            <w:r>
              <w:rPr>
                <w:rFonts w:ascii="Arial" w:hAnsi="Arial" w:cs="Arial"/>
                <w:color w:val="000000" w:themeColor="text1"/>
              </w:rPr>
              <w:t xml:space="preserve"> (0.7%)</w:t>
            </w:r>
          </w:p>
        </w:tc>
      </w:tr>
      <w:tr w:rsidR="00431C1D" w:rsidRPr="00431C1D" w14:paraId="060994B3" w14:textId="77777777" w:rsidTr="00A169E8">
        <w:trPr>
          <w:cantSplit/>
        </w:trPr>
        <w:tc>
          <w:tcPr>
            <w:tcW w:w="1943" w:type="pct"/>
            <w:shd w:val="clear" w:color="auto" w:fill="CAEDFB" w:themeFill="accent4" w:themeFillTint="33"/>
          </w:tcPr>
          <w:p w14:paraId="64CBD111" w14:textId="77777777" w:rsidR="00431C1D" w:rsidRPr="00431C1D" w:rsidRDefault="00431C1D" w:rsidP="00431C1D">
            <w:pPr>
              <w:rPr>
                <w:rFonts w:ascii="Arial" w:hAnsi="Arial" w:cs="Arial"/>
                <w:color w:val="000000" w:themeColor="text1"/>
              </w:rPr>
            </w:pPr>
            <w:r w:rsidRPr="00431C1D">
              <w:rPr>
                <w:rFonts w:ascii="Arial" w:hAnsi="Arial" w:cs="Arial"/>
                <w:color w:val="000000" w:themeColor="text1"/>
              </w:rPr>
              <w:t>Appropriate Duration May be Longer</w:t>
            </w:r>
          </w:p>
        </w:tc>
        <w:tc>
          <w:tcPr>
            <w:tcW w:w="1019" w:type="pct"/>
            <w:shd w:val="clear" w:color="auto" w:fill="CAEDFB" w:themeFill="accent4" w:themeFillTint="33"/>
            <w:vAlign w:val="center"/>
          </w:tcPr>
          <w:p w14:paraId="7A205303" w14:textId="47240EFD" w:rsidR="00431C1D" w:rsidRPr="00431C1D" w:rsidRDefault="00431C1D" w:rsidP="00431C1D">
            <w:pPr>
              <w:jc w:val="center"/>
              <w:rPr>
                <w:rFonts w:ascii="Arial" w:hAnsi="Arial" w:cs="Arial"/>
                <w:color w:val="000000" w:themeColor="text1"/>
              </w:rPr>
            </w:pPr>
            <w:r>
              <w:rPr>
                <w:rFonts w:ascii="Arial" w:hAnsi="Arial" w:cs="Arial"/>
                <w:color w:val="000000" w:themeColor="text1"/>
              </w:rPr>
              <w:t>*</w:t>
            </w:r>
          </w:p>
        </w:tc>
        <w:tc>
          <w:tcPr>
            <w:tcW w:w="1019" w:type="pct"/>
            <w:shd w:val="clear" w:color="auto" w:fill="CAEDFB" w:themeFill="accent4" w:themeFillTint="33"/>
            <w:vAlign w:val="center"/>
          </w:tcPr>
          <w:p w14:paraId="1C8F772B" w14:textId="4D5FD986" w:rsidR="00431C1D" w:rsidRPr="00431C1D" w:rsidRDefault="00431C1D" w:rsidP="00431C1D">
            <w:pPr>
              <w:jc w:val="center"/>
              <w:rPr>
                <w:rFonts w:ascii="Arial" w:hAnsi="Arial" w:cs="Arial"/>
                <w:color w:val="000000" w:themeColor="text1"/>
              </w:rPr>
            </w:pPr>
            <w:r>
              <w:rPr>
                <w:rFonts w:ascii="Arial" w:hAnsi="Arial" w:cs="Arial"/>
                <w:color w:val="000000" w:themeColor="text1"/>
              </w:rPr>
              <w:t>*</w:t>
            </w:r>
          </w:p>
        </w:tc>
        <w:tc>
          <w:tcPr>
            <w:tcW w:w="1019" w:type="pct"/>
            <w:shd w:val="clear" w:color="auto" w:fill="CAEDFB" w:themeFill="accent4" w:themeFillTint="33"/>
            <w:vAlign w:val="center"/>
          </w:tcPr>
          <w:p w14:paraId="690B105D" w14:textId="7128CCCF" w:rsidR="00431C1D" w:rsidRPr="00431C1D" w:rsidRDefault="00431C1D" w:rsidP="00431C1D">
            <w:pPr>
              <w:jc w:val="center"/>
              <w:rPr>
                <w:rFonts w:ascii="Arial" w:hAnsi="Arial" w:cs="Arial"/>
                <w:color w:val="000000" w:themeColor="text1"/>
              </w:rPr>
            </w:pPr>
            <w:r>
              <w:rPr>
                <w:rFonts w:ascii="Arial" w:hAnsi="Arial" w:cs="Arial"/>
                <w:color w:val="000000" w:themeColor="text1"/>
              </w:rPr>
              <w:t>*</w:t>
            </w:r>
          </w:p>
        </w:tc>
      </w:tr>
      <w:tr w:rsidR="00431C1D" w:rsidRPr="00431C1D" w14:paraId="2D4AB5EB" w14:textId="77777777" w:rsidTr="00A169E8">
        <w:trPr>
          <w:cantSplit/>
        </w:trPr>
        <w:tc>
          <w:tcPr>
            <w:tcW w:w="1943" w:type="pct"/>
          </w:tcPr>
          <w:p w14:paraId="389A5837" w14:textId="77777777" w:rsidR="00431C1D" w:rsidRPr="00431C1D" w:rsidRDefault="00431C1D" w:rsidP="005D3606">
            <w:pPr>
              <w:ind w:left="144"/>
              <w:rPr>
                <w:rFonts w:ascii="Arial" w:hAnsi="Arial" w:cs="Arial"/>
                <w:color w:val="000000" w:themeColor="text1"/>
              </w:rPr>
            </w:pPr>
            <w:r w:rsidRPr="00431C1D">
              <w:rPr>
                <w:rFonts w:ascii="Arial" w:hAnsi="Arial" w:cs="Arial"/>
                <w:color w:val="000000" w:themeColor="text1"/>
              </w:rPr>
              <w:t>Transferred to ICU during hospitalization</w:t>
            </w:r>
          </w:p>
        </w:tc>
        <w:tc>
          <w:tcPr>
            <w:tcW w:w="1019" w:type="pct"/>
            <w:shd w:val="clear" w:color="auto" w:fill="auto"/>
            <w:vAlign w:val="center"/>
          </w:tcPr>
          <w:p w14:paraId="143710DF" w14:textId="2D08D66B" w:rsidR="00431C1D" w:rsidRPr="00431C1D" w:rsidRDefault="00431C1D" w:rsidP="005D3606">
            <w:pPr>
              <w:jc w:val="center"/>
              <w:rPr>
                <w:rFonts w:ascii="Arial" w:hAnsi="Arial" w:cs="Arial"/>
                <w:color w:val="000000" w:themeColor="text1"/>
              </w:rPr>
            </w:pPr>
            <w:r w:rsidRPr="00431C1D">
              <w:rPr>
                <w:rFonts w:ascii="Arial" w:hAnsi="Arial" w:cs="Arial"/>
                <w:color w:val="000000" w:themeColor="text1"/>
              </w:rPr>
              <w:t>253</w:t>
            </w:r>
            <w:r>
              <w:rPr>
                <w:rFonts w:ascii="Arial" w:hAnsi="Arial" w:cs="Arial"/>
                <w:color w:val="000000" w:themeColor="text1"/>
              </w:rPr>
              <w:t xml:space="preserve"> (4.0%)</w:t>
            </w:r>
          </w:p>
        </w:tc>
        <w:tc>
          <w:tcPr>
            <w:tcW w:w="1019" w:type="pct"/>
            <w:vAlign w:val="center"/>
          </w:tcPr>
          <w:p w14:paraId="4B45CD3A" w14:textId="02CC0801" w:rsidR="00431C1D" w:rsidRPr="00431C1D" w:rsidRDefault="00431C1D" w:rsidP="005D3606">
            <w:pPr>
              <w:jc w:val="center"/>
              <w:rPr>
                <w:rFonts w:ascii="Arial" w:hAnsi="Arial" w:cs="Arial"/>
                <w:color w:val="000000" w:themeColor="text1"/>
              </w:rPr>
            </w:pPr>
            <w:r w:rsidRPr="00431C1D">
              <w:rPr>
                <w:rFonts w:ascii="Arial" w:hAnsi="Arial" w:cs="Arial"/>
                <w:color w:val="000000" w:themeColor="text1"/>
              </w:rPr>
              <w:t>44</w:t>
            </w:r>
            <w:r>
              <w:rPr>
                <w:rFonts w:ascii="Arial" w:hAnsi="Arial" w:cs="Arial"/>
                <w:color w:val="000000" w:themeColor="text1"/>
              </w:rPr>
              <w:t xml:space="preserve"> (6.7%)</w:t>
            </w:r>
          </w:p>
        </w:tc>
        <w:tc>
          <w:tcPr>
            <w:tcW w:w="1019" w:type="pct"/>
            <w:shd w:val="clear" w:color="auto" w:fill="auto"/>
            <w:vAlign w:val="center"/>
          </w:tcPr>
          <w:p w14:paraId="38B17E4F" w14:textId="11A5E3D7" w:rsidR="00431C1D" w:rsidRPr="00431C1D" w:rsidRDefault="00431C1D" w:rsidP="005D3606">
            <w:pPr>
              <w:jc w:val="center"/>
              <w:rPr>
                <w:rFonts w:ascii="Arial" w:hAnsi="Arial" w:cs="Arial"/>
                <w:color w:val="000000" w:themeColor="text1"/>
              </w:rPr>
            </w:pPr>
            <w:r w:rsidRPr="00431C1D">
              <w:rPr>
                <w:rFonts w:ascii="Arial" w:hAnsi="Arial" w:cs="Arial"/>
                <w:color w:val="000000" w:themeColor="text1"/>
              </w:rPr>
              <w:t>4262</w:t>
            </w:r>
            <w:r>
              <w:rPr>
                <w:rFonts w:ascii="Arial" w:hAnsi="Arial" w:cs="Arial"/>
                <w:color w:val="000000" w:themeColor="text1"/>
              </w:rPr>
              <w:t xml:space="preserve"> (8.6%)</w:t>
            </w:r>
          </w:p>
        </w:tc>
      </w:tr>
      <w:tr w:rsidR="00431C1D" w:rsidRPr="00431C1D" w14:paraId="1EA3DB7F" w14:textId="77777777" w:rsidTr="00A169E8">
        <w:trPr>
          <w:cantSplit/>
          <w:trHeight w:val="323"/>
        </w:trPr>
        <w:tc>
          <w:tcPr>
            <w:tcW w:w="1943" w:type="pct"/>
            <w:vAlign w:val="center"/>
          </w:tcPr>
          <w:p w14:paraId="2631BC8F" w14:textId="77777777" w:rsidR="00431C1D" w:rsidRPr="00431C1D" w:rsidRDefault="00431C1D" w:rsidP="005D3606">
            <w:pPr>
              <w:ind w:left="144"/>
              <w:rPr>
                <w:rFonts w:ascii="Arial" w:hAnsi="Arial" w:cs="Arial"/>
                <w:color w:val="000000" w:themeColor="text1"/>
              </w:rPr>
            </w:pPr>
            <w:r w:rsidRPr="00431C1D">
              <w:rPr>
                <w:rFonts w:ascii="Arial" w:hAnsi="Arial" w:cs="Arial"/>
                <w:color w:val="000000" w:themeColor="text1"/>
              </w:rPr>
              <w:t>Bacteremic with non-skin commensal</w:t>
            </w:r>
          </w:p>
        </w:tc>
        <w:tc>
          <w:tcPr>
            <w:tcW w:w="1019" w:type="pct"/>
            <w:shd w:val="clear" w:color="auto" w:fill="auto"/>
            <w:vAlign w:val="center"/>
          </w:tcPr>
          <w:p w14:paraId="5D1B78AA" w14:textId="0A70C1C6" w:rsidR="00431C1D" w:rsidRPr="00431C1D" w:rsidRDefault="00431C1D" w:rsidP="005D3606">
            <w:pPr>
              <w:jc w:val="center"/>
              <w:rPr>
                <w:rFonts w:ascii="Arial" w:hAnsi="Arial" w:cs="Arial"/>
                <w:color w:val="000000" w:themeColor="text1"/>
              </w:rPr>
            </w:pPr>
            <w:r w:rsidRPr="00431C1D">
              <w:rPr>
                <w:rFonts w:ascii="Arial" w:hAnsi="Arial" w:cs="Arial"/>
                <w:color w:val="000000" w:themeColor="text1"/>
              </w:rPr>
              <w:t>317</w:t>
            </w:r>
            <w:r>
              <w:rPr>
                <w:rFonts w:ascii="Arial" w:hAnsi="Arial" w:cs="Arial"/>
                <w:color w:val="000000" w:themeColor="text1"/>
              </w:rPr>
              <w:t xml:space="preserve"> (5.0%)</w:t>
            </w:r>
          </w:p>
        </w:tc>
        <w:tc>
          <w:tcPr>
            <w:tcW w:w="1019" w:type="pct"/>
            <w:vAlign w:val="center"/>
          </w:tcPr>
          <w:p w14:paraId="12BBFC0F" w14:textId="77777777" w:rsidR="00431C1D" w:rsidRPr="00431C1D" w:rsidRDefault="00431C1D" w:rsidP="005D3606">
            <w:pPr>
              <w:jc w:val="center"/>
              <w:rPr>
                <w:rFonts w:ascii="Arial" w:hAnsi="Arial" w:cs="Arial"/>
                <w:color w:val="000000" w:themeColor="text1"/>
              </w:rPr>
            </w:pPr>
            <w:r w:rsidRPr="00431C1D">
              <w:rPr>
                <w:rFonts w:ascii="Arial" w:hAnsi="Arial" w:cs="Arial"/>
                <w:color w:val="000000" w:themeColor="text1"/>
              </w:rPr>
              <w:t>0</w:t>
            </w:r>
          </w:p>
        </w:tc>
        <w:tc>
          <w:tcPr>
            <w:tcW w:w="1019" w:type="pct"/>
            <w:vAlign w:val="center"/>
          </w:tcPr>
          <w:p w14:paraId="2B1DC80A" w14:textId="48183F49" w:rsidR="00431C1D" w:rsidRPr="00431C1D" w:rsidRDefault="00431C1D" w:rsidP="005D3606">
            <w:pPr>
              <w:jc w:val="center"/>
              <w:rPr>
                <w:rFonts w:ascii="Arial" w:hAnsi="Arial" w:cs="Arial"/>
                <w:color w:val="000000" w:themeColor="text1"/>
              </w:rPr>
            </w:pPr>
            <w:r w:rsidRPr="00431C1D">
              <w:rPr>
                <w:rFonts w:ascii="Arial" w:hAnsi="Arial" w:cs="Arial"/>
                <w:color w:val="000000" w:themeColor="text1"/>
              </w:rPr>
              <w:t>1085</w:t>
            </w:r>
            <w:r>
              <w:rPr>
                <w:rFonts w:ascii="Arial" w:hAnsi="Arial" w:cs="Arial"/>
                <w:color w:val="000000" w:themeColor="text1"/>
              </w:rPr>
              <w:t xml:space="preserve"> (2.8%)</w:t>
            </w:r>
          </w:p>
        </w:tc>
      </w:tr>
      <w:tr w:rsidR="00431C1D" w:rsidRPr="00431C1D" w14:paraId="3D22CCD3" w14:textId="77777777" w:rsidTr="00A169E8">
        <w:trPr>
          <w:cantSplit/>
        </w:trPr>
        <w:tc>
          <w:tcPr>
            <w:tcW w:w="1943" w:type="pct"/>
          </w:tcPr>
          <w:p w14:paraId="0F284B11" w14:textId="77777777" w:rsidR="00431C1D" w:rsidRPr="00431C1D" w:rsidRDefault="00431C1D" w:rsidP="005D3606">
            <w:pPr>
              <w:ind w:left="144"/>
              <w:rPr>
                <w:rFonts w:ascii="Arial" w:hAnsi="Arial" w:cs="Arial"/>
                <w:color w:val="000000" w:themeColor="text1"/>
              </w:rPr>
            </w:pPr>
            <w:r w:rsidRPr="00431C1D">
              <w:rPr>
                <w:rFonts w:ascii="Arial" w:hAnsi="Arial" w:cs="Arial"/>
                <w:i/>
                <w:iCs/>
                <w:color w:val="000000" w:themeColor="text1"/>
              </w:rPr>
              <w:t>Staphylococcus aureus</w:t>
            </w:r>
            <w:r w:rsidRPr="00431C1D">
              <w:rPr>
                <w:rFonts w:ascii="Arial" w:hAnsi="Arial" w:cs="Arial"/>
                <w:color w:val="000000" w:themeColor="text1"/>
              </w:rPr>
              <w:t xml:space="preserve"> in respiratory culture</w:t>
            </w:r>
          </w:p>
        </w:tc>
        <w:tc>
          <w:tcPr>
            <w:tcW w:w="1019" w:type="pct"/>
            <w:shd w:val="clear" w:color="auto" w:fill="auto"/>
            <w:vAlign w:val="center"/>
          </w:tcPr>
          <w:p w14:paraId="17D479EF" w14:textId="1D168819" w:rsidR="00431C1D" w:rsidRPr="00431C1D" w:rsidRDefault="00431C1D" w:rsidP="005D3606">
            <w:pPr>
              <w:jc w:val="center"/>
              <w:rPr>
                <w:rFonts w:ascii="Arial" w:hAnsi="Arial" w:cs="Arial"/>
                <w:color w:val="000000" w:themeColor="text1"/>
              </w:rPr>
            </w:pPr>
            <w:r w:rsidRPr="00431C1D">
              <w:rPr>
                <w:rFonts w:ascii="Arial" w:hAnsi="Arial" w:cs="Arial"/>
                <w:color w:val="000000" w:themeColor="text1"/>
              </w:rPr>
              <w:t>123</w:t>
            </w:r>
            <w:r>
              <w:rPr>
                <w:rFonts w:ascii="Arial" w:hAnsi="Arial" w:cs="Arial"/>
                <w:color w:val="000000" w:themeColor="text1"/>
              </w:rPr>
              <w:t xml:space="preserve"> (2.0%)</w:t>
            </w:r>
          </w:p>
        </w:tc>
        <w:tc>
          <w:tcPr>
            <w:tcW w:w="1019" w:type="pct"/>
            <w:vAlign w:val="center"/>
          </w:tcPr>
          <w:p w14:paraId="0B7239E3" w14:textId="16F7A6B5" w:rsidR="00431C1D" w:rsidRPr="00431C1D" w:rsidRDefault="00431C1D" w:rsidP="005D3606">
            <w:pPr>
              <w:jc w:val="center"/>
              <w:rPr>
                <w:rFonts w:ascii="Arial" w:hAnsi="Arial" w:cs="Arial"/>
                <w:color w:val="000000" w:themeColor="text1"/>
              </w:rPr>
            </w:pPr>
            <w:r w:rsidRPr="00431C1D">
              <w:rPr>
                <w:rFonts w:ascii="Arial" w:hAnsi="Arial" w:cs="Arial"/>
                <w:color w:val="000000" w:themeColor="text1"/>
              </w:rPr>
              <w:t>3</w:t>
            </w:r>
            <w:r>
              <w:rPr>
                <w:rFonts w:ascii="Arial" w:hAnsi="Arial" w:cs="Arial"/>
                <w:color w:val="000000" w:themeColor="text1"/>
              </w:rPr>
              <w:t xml:space="preserve"> (0.5%)</w:t>
            </w:r>
          </w:p>
        </w:tc>
        <w:tc>
          <w:tcPr>
            <w:tcW w:w="1019" w:type="pct"/>
            <w:vAlign w:val="center"/>
          </w:tcPr>
          <w:p w14:paraId="428FE5CB" w14:textId="02CD3F3A" w:rsidR="00431C1D" w:rsidRPr="00431C1D" w:rsidRDefault="00431C1D" w:rsidP="005D3606">
            <w:pPr>
              <w:jc w:val="center"/>
              <w:rPr>
                <w:rFonts w:ascii="Arial" w:hAnsi="Arial" w:cs="Arial"/>
                <w:color w:val="000000" w:themeColor="text1"/>
              </w:rPr>
            </w:pPr>
            <w:r w:rsidRPr="00431C1D">
              <w:rPr>
                <w:rFonts w:ascii="Arial" w:hAnsi="Arial" w:cs="Arial"/>
                <w:color w:val="000000" w:themeColor="text1"/>
              </w:rPr>
              <w:t>810</w:t>
            </w:r>
            <w:r>
              <w:rPr>
                <w:rFonts w:ascii="Arial" w:hAnsi="Arial" w:cs="Arial"/>
                <w:color w:val="000000" w:themeColor="text1"/>
              </w:rPr>
              <w:t xml:space="preserve"> (1.6%)</w:t>
            </w:r>
          </w:p>
        </w:tc>
      </w:tr>
      <w:tr w:rsidR="00431C1D" w:rsidRPr="00431C1D" w14:paraId="0F6D13E1" w14:textId="77777777" w:rsidTr="00A169E8">
        <w:trPr>
          <w:cantSplit/>
        </w:trPr>
        <w:tc>
          <w:tcPr>
            <w:tcW w:w="1943" w:type="pct"/>
          </w:tcPr>
          <w:p w14:paraId="7B188BF2" w14:textId="77777777" w:rsidR="00431C1D" w:rsidRPr="00431C1D" w:rsidRDefault="00431C1D" w:rsidP="005D3606">
            <w:pPr>
              <w:ind w:left="144"/>
              <w:rPr>
                <w:rFonts w:ascii="Arial" w:hAnsi="Arial" w:cs="Arial"/>
                <w:color w:val="000000" w:themeColor="text1"/>
              </w:rPr>
            </w:pPr>
            <w:r w:rsidRPr="00431C1D">
              <w:rPr>
                <w:rFonts w:ascii="Arial" w:hAnsi="Arial" w:cs="Arial"/>
                <w:i/>
                <w:iCs/>
                <w:color w:val="000000" w:themeColor="text1"/>
              </w:rPr>
              <w:t>Pseudomonas aeruginosa</w:t>
            </w:r>
            <w:r w:rsidRPr="00431C1D">
              <w:rPr>
                <w:rFonts w:ascii="Arial" w:hAnsi="Arial" w:cs="Arial"/>
                <w:color w:val="000000" w:themeColor="text1"/>
              </w:rPr>
              <w:t xml:space="preserve"> in respiratory culture</w:t>
            </w:r>
          </w:p>
        </w:tc>
        <w:tc>
          <w:tcPr>
            <w:tcW w:w="1019" w:type="pct"/>
            <w:shd w:val="clear" w:color="auto" w:fill="auto"/>
            <w:vAlign w:val="center"/>
          </w:tcPr>
          <w:p w14:paraId="77BDC62F" w14:textId="557E7959" w:rsidR="00431C1D" w:rsidRPr="00431C1D" w:rsidRDefault="00431C1D" w:rsidP="005D3606">
            <w:pPr>
              <w:jc w:val="center"/>
              <w:rPr>
                <w:rFonts w:ascii="Arial" w:hAnsi="Arial" w:cs="Arial"/>
                <w:color w:val="000000" w:themeColor="text1"/>
              </w:rPr>
            </w:pPr>
            <w:r w:rsidRPr="00431C1D">
              <w:rPr>
                <w:rFonts w:ascii="Arial" w:hAnsi="Arial" w:cs="Arial"/>
                <w:color w:val="000000" w:themeColor="text1"/>
              </w:rPr>
              <w:t>92</w:t>
            </w:r>
            <w:r>
              <w:rPr>
                <w:rFonts w:ascii="Arial" w:hAnsi="Arial" w:cs="Arial"/>
                <w:color w:val="000000" w:themeColor="text1"/>
              </w:rPr>
              <w:t xml:space="preserve"> (1.5%)</w:t>
            </w:r>
          </w:p>
        </w:tc>
        <w:tc>
          <w:tcPr>
            <w:tcW w:w="1019" w:type="pct"/>
            <w:vAlign w:val="center"/>
          </w:tcPr>
          <w:p w14:paraId="4588DB05" w14:textId="7A344D3F" w:rsidR="00431C1D" w:rsidRPr="00431C1D" w:rsidRDefault="00431C1D" w:rsidP="005D3606">
            <w:pPr>
              <w:jc w:val="center"/>
              <w:rPr>
                <w:rFonts w:ascii="Arial" w:hAnsi="Arial" w:cs="Arial"/>
                <w:color w:val="000000" w:themeColor="text1"/>
              </w:rPr>
            </w:pPr>
            <w:r w:rsidRPr="00431C1D">
              <w:rPr>
                <w:rFonts w:ascii="Arial" w:hAnsi="Arial" w:cs="Arial"/>
                <w:color w:val="000000" w:themeColor="text1"/>
              </w:rPr>
              <w:t>2</w:t>
            </w:r>
            <w:r>
              <w:rPr>
                <w:rFonts w:ascii="Arial" w:hAnsi="Arial" w:cs="Arial"/>
                <w:color w:val="000000" w:themeColor="text1"/>
              </w:rPr>
              <w:t xml:space="preserve"> (0.3%)</w:t>
            </w:r>
          </w:p>
        </w:tc>
        <w:tc>
          <w:tcPr>
            <w:tcW w:w="1019" w:type="pct"/>
            <w:vAlign w:val="center"/>
          </w:tcPr>
          <w:p w14:paraId="7C8A9435" w14:textId="1B58AE51" w:rsidR="00431C1D" w:rsidRPr="00431C1D" w:rsidRDefault="00431C1D" w:rsidP="005D3606">
            <w:pPr>
              <w:jc w:val="center"/>
              <w:rPr>
                <w:rFonts w:ascii="Arial" w:hAnsi="Arial" w:cs="Arial"/>
                <w:color w:val="000000" w:themeColor="text1"/>
              </w:rPr>
            </w:pPr>
            <w:r w:rsidRPr="00431C1D">
              <w:rPr>
                <w:rFonts w:ascii="Arial" w:hAnsi="Arial" w:cs="Arial"/>
                <w:color w:val="000000" w:themeColor="text1"/>
              </w:rPr>
              <w:t>665</w:t>
            </w:r>
            <w:r>
              <w:rPr>
                <w:rFonts w:ascii="Arial" w:hAnsi="Arial" w:cs="Arial"/>
                <w:color w:val="000000" w:themeColor="text1"/>
              </w:rPr>
              <w:t xml:space="preserve"> (1.4%)</w:t>
            </w:r>
          </w:p>
        </w:tc>
      </w:tr>
      <w:tr w:rsidR="00431C1D" w:rsidRPr="00431C1D" w14:paraId="64E184FF" w14:textId="77777777" w:rsidTr="00A169E8">
        <w:trPr>
          <w:cantSplit/>
        </w:trPr>
        <w:tc>
          <w:tcPr>
            <w:tcW w:w="1943" w:type="pct"/>
          </w:tcPr>
          <w:p w14:paraId="66A065B1" w14:textId="77777777" w:rsidR="00431C1D" w:rsidRPr="00431C1D" w:rsidRDefault="00431C1D" w:rsidP="005D3606">
            <w:pPr>
              <w:ind w:left="144"/>
              <w:rPr>
                <w:rFonts w:ascii="Arial" w:hAnsi="Arial" w:cs="Arial"/>
                <w:color w:val="000000" w:themeColor="text1"/>
              </w:rPr>
            </w:pPr>
            <w:r w:rsidRPr="00431C1D">
              <w:rPr>
                <w:rFonts w:ascii="Arial" w:hAnsi="Arial" w:cs="Arial"/>
                <w:color w:val="000000" w:themeColor="text1"/>
              </w:rPr>
              <w:t>Legionella pneumonia</w:t>
            </w:r>
          </w:p>
        </w:tc>
        <w:tc>
          <w:tcPr>
            <w:tcW w:w="1019" w:type="pct"/>
            <w:shd w:val="clear" w:color="auto" w:fill="auto"/>
            <w:vAlign w:val="center"/>
          </w:tcPr>
          <w:p w14:paraId="326A3807" w14:textId="206E2995" w:rsidR="00431C1D" w:rsidRPr="00431C1D" w:rsidRDefault="00431C1D" w:rsidP="005D3606">
            <w:pPr>
              <w:jc w:val="center"/>
              <w:rPr>
                <w:rFonts w:ascii="Arial" w:hAnsi="Arial" w:cs="Arial"/>
                <w:color w:val="000000" w:themeColor="text1"/>
              </w:rPr>
            </w:pPr>
            <w:r w:rsidRPr="00431C1D">
              <w:rPr>
                <w:rFonts w:ascii="Arial" w:hAnsi="Arial" w:cs="Arial"/>
                <w:color w:val="000000" w:themeColor="text1"/>
              </w:rPr>
              <w:t>24</w:t>
            </w:r>
            <w:r>
              <w:rPr>
                <w:rFonts w:ascii="Arial" w:hAnsi="Arial" w:cs="Arial"/>
                <w:color w:val="000000" w:themeColor="text1"/>
              </w:rPr>
              <w:t xml:space="preserve"> (0.4%)</w:t>
            </w:r>
          </w:p>
        </w:tc>
        <w:tc>
          <w:tcPr>
            <w:tcW w:w="1019" w:type="pct"/>
            <w:vAlign w:val="center"/>
          </w:tcPr>
          <w:p w14:paraId="48604365" w14:textId="03882C02" w:rsidR="00431C1D" w:rsidRPr="00431C1D" w:rsidRDefault="00431C1D" w:rsidP="005D3606">
            <w:pPr>
              <w:jc w:val="center"/>
              <w:rPr>
                <w:rFonts w:ascii="Arial" w:hAnsi="Arial" w:cs="Arial"/>
                <w:color w:val="000000" w:themeColor="text1"/>
              </w:rPr>
            </w:pPr>
            <w:r w:rsidRPr="00431C1D">
              <w:rPr>
                <w:rFonts w:ascii="Arial" w:hAnsi="Arial" w:cs="Arial"/>
                <w:color w:val="000000" w:themeColor="text1"/>
              </w:rPr>
              <w:t>4</w:t>
            </w:r>
            <w:r>
              <w:rPr>
                <w:rFonts w:ascii="Arial" w:hAnsi="Arial" w:cs="Arial"/>
                <w:color w:val="000000" w:themeColor="text1"/>
              </w:rPr>
              <w:t xml:space="preserve"> (0.6%)</w:t>
            </w:r>
          </w:p>
        </w:tc>
        <w:tc>
          <w:tcPr>
            <w:tcW w:w="1019" w:type="pct"/>
            <w:vAlign w:val="center"/>
          </w:tcPr>
          <w:p w14:paraId="7C666998" w14:textId="79FDF9FA" w:rsidR="00431C1D" w:rsidRPr="00431C1D" w:rsidRDefault="00431C1D" w:rsidP="005D3606">
            <w:pPr>
              <w:jc w:val="center"/>
              <w:rPr>
                <w:rFonts w:ascii="Arial" w:hAnsi="Arial" w:cs="Arial"/>
                <w:color w:val="000000" w:themeColor="text1"/>
              </w:rPr>
            </w:pPr>
            <w:r w:rsidRPr="00431C1D">
              <w:rPr>
                <w:rFonts w:ascii="Arial" w:hAnsi="Arial" w:cs="Arial"/>
                <w:color w:val="000000" w:themeColor="text1"/>
              </w:rPr>
              <w:t>583</w:t>
            </w:r>
            <w:r>
              <w:rPr>
                <w:rFonts w:ascii="Arial" w:hAnsi="Arial" w:cs="Arial"/>
                <w:color w:val="000000" w:themeColor="text1"/>
              </w:rPr>
              <w:t xml:space="preserve"> (1.2%)</w:t>
            </w:r>
          </w:p>
        </w:tc>
      </w:tr>
      <w:tr w:rsidR="00431C1D" w:rsidRPr="00431C1D" w14:paraId="237FF2A8" w14:textId="77777777" w:rsidTr="00A169E8">
        <w:trPr>
          <w:cantSplit/>
        </w:trPr>
        <w:tc>
          <w:tcPr>
            <w:tcW w:w="1943" w:type="pct"/>
          </w:tcPr>
          <w:p w14:paraId="3AB82465" w14:textId="77777777" w:rsidR="00431C1D" w:rsidRPr="00431C1D" w:rsidRDefault="00431C1D" w:rsidP="005D3606">
            <w:pPr>
              <w:ind w:left="144"/>
              <w:rPr>
                <w:rFonts w:ascii="Arial" w:hAnsi="Arial" w:cs="Arial"/>
                <w:color w:val="000000" w:themeColor="text1"/>
              </w:rPr>
            </w:pPr>
            <w:r w:rsidRPr="00431C1D">
              <w:rPr>
                <w:rFonts w:ascii="Arial" w:hAnsi="Arial" w:cs="Arial"/>
                <w:color w:val="000000" w:themeColor="text1"/>
              </w:rPr>
              <w:t>Time to clinical stability &gt;5 days</w:t>
            </w:r>
          </w:p>
        </w:tc>
        <w:tc>
          <w:tcPr>
            <w:tcW w:w="1019" w:type="pct"/>
            <w:shd w:val="clear" w:color="auto" w:fill="auto"/>
            <w:vAlign w:val="center"/>
          </w:tcPr>
          <w:p w14:paraId="455916E6" w14:textId="497C02FF" w:rsidR="00431C1D" w:rsidRPr="00431C1D" w:rsidRDefault="00431C1D" w:rsidP="005D3606">
            <w:pPr>
              <w:jc w:val="center"/>
              <w:rPr>
                <w:rFonts w:ascii="Arial" w:hAnsi="Arial" w:cs="Arial"/>
                <w:color w:val="000000" w:themeColor="text1"/>
              </w:rPr>
            </w:pPr>
            <w:r w:rsidRPr="00431C1D">
              <w:rPr>
                <w:rFonts w:ascii="Arial" w:hAnsi="Arial" w:cs="Arial"/>
                <w:color w:val="000000" w:themeColor="text1"/>
              </w:rPr>
              <w:t>779</w:t>
            </w:r>
            <w:r>
              <w:rPr>
                <w:rFonts w:ascii="Arial" w:hAnsi="Arial" w:cs="Arial"/>
                <w:color w:val="000000" w:themeColor="text1"/>
              </w:rPr>
              <w:t xml:space="preserve"> (12.4%)</w:t>
            </w:r>
          </w:p>
        </w:tc>
        <w:tc>
          <w:tcPr>
            <w:tcW w:w="1019" w:type="pct"/>
            <w:vAlign w:val="center"/>
          </w:tcPr>
          <w:p w14:paraId="24D0185D" w14:textId="3EE3C0C1" w:rsidR="00431C1D" w:rsidRPr="00431C1D" w:rsidRDefault="00431C1D" w:rsidP="005D3606">
            <w:pPr>
              <w:jc w:val="center"/>
              <w:rPr>
                <w:rFonts w:ascii="Arial" w:hAnsi="Arial" w:cs="Arial"/>
                <w:color w:val="000000" w:themeColor="text1"/>
              </w:rPr>
            </w:pPr>
            <w:r w:rsidRPr="00431C1D">
              <w:rPr>
                <w:rFonts w:ascii="Arial" w:hAnsi="Arial" w:cs="Arial"/>
                <w:color w:val="000000" w:themeColor="text1"/>
              </w:rPr>
              <w:t>2</w:t>
            </w:r>
            <w:r>
              <w:rPr>
                <w:rFonts w:ascii="Arial" w:hAnsi="Arial" w:cs="Arial"/>
                <w:color w:val="000000" w:themeColor="text1"/>
              </w:rPr>
              <w:t xml:space="preserve"> (0.3%)</w:t>
            </w:r>
          </w:p>
        </w:tc>
        <w:tc>
          <w:tcPr>
            <w:tcW w:w="1019" w:type="pct"/>
            <w:vAlign w:val="center"/>
          </w:tcPr>
          <w:p w14:paraId="5C190818" w14:textId="6C4E9FFA" w:rsidR="00431C1D" w:rsidRPr="00431C1D" w:rsidRDefault="00431C1D" w:rsidP="005D3606">
            <w:pPr>
              <w:jc w:val="center"/>
              <w:rPr>
                <w:rFonts w:ascii="Arial" w:hAnsi="Arial" w:cs="Arial"/>
                <w:color w:val="000000" w:themeColor="text1"/>
              </w:rPr>
            </w:pPr>
            <w:r w:rsidRPr="00431C1D">
              <w:rPr>
                <w:rFonts w:ascii="Arial" w:hAnsi="Arial" w:cs="Arial"/>
                <w:color w:val="000000" w:themeColor="text1"/>
              </w:rPr>
              <w:t>209</w:t>
            </w:r>
            <w:r>
              <w:rPr>
                <w:rFonts w:ascii="Arial" w:hAnsi="Arial" w:cs="Arial"/>
                <w:color w:val="000000" w:themeColor="text1"/>
              </w:rPr>
              <w:t xml:space="preserve"> (1.3%)</w:t>
            </w:r>
          </w:p>
        </w:tc>
      </w:tr>
      <w:tr w:rsidR="00431C1D" w:rsidRPr="00431C1D" w14:paraId="082EE812" w14:textId="77777777" w:rsidTr="00A169E8">
        <w:trPr>
          <w:cantSplit/>
        </w:trPr>
        <w:tc>
          <w:tcPr>
            <w:tcW w:w="1943" w:type="pct"/>
            <w:shd w:val="clear" w:color="auto" w:fill="CAEDFB" w:themeFill="accent4" w:themeFillTint="33"/>
          </w:tcPr>
          <w:p w14:paraId="7E8CEB06" w14:textId="77777777" w:rsidR="00431C1D" w:rsidRPr="00431C1D" w:rsidRDefault="00431C1D" w:rsidP="00431C1D">
            <w:pPr>
              <w:rPr>
                <w:rFonts w:ascii="Arial" w:hAnsi="Arial" w:cs="Arial"/>
                <w:color w:val="000000" w:themeColor="text1"/>
              </w:rPr>
            </w:pPr>
            <w:r w:rsidRPr="00431C1D">
              <w:rPr>
                <w:rFonts w:ascii="Arial" w:hAnsi="Arial" w:cs="Arial"/>
                <w:color w:val="000000" w:themeColor="text1"/>
              </w:rPr>
              <w:t>Condition likely not CAP</w:t>
            </w:r>
          </w:p>
        </w:tc>
        <w:tc>
          <w:tcPr>
            <w:tcW w:w="1019" w:type="pct"/>
            <w:shd w:val="clear" w:color="auto" w:fill="CAEDFB" w:themeFill="accent4" w:themeFillTint="33"/>
            <w:vAlign w:val="center"/>
          </w:tcPr>
          <w:p w14:paraId="7F2136C4" w14:textId="1311F221" w:rsidR="00431C1D" w:rsidRPr="00431C1D" w:rsidRDefault="00431C1D" w:rsidP="00431C1D">
            <w:pPr>
              <w:jc w:val="center"/>
              <w:rPr>
                <w:rFonts w:ascii="Arial" w:hAnsi="Arial" w:cs="Arial"/>
                <w:color w:val="000000" w:themeColor="text1"/>
              </w:rPr>
            </w:pPr>
            <w:r>
              <w:rPr>
                <w:rFonts w:ascii="Arial" w:hAnsi="Arial" w:cs="Arial"/>
                <w:color w:val="000000" w:themeColor="text1"/>
              </w:rPr>
              <w:t>*</w:t>
            </w:r>
          </w:p>
        </w:tc>
        <w:tc>
          <w:tcPr>
            <w:tcW w:w="1019" w:type="pct"/>
            <w:shd w:val="clear" w:color="auto" w:fill="CAEDFB" w:themeFill="accent4" w:themeFillTint="33"/>
            <w:vAlign w:val="center"/>
          </w:tcPr>
          <w:p w14:paraId="65A8B836" w14:textId="32828A98" w:rsidR="00431C1D" w:rsidRPr="00431C1D" w:rsidRDefault="00431C1D" w:rsidP="00431C1D">
            <w:pPr>
              <w:jc w:val="center"/>
              <w:rPr>
                <w:rFonts w:ascii="Arial" w:hAnsi="Arial" w:cs="Arial"/>
                <w:color w:val="000000" w:themeColor="text1"/>
              </w:rPr>
            </w:pPr>
            <w:r>
              <w:rPr>
                <w:rFonts w:ascii="Arial" w:hAnsi="Arial" w:cs="Arial"/>
                <w:color w:val="000000" w:themeColor="text1"/>
              </w:rPr>
              <w:t>*</w:t>
            </w:r>
          </w:p>
        </w:tc>
        <w:tc>
          <w:tcPr>
            <w:tcW w:w="1019" w:type="pct"/>
            <w:shd w:val="clear" w:color="auto" w:fill="CAEDFB" w:themeFill="accent4" w:themeFillTint="33"/>
            <w:vAlign w:val="center"/>
          </w:tcPr>
          <w:p w14:paraId="3C6ABEA5" w14:textId="550BC24F" w:rsidR="00431C1D" w:rsidRPr="00431C1D" w:rsidRDefault="00431C1D" w:rsidP="00431C1D">
            <w:pPr>
              <w:jc w:val="center"/>
              <w:rPr>
                <w:rFonts w:ascii="Arial" w:hAnsi="Arial" w:cs="Arial"/>
                <w:color w:val="000000" w:themeColor="text1"/>
              </w:rPr>
            </w:pPr>
            <w:r>
              <w:rPr>
                <w:rFonts w:ascii="Arial" w:hAnsi="Arial" w:cs="Arial"/>
                <w:color w:val="000000" w:themeColor="text1"/>
              </w:rPr>
              <w:t>*</w:t>
            </w:r>
          </w:p>
        </w:tc>
      </w:tr>
      <w:tr w:rsidR="00431C1D" w:rsidRPr="00431C1D" w14:paraId="417E7173" w14:textId="77777777" w:rsidTr="00A169E8">
        <w:trPr>
          <w:cantSplit/>
        </w:trPr>
        <w:tc>
          <w:tcPr>
            <w:tcW w:w="1943" w:type="pct"/>
          </w:tcPr>
          <w:p w14:paraId="0A89A75A" w14:textId="77777777" w:rsidR="00431C1D" w:rsidRPr="00431C1D" w:rsidRDefault="00431C1D" w:rsidP="005D3606">
            <w:pPr>
              <w:ind w:left="144"/>
              <w:rPr>
                <w:rFonts w:ascii="Arial" w:hAnsi="Arial" w:cs="Arial"/>
                <w:color w:val="000000" w:themeColor="text1"/>
              </w:rPr>
            </w:pPr>
            <w:r w:rsidRPr="00431C1D">
              <w:rPr>
                <w:rFonts w:ascii="Arial" w:hAnsi="Arial" w:cs="Arial"/>
                <w:color w:val="000000" w:themeColor="text1"/>
              </w:rPr>
              <w:t>Received &lt;3 days of antibiotics</w:t>
            </w:r>
          </w:p>
        </w:tc>
        <w:tc>
          <w:tcPr>
            <w:tcW w:w="1019" w:type="pct"/>
            <w:shd w:val="clear" w:color="auto" w:fill="auto"/>
            <w:vAlign w:val="center"/>
          </w:tcPr>
          <w:p w14:paraId="5DE5CCA2" w14:textId="68184F27" w:rsidR="00431C1D" w:rsidRPr="00431C1D" w:rsidRDefault="00431C1D" w:rsidP="005D3606">
            <w:pPr>
              <w:jc w:val="center"/>
              <w:rPr>
                <w:rFonts w:ascii="Arial" w:hAnsi="Arial" w:cs="Arial"/>
                <w:color w:val="000000" w:themeColor="text1"/>
              </w:rPr>
            </w:pPr>
            <w:r w:rsidRPr="00431C1D">
              <w:rPr>
                <w:rFonts w:ascii="Arial" w:hAnsi="Arial" w:cs="Arial"/>
                <w:color w:val="000000" w:themeColor="text1"/>
              </w:rPr>
              <w:t>1166</w:t>
            </w:r>
            <w:r>
              <w:rPr>
                <w:rFonts w:ascii="Arial" w:hAnsi="Arial" w:cs="Arial"/>
                <w:color w:val="000000" w:themeColor="text1"/>
              </w:rPr>
              <w:t xml:space="preserve"> (18.6%)</w:t>
            </w:r>
          </w:p>
        </w:tc>
        <w:tc>
          <w:tcPr>
            <w:tcW w:w="1019" w:type="pct"/>
            <w:shd w:val="clear" w:color="auto" w:fill="auto"/>
            <w:vAlign w:val="center"/>
          </w:tcPr>
          <w:p w14:paraId="1294DFA3" w14:textId="010ECB44" w:rsidR="00431C1D" w:rsidRPr="00431C1D" w:rsidRDefault="00431C1D" w:rsidP="005D3606">
            <w:pPr>
              <w:jc w:val="center"/>
              <w:rPr>
                <w:rFonts w:ascii="Arial" w:hAnsi="Arial" w:cs="Arial"/>
                <w:color w:val="000000" w:themeColor="text1"/>
              </w:rPr>
            </w:pPr>
            <w:r w:rsidRPr="00431C1D">
              <w:rPr>
                <w:rFonts w:ascii="Arial" w:hAnsi="Arial" w:cs="Arial"/>
                <w:color w:val="000000" w:themeColor="text1"/>
              </w:rPr>
              <w:t>192</w:t>
            </w:r>
            <w:r>
              <w:rPr>
                <w:rFonts w:ascii="Arial" w:hAnsi="Arial" w:cs="Arial"/>
                <w:color w:val="000000" w:themeColor="text1"/>
              </w:rPr>
              <w:t xml:space="preserve"> (29.3%)</w:t>
            </w:r>
          </w:p>
        </w:tc>
        <w:tc>
          <w:tcPr>
            <w:tcW w:w="1019" w:type="pct"/>
            <w:vAlign w:val="center"/>
          </w:tcPr>
          <w:p w14:paraId="59C7BC09" w14:textId="091A18D3" w:rsidR="00431C1D" w:rsidRPr="00431C1D" w:rsidRDefault="00431C1D" w:rsidP="005D3606">
            <w:pPr>
              <w:jc w:val="center"/>
              <w:rPr>
                <w:rFonts w:ascii="Arial" w:hAnsi="Arial" w:cs="Arial"/>
                <w:color w:val="000000" w:themeColor="text1"/>
              </w:rPr>
            </w:pPr>
            <w:r w:rsidRPr="00431C1D">
              <w:rPr>
                <w:rFonts w:ascii="Arial" w:hAnsi="Arial" w:cs="Arial"/>
                <w:color w:val="000000" w:themeColor="text1"/>
              </w:rPr>
              <w:t>13061</w:t>
            </w:r>
            <w:r>
              <w:rPr>
                <w:rFonts w:ascii="Arial" w:hAnsi="Arial" w:cs="Arial"/>
                <w:color w:val="000000" w:themeColor="text1"/>
              </w:rPr>
              <w:t xml:space="preserve"> (25.4%)</w:t>
            </w:r>
          </w:p>
        </w:tc>
      </w:tr>
      <w:tr w:rsidR="00431C1D" w:rsidRPr="00431C1D" w14:paraId="2D7FADF0" w14:textId="77777777" w:rsidTr="00A169E8">
        <w:trPr>
          <w:cantSplit/>
        </w:trPr>
        <w:tc>
          <w:tcPr>
            <w:tcW w:w="1943" w:type="pct"/>
          </w:tcPr>
          <w:p w14:paraId="2AD31AD3" w14:textId="77777777" w:rsidR="00431C1D" w:rsidRPr="00431C1D" w:rsidRDefault="00431C1D" w:rsidP="005D3606">
            <w:pPr>
              <w:ind w:left="144"/>
              <w:rPr>
                <w:rFonts w:ascii="Arial" w:hAnsi="Arial" w:cs="Arial"/>
                <w:color w:val="000000" w:themeColor="text1"/>
              </w:rPr>
            </w:pPr>
            <w:r w:rsidRPr="00431C1D">
              <w:rPr>
                <w:rFonts w:ascii="Arial" w:hAnsi="Arial" w:cs="Arial"/>
                <w:color w:val="000000" w:themeColor="text1"/>
              </w:rPr>
              <w:t>&gt;14-day total antibiotic duration</w:t>
            </w:r>
          </w:p>
        </w:tc>
        <w:tc>
          <w:tcPr>
            <w:tcW w:w="1019" w:type="pct"/>
            <w:shd w:val="clear" w:color="auto" w:fill="auto"/>
            <w:vAlign w:val="center"/>
          </w:tcPr>
          <w:p w14:paraId="7FB8E684" w14:textId="5FE12A77" w:rsidR="00431C1D" w:rsidRPr="00431C1D" w:rsidRDefault="00431C1D" w:rsidP="005D3606">
            <w:pPr>
              <w:jc w:val="center"/>
              <w:rPr>
                <w:rFonts w:ascii="Arial" w:hAnsi="Arial" w:cs="Arial"/>
                <w:color w:val="000000" w:themeColor="text1"/>
              </w:rPr>
            </w:pPr>
            <w:r w:rsidRPr="00431C1D">
              <w:rPr>
                <w:rFonts w:ascii="Arial" w:hAnsi="Arial" w:cs="Arial"/>
                <w:color w:val="000000" w:themeColor="text1"/>
              </w:rPr>
              <w:t>414</w:t>
            </w:r>
            <w:r>
              <w:rPr>
                <w:rFonts w:ascii="Arial" w:hAnsi="Arial" w:cs="Arial"/>
                <w:color w:val="000000" w:themeColor="text1"/>
              </w:rPr>
              <w:t xml:space="preserve"> (6.6%)</w:t>
            </w:r>
          </w:p>
        </w:tc>
        <w:tc>
          <w:tcPr>
            <w:tcW w:w="1019" w:type="pct"/>
            <w:shd w:val="clear" w:color="auto" w:fill="auto"/>
            <w:vAlign w:val="center"/>
          </w:tcPr>
          <w:p w14:paraId="3891C3AD" w14:textId="7CA331A5" w:rsidR="00431C1D" w:rsidRPr="00431C1D" w:rsidRDefault="00431C1D" w:rsidP="005D3606">
            <w:pPr>
              <w:jc w:val="center"/>
              <w:rPr>
                <w:rFonts w:ascii="Arial" w:hAnsi="Arial" w:cs="Arial"/>
                <w:color w:val="000000" w:themeColor="text1"/>
              </w:rPr>
            </w:pPr>
            <w:r w:rsidRPr="00431C1D">
              <w:rPr>
                <w:rFonts w:ascii="Arial" w:hAnsi="Arial" w:cs="Arial"/>
                <w:color w:val="000000" w:themeColor="text1"/>
              </w:rPr>
              <w:t>92</w:t>
            </w:r>
            <w:r>
              <w:rPr>
                <w:rFonts w:ascii="Arial" w:hAnsi="Arial" w:cs="Arial"/>
                <w:color w:val="000000" w:themeColor="text1"/>
              </w:rPr>
              <w:t xml:space="preserve"> (14.0%)</w:t>
            </w:r>
          </w:p>
        </w:tc>
        <w:tc>
          <w:tcPr>
            <w:tcW w:w="1019" w:type="pct"/>
            <w:vAlign w:val="center"/>
          </w:tcPr>
          <w:p w14:paraId="3A6124C5" w14:textId="769A8278" w:rsidR="00431C1D" w:rsidRPr="00431C1D" w:rsidRDefault="00431C1D" w:rsidP="005D3606">
            <w:pPr>
              <w:jc w:val="center"/>
              <w:rPr>
                <w:rFonts w:ascii="Arial" w:hAnsi="Arial" w:cs="Arial"/>
                <w:color w:val="000000" w:themeColor="text1"/>
              </w:rPr>
            </w:pPr>
            <w:r w:rsidRPr="00431C1D">
              <w:rPr>
                <w:rFonts w:ascii="Arial" w:hAnsi="Arial" w:cs="Arial"/>
                <w:color w:val="000000" w:themeColor="text1"/>
              </w:rPr>
              <w:t>1561</w:t>
            </w:r>
            <w:r>
              <w:rPr>
                <w:rFonts w:ascii="Arial" w:hAnsi="Arial" w:cs="Arial"/>
                <w:color w:val="000000" w:themeColor="text1"/>
              </w:rPr>
              <w:t xml:space="preserve"> (3.2%)</w:t>
            </w:r>
          </w:p>
        </w:tc>
      </w:tr>
      <w:tr w:rsidR="00431C1D" w:rsidRPr="00431C1D" w14:paraId="005FA05D" w14:textId="77777777" w:rsidTr="00A169E8">
        <w:trPr>
          <w:cantSplit/>
        </w:trPr>
        <w:tc>
          <w:tcPr>
            <w:tcW w:w="1943" w:type="pct"/>
          </w:tcPr>
          <w:p w14:paraId="16409918" w14:textId="77777777" w:rsidR="00431C1D" w:rsidRPr="00431C1D" w:rsidRDefault="00431C1D" w:rsidP="005D3606">
            <w:pPr>
              <w:rPr>
                <w:rFonts w:ascii="Arial" w:hAnsi="Arial" w:cs="Arial"/>
                <w:b/>
                <w:bCs/>
                <w:color w:val="000000" w:themeColor="text1"/>
              </w:rPr>
            </w:pPr>
            <w:r w:rsidRPr="00431C1D">
              <w:rPr>
                <w:rFonts w:ascii="Arial" w:hAnsi="Arial" w:cs="Arial"/>
                <w:b/>
                <w:bCs/>
                <w:color w:val="000000" w:themeColor="text1"/>
              </w:rPr>
              <w:t>Ending population</w:t>
            </w:r>
          </w:p>
        </w:tc>
        <w:tc>
          <w:tcPr>
            <w:tcW w:w="1019" w:type="pct"/>
            <w:shd w:val="clear" w:color="auto" w:fill="auto"/>
            <w:vAlign w:val="center"/>
          </w:tcPr>
          <w:p w14:paraId="473DFD71" w14:textId="29CAE4F8" w:rsidR="00431C1D" w:rsidRPr="00431C1D" w:rsidRDefault="00431C1D" w:rsidP="005D3606">
            <w:pPr>
              <w:jc w:val="center"/>
              <w:rPr>
                <w:rFonts w:ascii="Arial" w:hAnsi="Arial" w:cs="Arial"/>
                <w:b/>
                <w:bCs/>
                <w:color w:val="000000" w:themeColor="text1"/>
              </w:rPr>
            </w:pPr>
            <w:r w:rsidRPr="00431C1D">
              <w:rPr>
                <w:rFonts w:ascii="Arial" w:hAnsi="Arial" w:cs="Arial"/>
                <w:b/>
                <w:bCs/>
                <w:color w:val="000000" w:themeColor="text1"/>
              </w:rPr>
              <w:t>3437</w:t>
            </w:r>
            <w:r>
              <w:rPr>
                <w:rFonts w:ascii="Arial" w:hAnsi="Arial" w:cs="Arial"/>
                <w:b/>
                <w:bCs/>
                <w:color w:val="000000" w:themeColor="text1"/>
              </w:rPr>
              <w:t xml:space="preserve"> (54.7%)</w:t>
            </w:r>
          </w:p>
        </w:tc>
        <w:tc>
          <w:tcPr>
            <w:tcW w:w="1019" w:type="pct"/>
            <w:shd w:val="clear" w:color="auto" w:fill="auto"/>
            <w:vAlign w:val="center"/>
          </w:tcPr>
          <w:p w14:paraId="58AC37E9" w14:textId="7618650A" w:rsidR="00431C1D" w:rsidRPr="00431C1D" w:rsidRDefault="00431C1D" w:rsidP="005D3606">
            <w:pPr>
              <w:jc w:val="center"/>
              <w:rPr>
                <w:rFonts w:ascii="Arial" w:hAnsi="Arial" w:cs="Arial"/>
                <w:b/>
                <w:bCs/>
                <w:color w:val="000000" w:themeColor="text1"/>
              </w:rPr>
            </w:pPr>
            <w:r w:rsidRPr="00431C1D">
              <w:rPr>
                <w:rFonts w:ascii="Arial" w:hAnsi="Arial" w:cs="Arial"/>
                <w:b/>
                <w:bCs/>
                <w:color w:val="000000" w:themeColor="text1"/>
              </w:rPr>
              <w:t>313</w:t>
            </w:r>
            <w:r>
              <w:rPr>
                <w:rFonts w:ascii="Arial" w:hAnsi="Arial" w:cs="Arial"/>
                <w:b/>
                <w:bCs/>
                <w:color w:val="000000" w:themeColor="text1"/>
              </w:rPr>
              <w:t xml:space="preserve"> (47.8%)</w:t>
            </w:r>
          </w:p>
        </w:tc>
        <w:tc>
          <w:tcPr>
            <w:tcW w:w="1019" w:type="pct"/>
            <w:vAlign w:val="center"/>
          </w:tcPr>
          <w:p w14:paraId="619170A1" w14:textId="37B0E036" w:rsidR="00431C1D" w:rsidRPr="00431C1D" w:rsidRDefault="00431C1D" w:rsidP="005D3606">
            <w:pPr>
              <w:jc w:val="center"/>
              <w:rPr>
                <w:rFonts w:ascii="Arial" w:hAnsi="Arial" w:cs="Arial"/>
                <w:b/>
                <w:bCs/>
                <w:color w:val="000000" w:themeColor="text1"/>
              </w:rPr>
            </w:pPr>
            <w:r w:rsidRPr="00431C1D">
              <w:rPr>
                <w:rFonts w:ascii="Arial" w:hAnsi="Arial" w:cs="Arial"/>
                <w:b/>
                <w:bCs/>
                <w:color w:val="000000" w:themeColor="text1"/>
              </w:rPr>
              <w:t>28,238</w:t>
            </w:r>
            <w:r>
              <w:rPr>
                <w:rFonts w:ascii="Arial" w:hAnsi="Arial" w:cs="Arial"/>
                <w:b/>
                <w:bCs/>
                <w:color w:val="000000" w:themeColor="text1"/>
              </w:rPr>
              <w:t xml:space="preserve"> (56.7%)</w:t>
            </w:r>
          </w:p>
        </w:tc>
      </w:tr>
    </w:tbl>
    <w:p w14:paraId="6F97BC84" w14:textId="2082F5FC" w:rsidR="0062202B" w:rsidRDefault="00431C1D" w:rsidP="0062202B">
      <w:pPr>
        <w:rPr>
          <w:rFonts w:ascii="Arial" w:hAnsi="Arial" w:cs="Arial"/>
          <w:sz w:val="20"/>
          <w:szCs w:val="20"/>
        </w:rPr>
      </w:pPr>
      <w:bookmarkStart w:id="6" w:name="_Hlk181285894"/>
      <w:r>
        <w:rPr>
          <w:rFonts w:ascii="Arial" w:hAnsi="Arial" w:cs="Arial"/>
          <w:sz w:val="20"/>
          <w:szCs w:val="20"/>
        </w:rPr>
        <w:t>*cell intentionally left empty</w:t>
      </w:r>
    </w:p>
    <w:bookmarkEnd w:id="6"/>
    <w:p w14:paraId="582D83DB" w14:textId="77777777" w:rsidR="0058381B" w:rsidRDefault="0058381B" w:rsidP="0062202B">
      <w:pPr>
        <w:rPr>
          <w:rFonts w:ascii="Arial" w:hAnsi="Arial" w:cs="Arial"/>
          <w:sz w:val="20"/>
          <w:szCs w:val="20"/>
        </w:rPr>
      </w:pPr>
    </w:p>
    <w:p w14:paraId="2B27FEA7" w14:textId="77777777" w:rsidR="0062202B" w:rsidRPr="0058381B" w:rsidRDefault="0062202B" w:rsidP="0062202B">
      <w:pPr>
        <w:spacing w:after="0"/>
        <w:rPr>
          <w:rFonts w:ascii="Arial" w:hAnsi="Arial" w:cs="Arial"/>
          <w:sz w:val="22"/>
          <w:szCs w:val="22"/>
        </w:rPr>
      </w:pPr>
      <w:r w:rsidRPr="0058381B">
        <w:rPr>
          <w:rFonts w:ascii="Arial" w:hAnsi="Arial" w:cs="Arial"/>
          <w:b/>
          <w:bCs/>
          <w:sz w:val="22"/>
          <w:szCs w:val="22"/>
        </w:rPr>
        <w:t xml:space="preserve">Table 20. </w:t>
      </w:r>
      <w:bookmarkStart w:id="7" w:name="_Hlk181285873"/>
      <w:r w:rsidRPr="0058381B">
        <w:rPr>
          <w:rFonts w:ascii="Arial" w:hAnsi="Arial" w:cs="Arial"/>
          <w:sz w:val="22"/>
          <w:szCs w:val="22"/>
        </w:rPr>
        <w:t>Sensitivity/Specificity of Exclusion Criteria Comparing eCQM and Chart Review (UM, n=592)</w:t>
      </w:r>
    </w:p>
    <w:tbl>
      <w:tblPr>
        <w:tblStyle w:val="TableGrid"/>
        <w:tblW w:w="10435" w:type="dxa"/>
        <w:tblLayout w:type="fixed"/>
        <w:tblLook w:val="04A0" w:firstRow="1" w:lastRow="0" w:firstColumn="1" w:lastColumn="0" w:noHBand="0" w:noVBand="1"/>
        <w:tblCaption w:val="Table 20. Sensitivity/specificity of exclusion criteria comparing eCQM and chart review"/>
        <w:tblDescription w:val="eCQM and chart review data were compared to determine sensitivity and specificity for duration-specific denominator exclusions. Sensitivity for time to clinical stability was low (29%) but specifity was high (98%). Sensitivity and specificity for all other duration-specific exclusions was high (88%-100%)"/>
      </w:tblPr>
      <w:tblGrid>
        <w:gridCol w:w="3505"/>
        <w:gridCol w:w="1732"/>
        <w:gridCol w:w="1733"/>
        <w:gridCol w:w="1732"/>
        <w:gridCol w:w="1733"/>
      </w:tblGrid>
      <w:tr w:rsidR="0062202B" w:rsidRPr="00CF4443" w14:paraId="1FC99A07" w14:textId="77777777" w:rsidTr="00BC61C4">
        <w:trPr>
          <w:cantSplit/>
          <w:tblHeader/>
        </w:trPr>
        <w:tc>
          <w:tcPr>
            <w:tcW w:w="3505" w:type="dxa"/>
            <w:vAlign w:val="center"/>
          </w:tcPr>
          <w:bookmarkEnd w:id="7"/>
          <w:p w14:paraId="386127B5" w14:textId="578737CC" w:rsidR="0062202B" w:rsidRPr="0058381B" w:rsidRDefault="0058381B" w:rsidP="0058381B">
            <w:pPr>
              <w:pStyle w:val="ListParagraph"/>
              <w:spacing w:line="269" w:lineRule="auto"/>
              <w:ind w:left="0"/>
              <w:rPr>
                <w:rFonts w:ascii="Arial" w:hAnsi="Arial" w:cs="Arial"/>
                <w:b/>
                <w:bCs/>
                <w:sz w:val="20"/>
                <w:szCs w:val="20"/>
              </w:rPr>
            </w:pPr>
            <w:r>
              <w:rPr>
                <w:rFonts w:ascii="Arial" w:hAnsi="Arial" w:cs="Arial"/>
                <w:b/>
                <w:bCs/>
                <w:sz w:val="20"/>
                <w:szCs w:val="20"/>
              </w:rPr>
              <w:t>*</w:t>
            </w:r>
          </w:p>
        </w:tc>
        <w:tc>
          <w:tcPr>
            <w:tcW w:w="1732" w:type="dxa"/>
            <w:vAlign w:val="center"/>
          </w:tcPr>
          <w:p w14:paraId="023D18D5" w14:textId="77777777" w:rsidR="0062202B" w:rsidRPr="0058381B" w:rsidRDefault="0062202B" w:rsidP="0058381B">
            <w:pPr>
              <w:pStyle w:val="ListParagraph"/>
              <w:spacing w:line="269" w:lineRule="auto"/>
              <w:ind w:left="0"/>
              <w:jc w:val="center"/>
              <w:rPr>
                <w:rFonts w:ascii="Arial" w:hAnsi="Arial" w:cs="Arial"/>
                <w:sz w:val="20"/>
                <w:szCs w:val="20"/>
              </w:rPr>
            </w:pPr>
            <w:r w:rsidRPr="0058381B">
              <w:rPr>
                <w:rFonts w:ascii="Arial" w:hAnsi="Arial" w:cs="Arial"/>
                <w:sz w:val="20"/>
                <w:szCs w:val="20"/>
              </w:rPr>
              <w:t>UM eCQM data (electronic) n (%)</w:t>
            </w:r>
          </w:p>
        </w:tc>
        <w:tc>
          <w:tcPr>
            <w:tcW w:w="1733" w:type="dxa"/>
            <w:vAlign w:val="center"/>
          </w:tcPr>
          <w:p w14:paraId="7CEE6131" w14:textId="77777777" w:rsidR="0062202B" w:rsidRPr="0058381B" w:rsidRDefault="0062202B" w:rsidP="0058381B">
            <w:pPr>
              <w:pStyle w:val="ListParagraph"/>
              <w:spacing w:line="269" w:lineRule="auto"/>
              <w:ind w:left="0"/>
              <w:jc w:val="center"/>
              <w:rPr>
                <w:rFonts w:ascii="Arial" w:hAnsi="Arial" w:cs="Arial"/>
                <w:sz w:val="20"/>
                <w:szCs w:val="20"/>
              </w:rPr>
            </w:pPr>
            <w:r w:rsidRPr="0058381B">
              <w:rPr>
                <w:rFonts w:ascii="Arial" w:hAnsi="Arial" w:cs="Arial"/>
                <w:sz w:val="20"/>
                <w:szCs w:val="20"/>
              </w:rPr>
              <w:t>UM HMS data (chart review) n (%)</w:t>
            </w:r>
          </w:p>
        </w:tc>
        <w:tc>
          <w:tcPr>
            <w:tcW w:w="1732" w:type="dxa"/>
            <w:shd w:val="clear" w:color="auto" w:fill="auto"/>
            <w:vAlign w:val="center"/>
          </w:tcPr>
          <w:p w14:paraId="60138F62" w14:textId="77777777" w:rsidR="0062202B" w:rsidRPr="0058381B" w:rsidRDefault="0062202B" w:rsidP="0058381B">
            <w:pPr>
              <w:pStyle w:val="ListParagraph"/>
              <w:spacing w:line="269" w:lineRule="auto"/>
              <w:ind w:left="0"/>
              <w:jc w:val="center"/>
              <w:rPr>
                <w:rFonts w:ascii="Arial" w:hAnsi="Arial" w:cs="Arial"/>
                <w:sz w:val="20"/>
                <w:szCs w:val="20"/>
              </w:rPr>
            </w:pPr>
            <w:r w:rsidRPr="0058381B">
              <w:rPr>
                <w:rFonts w:ascii="Arial" w:hAnsi="Arial" w:cs="Arial"/>
                <w:sz w:val="20"/>
                <w:szCs w:val="20"/>
              </w:rPr>
              <w:t>Sensitivity of UM eCQM (vs. UM HMS chart review)</w:t>
            </w:r>
          </w:p>
        </w:tc>
        <w:tc>
          <w:tcPr>
            <w:tcW w:w="1733" w:type="dxa"/>
            <w:shd w:val="clear" w:color="auto" w:fill="auto"/>
            <w:vAlign w:val="center"/>
          </w:tcPr>
          <w:p w14:paraId="697099CF" w14:textId="77777777" w:rsidR="0062202B" w:rsidRPr="0058381B" w:rsidRDefault="0062202B" w:rsidP="0058381B">
            <w:pPr>
              <w:pStyle w:val="ListParagraph"/>
              <w:spacing w:line="269" w:lineRule="auto"/>
              <w:ind w:left="0"/>
              <w:jc w:val="center"/>
              <w:rPr>
                <w:rFonts w:ascii="Arial" w:hAnsi="Arial" w:cs="Arial"/>
                <w:sz w:val="20"/>
                <w:szCs w:val="20"/>
              </w:rPr>
            </w:pPr>
            <w:r w:rsidRPr="0058381B">
              <w:rPr>
                <w:rFonts w:ascii="Arial" w:hAnsi="Arial" w:cs="Arial"/>
                <w:sz w:val="20"/>
                <w:szCs w:val="20"/>
              </w:rPr>
              <w:t xml:space="preserve">Specificity of UM eCQM (vs. UM HMS chart review) </w:t>
            </w:r>
          </w:p>
        </w:tc>
      </w:tr>
      <w:tr w:rsidR="0062202B" w:rsidRPr="00CF4443" w14:paraId="7817CB45" w14:textId="77777777" w:rsidTr="00BC61C4">
        <w:trPr>
          <w:cantSplit/>
        </w:trPr>
        <w:tc>
          <w:tcPr>
            <w:tcW w:w="3505" w:type="dxa"/>
            <w:shd w:val="clear" w:color="auto" w:fill="C1E4F5" w:themeFill="accent1" w:themeFillTint="33"/>
          </w:tcPr>
          <w:p w14:paraId="1426D3BD" w14:textId="77777777" w:rsidR="0062202B" w:rsidRPr="0058381B" w:rsidRDefault="0062202B" w:rsidP="0058381B">
            <w:pPr>
              <w:pStyle w:val="ListParagraph"/>
              <w:spacing w:line="269" w:lineRule="auto"/>
              <w:ind w:left="0"/>
              <w:rPr>
                <w:rFonts w:ascii="Arial" w:hAnsi="Arial" w:cs="Arial"/>
                <w:b/>
                <w:bCs/>
                <w:sz w:val="20"/>
                <w:szCs w:val="20"/>
              </w:rPr>
            </w:pPr>
            <w:r w:rsidRPr="0058381B">
              <w:rPr>
                <w:rFonts w:ascii="Arial" w:hAnsi="Arial" w:cs="Arial"/>
                <w:b/>
                <w:bCs/>
                <w:sz w:val="20"/>
                <w:szCs w:val="20"/>
              </w:rPr>
              <w:t>Duration-specific Exclusions</w:t>
            </w:r>
          </w:p>
        </w:tc>
        <w:tc>
          <w:tcPr>
            <w:tcW w:w="1732" w:type="dxa"/>
            <w:shd w:val="clear" w:color="auto" w:fill="C1E4F5" w:themeFill="accent1" w:themeFillTint="33"/>
            <w:vAlign w:val="center"/>
          </w:tcPr>
          <w:p w14:paraId="3095C14B" w14:textId="77777777" w:rsidR="0062202B" w:rsidRPr="0058381B" w:rsidRDefault="0062202B" w:rsidP="0058381B">
            <w:pPr>
              <w:pStyle w:val="ListParagraph"/>
              <w:spacing w:line="269" w:lineRule="auto"/>
              <w:ind w:left="0"/>
              <w:jc w:val="center"/>
              <w:rPr>
                <w:rFonts w:ascii="Arial" w:hAnsi="Arial" w:cs="Arial"/>
                <w:sz w:val="20"/>
                <w:szCs w:val="20"/>
              </w:rPr>
            </w:pPr>
            <w:r w:rsidRPr="0058381B">
              <w:rPr>
                <w:rFonts w:ascii="Arial" w:hAnsi="Arial" w:cs="Arial"/>
                <w:sz w:val="20"/>
                <w:szCs w:val="20"/>
              </w:rPr>
              <w:t>n=592</w:t>
            </w:r>
          </w:p>
        </w:tc>
        <w:tc>
          <w:tcPr>
            <w:tcW w:w="1733" w:type="dxa"/>
            <w:shd w:val="clear" w:color="auto" w:fill="C1E4F5" w:themeFill="accent1" w:themeFillTint="33"/>
            <w:vAlign w:val="center"/>
          </w:tcPr>
          <w:p w14:paraId="7C252698" w14:textId="77777777" w:rsidR="0062202B" w:rsidRPr="0058381B" w:rsidRDefault="0062202B" w:rsidP="0058381B">
            <w:pPr>
              <w:pStyle w:val="ListParagraph"/>
              <w:spacing w:line="269" w:lineRule="auto"/>
              <w:ind w:left="0"/>
              <w:jc w:val="center"/>
              <w:rPr>
                <w:rFonts w:ascii="Arial" w:hAnsi="Arial" w:cs="Arial"/>
                <w:sz w:val="20"/>
                <w:szCs w:val="20"/>
              </w:rPr>
            </w:pPr>
            <w:r w:rsidRPr="0058381B">
              <w:rPr>
                <w:rFonts w:ascii="Arial" w:hAnsi="Arial" w:cs="Arial"/>
                <w:sz w:val="20"/>
                <w:szCs w:val="20"/>
              </w:rPr>
              <w:t>n=592</w:t>
            </w:r>
          </w:p>
        </w:tc>
        <w:tc>
          <w:tcPr>
            <w:tcW w:w="1732" w:type="dxa"/>
            <w:shd w:val="clear" w:color="auto" w:fill="C1E4F5" w:themeFill="accent1" w:themeFillTint="33"/>
            <w:vAlign w:val="center"/>
          </w:tcPr>
          <w:p w14:paraId="384698F2" w14:textId="77777777" w:rsidR="0062202B" w:rsidRPr="0058381B" w:rsidRDefault="0062202B" w:rsidP="0058381B">
            <w:pPr>
              <w:pStyle w:val="ListParagraph"/>
              <w:spacing w:line="269" w:lineRule="auto"/>
              <w:ind w:left="0"/>
              <w:jc w:val="center"/>
              <w:rPr>
                <w:rFonts w:ascii="Arial" w:hAnsi="Arial" w:cs="Arial"/>
                <w:sz w:val="20"/>
                <w:szCs w:val="20"/>
              </w:rPr>
            </w:pPr>
            <w:r w:rsidRPr="0058381B">
              <w:rPr>
                <w:rFonts w:ascii="Arial" w:hAnsi="Arial" w:cs="Arial"/>
                <w:sz w:val="20"/>
                <w:szCs w:val="20"/>
              </w:rPr>
              <w:t>n=592</w:t>
            </w:r>
          </w:p>
        </w:tc>
        <w:tc>
          <w:tcPr>
            <w:tcW w:w="1733" w:type="dxa"/>
            <w:shd w:val="clear" w:color="auto" w:fill="C1E4F5" w:themeFill="accent1" w:themeFillTint="33"/>
            <w:vAlign w:val="center"/>
          </w:tcPr>
          <w:p w14:paraId="07663BFB" w14:textId="77777777" w:rsidR="0062202B" w:rsidRPr="0058381B" w:rsidRDefault="0062202B" w:rsidP="0058381B">
            <w:pPr>
              <w:pStyle w:val="ListParagraph"/>
              <w:spacing w:line="269" w:lineRule="auto"/>
              <w:ind w:left="0"/>
              <w:jc w:val="center"/>
              <w:rPr>
                <w:rFonts w:ascii="Arial" w:hAnsi="Arial" w:cs="Arial"/>
                <w:sz w:val="20"/>
                <w:szCs w:val="20"/>
              </w:rPr>
            </w:pPr>
            <w:r w:rsidRPr="0058381B">
              <w:rPr>
                <w:rFonts w:ascii="Arial" w:hAnsi="Arial" w:cs="Arial"/>
                <w:sz w:val="20"/>
                <w:szCs w:val="20"/>
              </w:rPr>
              <w:t>n=592</w:t>
            </w:r>
          </w:p>
        </w:tc>
      </w:tr>
      <w:tr w:rsidR="0062202B" w:rsidRPr="00CF4443" w14:paraId="7CDC3F0E" w14:textId="77777777" w:rsidTr="00BC61C4">
        <w:trPr>
          <w:cantSplit/>
        </w:trPr>
        <w:tc>
          <w:tcPr>
            <w:tcW w:w="3505" w:type="dxa"/>
          </w:tcPr>
          <w:p w14:paraId="43DE1405" w14:textId="77777777" w:rsidR="0062202B" w:rsidRPr="0058381B" w:rsidRDefault="0062202B" w:rsidP="0058381B">
            <w:pPr>
              <w:pStyle w:val="ListParagraph"/>
              <w:spacing w:line="269" w:lineRule="auto"/>
              <w:ind w:left="0"/>
              <w:rPr>
                <w:rFonts w:ascii="Arial" w:hAnsi="Arial" w:cs="Arial"/>
                <w:sz w:val="20"/>
                <w:szCs w:val="20"/>
              </w:rPr>
            </w:pPr>
            <w:r w:rsidRPr="0058381B">
              <w:rPr>
                <w:rFonts w:ascii="Arial" w:hAnsi="Arial" w:cs="Arial"/>
                <w:sz w:val="20"/>
                <w:szCs w:val="20"/>
              </w:rPr>
              <w:t>Died during hospitalization</w:t>
            </w:r>
          </w:p>
        </w:tc>
        <w:tc>
          <w:tcPr>
            <w:tcW w:w="1732" w:type="dxa"/>
            <w:vAlign w:val="center"/>
          </w:tcPr>
          <w:p w14:paraId="39B2EAB2" w14:textId="77777777" w:rsidR="0062202B" w:rsidRPr="0058381B" w:rsidRDefault="0062202B" w:rsidP="0058381B">
            <w:pPr>
              <w:pStyle w:val="ListParagraph"/>
              <w:spacing w:line="269" w:lineRule="auto"/>
              <w:ind w:left="0"/>
              <w:jc w:val="center"/>
              <w:rPr>
                <w:rFonts w:ascii="Arial" w:hAnsi="Arial" w:cs="Arial"/>
                <w:sz w:val="20"/>
                <w:szCs w:val="20"/>
              </w:rPr>
            </w:pPr>
            <w:r w:rsidRPr="0058381B">
              <w:rPr>
                <w:rFonts w:ascii="Arial" w:hAnsi="Arial" w:cs="Arial"/>
                <w:sz w:val="20"/>
                <w:szCs w:val="20"/>
              </w:rPr>
              <w:t>2 (0.3%)</w:t>
            </w:r>
          </w:p>
        </w:tc>
        <w:tc>
          <w:tcPr>
            <w:tcW w:w="1733" w:type="dxa"/>
            <w:vAlign w:val="center"/>
          </w:tcPr>
          <w:p w14:paraId="1FE27134" w14:textId="77777777" w:rsidR="0062202B" w:rsidRPr="0058381B" w:rsidRDefault="0062202B" w:rsidP="0058381B">
            <w:pPr>
              <w:pStyle w:val="ListParagraph"/>
              <w:spacing w:line="269" w:lineRule="auto"/>
              <w:ind w:left="0"/>
              <w:jc w:val="center"/>
              <w:rPr>
                <w:rFonts w:ascii="Arial" w:hAnsi="Arial" w:cs="Arial"/>
                <w:sz w:val="20"/>
                <w:szCs w:val="20"/>
              </w:rPr>
            </w:pPr>
            <w:r w:rsidRPr="0058381B">
              <w:rPr>
                <w:rFonts w:ascii="Arial" w:hAnsi="Arial" w:cs="Arial"/>
                <w:sz w:val="20"/>
                <w:szCs w:val="20"/>
              </w:rPr>
              <w:t>2 (0.3%)</w:t>
            </w:r>
          </w:p>
        </w:tc>
        <w:tc>
          <w:tcPr>
            <w:tcW w:w="1732" w:type="dxa"/>
            <w:vAlign w:val="center"/>
          </w:tcPr>
          <w:p w14:paraId="4D1D96C1" w14:textId="77777777" w:rsidR="0062202B" w:rsidRPr="0058381B" w:rsidRDefault="0062202B" w:rsidP="0058381B">
            <w:pPr>
              <w:pStyle w:val="ListParagraph"/>
              <w:spacing w:line="269" w:lineRule="auto"/>
              <w:ind w:left="0"/>
              <w:jc w:val="center"/>
              <w:rPr>
                <w:rFonts w:ascii="Arial" w:hAnsi="Arial" w:cs="Arial"/>
                <w:sz w:val="20"/>
                <w:szCs w:val="20"/>
              </w:rPr>
            </w:pPr>
            <w:r w:rsidRPr="0058381B">
              <w:rPr>
                <w:rFonts w:ascii="Arial" w:hAnsi="Arial" w:cs="Arial"/>
                <w:sz w:val="20"/>
                <w:szCs w:val="20"/>
              </w:rPr>
              <w:t>100% (2/2)</w:t>
            </w:r>
          </w:p>
        </w:tc>
        <w:tc>
          <w:tcPr>
            <w:tcW w:w="1733" w:type="dxa"/>
            <w:vAlign w:val="center"/>
          </w:tcPr>
          <w:p w14:paraId="032D532B" w14:textId="77777777" w:rsidR="0062202B" w:rsidRPr="0058381B" w:rsidRDefault="0062202B" w:rsidP="0058381B">
            <w:pPr>
              <w:pStyle w:val="ListParagraph"/>
              <w:spacing w:line="269" w:lineRule="auto"/>
              <w:ind w:left="0"/>
              <w:jc w:val="center"/>
              <w:rPr>
                <w:rFonts w:ascii="Arial" w:hAnsi="Arial" w:cs="Arial"/>
                <w:sz w:val="20"/>
                <w:szCs w:val="20"/>
              </w:rPr>
            </w:pPr>
            <w:r w:rsidRPr="0058381B">
              <w:rPr>
                <w:rFonts w:ascii="Arial" w:hAnsi="Arial" w:cs="Arial"/>
                <w:sz w:val="20"/>
                <w:szCs w:val="20"/>
              </w:rPr>
              <w:t>100% (590/590)</w:t>
            </w:r>
          </w:p>
        </w:tc>
      </w:tr>
      <w:tr w:rsidR="0062202B" w:rsidRPr="00CF4443" w14:paraId="21904977" w14:textId="77777777" w:rsidTr="00BC61C4">
        <w:trPr>
          <w:cantSplit/>
        </w:trPr>
        <w:tc>
          <w:tcPr>
            <w:tcW w:w="3505" w:type="dxa"/>
          </w:tcPr>
          <w:p w14:paraId="286C0343" w14:textId="77777777" w:rsidR="0062202B" w:rsidRPr="0058381B" w:rsidRDefault="0062202B" w:rsidP="0058381B">
            <w:pPr>
              <w:spacing w:line="269" w:lineRule="auto"/>
              <w:rPr>
                <w:rFonts w:ascii="Arial" w:hAnsi="Arial" w:cs="Arial"/>
                <w:sz w:val="20"/>
                <w:szCs w:val="20"/>
              </w:rPr>
            </w:pPr>
            <w:r w:rsidRPr="0058381B">
              <w:rPr>
                <w:rFonts w:ascii="Arial" w:hAnsi="Arial" w:cs="Arial"/>
                <w:sz w:val="20"/>
                <w:szCs w:val="20"/>
              </w:rPr>
              <w:t>Discharged to another hospital</w:t>
            </w:r>
          </w:p>
        </w:tc>
        <w:tc>
          <w:tcPr>
            <w:tcW w:w="1732" w:type="dxa"/>
            <w:vAlign w:val="center"/>
          </w:tcPr>
          <w:p w14:paraId="52C5DF9B" w14:textId="77777777" w:rsidR="0062202B" w:rsidRPr="0058381B" w:rsidRDefault="0062202B" w:rsidP="0058381B">
            <w:pPr>
              <w:pStyle w:val="ListParagraph"/>
              <w:spacing w:line="269" w:lineRule="auto"/>
              <w:ind w:left="0"/>
              <w:jc w:val="center"/>
              <w:rPr>
                <w:rFonts w:ascii="Arial" w:hAnsi="Arial" w:cs="Arial"/>
                <w:sz w:val="20"/>
                <w:szCs w:val="20"/>
              </w:rPr>
            </w:pPr>
            <w:r w:rsidRPr="0058381B">
              <w:rPr>
                <w:rFonts w:ascii="Arial" w:hAnsi="Arial" w:cs="Arial"/>
                <w:sz w:val="20"/>
                <w:szCs w:val="20"/>
              </w:rPr>
              <w:t>2 (0.3%)</w:t>
            </w:r>
          </w:p>
        </w:tc>
        <w:tc>
          <w:tcPr>
            <w:tcW w:w="1733" w:type="dxa"/>
            <w:vAlign w:val="center"/>
          </w:tcPr>
          <w:p w14:paraId="0C2014FA" w14:textId="77777777" w:rsidR="0062202B" w:rsidRPr="0058381B" w:rsidRDefault="0062202B" w:rsidP="0058381B">
            <w:pPr>
              <w:pStyle w:val="ListParagraph"/>
              <w:spacing w:line="269" w:lineRule="auto"/>
              <w:ind w:left="0"/>
              <w:jc w:val="center"/>
              <w:rPr>
                <w:rFonts w:ascii="Arial" w:hAnsi="Arial" w:cs="Arial"/>
                <w:sz w:val="20"/>
                <w:szCs w:val="20"/>
              </w:rPr>
            </w:pPr>
            <w:r w:rsidRPr="0058381B">
              <w:rPr>
                <w:rFonts w:ascii="Arial" w:hAnsi="Arial" w:cs="Arial"/>
                <w:sz w:val="20"/>
                <w:szCs w:val="20"/>
              </w:rPr>
              <w:t>1 (0.2%)</w:t>
            </w:r>
          </w:p>
        </w:tc>
        <w:tc>
          <w:tcPr>
            <w:tcW w:w="1732" w:type="dxa"/>
            <w:vAlign w:val="center"/>
          </w:tcPr>
          <w:p w14:paraId="45D1823A" w14:textId="77777777" w:rsidR="0062202B" w:rsidRPr="0058381B" w:rsidRDefault="0062202B" w:rsidP="0058381B">
            <w:pPr>
              <w:pStyle w:val="ListParagraph"/>
              <w:spacing w:line="269" w:lineRule="auto"/>
              <w:ind w:left="0"/>
              <w:jc w:val="center"/>
              <w:rPr>
                <w:rFonts w:ascii="Arial" w:hAnsi="Arial" w:cs="Arial"/>
                <w:sz w:val="20"/>
                <w:szCs w:val="20"/>
              </w:rPr>
            </w:pPr>
            <w:r w:rsidRPr="0058381B">
              <w:rPr>
                <w:rFonts w:ascii="Arial" w:hAnsi="Arial" w:cs="Arial"/>
                <w:sz w:val="20"/>
                <w:szCs w:val="20"/>
              </w:rPr>
              <w:t>100% (1/1)</w:t>
            </w:r>
          </w:p>
        </w:tc>
        <w:tc>
          <w:tcPr>
            <w:tcW w:w="1733" w:type="dxa"/>
            <w:vAlign w:val="center"/>
          </w:tcPr>
          <w:p w14:paraId="117DC8E2" w14:textId="77777777" w:rsidR="0062202B" w:rsidRPr="0058381B" w:rsidRDefault="0062202B" w:rsidP="0058381B">
            <w:pPr>
              <w:pStyle w:val="ListParagraph"/>
              <w:spacing w:line="269" w:lineRule="auto"/>
              <w:ind w:left="0"/>
              <w:jc w:val="center"/>
              <w:rPr>
                <w:rFonts w:ascii="Arial" w:hAnsi="Arial" w:cs="Arial"/>
                <w:sz w:val="20"/>
                <w:szCs w:val="20"/>
              </w:rPr>
            </w:pPr>
            <w:r w:rsidRPr="0058381B">
              <w:rPr>
                <w:rFonts w:ascii="Arial" w:hAnsi="Arial" w:cs="Arial"/>
                <w:sz w:val="20"/>
                <w:szCs w:val="20"/>
              </w:rPr>
              <w:t>99% (590/591)</w:t>
            </w:r>
          </w:p>
        </w:tc>
      </w:tr>
      <w:tr w:rsidR="0062202B" w:rsidRPr="00CF4443" w14:paraId="68C40871" w14:textId="77777777" w:rsidTr="00BC61C4">
        <w:trPr>
          <w:cantSplit/>
        </w:trPr>
        <w:tc>
          <w:tcPr>
            <w:tcW w:w="3505" w:type="dxa"/>
          </w:tcPr>
          <w:p w14:paraId="375F1905" w14:textId="77777777" w:rsidR="0062202B" w:rsidRPr="0058381B" w:rsidRDefault="0062202B" w:rsidP="0058381B">
            <w:pPr>
              <w:spacing w:line="269" w:lineRule="auto"/>
              <w:rPr>
                <w:rFonts w:ascii="Arial" w:hAnsi="Arial" w:cs="Arial"/>
                <w:sz w:val="20"/>
                <w:szCs w:val="20"/>
              </w:rPr>
            </w:pPr>
            <w:r w:rsidRPr="0058381B">
              <w:rPr>
                <w:rFonts w:ascii="Arial" w:hAnsi="Arial" w:cs="Arial"/>
                <w:sz w:val="20"/>
                <w:szCs w:val="20"/>
              </w:rPr>
              <w:t>Discharged to inpatient/home hospice</w:t>
            </w:r>
          </w:p>
        </w:tc>
        <w:tc>
          <w:tcPr>
            <w:tcW w:w="1732" w:type="dxa"/>
            <w:vAlign w:val="center"/>
          </w:tcPr>
          <w:p w14:paraId="564FB6E6" w14:textId="77777777" w:rsidR="0062202B" w:rsidRPr="0058381B" w:rsidRDefault="0062202B" w:rsidP="0058381B">
            <w:pPr>
              <w:pStyle w:val="ListParagraph"/>
              <w:spacing w:line="269" w:lineRule="auto"/>
              <w:ind w:left="0"/>
              <w:jc w:val="center"/>
              <w:rPr>
                <w:rFonts w:ascii="Arial" w:hAnsi="Arial" w:cs="Arial"/>
                <w:sz w:val="20"/>
                <w:szCs w:val="20"/>
              </w:rPr>
            </w:pPr>
            <w:r w:rsidRPr="0058381B">
              <w:rPr>
                <w:rFonts w:ascii="Arial" w:hAnsi="Arial" w:cs="Arial"/>
                <w:sz w:val="20"/>
                <w:szCs w:val="20"/>
              </w:rPr>
              <w:t>3 (0.5%)</w:t>
            </w:r>
          </w:p>
        </w:tc>
        <w:tc>
          <w:tcPr>
            <w:tcW w:w="1733" w:type="dxa"/>
            <w:vAlign w:val="center"/>
          </w:tcPr>
          <w:p w14:paraId="4B28667A" w14:textId="77777777" w:rsidR="0062202B" w:rsidRPr="0058381B" w:rsidRDefault="0062202B" w:rsidP="0058381B">
            <w:pPr>
              <w:pStyle w:val="ListParagraph"/>
              <w:spacing w:line="269" w:lineRule="auto"/>
              <w:ind w:left="0"/>
              <w:jc w:val="center"/>
              <w:rPr>
                <w:rFonts w:ascii="Arial" w:hAnsi="Arial" w:cs="Arial"/>
                <w:sz w:val="20"/>
                <w:szCs w:val="20"/>
              </w:rPr>
            </w:pPr>
            <w:r w:rsidRPr="0058381B">
              <w:rPr>
                <w:rFonts w:ascii="Arial" w:hAnsi="Arial" w:cs="Arial"/>
                <w:sz w:val="20"/>
                <w:szCs w:val="20"/>
              </w:rPr>
              <w:t>2 (0.3%)</w:t>
            </w:r>
          </w:p>
        </w:tc>
        <w:tc>
          <w:tcPr>
            <w:tcW w:w="1732" w:type="dxa"/>
            <w:vAlign w:val="center"/>
          </w:tcPr>
          <w:p w14:paraId="67F036C0" w14:textId="77777777" w:rsidR="0062202B" w:rsidRPr="0058381B" w:rsidRDefault="0062202B" w:rsidP="0058381B">
            <w:pPr>
              <w:pStyle w:val="ListParagraph"/>
              <w:spacing w:line="269" w:lineRule="auto"/>
              <w:ind w:left="0"/>
              <w:jc w:val="center"/>
              <w:rPr>
                <w:rFonts w:ascii="Arial" w:hAnsi="Arial" w:cs="Arial"/>
                <w:sz w:val="20"/>
                <w:szCs w:val="20"/>
              </w:rPr>
            </w:pPr>
            <w:r w:rsidRPr="0058381B">
              <w:rPr>
                <w:rFonts w:ascii="Arial" w:hAnsi="Arial" w:cs="Arial"/>
                <w:sz w:val="20"/>
                <w:szCs w:val="20"/>
              </w:rPr>
              <w:t>100% (2/2)</w:t>
            </w:r>
          </w:p>
        </w:tc>
        <w:tc>
          <w:tcPr>
            <w:tcW w:w="1733" w:type="dxa"/>
            <w:vAlign w:val="center"/>
          </w:tcPr>
          <w:p w14:paraId="05715B31" w14:textId="77777777" w:rsidR="0062202B" w:rsidRPr="0058381B" w:rsidRDefault="0062202B" w:rsidP="0058381B">
            <w:pPr>
              <w:pStyle w:val="ListParagraph"/>
              <w:spacing w:line="269" w:lineRule="auto"/>
              <w:ind w:left="0"/>
              <w:jc w:val="center"/>
              <w:rPr>
                <w:rFonts w:ascii="Arial" w:hAnsi="Arial" w:cs="Arial"/>
                <w:sz w:val="20"/>
                <w:szCs w:val="20"/>
              </w:rPr>
            </w:pPr>
            <w:r w:rsidRPr="0058381B">
              <w:rPr>
                <w:rFonts w:ascii="Arial" w:hAnsi="Arial" w:cs="Arial"/>
                <w:sz w:val="20"/>
                <w:szCs w:val="20"/>
              </w:rPr>
              <w:t>99% (589/590)</w:t>
            </w:r>
          </w:p>
        </w:tc>
      </w:tr>
      <w:tr w:rsidR="0062202B" w:rsidRPr="00CF4443" w14:paraId="09EBBB80" w14:textId="77777777" w:rsidTr="00BC61C4">
        <w:trPr>
          <w:cantSplit/>
        </w:trPr>
        <w:tc>
          <w:tcPr>
            <w:tcW w:w="3505" w:type="dxa"/>
          </w:tcPr>
          <w:p w14:paraId="4384C63F" w14:textId="77777777" w:rsidR="0062202B" w:rsidRPr="0058381B" w:rsidRDefault="0062202B" w:rsidP="0058381B">
            <w:pPr>
              <w:spacing w:line="269" w:lineRule="auto"/>
              <w:rPr>
                <w:rFonts w:ascii="Arial" w:hAnsi="Arial" w:cs="Arial"/>
                <w:sz w:val="20"/>
                <w:szCs w:val="20"/>
              </w:rPr>
            </w:pPr>
            <w:r w:rsidRPr="0058381B">
              <w:rPr>
                <w:rFonts w:ascii="Arial" w:hAnsi="Arial" w:cs="Arial"/>
                <w:sz w:val="20"/>
                <w:szCs w:val="20"/>
              </w:rPr>
              <w:t>Transferred to ICU during hospitalization</w:t>
            </w:r>
          </w:p>
        </w:tc>
        <w:tc>
          <w:tcPr>
            <w:tcW w:w="1732" w:type="dxa"/>
            <w:vAlign w:val="center"/>
          </w:tcPr>
          <w:p w14:paraId="57B627A4" w14:textId="77777777" w:rsidR="0062202B" w:rsidRPr="0058381B" w:rsidRDefault="0062202B" w:rsidP="0058381B">
            <w:pPr>
              <w:pStyle w:val="ListParagraph"/>
              <w:spacing w:line="269" w:lineRule="auto"/>
              <w:ind w:left="0"/>
              <w:jc w:val="center"/>
              <w:rPr>
                <w:rFonts w:ascii="Arial" w:hAnsi="Arial" w:cs="Arial"/>
                <w:sz w:val="20"/>
                <w:szCs w:val="20"/>
              </w:rPr>
            </w:pPr>
            <w:r w:rsidRPr="0058381B">
              <w:rPr>
                <w:rFonts w:ascii="Arial" w:hAnsi="Arial" w:cs="Arial"/>
                <w:sz w:val="20"/>
                <w:szCs w:val="20"/>
              </w:rPr>
              <w:t>9 (1.5%)</w:t>
            </w:r>
          </w:p>
        </w:tc>
        <w:tc>
          <w:tcPr>
            <w:tcW w:w="1733" w:type="dxa"/>
            <w:vAlign w:val="center"/>
          </w:tcPr>
          <w:p w14:paraId="021BA6BC" w14:textId="77777777" w:rsidR="0062202B" w:rsidRPr="0058381B" w:rsidRDefault="0062202B" w:rsidP="0058381B">
            <w:pPr>
              <w:pStyle w:val="ListParagraph"/>
              <w:spacing w:line="269" w:lineRule="auto"/>
              <w:ind w:left="0"/>
              <w:jc w:val="center"/>
              <w:rPr>
                <w:rFonts w:ascii="Arial" w:hAnsi="Arial" w:cs="Arial"/>
                <w:sz w:val="20"/>
                <w:szCs w:val="20"/>
              </w:rPr>
            </w:pPr>
            <w:r w:rsidRPr="0058381B">
              <w:rPr>
                <w:rFonts w:ascii="Arial" w:hAnsi="Arial" w:cs="Arial"/>
                <w:sz w:val="20"/>
                <w:szCs w:val="20"/>
              </w:rPr>
              <w:t>9 (1.5%)</w:t>
            </w:r>
          </w:p>
        </w:tc>
        <w:tc>
          <w:tcPr>
            <w:tcW w:w="1732" w:type="dxa"/>
            <w:vAlign w:val="center"/>
          </w:tcPr>
          <w:p w14:paraId="79D819D7" w14:textId="77777777" w:rsidR="0062202B" w:rsidRPr="0058381B" w:rsidRDefault="0062202B" w:rsidP="0058381B">
            <w:pPr>
              <w:pStyle w:val="ListParagraph"/>
              <w:spacing w:line="269" w:lineRule="auto"/>
              <w:ind w:left="0"/>
              <w:jc w:val="center"/>
              <w:rPr>
                <w:rFonts w:ascii="Arial" w:hAnsi="Arial" w:cs="Arial"/>
                <w:sz w:val="20"/>
                <w:szCs w:val="20"/>
              </w:rPr>
            </w:pPr>
            <w:r w:rsidRPr="0058381B">
              <w:rPr>
                <w:rFonts w:ascii="Arial" w:hAnsi="Arial" w:cs="Arial"/>
                <w:sz w:val="20"/>
                <w:szCs w:val="20"/>
              </w:rPr>
              <w:t>88.9% (8/9)</w:t>
            </w:r>
          </w:p>
        </w:tc>
        <w:tc>
          <w:tcPr>
            <w:tcW w:w="1733" w:type="dxa"/>
            <w:vAlign w:val="center"/>
          </w:tcPr>
          <w:p w14:paraId="72643900" w14:textId="77777777" w:rsidR="0062202B" w:rsidRPr="0058381B" w:rsidRDefault="0062202B" w:rsidP="0058381B">
            <w:pPr>
              <w:pStyle w:val="ListParagraph"/>
              <w:spacing w:line="269" w:lineRule="auto"/>
              <w:ind w:left="0"/>
              <w:jc w:val="center"/>
              <w:rPr>
                <w:rFonts w:ascii="Arial" w:hAnsi="Arial" w:cs="Arial"/>
                <w:sz w:val="20"/>
                <w:szCs w:val="20"/>
              </w:rPr>
            </w:pPr>
            <w:r w:rsidRPr="0058381B">
              <w:rPr>
                <w:rFonts w:ascii="Arial" w:hAnsi="Arial" w:cs="Arial"/>
                <w:sz w:val="20"/>
                <w:szCs w:val="20"/>
              </w:rPr>
              <w:t>99% (582/583)</w:t>
            </w:r>
          </w:p>
        </w:tc>
      </w:tr>
      <w:tr w:rsidR="0062202B" w:rsidRPr="00CF4443" w14:paraId="664B4A34" w14:textId="77777777" w:rsidTr="00BC61C4">
        <w:trPr>
          <w:cantSplit/>
        </w:trPr>
        <w:tc>
          <w:tcPr>
            <w:tcW w:w="3505" w:type="dxa"/>
          </w:tcPr>
          <w:p w14:paraId="3384D2C6" w14:textId="77777777" w:rsidR="0062202B" w:rsidRPr="0058381B" w:rsidRDefault="0062202B" w:rsidP="0058381B">
            <w:pPr>
              <w:spacing w:line="269" w:lineRule="auto"/>
              <w:rPr>
                <w:rFonts w:ascii="Arial" w:hAnsi="Arial" w:cs="Arial"/>
                <w:sz w:val="20"/>
                <w:szCs w:val="20"/>
              </w:rPr>
            </w:pPr>
            <w:r w:rsidRPr="0058381B">
              <w:rPr>
                <w:rFonts w:ascii="Arial" w:hAnsi="Arial" w:cs="Arial"/>
                <w:sz w:val="20"/>
                <w:szCs w:val="20"/>
              </w:rPr>
              <w:t>Bacteremic with non-skin commensal</w:t>
            </w:r>
          </w:p>
        </w:tc>
        <w:tc>
          <w:tcPr>
            <w:tcW w:w="1732" w:type="dxa"/>
            <w:vAlign w:val="center"/>
          </w:tcPr>
          <w:p w14:paraId="0996D564" w14:textId="77777777" w:rsidR="0062202B" w:rsidRPr="0058381B" w:rsidRDefault="0062202B" w:rsidP="0058381B">
            <w:pPr>
              <w:pStyle w:val="ListParagraph"/>
              <w:spacing w:line="269" w:lineRule="auto"/>
              <w:ind w:left="0"/>
              <w:jc w:val="center"/>
              <w:rPr>
                <w:rFonts w:ascii="Arial" w:hAnsi="Arial" w:cs="Arial"/>
                <w:sz w:val="20"/>
                <w:szCs w:val="20"/>
              </w:rPr>
            </w:pPr>
            <w:r w:rsidRPr="0058381B">
              <w:rPr>
                <w:rFonts w:ascii="Arial" w:hAnsi="Arial" w:cs="Arial"/>
                <w:sz w:val="20"/>
                <w:szCs w:val="20"/>
              </w:rPr>
              <w:t>11 (1.9%)</w:t>
            </w:r>
          </w:p>
        </w:tc>
        <w:tc>
          <w:tcPr>
            <w:tcW w:w="1733" w:type="dxa"/>
            <w:vAlign w:val="center"/>
          </w:tcPr>
          <w:p w14:paraId="7A852089" w14:textId="77777777" w:rsidR="0062202B" w:rsidRPr="0058381B" w:rsidRDefault="0062202B" w:rsidP="0058381B">
            <w:pPr>
              <w:pStyle w:val="ListParagraph"/>
              <w:spacing w:line="269" w:lineRule="auto"/>
              <w:ind w:left="0"/>
              <w:jc w:val="center"/>
              <w:rPr>
                <w:rFonts w:ascii="Arial" w:hAnsi="Arial" w:cs="Arial"/>
                <w:sz w:val="20"/>
                <w:szCs w:val="20"/>
              </w:rPr>
            </w:pPr>
            <w:r w:rsidRPr="0058381B">
              <w:rPr>
                <w:rFonts w:ascii="Arial" w:hAnsi="Arial" w:cs="Arial"/>
                <w:sz w:val="20"/>
                <w:szCs w:val="20"/>
              </w:rPr>
              <w:t>8 (1.4%)</w:t>
            </w:r>
          </w:p>
        </w:tc>
        <w:tc>
          <w:tcPr>
            <w:tcW w:w="1732" w:type="dxa"/>
            <w:vAlign w:val="center"/>
          </w:tcPr>
          <w:p w14:paraId="603E2559" w14:textId="77777777" w:rsidR="0062202B" w:rsidRPr="0058381B" w:rsidRDefault="0062202B" w:rsidP="0058381B">
            <w:pPr>
              <w:pStyle w:val="ListParagraph"/>
              <w:spacing w:line="269" w:lineRule="auto"/>
              <w:ind w:left="0"/>
              <w:jc w:val="center"/>
              <w:rPr>
                <w:rFonts w:ascii="Arial" w:hAnsi="Arial" w:cs="Arial"/>
                <w:sz w:val="20"/>
                <w:szCs w:val="20"/>
              </w:rPr>
            </w:pPr>
            <w:r w:rsidRPr="0058381B">
              <w:rPr>
                <w:rFonts w:ascii="Arial" w:hAnsi="Arial" w:cs="Arial"/>
                <w:sz w:val="20"/>
                <w:szCs w:val="20"/>
              </w:rPr>
              <w:t>88% (7/8)</w:t>
            </w:r>
          </w:p>
        </w:tc>
        <w:tc>
          <w:tcPr>
            <w:tcW w:w="1733" w:type="dxa"/>
            <w:vAlign w:val="center"/>
          </w:tcPr>
          <w:p w14:paraId="4B2BB1A8" w14:textId="77777777" w:rsidR="0062202B" w:rsidRPr="0058381B" w:rsidRDefault="0062202B" w:rsidP="0058381B">
            <w:pPr>
              <w:pStyle w:val="ListParagraph"/>
              <w:spacing w:line="269" w:lineRule="auto"/>
              <w:ind w:left="0"/>
              <w:jc w:val="center"/>
              <w:rPr>
                <w:rFonts w:ascii="Arial" w:hAnsi="Arial" w:cs="Arial"/>
                <w:sz w:val="20"/>
                <w:szCs w:val="20"/>
              </w:rPr>
            </w:pPr>
            <w:r w:rsidRPr="0058381B">
              <w:rPr>
                <w:rFonts w:ascii="Arial" w:hAnsi="Arial" w:cs="Arial"/>
                <w:sz w:val="20"/>
                <w:szCs w:val="20"/>
              </w:rPr>
              <w:t>99% (580/584)</w:t>
            </w:r>
          </w:p>
        </w:tc>
      </w:tr>
      <w:tr w:rsidR="0062202B" w:rsidRPr="00CF4443" w14:paraId="1EB9952D" w14:textId="77777777" w:rsidTr="00BC61C4">
        <w:trPr>
          <w:cantSplit/>
        </w:trPr>
        <w:tc>
          <w:tcPr>
            <w:tcW w:w="3505" w:type="dxa"/>
          </w:tcPr>
          <w:p w14:paraId="716A945D" w14:textId="77777777" w:rsidR="0062202B" w:rsidRPr="0058381B" w:rsidRDefault="0062202B" w:rsidP="0058381B">
            <w:pPr>
              <w:spacing w:line="269" w:lineRule="auto"/>
              <w:rPr>
                <w:rFonts w:ascii="Arial" w:hAnsi="Arial" w:cs="Arial"/>
                <w:sz w:val="20"/>
                <w:szCs w:val="20"/>
              </w:rPr>
            </w:pPr>
            <w:r w:rsidRPr="0058381B">
              <w:rPr>
                <w:rFonts w:ascii="Arial" w:hAnsi="Arial" w:cs="Arial"/>
                <w:i/>
                <w:iCs/>
                <w:sz w:val="20"/>
                <w:szCs w:val="20"/>
              </w:rPr>
              <w:t>Staph Aureus</w:t>
            </w:r>
            <w:r w:rsidRPr="0058381B">
              <w:rPr>
                <w:rFonts w:ascii="Arial" w:hAnsi="Arial" w:cs="Arial"/>
                <w:sz w:val="20"/>
                <w:szCs w:val="20"/>
              </w:rPr>
              <w:t xml:space="preserve"> in respiratory culture</w:t>
            </w:r>
          </w:p>
        </w:tc>
        <w:tc>
          <w:tcPr>
            <w:tcW w:w="1732" w:type="dxa"/>
            <w:vAlign w:val="center"/>
          </w:tcPr>
          <w:p w14:paraId="20CAAE12" w14:textId="77777777" w:rsidR="0062202B" w:rsidRPr="0058381B" w:rsidRDefault="0062202B" w:rsidP="0058381B">
            <w:pPr>
              <w:pStyle w:val="ListParagraph"/>
              <w:spacing w:line="269" w:lineRule="auto"/>
              <w:ind w:left="0"/>
              <w:jc w:val="center"/>
              <w:rPr>
                <w:rFonts w:ascii="Arial" w:hAnsi="Arial" w:cs="Arial"/>
                <w:sz w:val="20"/>
                <w:szCs w:val="20"/>
              </w:rPr>
            </w:pPr>
            <w:r w:rsidRPr="0058381B">
              <w:rPr>
                <w:rFonts w:ascii="Arial" w:hAnsi="Arial" w:cs="Arial"/>
                <w:sz w:val="20"/>
                <w:szCs w:val="20"/>
              </w:rPr>
              <w:t>18 (3.0%)</w:t>
            </w:r>
          </w:p>
        </w:tc>
        <w:tc>
          <w:tcPr>
            <w:tcW w:w="1733" w:type="dxa"/>
            <w:vAlign w:val="center"/>
          </w:tcPr>
          <w:p w14:paraId="1A84ACCD" w14:textId="77777777" w:rsidR="0062202B" w:rsidRPr="0058381B" w:rsidRDefault="0062202B" w:rsidP="0058381B">
            <w:pPr>
              <w:pStyle w:val="ListParagraph"/>
              <w:spacing w:line="269" w:lineRule="auto"/>
              <w:ind w:left="0"/>
              <w:jc w:val="center"/>
              <w:rPr>
                <w:rFonts w:ascii="Arial" w:hAnsi="Arial" w:cs="Arial"/>
                <w:sz w:val="20"/>
                <w:szCs w:val="20"/>
              </w:rPr>
            </w:pPr>
            <w:r w:rsidRPr="0058381B">
              <w:rPr>
                <w:rFonts w:ascii="Arial" w:hAnsi="Arial" w:cs="Arial"/>
                <w:sz w:val="20"/>
                <w:szCs w:val="20"/>
              </w:rPr>
              <w:t>17 (2.9%)</w:t>
            </w:r>
          </w:p>
        </w:tc>
        <w:tc>
          <w:tcPr>
            <w:tcW w:w="1732" w:type="dxa"/>
            <w:vAlign w:val="center"/>
          </w:tcPr>
          <w:p w14:paraId="6EE5FA27" w14:textId="77777777" w:rsidR="0062202B" w:rsidRPr="0058381B" w:rsidRDefault="0062202B" w:rsidP="0058381B">
            <w:pPr>
              <w:pStyle w:val="ListParagraph"/>
              <w:spacing w:line="269" w:lineRule="auto"/>
              <w:ind w:left="0"/>
              <w:jc w:val="center"/>
              <w:rPr>
                <w:rFonts w:ascii="Arial" w:hAnsi="Arial" w:cs="Arial"/>
                <w:sz w:val="20"/>
                <w:szCs w:val="20"/>
              </w:rPr>
            </w:pPr>
            <w:r w:rsidRPr="0058381B">
              <w:rPr>
                <w:rFonts w:ascii="Arial" w:hAnsi="Arial" w:cs="Arial"/>
                <w:sz w:val="20"/>
                <w:szCs w:val="20"/>
              </w:rPr>
              <w:t>100% (17/17)</w:t>
            </w:r>
          </w:p>
        </w:tc>
        <w:tc>
          <w:tcPr>
            <w:tcW w:w="1733" w:type="dxa"/>
            <w:vAlign w:val="center"/>
          </w:tcPr>
          <w:p w14:paraId="07BAA787" w14:textId="77777777" w:rsidR="0062202B" w:rsidRPr="0058381B" w:rsidRDefault="0062202B" w:rsidP="0058381B">
            <w:pPr>
              <w:pStyle w:val="ListParagraph"/>
              <w:spacing w:line="269" w:lineRule="auto"/>
              <w:ind w:left="0"/>
              <w:jc w:val="center"/>
              <w:rPr>
                <w:rFonts w:ascii="Arial" w:hAnsi="Arial" w:cs="Arial"/>
                <w:sz w:val="20"/>
                <w:szCs w:val="20"/>
              </w:rPr>
            </w:pPr>
            <w:r w:rsidRPr="0058381B">
              <w:rPr>
                <w:rFonts w:ascii="Arial" w:hAnsi="Arial" w:cs="Arial"/>
                <w:sz w:val="20"/>
                <w:szCs w:val="20"/>
              </w:rPr>
              <w:t>99% (574/575)</w:t>
            </w:r>
          </w:p>
        </w:tc>
      </w:tr>
      <w:tr w:rsidR="0062202B" w:rsidRPr="00CF4443" w14:paraId="54176D25" w14:textId="77777777" w:rsidTr="00BC61C4">
        <w:trPr>
          <w:cantSplit/>
        </w:trPr>
        <w:tc>
          <w:tcPr>
            <w:tcW w:w="3505" w:type="dxa"/>
          </w:tcPr>
          <w:p w14:paraId="509C9C7D" w14:textId="77777777" w:rsidR="0062202B" w:rsidRPr="0058381B" w:rsidRDefault="0062202B" w:rsidP="0058381B">
            <w:pPr>
              <w:pStyle w:val="ListParagraph"/>
              <w:spacing w:line="269" w:lineRule="auto"/>
              <w:ind w:left="0"/>
              <w:rPr>
                <w:rFonts w:ascii="Arial" w:hAnsi="Arial" w:cs="Arial"/>
                <w:sz w:val="20"/>
                <w:szCs w:val="20"/>
              </w:rPr>
            </w:pPr>
            <w:r w:rsidRPr="0058381B">
              <w:rPr>
                <w:rFonts w:ascii="Arial" w:hAnsi="Arial" w:cs="Arial"/>
                <w:i/>
                <w:iCs/>
                <w:sz w:val="20"/>
                <w:szCs w:val="20"/>
              </w:rPr>
              <w:t>Pseudomonas</w:t>
            </w:r>
            <w:r w:rsidRPr="0058381B">
              <w:rPr>
                <w:rFonts w:ascii="Arial" w:hAnsi="Arial" w:cs="Arial"/>
                <w:sz w:val="20"/>
                <w:szCs w:val="20"/>
              </w:rPr>
              <w:t xml:space="preserve"> in respiratory culture</w:t>
            </w:r>
          </w:p>
        </w:tc>
        <w:tc>
          <w:tcPr>
            <w:tcW w:w="1732" w:type="dxa"/>
            <w:vAlign w:val="center"/>
          </w:tcPr>
          <w:p w14:paraId="232C49A5" w14:textId="77777777" w:rsidR="0062202B" w:rsidRPr="0058381B" w:rsidRDefault="0062202B" w:rsidP="0058381B">
            <w:pPr>
              <w:pStyle w:val="ListParagraph"/>
              <w:spacing w:line="269" w:lineRule="auto"/>
              <w:ind w:left="0"/>
              <w:jc w:val="center"/>
              <w:rPr>
                <w:rFonts w:ascii="Arial" w:hAnsi="Arial" w:cs="Arial"/>
                <w:sz w:val="20"/>
                <w:szCs w:val="20"/>
              </w:rPr>
            </w:pPr>
            <w:r w:rsidRPr="0058381B">
              <w:rPr>
                <w:rFonts w:ascii="Arial" w:hAnsi="Arial" w:cs="Arial"/>
                <w:sz w:val="20"/>
                <w:szCs w:val="20"/>
              </w:rPr>
              <w:t>14 (2.4%)</w:t>
            </w:r>
          </w:p>
        </w:tc>
        <w:tc>
          <w:tcPr>
            <w:tcW w:w="1733" w:type="dxa"/>
            <w:vAlign w:val="center"/>
          </w:tcPr>
          <w:p w14:paraId="7511F76F" w14:textId="77777777" w:rsidR="0062202B" w:rsidRPr="0058381B" w:rsidRDefault="0062202B" w:rsidP="0058381B">
            <w:pPr>
              <w:pStyle w:val="ListParagraph"/>
              <w:spacing w:line="269" w:lineRule="auto"/>
              <w:ind w:left="0"/>
              <w:jc w:val="center"/>
              <w:rPr>
                <w:rFonts w:ascii="Arial" w:hAnsi="Arial" w:cs="Arial"/>
                <w:sz w:val="20"/>
                <w:szCs w:val="20"/>
              </w:rPr>
            </w:pPr>
            <w:r w:rsidRPr="0058381B">
              <w:rPr>
                <w:rFonts w:ascii="Arial" w:hAnsi="Arial" w:cs="Arial"/>
                <w:sz w:val="20"/>
                <w:szCs w:val="20"/>
              </w:rPr>
              <w:t>13 (2.2%)</w:t>
            </w:r>
          </w:p>
        </w:tc>
        <w:tc>
          <w:tcPr>
            <w:tcW w:w="1732" w:type="dxa"/>
            <w:vAlign w:val="center"/>
          </w:tcPr>
          <w:p w14:paraId="4D4E5BE1" w14:textId="77777777" w:rsidR="0062202B" w:rsidRPr="0058381B" w:rsidRDefault="0062202B" w:rsidP="0058381B">
            <w:pPr>
              <w:pStyle w:val="ListParagraph"/>
              <w:spacing w:line="269" w:lineRule="auto"/>
              <w:ind w:left="0"/>
              <w:jc w:val="center"/>
              <w:rPr>
                <w:rFonts w:ascii="Arial" w:hAnsi="Arial" w:cs="Arial"/>
                <w:sz w:val="20"/>
                <w:szCs w:val="20"/>
              </w:rPr>
            </w:pPr>
            <w:r w:rsidRPr="0058381B">
              <w:rPr>
                <w:rFonts w:ascii="Arial" w:hAnsi="Arial" w:cs="Arial"/>
                <w:sz w:val="20"/>
                <w:szCs w:val="20"/>
              </w:rPr>
              <w:t>100% (13/13)</w:t>
            </w:r>
          </w:p>
        </w:tc>
        <w:tc>
          <w:tcPr>
            <w:tcW w:w="1733" w:type="dxa"/>
            <w:vAlign w:val="center"/>
          </w:tcPr>
          <w:p w14:paraId="522798A2" w14:textId="77777777" w:rsidR="0062202B" w:rsidRPr="0058381B" w:rsidRDefault="0062202B" w:rsidP="0058381B">
            <w:pPr>
              <w:pStyle w:val="ListParagraph"/>
              <w:spacing w:line="269" w:lineRule="auto"/>
              <w:ind w:left="0"/>
              <w:jc w:val="center"/>
              <w:rPr>
                <w:rFonts w:ascii="Arial" w:hAnsi="Arial" w:cs="Arial"/>
                <w:sz w:val="20"/>
                <w:szCs w:val="20"/>
              </w:rPr>
            </w:pPr>
            <w:r w:rsidRPr="0058381B">
              <w:rPr>
                <w:rFonts w:ascii="Arial" w:hAnsi="Arial" w:cs="Arial"/>
                <w:sz w:val="20"/>
                <w:szCs w:val="20"/>
              </w:rPr>
              <w:t>99% (578/579)</w:t>
            </w:r>
          </w:p>
        </w:tc>
      </w:tr>
      <w:tr w:rsidR="0062202B" w:rsidRPr="00CF4443" w14:paraId="3B406BB3" w14:textId="77777777" w:rsidTr="00BC61C4">
        <w:trPr>
          <w:cantSplit/>
        </w:trPr>
        <w:tc>
          <w:tcPr>
            <w:tcW w:w="3505" w:type="dxa"/>
          </w:tcPr>
          <w:p w14:paraId="21C30CAB" w14:textId="77777777" w:rsidR="0062202B" w:rsidRPr="0058381B" w:rsidRDefault="0062202B" w:rsidP="0058381B">
            <w:pPr>
              <w:pStyle w:val="ListParagraph"/>
              <w:spacing w:line="269" w:lineRule="auto"/>
              <w:ind w:left="0"/>
              <w:rPr>
                <w:rFonts w:ascii="Arial" w:hAnsi="Arial" w:cs="Arial"/>
                <w:sz w:val="20"/>
                <w:szCs w:val="20"/>
              </w:rPr>
            </w:pPr>
            <w:r w:rsidRPr="0058381B">
              <w:rPr>
                <w:rFonts w:ascii="Arial" w:hAnsi="Arial" w:cs="Arial"/>
                <w:sz w:val="20"/>
                <w:szCs w:val="20"/>
              </w:rPr>
              <w:t>Legionella pneumonia</w:t>
            </w:r>
          </w:p>
        </w:tc>
        <w:tc>
          <w:tcPr>
            <w:tcW w:w="1732" w:type="dxa"/>
            <w:vAlign w:val="center"/>
          </w:tcPr>
          <w:p w14:paraId="52C9C8FF" w14:textId="77777777" w:rsidR="0062202B" w:rsidRPr="0058381B" w:rsidRDefault="0062202B" w:rsidP="0058381B">
            <w:pPr>
              <w:pStyle w:val="ListParagraph"/>
              <w:spacing w:line="269" w:lineRule="auto"/>
              <w:ind w:left="0"/>
              <w:jc w:val="center"/>
              <w:rPr>
                <w:rFonts w:ascii="Arial" w:hAnsi="Arial" w:cs="Arial"/>
                <w:sz w:val="20"/>
                <w:szCs w:val="20"/>
              </w:rPr>
            </w:pPr>
            <w:r w:rsidRPr="0058381B">
              <w:rPr>
                <w:rFonts w:ascii="Arial" w:hAnsi="Arial" w:cs="Arial"/>
                <w:sz w:val="20"/>
                <w:szCs w:val="20"/>
              </w:rPr>
              <w:t>4 (0.7%)</w:t>
            </w:r>
          </w:p>
        </w:tc>
        <w:tc>
          <w:tcPr>
            <w:tcW w:w="1733" w:type="dxa"/>
            <w:vAlign w:val="center"/>
          </w:tcPr>
          <w:p w14:paraId="2230C66A" w14:textId="77777777" w:rsidR="0062202B" w:rsidRPr="0058381B" w:rsidRDefault="0062202B" w:rsidP="0058381B">
            <w:pPr>
              <w:pStyle w:val="ListParagraph"/>
              <w:spacing w:line="269" w:lineRule="auto"/>
              <w:ind w:left="0"/>
              <w:jc w:val="center"/>
              <w:rPr>
                <w:rFonts w:ascii="Arial" w:hAnsi="Arial" w:cs="Arial"/>
                <w:sz w:val="20"/>
                <w:szCs w:val="20"/>
              </w:rPr>
            </w:pPr>
            <w:r w:rsidRPr="0058381B">
              <w:rPr>
                <w:rFonts w:ascii="Arial" w:hAnsi="Arial" w:cs="Arial"/>
                <w:sz w:val="20"/>
                <w:szCs w:val="20"/>
              </w:rPr>
              <w:t>4 (0.7%)</w:t>
            </w:r>
          </w:p>
        </w:tc>
        <w:tc>
          <w:tcPr>
            <w:tcW w:w="1732" w:type="dxa"/>
            <w:vAlign w:val="center"/>
          </w:tcPr>
          <w:p w14:paraId="443899F0" w14:textId="77777777" w:rsidR="0062202B" w:rsidRPr="0058381B" w:rsidRDefault="0062202B" w:rsidP="0058381B">
            <w:pPr>
              <w:pStyle w:val="ListParagraph"/>
              <w:spacing w:line="269" w:lineRule="auto"/>
              <w:ind w:left="0"/>
              <w:jc w:val="center"/>
              <w:rPr>
                <w:rFonts w:ascii="Arial" w:hAnsi="Arial" w:cs="Arial"/>
                <w:sz w:val="20"/>
                <w:szCs w:val="20"/>
              </w:rPr>
            </w:pPr>
            <w:r w:rsidRPr="0058381B">
              <w:rPr>
                <w:rFonts w:ascii="Arial" w:hAnsi="Arial" w:cs="Arial"/>
                <w:sz w:val="20"/>
                <w:szCs w:val="20"/>
              </w:rPr>
              <w:t>100% (4/4)</w:t>
            </w:r>
          </w:p>
        </w:tc>
        <w:tc>
          <w:tcPr>
            <w:tcW w:w="1733" w:type="dxa"/>
            <w:vAlign w:val="center"/>
          </w:tcPr>
          <w:p w14:paraId="4A766653" w14:textId="77777777" w:rsidR="0062202B" w:rsidRPr="0058381B" w:rsidRDefault="0062202B" w:rsidP="0058381B">
            <w:pPr>
              <w:pStyle w:val="ListParagraph"/>
              <w:spacing w:line="269" w:lineRule="auto"/>
              <w:ind w:left="0"/>
              <w:jc w:val="center"/>
              <w:rPr>
                <w:rFonts w:ascii="Arial" w:hAnsi="Arial" w:cs="Arial"/>
                <w:sz w:val="20"/>
                <w:szCs w:val="20"/>
              </w:rPr>
            </w:pPr>
            <w:r w:rsidRPr="0058381B">
              <w:rPr>
                <w:rFonts w:ascii="Arial" w:hAnsi="Arial" w:cs="Arial"/>
                <w:sz w:val="20"/>
                <w:szCs w:val="20"/>
              </w:rPr>
              <w:t>100% (588/588)</w:t>
            </w:r>
          </w:p>
        </w:tc>
      </w:tr>
      <w:tr w:rsidR="0062202B" w:rsidRPr="00CF4443" w14:paraId="4DE168AC" w14:textId="77777777" w:rsidTr="00BC61C4">
        <w:trPr>
          <w:cantSplit/>
        </w:trPr>
        <w:tc>
          <w:tcPr>
            <w:tcW w:w="3505" w:type="dxa"/>
          </w:tcPr>
          <w:p w14:paraId="31707AEF" w14:textId="057B1D77" w:rsidR="0062202B" w:rsidRPr="0058381B" w:rsidRDefault="0062202B" w:rsidP="0058381B">
            <w:pPr>
              <w:pStyle w:val="ListParagraph"/>
              <w:spacing w:line="269" w:lineRule="auto"/>
              <w:ind w:left="0"/>
              <w:rPr>
                <w:rFonts w:ascii="Arial" w:hAnsi="Arial" w:cs="Arial"/>
                <w:sz w:val="20"/>
                <w:szCs w:val="20"/>
              </w:rPr>
            </w:pPr>
            <w:r w:rsidRPr="0058381B">
              <w:rPr>
                <w:rFonts w:ascii="Arial" w:hAnsi="Arial" w:cs="Arial"/>
                <w:sz w:val="20"/>
                <w:szCs w:val="20"/>
              </w:rPr>
              <w:t>Time to clinical stability &gt;5 days</w:t>
            </w:r>
            <w:r w:rsidR="0058381B" w:rsidRPr="0058381B">
              <w:rPr>
                <w:rFonts w:ascii="Arial" w:hAnsi="Arial" w:cs="Arial"/>
                <w:sz w:val="20"/>
                <w:szCs w:val="20"/>
                <w:vertAlign w:val="superscript"/>
              </w:rPr>
              <w:t>1</w:t>
            </w:r>
          </w:p>
        </w:tc>
        <w:tc>
          <w:tcPr>
            <w:tcW w:w="1732" w:type="dxa"/>
            <w:vAlign w:val="center"/>
          </w:tcPr>
          <w:p w14:paraId="4328F28C" w14:textId="77777777" w:rsidR="0062202B" w:rsidRPr="0058381B" w:rsidRDefault="0062202B" w:rsidP="0058381B">
            <w:pPr>
              <w:pStyle w:val="ListParagraph"/>
              <w:spacing w:line="269" w:lineRule="auto"/>
              <w:ind w:left="0"/>
              <w:jc w:val="center"/>
              <w:rPr>
                <w:rFonts w:ascii="Arial" w:hAnsi="Arial" w:cs="Arial"/>
                <w:sz w:val="20"/>
                <w:szCs w:val="20"/>
              </w:rPr>
            </w:pPr>
            <w:r w:rsidRPr="0058381B">
              <w:rPr>
                <w:rFonts w:ascii="Arial" w:hAnsi="Arial" w:cs="Arial"/>
                <w:sz w:val="20"/>
                <w:szCs w:val="20"/>
              </w:rPr>
              <w:t>37 (6.3%)</w:t>
            </w:r>
          </w:p>
        </w:tc>
        <w:tc>
          <w:tcPr>
            <w:tcW w:w="1733" w:type="dxa"/>
            <w:vAlign w:val="center"/>
          </w:tcPr>
          <w:p w14:paraId="14EDC8E4" w14:textId="77777777" w:rsidR="0062202B" w:rsidRPr="0058381B" w:rsidRDefault="0062202B" w:rsidP="0058381B">
            <w:pPr>
              <w:pStyle w:val="ListParagraph"/>
              <w:spacing w:line="269" w:lineRule="auto"/>
              <w:ind w:left="0"/>
              <w:jc w:val="center"/>
              <w:rPr>
                <w:rFonts w:ascii="Arial" w:hAnsi="Arial" w:cs="Arial"/>
                <w:sz w:val="20"/>
                <w:szCs w:val="20"/>
              </w:rPr>
            </w:pPr>
            <w:r w:rsidRPr="0058381B">
              <w:rPr>
                <w:rFonts w:ascii="Arial" w:hAnsi="Arial" w:cs="Arial"/>
                <w:sz w:val="20"/>
                <w:szCs w:val="20"/>
              </w:rPr>
              <w:t>93 (15.7%)</w:t>
            </w:r>
          </w:p>
        </w:tc>
        <w:tc>
          <w:tcPr>
            <w:tcW w:w="1732" w:type="dxa"/>
            <w:vAlign w:val="center"/>
          </w:tcPr>
          <w:p w14:paraId="0140991D" w14:textId="77777777" w:rsidR="0062202B" w:rsidRPr="0058381B" w:rsidRDefault="0062202B" w:rsidP="0058381B">
            <w:pPr>
              <w:pStyle w:val="ListParagraph"/>
              <w:spacing w:line="269" w:lineRule="auto"/>
              <w:ind w:left="0"/>
              <w:jc w:val="center"/>
              <w:rPr>
                <w:rFonts w:ascii="Arial" w:hAnsi="Arial" w:cs="Arial"/>
                <w:sz w:val="20"/>
                <w:szCs w:val="20"/>
              </w:rPr>
            </w:pPr>
            <w:r w:rsidRPr="0058381B">
              <w:rPr>
                <w:rFonts w:ascii="Arial" w:hAnsi="Arial" w:cs="Arial"/>
                <w:sz w:val="20"/>
                <w:szCs w:val="20"/>
              </w:rPr>
              <w:t>29% (27/93)</w:t>
            </w:r>
          </w:p>
        </w:tc>
        <w:tc>
          <w:tcPr>
            <w:tcW w:w="1733" w:type="dxa"/>
            <w:vAlign w:val="center"/>
          </w:tcPr>
          <w:p w14:paraId="263EAF8D" w14:textId="77777777" w:rsidR="0062202B" w:rsidRPr="0058381B" w:rsidRDefault="0062202B" w:rsidP="0058381B">
            <w:pPr>
              <w:pStyle w:val="ListParagraph"/>
              <w:spacing w:line="269" w:lineRule="auto"/>
              <w:ind w:left="0"/>
              <w:jc w:val="center"/>
              <w:rPr>
                <w:rFonts w:ascii="Arial" w:hAnsi="Arial" w:cs="Arial"/>
                <w:sz w:val="20"/>
                <w:szCs w:val="20"/>
              </w:rPr>
            </w:pPr>
            <w:r w:rsidRPr="0058381B">
              <w:rPr>
                <w:rFonts w:ascii="Arial" w:hAnsi="Arial" w:cs="Arial"/>
                <w:sz w:val="20"/>
                <w:szCs w:val="20"/>
              </w:rPr>
              <w:t>98% (489/499)</w:t>
            </w:r>
          </w:p>
        </w:tc>
      </w:tr>
      <w:tr w:rsidR="0062202B" w:rsidRPr="00CF4443" w14:paraId="1BC5E48F" w14:textId="77777777" w:rsidTr="00BC61C4">
        <w:trPr>
          <w:cantSplit/>
        </w:trPr>
        <w:tc>
          <w:tcPr>
            <w:tcW w:w="3505" w:type="dxa"/>
          </w:tcPr>
          <w:p w14:paraId="5B797985" w14:textId="77777777" w:rsidR="0062202B" w:rsidRPr="0058381B" w:rsidRDefault="0062202B" w:rsidP="0058381B">
            <w:pPr>
              <w:pStyle w:val="ListParagraph"/>
              <w:spacing w:line="269" w:lineRule="auto"/>
              <w:ind w:left="0"/>
              <w:rPr>
                <w:rFonts w:ascii="Arial" w:hAnsi="Arial" w:cs="Arial"/>
                <w:sz w:val="20"/>
                <w:szCs w:val="20"/>
              </w:rPr>
            </w:pPr>
            <w:r w:rsidRPr="0058381B">
              <w:rPr>
                <w:rFonts w:ascii="Arial" w:hAnsi="Arial" w:cs="Arial"/>
                <w:sz w:val="20"/>
                <w:szCs w:val="20"/>
              </w:rPr>
              <w:t>Received &lt;3 days of antibiotics</w:t>
            </w:r>
          </w:p>
        </w:tc>
        <w:tc>
          <w:tcPr>
            <w:tcW w:w="1732" w:type="dxa"/>
            <w:vAlign w:val="center"/>
          </w:tcPr>
          <w:p w14:paraId="5E37BC2E" w14:textId="77777777" w:rsidR="0062202B" w:rsidRPr="0058381B" w:rsidRDefault="0062202B" w:rsidP="0058381B">
            <w:pPr>
              <w:pStyle w:val="ListParagraph"/>
              <w:spacing w:line="269" w:lineRule="auto"/>
              <w:ind w:left="0"/>
              <w:jc w:val="center"/>
              <w:rPr>
                <w:rFonts w:ascii="Arial" w:hAnsi="Arial" w:cs="Arial"/>
                <w:sz w:val="20"/>
                <w:szCs w:val="20"/>
              </w:rPr>
            </w:pPr>
            <w:r w:rsidRPr="0058381B">
              <w:rPr>
                <w:rFonts w:ascii="Arial" w:hAnsi="Arial" w:cs="Arial"/>
                <w:sz w:val="20"/>
                <w:szCs w:val="20"/>
              </w:rPr>
              <w:t>35 (5.9%)</w:t>
            </w:r>
          </w:p>
        </w:tc>
        <w:tc>
          <w:tcPr>
            <w:tcW w:w="1733" w:type="dxa"/>
            <w:vAlign w:val="center"/>
          </w:tcPr>
          <w:p w14:paraId="1B3B1AE3" w14:textId="77777777" w:rsidR="0062202B" w:rsidRPr="0058381B" w:rsidRDefault="0062202B" w:rsidP="0058381B">
            <w:pPr>
              <w:pStyle w:val="ListParagraph"/>
              <w:spacing w:line="269" w:lineRule="auto"/>
              <w:ind w:left="0"/>
              <w:jc w:val="center"/>
              <w:rPr>
                <w:rFonts w:ascii="Arial" w:hAnsi="Arial" w:cs="Arial"/>
                <w:sz w:val="20"/>
                <w:szCs w:val="20"/>
              </w:rPr>
            </w:pPr>
            <w:r w:rsidRPr="0058381B">
              <w:rPr>
                <w:rFonts w:ascii="Arial" w:hAnsi="Arial" w:cs="Arial"/>
                <w:sz w:val="20"/>
                <w:szCs w:val="20"/>
              </w:rPr>
              <w:t>31 (5.2%)</w:t>
            </w:r>
          </w:p>
        </w:tc>
        <w:tc>
          <w:tcPr>
            <w:tcW w:w="1732" w:type="dxa"/>
            <w:vAlign w:val="center"/>
          </w:tcPr>
          <w:p w14:paraId="458338B4" w14:textId="77777777" w:rsidR="0062202B" w:rsidRPr="0058381B" w:rsidRDefault="0062202B" w:rsidP="0058381B">
            <w:pPr>
              <w:pStyle w:val="ListParagraph"/>
              <w:spacing w:line="269" w:lineRule="auto"/>
              <w:ind w:left="0"/>
              <w:jc w:val="center"/>
              <w:rPr>
                <w:rFonts w:ascii="Arial" w:hAnsi="Arial" w:cs="Arial"/>
                <w:sz w:val="20"/>
                <w:szCs w:val="20"/>
              </w:rPr>
            </w:pPr>
            <w:r w:rsidRPr="0058381B">
              <w:rPr>
                <w:rFonts w:ascii="Arial" w:hAnsi="Arial" w:cs="Arial"/>
                <w:sz w:val="20"/>
                <w:szCs w:val="20"/>
              </w:rPr>
              <w:t>100% (31/31)</w:t>
            </w:r>
          </w:p>
        </w:tc>
        <w:tc>
          <w:tcPr>
            <w:tcW w:w="1733" w:type="dxa"/>
            <w:vAlign w:val="center"/>
          </w:tcPr>
          <w:p w14:paraId="56231ABF" w14:textId="77777777" w:rsidR="0062202B" w:rsidRPr="0058381B" w:rsidRDefault="0062202B" w:rsidP="0058381B">
            <w:pPr>
              <w:pStyle w:val="ListParagraph"/>
              <w:spacing w:line="269" w:lineRule="auto"/>
              <w:ind w:left="0"/>
              <w:jc w:val="center"/>
              <w:rPr>
                <w:rFonts w:ascii="Arial" w:hAnsi="Arial" w:cs="Arial"/>
                <w:sz w:val="20"/>
                <w:szCs w:val="20"/>
              </w:rPr>
            </w:pPr>
            <w:r w:rsidRPr="0058381B">
              <w:rPr>
                <w:rFonts w:ascii="Arial" w:hAnsi="Arial" w:cs="Arial"/>
                <w:sz w:val="20"/>
                <w:szCs w:val="20"/>
              </w:rPr>
              <w:t>99% (557/561)</w:t>
            </w:r>
          </w:p>
        </w:tc>
      </w:tr>
      <w:tr w:rsidR="0062202B" w:rsidRPr="00CF4443" w14:paraId="543712E7" w14:textId="77777777" w:rsidTr="00BC61C4">
        <w:trPr>
          <w:cantSplit/>
        </w:trPr>
        <w:tc>
          <w:tcPr>
            <w:tcW w:w="3505" w:type="dxa"/>
          </w:tcPr>
          <w:p w14:paraId="11DE0D41" w14:textId="77777777" w:rsidR="0062202B" w:rsidRPr="0058381B" w:rsidRDefault="0062202B" w:rsidP="0058381B">
            <w:pPr>
              <w:pStyle w:val="ListParagraph"/>
              <w:spacing w:line="269" w:lineRule="auto"/>
              <w:ind w:left="0"/>
              <w:rPr>
                <w:rFonts w:ascii="Arial" w:hAnsi="Arial" w:cs="Arial"/>
                <w:sz w:val="20"/>
                <w:szCs w:val="20"/>
              </w:rPr>
            </w:pPr>
            <w:r w:rsidRPr="0058381B">
              <w:rPr>
                <w:rFonts w:ascii="Arial" w:hAnsi="Arial" w:cs="Arial"/>
                <w:sz w:val="20"/>
                <w:szCs w:val="20"/>
              </w:rPr>
              <w:t>&gt;14-day total antibiotic duration</w:t>
            </w:r>
          </w:p>
        </w:tc>
        <w:tc>
          <w:tcPr>
            <w:tcW w:w="1732" w:type="dxa"/>
            <w:vAlign w:val="center"/>
          </w:tcPr>
          <w:p w14:paraId="0EAF3F26" w14:textId="77777777" w:rsidR="0062202B" w:rsidRPr="0058381B" w:rsidRDefault="0062202B" w:rsidP="0058381B">
            <w:pPr>
              <w:pStyle w:val="ListParagraph"/>
              <w:spacing w:line="269" w:lineRule="auto"/>
              <w:ind w:left="0"/>
              <w:jc w:val="center"/>
              <w:rPr>
                <w:rFonts w:ascii="Arial" w:hAnsi="Arial" w:cs="Arial"/>
                <w:sz w:val="20"/>
                <w:szCs w:val="20"/>
              </w:rPr>
            </w:pPr>
            <w:r w:rsidRPr="0058381B">
              <w:rPr>
                <w:rFonts w:ascii="Arial" w:hAnsi="Arial" w:cs="Arial"/>
                <w:sz w:val="20"/>
                <w:szCs w:val="20"/>
              </w:rPr>
              <w:t>25 (4.2%)</w:t>
            </w:r>
          </w:p>
        </w:tc>
        <w:tc>
          <w:tcPr>
            <w:tcW w:w="1733" w:type="dxa"/>
            <w:vAlign w:val="center"/>
          </w:tcPr>
          <w:p w14:paraId="741641AF" w14:textId="77777777" w:rsidR="0062202B" w:rsidRPr="0058381B" w:rsidRDefault="0062202B" w:rsidP="0058381B">
            <w:pPr>
              <w:pStyle w:val="ListParagraph"/>
              <w:spacing w:line="269" w:lineRule="auto"/>
              <w:ind w:left="0"/>
              <w:jc w:val="center"/>
              <w:rPr>
                <w:rFonts w:ascii="Arial" w:hAnsi="Arial" w:cs="Arial"/>
                <w:sz w:val="20"/>
                <w:szCs w:val="20"/>
              </w:rPr>
            </w:pPr>
            <w:r w:rsidRPr="0058381B">
              <w:rPr>
                <w:rFonts w:ascii="Arial" w:hAnsi="Arial" w:cs="Arial"/>
                <w:sz w:val="20"/>
                <w:szCs w:val="20"/>
              </w:rPr>
              <w:t>24 (4.1%)</w:t>
            </w:r>
          </w:p>
        </w:tc>
        <w:tc>
          <w:tcPr>
            <w:tcW w:w="1732" w:type="dxa"/>
            <w:vAlign w:val="center"/>
          </w:tcPr>
          <w:p w14:paraId="14E2CF36" w14:textId="77777777" w:rsidR="0062202B" w:rsidRPr="0058381B" w:rsidRDefault="0062202B" w:rsidP="0058381B">
            <w:pPr>
              <w:pStyle w:val="ListParagraph"/>
              <w:spacing w:line="269" w:lineRule="auto"/>
              <w:ind w:left="0"/>
              <w:jc w:val="center"/>
              <w:rPr>
                <w:rFonts w:ascii="Arial" w:hAnsi="Arial" w:cs="Arial"/>
                <w:sz w:val="20"/>
                <w:szCs w:val="20"/>
              </w:rPr>
            </w:pPr>
            <w:r w:rsidRPr="0058381B">
              <w:rPr>
                <w:rFonts w:ascii="Arial" w:hAnsi="Arial" w:cs="Arial"/>
                <w:sz w:val="20"/>
                <w:szCs w:val="20"/>
              </w:rPr>
              <w:t>88% (21/24)</w:t>
            </w:r>
          </w:p>
        </w:tc>
        <w:tc>
          <w:tcPr>
            <w:tcW w:w="1733" w:type="dxa"/>
            <w:vAlign w:val="center"/>
          </w:tcPr>
          <w:p w14:paraId="5C340F2D" w14:textId="77777777" w:rsidR="0062202B" w:rsidRPr="0058381B" w:rsidRDefault="0062202B" w:rsidP="0058381B">
            <w:pPr>
              <w:pStyle w:val="ListParagraph"/>
              <w:spacing w:line="269" w:lineRule="auto"/>
              <w:ind w:left="0"/>
              <w:jc w:val="center"/>
              <w:rPr>
                <w:rFonts w:ascii="Arial" w:hAnsi="Arial" w:cs="Arial"/>
                <w:sz w:val="20"/>
                <w:szCs w:val="20"/>
              </w:rPr>
            </w:pPr>
            <w:r w:rsidRPr="0058381B">
              <w:rPr>
                <w:rFonts w:ascii="Arial" w:hAnsi="Arial" w:cs="Arial"/>
                <w:sz w:val="20"/>
                <w:szCs w:val="20"/>
              </w:rPr>
              <w:t>99% (564/568)</w:t>
            </w:r>
          </w:p>
        </w:tc>
      </w:tr>
    </w:tbl>
    <w:p w14:paraId="52BB9BD7" w14:textId="21AE61F8" w:rsidR="0058381B" w:rsidRPr="0058381B" w:rsidRDefault="0062202B" w:rsidP="0062202B">
      <w:pPr>
        <w:spacing w:after="0" w:line="240" w:lineRule="auto"/>
        <w:rPr>
          <w:rFonts w:ascii="Aptos" w:hAnsi="Aptos"/>
          <w:sz w:val="18"/>
          <w:szCs w:val="18"/>
        </w:rPr>
      </w:pPr>
      <w:r w:rsidRPr="001E511D">
        <w:rPr>
          <w:rFonts w:ascii="Aptos" w:hAnsi="Aptos"/>
        </w:rPr>
        <w:t>*</w:t>
      </w:r>
      <w:r w:rsidR="0058381B" w:rsidRPr="0058381B">
        <w:rPr>
          <w:rFonts w:ascii="Aptos" w:hAnsi="Aptos"/>
          <w:sz w:val="18"/>
          <w:szCs w:val="18"/>
        </w:rPr>
        <w:t>cell intentionally left empty</w:t>
      </w:r>
    </w:p>
    <w:p w14:paraId="5FDD14CA" w14:textId="7E889B79" w:rsidR="0062202B" w:rsidRPr="0058381B" w:rsidRDefault="0058381B" w:rsidP="0062202B">
      <w:pPr>
        <w:spacing w:after="0" w:line="240" w:lineRule="auto"/>
        <w:rPr>
          <w:rFonts w:ascii="Aptos" w:hAnsi="Aptos"/>
          <w:sz w:val="18"/>
          <w:szCs w:val="18"/>
        </w:rPr>
      </w:pPr>
      <w:r w:rsidRPr="0058381B">
        <w:rPr>
          <w:rFonts w:ascii="Aptos" w:hAnsi="Aptos"/>
          <w:sz w:val="18"/>
          <w:szCs w:val="18"/>
          <w:vertAlign w:val="superscript"/>
        </w:rPr>
        <w:t>1</w:t>
      </w:r>
      <w:r w:rsidR="0062202B" w:rsidRPr="0058381B">
        <w:rPr>
          <w:rFonts w:ascii="Aptos" w:hAnsi="Aptos"/>
          <w:sz w:val="18"/>
          <w:szCs w:val="18"/>
        </w:rPr>
        <w:t>Here, we compare the eCQM’s simplified definition of clinical stability (</w:t>
      </w:r>
      <w:r w:rsidRPr="0058381B">
        <w:rPr>
          <w:rFonts w:ascii="Aptos" w:hAnsi="Aptos"/>
          <w:sz w:val="18"/>
          <w:szCs w:val="18"/>
        </w:rPr>
        <w:t>afebrile</w:t>
      </w:r>
      <w:r w:rsidR="0062202B" w:rsidRPr="0058381B">
        <w:rPr>
          <w:rFonts w:ascii="Aptos" w:hAnsi="Aptos"/>
          <w:sz w:val="18"/>
          <w:szCs w:val="18"/>
        </w:rPr>
        <w:t xml:space="preserve"> and SBP ≥90 mmHg or discharged) to the original definition of stability (no more than 1 sign of clinical stability). Though the sensitivity is much lower, the feasibility of this specification was much higher across all three systems (see feasibility discussion for more details).</w:t>
      </w:r>
    </w:p>
    <w:p w14:paraId="4B26E4B6" w14:textId="2E20F41C" w:rsidR="0058381B" w:rsidRDefault="0058381B">
      <w:pPr>
        <w:rPr>
          <w:rFonts w:ascii="Arial" w:hAnsi="Arial" w:cs="Arial"/>
          <w:sz w:val="20"/>
          <w:szCs w:val="20"/>
        </w:rPr>
      </w:pPr>
      <w:r>
        <w:rPr>
          <w:rFonts w:ascii="Arial" w:hAnsi="Arial" w:cs="Arial"/>
          <w:sz w:val="20"/>
          <w:szCs w:val="20"/>
        </w:rPr>
        <w:br w:type="page"/>
      </w:r>
    </w:p>
    <w:p w14:paraId="09C4BB75" w14:textId="77777777" w:rsidR="0058381B" w:rsidRPr="001E511D" w:rsidRDefault="0058381B" w:rsidP="0058381B">
      <w:pPr>
        <w:rPr>
          <w:rFonts w:ascii="Aptos" w:hAnsi="Aptos"/>
        </w:rPr>
      </w:pPr>
      <w:bookmarkStart w:id="8" w:name="_Hlk181282805"/>
      <w:r>
        <w:rPr>
          <w:rFonts w:ascii="Aptos" w:hAnsi="Aptos"/>
          <w:b/>
          <w:bCs/>
        </w:rPr>
        <w:lastRenderedPageBreak/>
        <w:t xml:space="preserve">Figure 3. </w:t>
      </w:r>
      <w:r w:rsidRPr="001E511D">
        <w:rPr>
          <w:rFonts w:ascii="Aptos" w:hAnsi="Aptos"/>
        </w:rPr>
        <w:t>Relationship between excess antibiotic duration and inappropriately broad empiric antibiotic use.</w:t>
      </w:r>
    </w:p>
    <w:p w14:paraId="2F7B67E5" w14:textId="77777777" w:rsidR="0062202B" w:rsidRDefault="0062202B" w:rsidP="0062202B">
      <w:pPr>
        <w:rPr>
          <w:rFonts w:ascii="Aptos" w:hAnsi="Aptos"/>
          <w:b/>
          <w:bCs/>
        </w:rPr>
      </w:pPr>
      <w:bookmarkStart w:id="9" w:name="_Hlk181169403"/>
      <w:r>
        <w:rPr>
          <w:noProof/>
        </w:rPr>
        <w:drawing>
          <wp:inline distT="0" distB="0" distL="0" distR="0" wp14:anchorId="5044C718" wp14:editId="481F7EEA">
            <wp:extent cx="5112385" cy="3407862"/>
            <wp:effectExtent l="0" t="0" r="0" b="2540"/>
            <wp:docPr id="1371175721" name="Picture 1" descr="This is a scatter diagram plotting non-indicated empiric MDRO antibiotic use on the x-axis against excess antibiotic duration (&gt;=7 days). There is a weak positive correlation, R=0.3, p&lt;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175721" name="Picture 1" descr="This is a scatter diagram plotting non-indicated empiric MDRO antibiotic use on the x-axis against excess antibiotic duration (&gt;=7 days). There is a weak positive correlation, R=0.3, p&lt;0.0014."/>
                    <pic:cNvPicPr/>
                  </pic:nvPicPr>
                  <pic:blipFill>
                    <a:blip r:embed="rId7"/>
                    <a:stretch>
                      <a:fillRect/>
                    </a:stretch>
                  </pic:blipFill>
                  <pic:spPr>
                    <a:xfrm>
                      <a:off x="0" y="0"/>
                      <a:ext cx="5130445" cy="3419901"/>
                    </a:xfrm>
                    <a:prstGeom prst="rect">
                      <a:avLst/>
                    </a:prstGeom>
                  </pic:spPr>
                </pic:pic>
              </a:graphicData>
            </a:graphic>
          </wp:inline>
        </w:drawing>
      </w:r>
    </w:p>
    <w:p w14:paraId="2A0F3220" w14:textId="66C9611F" w:rsidR="00504439" w:rsidRDefault="00504439" w:rsidP="0058381B">
      <w:pPr>
        <w:spacing w:after="0" w:line="264" w:lineRule="auto"/>
        <w:rPr>
          <w:rFonts w:ascii="Aptos" w:hAnsi="Aptos"/>
          <w:sz w:val="22"/>
          <w:szCs w:val="22"/>
        </w:rPr>
      </w:pPr>
      <w:bookmarkStart w:id="10" w:name="_Hlk180593287"/>
      <w:r>
        <w:rPr>
          <w:rFonts w:ascii="Aptos" w:hAnsi="Aptos"/>
          <w:sz w:val="22"/>
          <w:szCs w:val="22"/>
        </w:rPr>
        <w:t>MDRO= Multi-Drug</w:t>
      </w:r>
      <w:r w:rsidR="001F0738">
        <w:rPr>
          <w:rFonts w:ascii="Aptos" w:hAnsi="Aptos"/>
          <w:sz w:val="22"/>
          <w:szCs w:val="22"/>
        </w:rPr>
        <w:t>-</w:t>
      </w:r>
      <w:r>
        <w:rPr>
          <w:rFonts w:ascii="Aptos" w:hAnsi="Aptos"/>
          <w:sz w:val="22"/>
          <w:szCs w:val="22"/>
        </w:rPr>
        <w:t>Resistant Organisms</w:t>
      </w:r>
    </w:p>
    <w:p w14:paraId="33936FD8" w14:textId="73FF73ED" w:rsidR="0062202B" w:rsidRPr="0058381B" w:rsidRDefault="0062202B" w:rsidP="0058381B">
      <w:pPr>
        <w:spacing w:after="0" w:line="264" w:lineRule="auto"/>
        <w:rPr>
          <w:rFonts w:ascii="Aptos" w:hAnsi="Aptos"/>
          <w:sz w:val="22"/>
          <w:szCs w:val="22"/>
        </w:rPr>
      </w:pPr>
      <w:r w:rsidRPr="0058381B">
        <w:rPr>
          <w:rFonts w:ascii="Aptos" w:hAnsi="Aptos"/>
          <w:sz w:val="22"/>
          <w:szCs w:val="22"/>
        </w:rPr>
        <w:t xml:space="preserve">Patient data from 109 VA hospitals between January 1, 2022 and June 30, 2024. </w:t>
      </w:r>
      <w:bookmarkStart w:id="11" w:name="_Hlk180668325"/>
      <w:r w:rsidRPr="0058381B">
        <w:rPr>
          <w:rFonts w:ascii="Aptos" w:hAnsi="Aptos"/>
          <w:sz w:val="22"/>
          <w:szCs w:val="22"/>
        </w:rPr>
        <w:t>Each hospital is represented as a dot with larger hospitals having larger dots.</w:t>
      </w:r>
    </w:p>
    <w:bookmarkEnd w:id="9"/>
    <w:bookmarkEnd w:id="10"/>
    <w:bookmarkEnd w:id="11"/>
    <w:p w14:paraId="66B9B849" w14:textId="77777777" w:rsidR="0062202B" w:rsidRDefault="0062202B" w:rsidP="0062202B">
      <w:pPr>
        <w:rPr>
          <w:rFonts w:ascii="Arial" w:hAnsi="Arial" w:cs="Arial"/>
          <w:sz w:val="20"/>
          <w:szCs w:val="20"/>
        </w:rPr>
      </w:pPr>
    </w:p>
    <w:bookmarkEnd w:id="8"/>
    <w:p w14:paraId="271FE00B" w14:textId="77777777" w:rsidR="00AF4DB5" w:rsidRDefault="00AF4DB5">
      <w:pPr>
        <w:rPr>
          <w:rFonts w:ascii="Arial" w:eastAsiaTheme="minorEastAsia" w:hAnsi="Arial" w:cs="Arial"/>
          <w:bCs/>
          <w:sz w:val="22"/>
          <w:szCs w:val="22"/>
          <w:highlight w:val="green"/>
        </w:rPr>
      </w:pPr>
      <w:r>
        <w:rPr>
          <w:rFonts w:ascii="Arial" w:eastAsiaTheme="minorEastAsia" w:hAnsi="Arial" w:cs="Arial"/>
          <w:bCs/>
          <w:sz w:val="22"/>
          <w:szCs w:val="22"/>
          <w:highlight w:val="green"/>
        </w:rPr>
        <w:br w:type="page"/>
      </w:r>
    </w:p>
    <w:p w14:paraId="1A2B88FB" w14:textId="7215F13D" w:rsidR="0062202B" w:rsidRPr="00AF4DB5" w:rsidRDefault="0062202B" w:rsidP="0062202B">
      <w:pPr>
        <w:spacing w:after="0" w:line="240" w:lineRule="auto"/>
        <w:rPr>
          <w:rFonts w:ascii="Arial" w:eastAsiaTheme="minorEastAsia" w:hAnsi="Arial" w:cs="Arial"/>
          <w:bCs/>
          <w:sz w:val="22"/>
          <w:szCs w:val="22"/>
        </w:rPr>
      </w:pPr>
      <w:r w:rsidRPr="00AF4DB5">
        <w:rPr>
          <w:rFonts w:ascii="Arial" w:eastAsiaTheme="minorEastAsia" w:hAnsi="Arial" w:cs="Arial"/>
          <w:b/>
          <w:sz w:val="22"/>
          <w:szCs w:val="22"/>
        </w:rPr>
        <w:lastRenderedPageBreak/>
        <w:t>Table 2</w:t>
      </w:r>
      <w:r w:rsidR="0027760F">
        <w:rPr>
          <w:rFonts w:ascii="Arial" w:eastAsiaTheme="minorEastAsia" w:hAnsi="Arial" w:cs="Arial"/>
          <w:b/>
          <w:sz w:val="22"/>
          <w:szCs w:val="22"/>
        </w:rPr>
        <w:t>1</w:t>
      </w:r>
      <w:r w:rsidRPr="00AF4DB5">
        <w:rPr>
          <w:rFonts w:ascii="Arial" w:eastAsiaTheme="minorEastAsia" w:hAnsi="Arial" w:cs="Arial"/>
          <w:b/>
          <w:sz w:val="22"/>
          <w:szCs w:val="22"/>
        </w:rPr>
        <w:t>.</w:t>
      </w:r>
      <w:r w:rsidRPr="00AF4DB5">
        <w:rPr>
          <w:rFonts w:ascii="Arial" w:eastAsiaTheme="minorEastAsia" w:hAnsi="Arial" w:cs="Arial"/>
          <w:bCs/>
          <w:sz w:val="22"/>
          <w:szCs w:val="22"/>
        </w:rPr>
        <w:t xml:space="preserve"> Association of Excess Antibiotic </w:t>
      </w:r>
      <w:r w:rsidRPr="00AF4DB5">
        <w:rPr>
          <w:rFonts w:ascii="Arial" w:hAnsi="Arial" w:cs="Arial"/>
          <w:bCs/>
          <w:sz w:val="22"/>
          <w:szCs w:val="22"/>
        </w:rPr>
        <w:t xml:space="preserve">Treatment </w:t>
      </w:r>
      <w:r w:rsidRPr="00AF4DB5">
        <w:rPr>
          <w:rFonts w:ascii="Arial" w:eastAsiaTheme="minorEastAsia" w:hAnsi="Arial" w:cs="Arial"/>
          <w:bCs/>
          <w:sz w:val="22"/>
          <w:szCs w:val="22"/>
        </w:rPr>
        <w:t>Duration With 30-Day Adverse Outcomes (</w:t>
      </w:r>
      <w:r w:rsidRPr="00AF4DB5">
        <w:rPr>
          <w:rFonts w:ascii="Arial" w:hAnsi="Arial" w:cs="Arial"/>
          <w:bCs/>
          <w:sz w:val="22"/>
          <w:szCs w:val="22"/>
        </w:rPr>
        <w:t xml:space="preserve">n = </w:t>
      </w:r>
      <w:r w:rsidRPr="00AF4DB5">
        <w:rPr>
          <w:rFonts w:ascii="Arial" w:eastAsiaTheme="minorEastAsia" w:hAnsi="Arial" w:cs="Arial"/>
          <w:bCs/>
          <w:sz w:val="22"/>
          <w:szCs w:val="22"/>
        </w:rPr>
        <w:t>6481)</w:t>
      </w:r>
      <w:r w:rsidRPr="00AF4DB5">
        <w:rPr>
          <w:rFonts w:ascii="Arial" w:eastAsiaTheme="minorEastAsia" w:hAnsi="Arial" w:cs="Arial"/>
          <w:bCs/>
          <w:sz w:val="22"/>
          <w:szCs w:val="22"/>
        </w:rPr>
        <w:fldChar w:fldCharType="begin">
          <w:fldData xml:space="preserve">PEVuZE5vdGU+PENpdGU+PEF1dGhvcj5WYXVnaG48L0F1dGhvcj48WWVhcj4yMDE5PC9ZZWFyPjxS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=
</w:fldData>
        </w:fldChar>
      </w:r>
      <w:r w:rsidRPr="00AF4DB5">
        <w:rPr>
          <w:rFonts w:ascii="Arial" w:eastAsiaTheme="minorEastAsia" w:hAnsi="Arial" w:cs="Arial"/>
          <w:bCs/>
          <w:sz w:val="22"/>
          <w:szCs w:val="22"/>
        </w:rPr>
        <w:instrText xml:space="preserve"> ADDIN EN.CITE </w:instrText>
      </w:r>
      <w:r w:rsidRPr="00AF4DB5">
        <w:rPr>
          <w:rFonts w:ascii="Arial" w:eastAsiaTheme="minorEastAsia" w:hAnsi="Arial" w:cs="Arial"/>
          <w:bCs/>
          <w:sz w:val="22"/>
          <w:szCs w:val="22"/>
        </w:rPr>
        <w:fldChar w:fldCharType="begin">
          <w:fldData xml:space="preserve">PEVuZE5vdGU+PENpdGU+PEF1dGhvcj5WYXVnaG48L0F1dGhvcj48WWVhcj4yMDE5PC9ZZWFyPjxS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=
</w:fldData>
        </w:fldChar>
      </w:r>
      <w:r w:rsidRPr="00AF4DB5">
        <w:rPr>
          <w:rFonts w:ascii="Arial" w:eastAsiaTheme="minorEastAsia" w:hAnsi="Arial" w:cs="Arial"/>
          <w:bCs/>
          <w:sz w:val="22"/>
          <w:szCs w:val="22"/>
        </w:rPr>
        <w:instrText xml:space="preserve"> ADDIN EN.CITE.DATA </w:instrText>
      </w:r>
      <w:r w:rsidRPr="00AF4DB5">
        <w:rPr>
          <w:rFonts w:ascii="Arial" w:eastAsiaTheme="minorEastAsia" w:hAnsi="Arial" w:cs="Arial"/>
          <w:bCs/>
          <w:sz w:val="22"/>
          <w:szCs w:val="22"/>
        </w:rPr>
      </w:r>
      <w:r w:rsidRPr="00AF4DB5">
        <w:rPr>
          <w:rFonts w:ascii="Arial" w:eastAsiaTheme="minorEastAsia" w:hAnsi="Arial" w:cs="Arial"/>
          <w:bCs/>
          <w:sz w:val="22"/>
          <w:szCs w:val="22"/>
        </w:rPr>
        <w:fldChar w:fldCharType="end"/>
      </w:r>
      <w:r w:rsidRPr="00AF4DB5">
        <w:rPr>
          <w:rFonts w:ascii="Arial" w:eastAsiaTheme="minorEastAsia" w:hAnsi="Arial" w:cs="Arial"/>
          <w:bCs/>
          <w:sz w:val="22"/>
          <w:szCs w:val="22"/>
        </w:rPr>
      </w:r>
      <w:r w:rsidRPr="00AF4DB5">
        <w:rPr>
          <w:rFonts w:ascii="Arial" w:eastAsiaTheme="minorEastAsia" w:hAnsi="Arial" w:cs="Arial"/>
          <w:bCs/>
          <w:sz w:val="22"/>
          <w:szCs w:val="22"/>
        </w:rPr>
        <w:fldChar w:fldCharType="separate"/>
      </w:r>
      <w:r w:rsidRPr="00AF4DB5">
        <w:rPr>
          <w:rFonts w:ascii="Arial" w:eastAsiaTheme="minorEastAsia" w:hAnsi="Arial" w:cs="Arial"/>
          <w:bCs/>
          <w:noProof/>
          <w:sz w:val="22"/>
          <w:szCs w:val="22"/>
          <w:vertAlign w:val="superscript"/>
        </w:rPr>
        <w:t>15</w:t>
      </w:r>
      <w:r w:rsidRPr="00AF4DB5">
        <w:rPr>
          <w:rFonts w:ascii="Arial" w:eastAsiaTheme="minorEastAsia" w:hAnsi="Arial" w:cs="Arial"/>
          <w:bCs/>
          <w:sz w:val="22"/>
          <w:szCs w:val="22"/>
        </w:rPr>
        <w:fldChar w:fldCharType="end"/>
      </w:r>
    </w:p>
    <w:p w14:paraId="16BDA82D" w14:textId="77777777" w:rsidR="001F0738" w:rsidRDefault="001F0738" w:rsidP="0062202B">
      <w:pPr>
        <w:spacing w:after="0" w:line="240" w:lineRule="auto"/>
        <w:rPr>
          <w:rFonts w:ascii="Aptos" w:eastAsiaTheme="minorEastAsia" w:hAnsi="Aptos" w:cs="Times New Roman"/>
          <w:bCs/>
        </w:rPr>
      </w:pPr>
    </w:p>
    <w:tbl>
      <w:tblPr>
        <w:tblStyle w:val="TableGrid"/>
        <w:tblW w:w="0" w:type="auto"/>
        <w:tblLook w:val="04A0" w:firstRow="1" w:lastRow="0" w:firstColumn="1" w:lastColumn="0" w:noHBand="0" w:noVBand="1"/>
        <w:tblCaption w:val="Table 22. Association of excess antibiotic treatment with 30-day adverse outcomes (n=6481)"/>
        <w:tblDescription w:val="This table lists the percentage of CAP patients with appropriate antibiotic duration vs. excess antibiotic duration for 30-day adverse events including: mortality, readmission, antibiotic-associated adverse events, and a composite adverse outcome score. Statistical analysis shows that the risk of patient-reported adverse events increases with each excess day of antibiotics (adjusted odds ratio [95% CI] = 1.05 [1.02-1.08], P=0.001)."/>
      </w:tblPr>
      <w:tblGrid>
        <w:gridCol w:w="2372"/>
        <w:gridCol w:w="1297"/>
        <w:gridCol w:w="1330"/>
        <w:gridCol w:w="1584"/>
        <w:gridCol w:w="1269"/>
        <w:gridCol w:w="1550"/>
        <w:gridCol w:w="1028"/>
      </w:tblGrid>
      <w:tr w:rsidR="00AF4DB5" w14:paraId="1F0E1BDC" w14:textId="77777777" w:rsidTr="0087399E">
        <w:trPr>
          <w:cantSplit/>
          <w:tblHeader/>
        </w:trPr>
        <w:tc>
          <w:tcPr>
            <w:tcW w:w="2425" w:type="dxa"/>
          </w:tcPr>
          <w:p w14:paraId="06A7C525" w14:textId="6D6F8117" w:rsidR="001F0738" w:rsidRPr="0087399E" w:rsidRDefault="001F0738" w:rsidP="0062202B">
            <w:pPr>
              <w:rPr>
                <w:rFonts w:eastAsiaTheme="minorEastAsia" w:cs="Times New Roman"/>
                <w:b/>
                <w:sz w:val="20"/>
                <w:szCs w:val="20"/>
              </w:rPr>
            </w:pPr>
            <w:bookmarkStart w:id="12" w:name="_Hlk181282944"/>
            <w:r w:rsidRPr="0087399E">
              <w:rPr>
                <w:rFonts w:eastAsiaTheme="minorEastAsia" w:cs="Times New Roman"/>
                <w:b/>
                <w:sz w:val="20"/>
                <w:szCs w:val="20"/>
              </w:rPr>
              <w:t>Outcomes at 30 Days</w:t>
            </w:r>
          </w:p>
        </w:tc>
        <w:tc>
          <w:tcPr>
            <w:tcW w:w="1260" w:type="dxa"/>
            <w:vAlign w:val="center"/>
          </w:tcPr>
          <w:p w14:paraId="25BD44FC" w14:textId="5DA0FF6B" w:rsidR="00AF4DB5" w:rsidRPr="0087399E" w:rsidRDefault="001F0738" w:rsidP="00AF4DB5">
            <w:pPr>
              <w:jc w:val="center"/>
              <w:rPr>
                <w:rFonts w:eastAsiaTheme="minorEastAsia" w:cs="Times New Roman"/>
                <w:b/>
                <w:sz w:val="20"/>
                <w:szCs w:val="20"/>
              </w:rPr>
            </w:pPr>
            <w:r w:rsidRPr="0087399E">
              <w:rPr>
                <w:rFonts w:eastAsiaTheme="minorEastAsia" w:cs="Times New Roman"/>
                <w:b/>
                <w:sz w:val="20"/>
                <w:szCs w:val="20"/>
              </w:rPr>
              <w:t>Appropriate Duration (n=2090),</w:t>
            </w:r>
          </w:p>
          <w:p w14:paraId="6D42E2CC" w14:textId="53C0C7C9" w:rsidR="001F0738" w:rsidRPr="0087399E" w:rsidRDefault="001F0738" w:rsidP="00AF4DB5">
            <w:pPr>
              <w:jc w:val="center"/>
              <w:rPr>
                <w:rFonts w:eastAsiaTheme="minorEastAsia" w:cs="Times New Roman"/>
                <w:b/>
                <w:sz w:val="20"/>
                <w:szCs w:val="20"/>
              </w:rPr>
            </w:pPr>
            <w:r w:rsidRPr="0087399E">
              <w:rPr>
                <w:rFonts w:eastAsiaTheme="minorEastAsia" w:cs="Times New Roman"/>
                <w:b/>
                <w:sz w:val="20"/>
                <w:szCs w:val="20"/>
              </w:rPr>
              <w:t>n(%)</w:t>
            </w:r>
          </w:p>
        </w:tc>
        <w:tc>
          <w:tcPr>
            <w:tcW w:w="1350" w:type="dxa"/>
            <w:vAlign w:val="center"/>
          </w:tcPr>
          <w:p w14:paraId="1DC304EF" w14:textId="77777777" w:rsidR="00AF4DB5" w:rsidRPr="0087399E" w:rsidRDefault="001F0738" w:rsidP="00AF4DB5">
            <w:pPr>
              <w:jc w:val="center"/>
              <w:rPr>
                <w:rFonts w:eastAsiaTheme="minorEastAsia" w:cs="Times New Roman"/>
                <w:b/>
                <w:sz w:val="20"/>
                <w:szCs w:val="20"/>
              </w:rPr>
            </w:pPr>
            <w:r w:rsidRPr="0087399E">
              <w:rPr>
                <w:rFonts w:eastAsiaTheme="minorEastAsia" w:cs="Times New Roman"/>
                <w:b/>
                <w:sz w:val="20"/>
                <w:szCs w:val="20"/>
              </w:rPr>
              <w:t>Excess Duration (n=4391),</w:t>
            </w:r>
          </w:p>
          <w:p w14:paraId="3A039B74" w14:textId="0473875D" w:rsidR="001F0738" w:rsidRPr="0087399E" w:rsidRDefault="001F0738" w:rsidP="00AF4DB5">
            <w:pPr>
              <w:jc w:val="center"/>
              <w:rPr>
                <w:rFonts w:eastAsiaTheme="minorEastAsia" w:cs="Times New Roman"/>
                <w:b/>
                <w:sz w:val="20"/>
                <w:szCs w:val="20"/>
              </w:rPr>
            </w:pPr>
            <w:r w:rsidRPr="0087399E">
              <w:rPr>
                <w:rFonts w:eastAsiaTheme="minorEastAsia" w:cs="Times New Roman"/>
                <w:b/>
                <w:sz w:val="20"/>
                <w:szCs w:val="20"/>
              </w:rPr>
              <w:t>n(%)</w:t>
            </w:r>
          </w:p>
        </w:tc>
        <w:tc>
          <w:tcPr>
            <w:tcW w:w="1606" w:type="dxa"/>
            <w:vAlign w:val="center"/>
          </w:tcPr>
          <w:p w14:paraId="74B3EA36" w14:textId="5F1CA5F1" w:rsidR="00AF4DB5" w:rsidRPr="0087399E" w:rsidRDefault="001F0738" w:rsidP="00AF4DB5">
            <w:pPr>
              <w:jc w:val="center"/>
              <w:rPr>
                <w:rFonts w:eastAsiaTheme="minorEastAsia" w:cs="Times New Roman"/>
                <w:b/>
                <w:sz w:val="20"/>
                <w:szCs w:val="20"/>
              </w:rPr>
            </w:pPr>
            <w:r w:rsidRPr="0087399E">
              <w:rPr>
                <w:rFonts w:eastAsiaTheme="minorEastAsia" w:cs="Times New Roman"/>
                <w:b/>
                <w:sz w:val="20"/>
                <w:szCs w:val="20"/>
              </w:rPr>
              <w:t>Unadjusted OR per Excess Day</w:t>
            </w:r>
          </w:p>
          <w:p w14:paraId="376F87FC" w14:textId="54E1C79E" w:rsidR="001F0738" w:rsidRPr="0087399E" w:rsidRDefault="001F0738" w:rsidP="00AF4DB5">
            <w:pPr>
              <w:jc w:val="center"/>
              <w:rPr>
                <w:rFonts w:eastAsiaTheme="minorEastAsia" w:cs="Times New Roman"/>
                <w:b/>
                <w:sz w:val="20"/>
                <w:szCs w:val="20"/>
              </w:rPr>
            </w:pPr>
            <w:r w:rsidRPr="0087399E">
              <w:rPr>
                <w:rFonts w:eastAsiaTheme="minorEastAsia" w:cs="Times New Roman"/>
                <w:b/>
                <w:sz w:val="20"/>
                <w:szCs w:val="20"/>
              </w:rPr>
              <w:t>(95% CI)</w:t>
            </w:r>
          </w:p>
        </w:tc>
        <w:tc>
          <w:tcPr>
            <w:tcW w:w="1218" w:type="dxa"/>
            <w:vAlign w:val="center"/>
          </w:tcPr>
          <w:p w14:paraId="4CC09607" w14:textId="260DF627" w:rsidR="001F0738" w:rsidRPr="0087399E" w:rsidRDefault="001F0738" w:rsidP="00AF4DB5">
            <w:pPr>
              <w:jc w:val="center"/>
              <w:rPr>
                <w:rFonts w:eastAsiaTheme="minorEastAsia" w:cs="Times New Roman"/>
                <w:b/>
                <w:sz w:val="20"/>
                <w:szCs w:val="20"/>
              </w:rPr>
            </w:pPr>
            <w:r w:rsidRPr="0087399E">
              <w:rPr>
                <w:rFonts w:eastAsiaTheme="minorEastAsia" w:cs="Times New Roman"/>
                <w:b/>
                <w:sz w:val="20"/>
                <w:szCs w:val="20"/>
              </w:rPr>
              <w:t>Unadjusted P Values</w:t>
            </w:r>
          </w:p>
        </w:tc>
        <w:tc>
          <w:tcPr>
            <w:tcW w:w="1586" w:type="dxa"/>
            <w:vAlign w:val="center"/>
          </w:tcPr>
          <w:p w14:paraId="183C1AED" w14:textId="77777777" w:rsidR="00AF4DB5" w:rsidRPr="0087399E" w:rsidRDefault="001F0738" w:rsidP="00AF4DB5">
            <w:pPr>
              <w:jc w:val="center"/>
              <w:rPr>
                <w:rFonts w:eastAsiaTheme="minorEastAsia" w:cs="Times New Roman"/>
                <w:b/>
                <w:sz w:val="20"/>
                <w:szCs w:val="20"/>
              </w:rPr>
            </w:pPr>
            <w:r w:rsidRPr="0087399E">
              <w:rPr>
                <w:rFonts w:eastAsiaTheme="minorEastAsia" w:cs="Times New Roman"/>
                <w:b/>
                <w:sz w:val="20"/>
                <w:szCs w:val="20"/>
              </w:rPr>
              <w:t>Adjusted OR per Excess Day</w:t>
            </w:r>
          </w:p>
          <w:p w14:paraId="13486F53" w14:textId="6917005D" w:rsidR="001F0738" w:rsidRPr="0087399E" w:rsidRDefault="001F0738" w:rsidP="00AF4DB5">
            <w:pPr>
              <w:jc w:val="center"/>
              <w:rPr>
                <w:rFonts w:eastAsiaTheme="minorEastAsia" w:cs="Times New Roman"/>
                <w:b/>
                <w:sz w:val="20"/>
                <w:szCs w:val="20"/>
              </w:rPr>
            </w:pPr>
            <w:r w:rsidRPr="0087399E">
              <w:rPr>
                <w:rFonts w:eastAsiaTheme="minorEastAsia" w:cs="Times New Roman"/>
                <w:b/>
                <w:sz w:val="20"/>
                <w:szCs w:val="20"/>
              </w:rPr>
              <w:t>(95% CI)</w:t>
            </w:r>
          </w:p>
        </w:tc>
        <w:tc>
          <w:tcPr>
            <w:tcW w:w="985" w:type="dxa"/>
            <w:vAlign w:val="center"/>
          </w:tcPr>
          <w:p w14:paraId="5CE38264" w14:textId="587E0EC3" w:rsidR="001F0738" w:rsidRPr="0087399E" w:rsidRDefault="001F0738" w:rsidP="00AF4DB5">
            <w:pPr>
              <w:jc w:val="center"/>
              <w:rPr>
                <w:rFonts w:eastAsiaTheme="minorEastAsia" w:cs="Times New Roman"/>
                <w:b/>
                <w:sz w:val="20"/>
                <w:szCs w:val="20"/>
              </w:rPr>
            </w:pPr>
            <w:r w:rsidRPr="0087399E">
              <w:rPr>
                <w:rFonts w:eastAsiaTheme="minorEastAsia" w:cs="Times New Roman"/>
                <w:b/>
                <w:sz w:val="20"/>
                <w:szCs w:val="20"/>
              </w:rPr>
              <w:t>Adjusted P Value</w:t>
            </w:r>
          </w:p>
        </w:tc>
      </w:tr>
      <w:tr w:rsidR="00AF4DB5" w14:paraId="487C82D6" w14:textId="77777777" w:rsidTr="00A96723">
        <w:trPr>
          <w:cantSplit/>
        </w:trPr>
        <w:tc>
          <w:tcPr>
            <w:tcW w:w="2425" w:type="dxa"/>
          </w:tcPr>
          <w:p w14:paraId="7B4F7F1D" w14:textId="2C34247A" w:rsidR="00AF4DB5" w:rsidRPr="00E55A89" w:rsidRDefault="00AF4DB5" w:rsidP="00AF4DB5">
            <w:pPr>
              <w:rPr>
                <w:rFonts w:eastAsiaTheme="minorEastAsia" w:cs="Times New Roman"/>
                <w:bCs/>
                <w:sz w:val="20"/>
                <w:szCs w:val="20"/>
              </w:rPr>
            </w:pPr>
            <w:r w:rsidRPr="00E55A89">
              <w:rPr>
                <w:rFonts w:eastAsiaTheme="minorEastAsia" w:cs="Times New Roman"/>
                <w:bCs/>
                <w:sz w:val="20"/>
                <w:szCs w:val="20"/>
              </w:rPr>
              <w:t>Mortality</w:t>
            </w:r>
          </w:p>
        </w:tc>
        <w:tc>
          <w:tcPr>
            <w:tcW w:w="1260" w:type="dxa"/>
            <w:vAlign w:val="center"/>
          </w:tcPr>
          <w:p w14:paraId="33CC8494" w14:textId="6C1B15FA" w:rsidR="00AF4DB5" w:rsidRPr="00AF4DB5" w:rsidRDefault="00AF4DB5" w:rsidP="00AF4DB5">
            <w:pPr>
              <w:jc w:val="center"/>
              <w:rPr>
                <w:rFonts w:eastAsiaTheme="minorEastAsia" w:cs="Times New Roman"/>
                <w:bCs/>
                <w:sz w:val="18"/>
                <w:szCs w:val="18"/>
              </w:rPr>
            </w:pPr>
            <w:r w:rsidRPr="00AF4DB5">
              <w:rPr>
                <w:rFonts w:eastAsiaTheme="minorEastAsia" w:cs="Times New Roman"/>
                <w:bCs/>
                <w:sz w:val="18"/>
                <w:szCs w:val="18"/>
              </w:rPr>
              <w:t>40 (1.9)</w:t>
            </w:r>
          </w:p>
        </w:tc>
        <w:tc>
          <w:tcPr>
            <w:tcW w:w="1350" w:type="dxa"/>
            <w:vAlign w:val="center"/>
          </w:tcPr>
          <w:p w14:paraId="48070425" w14:textId="4FBF8720" w:rsidR="00AF4DB5" w:rsidRPr="00AF4DB5" w:rsidRDefault="00AF4DB5" w:rsidP="00AF4DB5">
            <w:pPr>
              <w:jc w:val="center"/>
              <w:rPr>
                <w:rFonts w:eastAsiaTheme="minorEastAsia" w:cs="Times New Roman"/>
                <w:bCs/>
                <w:sz w:val="18"/>
                <w:szCs w:val="18"/>
              </w:rPr>
            </w:pPr>
            <w:r w:rsidRPr="00AF4DB5">
              <w:rPr>
                <w:rFonts w:eastAsiaTheme="minorEastAsia" w:cs="Times New Roman"/>
                <w:bCs/>
                <w:sz w:val="18"/>
                <w:szCs w:val="18"/>
              </w:rPr>
              <w:t>88 (2.0)</w:t>
            </w:r>
          </w:p>
        </w:tc>
        <w:tc>
          <w:tcPr>
            <w:tcW w:w="1606" w:type="dxa"/>
            <w:vAlign w:val="center"/>
          </w:tcPr>
          <w:p w14:paraId="5036EC3D" w14:textId="55F85289" w:rsidR="00AF4DB5" w:rsidRPr="00AF4DB5" w:rsidRDefault="00AF4DB5" w:rsidP="00AF4DB5">
            <w:pPr>
              <w:jc w:val="center"/>
              <w:rPr>
                <w:rFonts w:eastAsiaTheme="minorEastAsia" w:cs="Times New Roman"/>
                <w:bCs/>
                <w:sz w:val="18"/>
                <w:szCs w:val="18"/>
              </w:rPr>
            </w:pPr>
            <w:r w:rsidRPr="00AF4DB5">
              <w:rPr>
                <w:rFonts w:eastAsiaTheme="minorEastAsia" w:cs="Times New Roman"/>
                <w:bCs/>
                <w:sz w:val="18"/>
                <w:szCs w:val="18"/>
              </w:rPr>
              <w:t>0.99 (0.94-1.03)</w:t>
            </w:r>
          </w:p>
        </w:tc>
        <w:tc>
          <w:tcPr>
            <w:tcW w:w="1218" w:type="dxa"/>
            <w:vAlign w:val="center"/>
          </w:tcPr>
          <w:p w14:paraId="6611B01B" w14:textId="74CEF2B3" w:rsidR="00AF4DB5" w:rsidRPr="00AF4DB5" w:rsidRDefault="00AF4DB5" w:rsidP="00AF4DB5">
            <w:pPr>
              <w:jc w:val="center"/>
              <w:rPr>
                <w:rFonts w:eastAsiaTheme="minorEastAsia" w:cs="Times New Roman"/>
                <w:bCs/>
                <w:sz w:val="18"/>
                <w:szCs w:val="18"/>
              </w:rPr>
            </w:pPr>
            <w:r w:rsidRPr="00AF4DB5">
              <w:rPr>
                <w:rFonts w:eastAsiaTheme="minorEastAsia" w:cs="Times New Roman"/>
                <w:bCs/>
                <w:sz w:val="18"/>
                <w:szCs w:val="18"/>
              </w:rPr>
              <w:t>0.52</w:t>
            </w:r>
          </w:p>
        </w:tc>
        <w:tc>
          <w:tcPr>
            <w:tcW w:w="1586" w:type="dxa"/>
            <w:vAlign w:val="center"/>
          </w:tcPr>
          <w:p w14:paraId="4F9DF4BE" w14:textId="3C6ECBFA" w:rsidR="00AF4DB5" w:rsidRPr="00AF4DB5" w:rsidRDefault="00AF4DB5" w:rsidP="00AF4DB5">
            <w:pPr>
              <w:jc w:val="center"/>
              <w:rPr>
                <w:rFonts w:eastAsiaTheme="minorEastAsia" w:cs="Times New Roman"/>
                <w:bCs/>
                <w:sz w:val="18"/>
                <w:szCs w:val="18"/>
              </w:rPr>
            </w:pPr>
            <w:r w:rsidRPr="00AF4DB5">
              <w:rPr>
                <w:rFonts w:cs="Times New Roman"/>
                <w:sz w:val="18"/>
                <w:szCs w:val="18"/>
              </w:rPr>
              <w:t>1.01 (0.97–1.05)</w:t>
            </w:r>
          </w:p>
        </w:tc>
        <w:tc>
          <w:tcPr>
            <w:tcW w:w="985" w:type="dxa"/>
            <w:vAlign w:val="center"/>
          </w:tcPr>
          <w:p w14:paraId="79C2FD4E" w14:textId="613F60DC" w:rsidR="00AF4DB5" w:rsidRPr="00AF4DB5" w:rsidRDefault="00AF4DB5" w:rsidP="00AF4DB5">
            <w:pPr>
              <w:jc w:val="center"/>
              <w:rPr>
                <w:rFonts w:eastAsiaTheme="minorEastAsia" w:cs="Times New Roman"/>
                <w:bCs/>
                <w:sz w:val="18"/>
                <w:szCs w:val="18"/>
              </w:rPr>
            </w:pPr>
            <w:r w:rsidRPr="00AF4DB5">
              <w:rPr>
                <w:rFonts w:ascii="Aptos" w:hAnsi="Aptos" w:cs="Times New Roman"/>
                <w:sz w:val="18"/>
                <w:szCs w:val="18"/>
              </w:rPr>
              <w:t>0.60</w:t>
            </w:r>
          </w:p>
        </w:tc>
      </w:tr>
      <w:tr w:rsidR="00AF4DB5" w14:paraId="5AF3F86F" w14:textId="77777777" w:rsidTr="00A96723">
        <w:trPr>
          <w:cantSplit/>
        </w:trPr>
        <w:tc>
          <w:tcPr>
            <w:tcW w:w="2425" w:type="dxa"/>
          </w:tcPr>
          <w:p w14:paraId="6BB41BFD" w14:textId="043445F5" w:rsidR="00AF4DB5" w:rsidRPr="00E55A89" w:rsidRDefault="00AF4DB5" w:rsidP="00AF4DB5">
            <w:pPr>
              <w:rPr>
                <w:rFonts w:eastAsiaTheme="minorEastAsia" w:cs="Times New Roman"/>
                <w:bCs/>
                <w:sz w:val="20"/>
                <w:szCs w:val="20"/>
              </w:rPr>
            </w:pPr>
            <w:r w:rsidRPr="00E55A89">
              <w:rPr>
                <w:rFonts w:eastAsiaTheme="minorEastAsia" w:cs="Times New Roman"/>
                <w:bCs/>
                <w:sz w:val="20"/>
                <w:szCs w:val="20"/>
              </w:rPr>
              <w:t>Readmission</w:t>
            </w:r>
          </w:p>
        </w:tc>
        <w:tc>
          <w:tcPr>
            <w:tcW w:w="1260" w:type="dxa"/>
            <w:vAlign w:val="center"/>
          </w:tcPr>
          <w:p w14:paraId="77A2A75A" w14:textId="1A68E181" w:rsidR="00AF4DB5" w:rsidRPr="00AF4DB5" w:rsidRDefault="00AF4DB5" w:rsidP="00AF4DB5">
            <w:pPr>
              <w:jc w:val="center"/>
              <w:rPr>
                <w:rFonts w:eastAsiaTheme="minorEastAsia" w:cs="Times New Roman"/>
                <w:bCs/>
                <w:sz w:val="18"/>
                <w:szCs w:val="18"/>
              </w:rPr>
            </w:pPr>
            <w:r w:rsidRPr="00AF4DB5">
              <w:rPr>
                <w:rFonts w:eastAsiaTheme="minorEastAsia" w:cs="Times New Roman"/>
                <w:bCs/>
                <w:sz w:val="18"/>
                <w:szCs w:val="18"/>
              </w:rPr>
              <w:t>294 (14.1)</w:t>
            </w:r>
          </w:p>
        </w:tc>
        <w:tc>
          <w:tcPr>
            <w:tcW w:w="1350" w:type="dxa"/>
            <w:vAlign w:val="center"/>
          </w:tcPr>
          <w:p w14:paraId="35FB1E02" w14:textId="49D2B8D4" w:rsidR="00AF4DB5" w:rsidRPr="00AF4DB5" w:rsidRDefault="00AF4DB5" w:rsidP="00AF4DB5">
            <w:pPr>
              <w:jc w:val="center"/>
              <w:rPr>
                <w:rFonts w:eastAsiaTheme="minorEastAsia" w:cs="Times New Roman"/>
                <w:bCs/>
                <w:sz w:val="18"/>
                <w:szCs w:val="18"/>
              </w:rPr>
            </w:pPr>
            <w:r w:rsidRPr="00AF4DB5">
              <w:rPr>
                <w:rFonts w:eastAsiaTheme="minorEastAsia" w:cs="Times New Roman"/>
                <w:bCs/>
                <w:sz w:val="18"/>
                <w:szCs w:val="18"/>
              </w:rPr>
              <w:t>497 (11.3)</w:t>
            </w:r>
          </w:p>
        </w:tc>
        <w:tc>
          <w:tcPr>
            <w:tcW w:w="1606" w:type="dxa"/>
            <w:vAlign w:val="center"/>
          </w:tcPr>
          <w:p w14:paraId="7DBB055E" w14:textId="70A1C204" w:rsidR="00AF4DB5" w:rsidRPr="00AF4DB5" w:rsidRDefault="00AF4DB5" w:rsidP="00AF4DB5">
            <w:pPr>
              <w:jc w:val="center"/>
              <w:rPr>
                <w:rFonts w:eastAsiaTheme="minorEastAsia" w:cs="Times New Roman"/>
                <w:bCs/>
                <w:sz w:val="18"/>
                <w:szCs w:val="18"/>
              </w:rPr>
            </w:pPr>
            <w:r w:rsidRPr="00AF4DB5">
              <w:rPr>
                <w:rFonts w:eastAsiaTheme="minorEastAsia" w:cs="Times New Roman"/>
                <w:bCs/>
                <w:sz w:val="18"/>
                <w:szCs w:val="18"/>
              </w:rPr>
              <w:t>0.99 (0.96-1.02)</w:t>
            </w:r>
          </w:p>
        </w:tc>
        <w:tc>
          <w:tcPr>
            <w:tcW w:w="1218" w:type="dxa"/>
            <w:vAlign w:val="center"/>
          </w:tcPr>
          <w:p w14:paraId="0AC9F4C4" w14:textId="519A1877" w:rsidR="00AF4DB5" w:rsidRPr="00AF4DB5" w:rsidRDefault="00AF4DB5" w:rsidP="00AF4DB5">
            <w:pPr>
              <w:jc w:val="center"/>
              <w:rPr>
                <w:rFonts w:eastAsiaTheme="minorEastAsia" w:cs="Times New Roman"/>
                <w:bCs/>
                <w:sz w:val="18"/>
                <w:szCs w:val="18"/>
              </w:rPr>
            </w:pPr>
            <w:r w:rsidRPr="00AF4DB5">
              <w:rPr>
                <w:rFonts w:eastAsiaTheme="minorEastAsia" w:cs="Times New Roman"/>
                <w:bCs/>
                <w:sz w:val="18"/>
                <w:szCs w:val="18"/>
              </w:rPr>
              <w:t>0.48</w:t>
            </w:r>
          </w:p>
        </w:tc>
        <w:tc>
          <w:tcPr>
            <w:tcW w:w="1586" w:type="dxa"/>
            <w:vAlign w:val="center"/>
          </w:tcPr>
          <w:p w14:paraId="00BFC25F" w14:textId="0194052C" w:rsidR="00AF4DB5" w:rsidRPr="00AF4DB5" w:rsidRDefault="00AF4DB5" w:rsidP="00AF4DB5">
            <w:pPr>
              <w:jc w:val="center"/>
              <w:rPr>
                <w:rFonts w:eastAsiaTheme="minorEastAsia" w:cs="Times New Roman"/>
                <w:bCs/>
                <w:sz w:val="18"/>
                <w:szCs w:val="18"/>
              </w:rPr>
            </w:pPr>
            <w:r w:rsidRPr="00AF4DB5">
              <w:rPr>
                <w:rFonts w:cs="Times New Roman"/>
                <w:sz w:val="18"/>
                <w:szCs w:val="18"/>
              </w:rPr>
              <w:t>1.00 (0.98–1.03)</w:t>
            </w:r>
          </w:p>
        </w:tc>
        <w:tc>
          <w:tcPr>
            <w:tcW w:w="985" w:type="dxa"/>
            <w:vAlign w:val="center"/>
          </w:tcPr>
          <w:p w14:paraId="57906EB5" w14:textId="0CB694AC" w:rsidR="00AF4DB5" w:rsidRPr="00AF4DB5" w:rsidRDefault="00AF4DB5" w:rsidP="00AF4DB5">
            <w:pPr>
              <w:jc w:val="center"/>
              <w:rPr>
                <w:rFonts w:eastAsiaTheme="minorEastAsia" w:cs="Times New Roman"/>
                <w:bCs/>
                <w:sz w:val="18"/>
                <w:szCs w:val="18"/>
              </w:rPr>
            </w:pPr>
            <w:r w:rsidRPr="00AF4DB5">
              <w:rPr>
                <w:rFonts w:ascii="Aptos" w:hAnsi="Aptos" w:cs="Times New Roman"/>
                <w:sz w:val="18"/>
                <w:szCs w:val="18"/>
              </w:rPr>
              <w:t>0.92</w:t>
            </w:r>
          </w:p>
        </w:tc>
      </w:tr>
      <w:tr w:rsidR="00AF4DB5" w14:paraId="3EA4F866" w14:textId="77777777" w:rsidTr="00A96723">
        <w:trPr>
          <w:cantSplit/>
        </w:trPr>
        <w:tc>
          <w:tcPr>
            <w:tcW w:w="2425" w:type="dxa"/>
          </w:tcPr>
          <w:p w14:paraId="5C8EA818" w14:textId="2FBDB10C" w:rsidR="00AF4DB5" w:rsidRPr="00E55A89" w:rsidRDefault="00AF4DB5" w:rsidP="00AF4DB5">
            <w:pPr>
              <w:rPr>
                <w:rFonts w:eastAsiaTheme="minorEastAsia" w:cs="Times New Roman"/>
                <w:bCs/>
                <w:sz w:val="20"/>
                <w:szCs w:val="20"/>
              </w:rPr>
            </w:pPr>
            <w:r w:rsidRPr="00E55A89">
              <w:rPr>
                <w:rFonts w:eastAsiaTheme="minorEastAsia" w:cs="Times New Roman"/>
                <w:bCs/>
                <w:sz w:val="20"/>
                <w:szCs w:val="20"/>
              </w:rPr>
              <w:t>Emergency department visit</w:t>
            </w:r>
          </w:p>
        </w:tc>
        <w:tc>
          <w:tcPr>
            <w:tcW w:w="1260" w:type="dxa"/>
            <w:vAlign w:val="center"/>
          </w:tcPr>
          <w:p w14:paraId="67D37E87" w14:textId="2EBC4785" w:rsidR="00AF4DB5" w:rsidRPr="00AF4DB5" w:rsidRDefault="00AF4DB5" w:rsidP="00AF4DB5">
            <w:pPr>
              <w:jc w:val="center"/>
              <w:rPr>
                <w:rFonts w:eastAsiaTheme="minorEastAsia" w:cs="Times New Roman"/>
                <w:bCs/>
                <w:sz w:val="18"/>
                <w:szCs w:val="18"/>
              </w:rPr>
            </w:pPr>
            <w:r w:rsidRPr="00AF4DB5">
              <w:rPr>
                <w:rFonts w:eastAsiaTheme="minorEastAsia" w:cs="Times New Roman"/>
                <w:bCs/>
                <w:sz w:val="18"/>
                <w:szCs w:val="18"/>
              </w:rPr>
              <w:t>238 (11.4)</w:t>
            </w:r>
          </w:p>
        </w:tc>
        <w:tc>
          <w:tcPr>
            <w:tcW w:w="1350" w:type="dxa"/>
            <w:vAlign w:val="center"/>
          </w:tcPr>
          <w:p w14:paraId="37A9EAC5" w14:textId="76E1A406" w:rsidR="00AF4DB5" w:rsidRPr="00AF4DB5" w:rsidRDefault="00AF4DB5" w:rsidP="00AF4DB5">
            <w:pPr>
              <w:jc w:val="center"/>
              <w:rPr>
                <w:rFonts w:eastAsiaTheme="minorEastAsia" w:cs="Times New Roman"/>
                <w:bCs/>
                <w:sz w:val="18"/>
                <w:szCs w:val="18"/>
              </w:rPr>
            </w:pPr>
            <w:r w:rsidRPr="00AF4DB5">
              <w:rPr>
                <w:rFonts w:eastAsiaTheme="minorEastAsia" w:cs="Times New Roman"/>
                <w:bCs/>
                <w:sz w:val="18"/>
                <w:szCs w:val="18"/>
              </w:rPr>
              <w:t>480 (10.9)</w:t>
            </w:r>
          </w:p>
        </w:tc>
        <w:tc>
          <w:tcPr>
            <w:tcW w:w="1606" w:type="dxa"/>
            <w:vAlign w:val="center"/>
          </w:tcPr>
          <w:p w14:paraId="0CA0465C" w14:textId="7F70ED8D" w:rsidR="00AF4DB5" w:rsidRPr="00AF4DB5" w:rsidRDefault="00AF4DB5" w:rsidP="00AF4DB5">
            <w:pPr>
              <w:jc w:val="center"/>
              <w:rPr>
                <w:rFonts w:eastAsiaTheme="minorEastAsia" w:cs="Times New Roman"/>
                <w:bCs/>
                <w:sz w:val="18"/>
                <w:szCs w:val="18"/>
              </w:rPr>
            </w:pPr>
            <w:r w:rsidRPr="00AF4DB5">
              <w:rPr>
                <w:rFonts w:eastAsiaTheme="minorEastAsia" w:cs="Times New Roman"/>
                <w:bCs/>
                <w:sz w:val="18"/>
                <w:szCs w:val="18"/>
              </w:rPr>
              <w:t>0.97 (0.94-1.00)</w:t>
            </w:r>
          </w:p>
        </w:tc>
        <w:tc>
          <w:tcPr>
            <w:tcW w:w="1218" w:type="dxa"/>
            <w:vAlign w:val="center"/>
          </w:tcPr>
          <w:p w14:paraId="7BB7F323" w14:textId="3A68179A" w:rsidR="00AF4DB5" w:rsidRPr="00AF4DB5" w:rsidRDefault="00AF4DB5" w:rsidP="00AF4DB5">
            <w:pPr>
              <w:jc w:val="center"/>
              <w:rPr>
                <w:rFonts w:eastAsiaTheme="minorEastAsia" w:cs="Times New Roman"/>
                <w:bCs/>
                <w:sz w:val="18"/>
                <w:szCs w:val="18"/>
              </w:rPr>
            </w:pPr>
            <w:r w:rsidRPr="00AF4DB5">
              <w:rPr>
                <w:rFonts w:eastAsiaTheme="minorEastAsia" w:cs="Times New Roman"/>
                <w:bCs/>
                <w:sz w:val="18"/>
                <w:szCs w:val="18"/>
              </w:rPr>
              <w:t>0.021</w:t>
            </w:r>
          </w:p>
        </w:tc>
        <w:tc>
          <w:tcPr>
            <w:tcW w:w="1586" w:type="dxa"/>
            <w:vAlign w:val="center"/>
          </w:tcPr>
          <w:p w14:paraId="5AF77D00" w14:textId="26972A2D" w:rsidR="00AF4DB5" w:rsidRPr="00AF4DB5" w:rsidRDefault="00AF4DB5" w:rsidP="00AF4DB5">
            <w:pPr>
              <w:jc w:val="center"/>
              <w:rPr>
                <w:rFonts w:eastAsiaTheme="minorEastAsia" w:cs="Times New Roman"/>
                <w:bCs/>
                <w:sz w:val="18"/>
                <w:szCs w:val="18"/>
              </w:rPr>
            </w:pPr>
            <w:r w:rsidRPr="00AF4DB5">
              <w:rPr>
                <w:rFonts w:cs="Times New Roman"/>
                <w:sz w:val="18"/>
                <w:szCs w:val="18"/>
              </w:rPr>
              <w:t>0.98 (0.95–1.01)</w:t>
            </w:r>
          </w:p>
        </w:tc>
        <w:tc>
          <w:tcPr>
            <w:tcW w:w="985" w:type="dxa"/>
            <w:vAlign w:val="center"/>
          </w:tcPr>
          <w:p w14:paraId="6383496E" w14:textId="5E97F0DE" w:rsidR="00AF4DB5" w:rsidRPr="00AF4DB5" w:rsidRDefault="00AF4DB5" w:rsidP="00AF4DB5">
            <w:pPr>
              <w:jc w:val="center"/>
              <w:rPr>
                <w:rFonts w:eastAsiaTheme="minorEastAsia" w:cs="Times New Roman"/>
                <w:bCs/>
                <w:sz w:val="18"/>
                <w:szCs w:val="18"/>
              </w:rPr>
            </w:pPr>
            <w:r w:rsidRPr="00AF4DB5">
              <w:rPr>
                <w:rFonts w:ascii="Aptos" w:hAnsi="Aptos" w:cs="Times New Roman"/>
                <w:sz w:val="18"/>
                <w:szCs w:val="18"/>
              </w:rPr>
              <w:t>0.166</w:t>
            </w:r>
          </w:p>
        </w:tc>
      </w:tr>
      <w:tr w:rsidR="00AF4DB5" w14:paraId="67F0E97E" w14:textId="77777777" w:rsidTr="00A96723">
        <w:trPr>
          <w:cantSplit/>
        </w:trPr>
        <w:tc>
          <w:tcPr>
            <w:tcW w:w="2425" w:type="dxa"/>
          </w:tcPr>
          <w:p w14:paraId="59DA290F" w14:textId="4B137F48" w:rsidR="00AF4DB5" w:rsidRPr="00E55A89" w:rsidRDefault="00AF4DB5" w:rsidP="00AF4DB5">
            <w:pPr>
              <w:rPr>
                <w:rFonts w:eastAsiaTheme="minorEastAsia" w:cs="Times New Roman"/>
                <w:bCs/>
                <w:sz w:val="20"/>
                <w:szCs w:val="20"/>
              </w:rPr>
            </w:pPr>
            <w:r w:rsidRPr="00E55A89">
              <w:rPr>
                <w:rFonts w:eastAsiaTheme="minorEastAsia" w:cs="Times New Roman"/>
                <w:bCs/>
                <w:sz w:val="20"/>
                <w:szCs w:val="20"/>
              </w:rPr>
              <w:t>Antibiotic-associated adverse event</w:t>
            </w:r>
          </w:p>
        </w:tc>
        <w:tc>
          <w:tcPr>
            <w:tcW w:w="1260" w:type="dxa"/>
            <w:vAlign w:val="center"/>
          </w:tcPr>
          <w:p w14:paraId="216613A5" w14:textId="237F941F" w:rsidR="00AF4DB5" w:rsidRPr="00AF4DB5" w:rsidRDefault="00AF4DB5" w:rsidP="00AF4DB5">
            <w:pPr>
              <w:jc w:val="center"/>
              <w:rPr>
                <w:rFonts w:eastAsiaTheme="minorEastAsia" w:cs="Times New Roman"/>
                <w:bCs/>
                <w:sz w:val="18"/>
                <w:szCs w:val="18"/>
              </w:rPr>
            </w:pPr>
            <w:r w:rsidRPr="00AF4DB5">
              <w:rPr>
                <w:rFonts w:eastAsiaTheme="minorEastAsia" w:cs="Times New Roman"/>
                <w:bCs/>
                <w:sz w:val="18"/>
                <w:szCs w:val="18"/>
              </w:rPr>
              <w:t>72 (3.4)</w:t>
            </w:r>
          </w:p>
        </w:tc>
        <w:tc>
          <w:tcPr>
            <w:tcW w:w="1350" w:type="dxa"/>
            <w:vAlign w:val="center"/>
          </w:tcPr>
          <w:p w14:paraId="640C69B2" w14:textId="6499BDF4" w:rsidR="00AF4DB5" w:rsidRPr="00AF4DB5" w:rsidRDefault="00AF4DB5" w:rsidP="00AF4DB5">
            <w:pPr>
              <w:jc w:val="center"/>
              <w:rPr>
                <w:rFonts w:eastAsiaTheme="minorEastAsia" w:cs="Times New Roman"/>
                <w:bCs/>
                <w:sz w:val="18"/>
                <w:szCs w:val="18"/>
              </w:rPr>
            </w:pPr>
            <w:r w:rsidRPr="00AF4DB5">
              <w:rPr>
                <w:rFonts w:eastAsiaTheme="minorEastAsia" w:cs="Times New Roman"/>
                <w:bCs/>
                <w:sz w:val="18"/>
                <w:szCs w:val="18"/>
              </w:rPr>
              <w:t>210 (4.8)</w:t>
            </w:r>
          </w:p>
        </w:tc>
        <w:tc>
          <w:tcPr>
            <w:tcW w:w="1606" w:type="dxa"/>
            <w:vAlign w:val="center"/>
          </w:tcPr>
          <w:p w14:paraId="4B3FB9D0" w14:textId="6AD70A9F" w:rsidR="00AF4DB5" w:rsidRPr="00AF4DB5" w:rsidRDefault="00AF4DB5" w:rsidP="00AF4DB5">
            <w:pPr>
              <w:jc w:val="center"/>
              <w:rPr>
                <w:rFonts w:eastAsiaTheme="minorEastAsia" w:cs="Times New Roman"/>
                <w:bCs/>
                <w:sz w:val="18"/>
                <w:szCs w:val="18"/>
              </w:rPr>
            </w:pPr>
            <w:r w:rsidRPr="00AF4DB5">
              <w:rPr>
                <w:rFonts w:eastAsiaTheme="minorEastAsia" w:cs="Times New Roman"/>
                <w:bCs/>
                <w:sz w:val="18"/>
                <w:szCs w:val="18"/>
              </w:rPr>
              <w:t>1.04 (1.01-1.07)</w:t>
            </w:r>
          </w:p>
        </w:tc>
        <w:tc>
          <w:tcPr>
            <w:tcW w:w="1218" w:type="dxa"/>
            <w:vAlign w:val="center"/>
          </w:tcPr>
          <w:p w14:paraId="66C84CD5" w14:textId="6005DE59" w:rsidR="00AF4DB5" w:rsidRPr="00AF4DB5" w:rsidRDefault="00AF4DB5" w:rsidP="00AF4DB5">
            <w:pPr>
              <w:jc w:val="center"/>
              <w:rPr>
                <w:rFonts w:eastAsiaTheme="minorEastAsia" w:cs="Times New Roman"/>
                <w:bCs/>
                <w:sz w:val="18"/>
                <w:szCs w:val="18"/>
              </w:rPr>
            </w:pPr>
            <w:r w:rsidRPr="00AF4DB5">
              <w:rPr>
                <w:rFonts w:eastAsiaTheme="minorEastAsia" w:cs="Times New Roman"/>
                <w:bCs/>
                <w:sz w:val="18"/>
                <w:szCs w:val="18"/>
              </w:rPr>
              <w:t>0.012</w:t>
            </w:r>
          </w:p>
        </w:tc>
        <w:tc>
          <w:tcPr>
            <w:tcW w:w="1586" w:type="dxa"/>
            <w:vAlign w:val="center"/>
          </w:tcPr>
          <w:p w14:paraId="2D387347" w14:textId="1039B4E0" w:rsidR="00AF4DB5" w:rsidRPr="00AF4DB5" w:rsidRDefault="00AF4DB5" w:rsidP="00AF4DB5">
            <w:pPr>
              <w:jc w:val="center"/>
              <w:rPr>
                <w:rFonts w:eastAsiaTheme="minorEastAsia" w:cs="Times New Roman"/>
                <w:bCs/>
                <w:sz w:val="18"/>
                <w:szCs w:val="18"/>
              </w:rPr>
            </w:pPr>
            <w:r w:rsidRPr="00AF4DB5">
              <w:rPr>
                <w:rFonts w:cs="Times New Roman"/>
                <w:sz w:val="18"/>
                <w:szCs w:val="18"/>
              </w:rPr>
              <w:t>1.03 (1.00–1.06)</w:t>
            </w:r>
          </w:p>
        </w:tc>
        <w:tc>
          <w:tcPr>
            <w:tcW w:w="985" w:type="dxa"/>
            <w:vAlign w:val="center"/>
          </w:tcPr>
          <w:p w14:paraId="69AB33D9" w14:textId="58567A79" w:rsidR="00AF4DB5" w:rsidRPr="00AF4DB5" w:rsidRDefault="00AF4DB5" w:rsidP="00AF4DB5">
            <w:pPr>
              <w:jc w:val="center"/>
              <w:rPr>
                <w:rFonts w:eastAsiaTheme="minorEastAsia" w:cs="Times New Roman"/>
                <w:bCs/>
                <w:sz w:val="18"/>
                <w:szCs w:val="18"/>
              </w:rPr>
            </w:pPr>
            <w:r w:rsidRPr="00AF4DB5">
              <w:rPr>
                <w:rFonts w:ascii="Aptos" w:hAnsi="Aptos" w:cs="Times New Roman"/>
                <w:b/>
                <w:bCs/>
                <w:sz w:val="18"/>
                <w:szCs w:val="18"/>
              </w:rPr>
              <w:t>0.038</w:t>
            </w:r>
          </w:p>
        </w:tc>
      </w:tr>
      <w:tr w:rsidR="00AF4DB5" w14:paraId="745FA06E" w14:textId="77777777" w:rsidTr="00A96723">
        <w:trPr>
          <w:cantSplit/>
        </w:trPr>
        <w:tc>
          <w:tcPr>
            <w:tcW w:w="2425" w:type="dxa"/>
          </w:tcPr>
          <w:p w14:paraId="24EC845F" w14:textId="0CC31AD8" w:rsidR="00AF4DB5" w:rsidRPr="00E55A89" w:rsidRDefault="00AF4DB5" w:rsidP="0087399E">
            <w:pPr>
              <w:ind w:left="288"/>
              <w:rPr>
                <w:rFonts w:eastAsiaTheme="minorEastAsia" w:cs="Times New Roman"/>
                <w:bCs/>
                <w:sz w:val="20"/>
                <w:szCs w:val="20"/>
              </w:rPr>
            </w:pPr>
            <w:r w:rsidRPr="00E55A89">
              <w:rPr>
                <w:rFonts w:eastAsiaTheme="minorEastAsia" w:cs="Times New Roman"/>
                <w:bCs/>
                <w:sz w:val="20"/>
                <w:szCs w:val="20"/>
              </w:rPr>
              <w:t>C. difficile infection</w:t>
            </w:r>
          </w:p>
        </w:tc>
        <w:tc>
          <w:tcPr>
            <w:tcW w:w="1260" w:type="dxa"/>
            <w:vAlign w:val="center"/>
          </w:tcPr>
          <w:p w14:paraId="209EE62A" w14:textId="49D0591D" w:rsidR="00AF4DB5" w:rsidRPr="00AF4DB5" w:rsidRDefault="00AF4DB5" w:rsidP="00AF4DB5">
            <w:pPr>
              <w:jc w:val="center"/>
              <w:rPr>
                <w:rFonts w:eastAsiaTheme="minorEastAsia" w:cs="Times New Roman"/>
                <w:bCs/>
                <w:sz w:val="18"/>
                <w:szCs w:val="18"/>
              </w:rPr>
            </w:pPr>
            <w:r w:rsidRPr="00AF4DB5">
              <w:rPr>
                <w:rFonts w:eastAsiaTheme="minorEastAsia" w:cs="Times New Roman"/>
                <w:bCs/>
                <w:sz w:val="18"/>
                <w:szCs w:val="18"/>
              </w:rPr>
              <w:t>11 (0.5)</w:t>
            </w:r>
          </w:p>
        </w:tc>
        <w:tc>
          <w:tcPr>
            <w:tcW w:w="1350" w:type="dxa"/>
            <w:vAlign w:val="center"/>
          </w:tcPr>
          <w:p w14:paraId="0AF08ED6" w14:textId="2F3E6DF7" w:rsidR="00AF4DB5" w:rsidRPr="00AF4DB5" w:rsidRDefault="00AF4DB5" w:rsidP="00AF4DB5">
            <w:pPr>
              <w:jc w:val="center"/>
              <w:rPr>
                <w:rFonts w:eastAsiaTheme="minorEastAsia" w:cs="Times New Roman"/>
                <w:bCs/>
                <w:sz w:val="18"/>
                <w:szCs w:val="18"/>
              </w:rPr>
            </w:pPr>
            <w:r w:rsidRPr="00AF4DB5">
              <w:rPr>
                <w:rFonts w:eastAsiaTheme="minorEastAsia" w:cs="Times New Roman"/>
                <w:bCs/>
                <w:sz w:val="18"/>
                <w:szCs w:val="18"/>
              </w:rPr>
              <w:t>22 (0.5)</w:t>
            </w:r>
          </w:p>
        </w:tc>
        <w:tc>
          <w:tcPr>
            <w:tcW w:w="1606" w:type="dxa"/>
            <w:vAlign w:val="center"/>
          </w:tcPr>
          <w:p w14:paraId="49A45659" w14:textId="4B67AACF" w:rsidR="00AF4DB5" w:rsidRPr="00AF4DB5" w:rsidRDefault="00AF4DB5" w:rsidP="00AF4DB5">
            <w:pPr>
              <w:jc w:val="center"/>
              <w:rPr>
                <w:rFonts w:eastAsiaTheme="minorEastAsia" w:cs="Times New Roman"/>
                <w:bCs/>
                <w:sz w:val="18"/>
                <w:szCs w:val="18"/>
              </w:rPr>
            </w:pPr>
            <w:r w:rsidRPr="00AF4DB5">
              <w:rPr>
                <w:rFonts w:eastAsiaTheme="minorEastAsia" w:cs="Times New Roman"/>
                <w:bCs/>
                <w:sz w:val="18"/>
                <w:szCs w:val="18"/>
              </w:rPr>
              <w:t>0.92 (0.81-1.05)</w:t>
            </w:r>
          </w:p>
        </w:tc>
        <w:tc>
          <w:tcPr>
            <w:tcW w:w="1218" w:type="dxa"/>
            <w:vAlign w:val="center"/>
          </w:tcPr>
          <w:p w14:paraId="40916D6C" w14:textId="2100D9ED" w:rsidR="00AF4DB5" w:rsidRPr="00AF4DB5" w:rsidRDefault="00AF4DB5" w:rsidP="00AF4DB5">
            <w:pPr>
              <w:jc w:val="center"/>
              <w:rPr>
                <w:rFonts w:eastAsiaTheme="minorEastAsia" w:cs="Times New Roman"/>
                <w:bCs/>
                <w:sz w:val="18"/>
                <w:szCs w:val="18"/>
              </w:rPr>
            </w:pPr>
            <w:r w:rsidRPr="00AF4DB5">
              <w:rPr>
                <w:rFonts w:eastAsiaTheme="minorEastAsia" w:cs="Times New Roman"/>
                <w:bCs/>
                <w:sz w:val="18"/>
                <w:szCs w:val="18"/>
              </w:rPr>
              <w:t>0.21</w:t>
            </w:r>
          </w:p>
        </w:tc>
        <w:tc>
          <w:tcPr>
            <w:tcW w:w="1586" w:type="dxa"/>
            <w:vAlign w:val="center"/>
          </w:tcPr>
          <w:p w14:paraId="261FA0F4" w14:textId="10DCC105" w:rsidR="00AF4DB5" w:rsidRPr="00AF4DB5" w:rsidRDefault="00AF4DB5" w:rsidP="00AF4DB5">
            <w:pPr>
              <w:jc w:val="center"/>
              <w:rPr>
                <w:rFonts w:eastAsiaTheme="minorEastAsia" w:cs="Times New Roman"/>
                <w:bCs/>
                <w:sz w:val="18"/>
                <w:szCs w:val="18"/>
              </w:rPr>
            </w:pPr>
            <w:r w:rsidRPr="00AF4DB5">
              <w:rPr>
                <w:rFonts w:cs="Times New Roman"/>
                <w:sz w:val="18"/>
                <w:szCs w:val="18"/>
              </w:rPr>
              <w:t>0.93 (0.81–1.07)</w:t>
            </w:r>
          </w:p>
        </w:tc>
        <w:tc>
          <w:tcPr>
            <w:tcW w:w="985" w:type="dxa"/>
            <w:vAlign w:val="center"/>
          </w:tcPr>
          <w:p w14:paraId="266E6684" w14:textId="4A21CBB6" w:rsidR="00AF4DB5" w:rsidRPr="00AF4DB5" w:rsidRDefault="00AF4DB5" w:rsidP="00AF4DB5">
            <w:pPr>
              <w:jc w:val="center"/>
              <w:rPr>
                <w:rFonts w:eastAsiaTheme="minorEastAsia" w:cs="Times New Roman"/>
                <w:bCs/>
                <w:sz w:val="18"/>
                <w:szCs w:val="18"/>
              </w:rPr>
            </w:pPr>
            <w:r w:rsidRPr="00AF4DB5">
              <w:rPr>
                <w:rFonts w:ascii="Aptos" w:hAnsi="Aptos" w:cs="Times New Roman"/>
                <w:sz w:val="18"/>
                <w:szCs w:val="18"/>
              </w:rPr>
              <w:t>0.30</w:t>
            </w:r>
          </w:p>
        </w:tc>
      </w:tr>
      <w:tr w:rsidR="00AF4DB5" w14:paraId="3A6BFBC1" w14:textId="77777777" w:rsidTr="00A96723">
        <w:trPr>
          <w:cantSplit/>
        </w:trPr>
        <w:tc>
          <w:tcPr>
            <w:tcW w:w="2425" w:type="dxa"/>
          </w:tcPr>
          <w:p w14:paraId="6BD13805" w14:textId="6FB6D1C0" w:rsidR="00AF4DB5" w:rsidRPr="00E55A89" w:rsidRDefault="00AF4DB5" w:rsidP="0087399E">
            <w:pPr>
              <w:ind w:left="288"/>
              <w:rPr>
                <w:rFonts w:eastAsiaTheme="minorEastAsia" w:cs="Times New Roman"/>
                <w:bCs/>
                <w:sz w:val="20"/>
                <w:szCs w:val="20"/>
              </w:rPr>
            </w:pPr>
            <w:r w:rsidRPr="00E55A89">
              <w:rPr>
                <w:rFonts w:eastAsiaTheme="minorEastAsia" w:cs="Times New Roman"/>
                <w:bCs/>
                <w:sz w:val="20"/>
                <w:szCs w:val="20"/>
              </w:rPr>
              <w:t>Provider-documented</w:t>
            </w:r>
          </w:p>
        </w:tc>
        <w:tc>
          <w:tcPr>
            <w:tcW w:w="1260" w:type="dxa"/>
            <w:vAlign w:val="center"/>
          </w:tcPr>
          <w:p w14:paraId="545EFE51" w14:textId="6197ABFA" w:rsidR="00AF4DB5" w:rsidRPr="00AF4DB5" w:rsidRDefault="00AF4DB5" w:rsidP="00AF4DB5">
            <w:pPr>
              <w:jc w:val="center"/>
              <w:rPr>
                <w:rFonts w:eastAsiaTheme="minorEastAsia" w:cs="Times New Roman"/>
                <w:bCs/>
                <w:sz w:val="18"/>
                <w:szCs w:val="18"/>
              </w:rPr>
            </w:pPr>
            <w:r w:rsidRPr="00AF4DB5">
              <w:rPr>
                <w:rFonts w:eastAsiaTheme="minorEastAsia" w:cs="Times New Roman"/>
                <w:bCs/>
                <w:sz w:val="18"/>
                <w:szCs w:val="18"/>
              </w:rPr>
              <w:t>32 (2.1)</w:t>
            </w:r>
          </w:p>
        </w:tc>
        <w:tc>
          <w:tcPr>
            <w:tcW w:w="1350" w:type="dxa"/>
            <w:vAlign w:val="center"/>
          </w:tcPr>
          <w:p w14:paraId="5B4F55D8" w14:textId="6C2F22EC" w:rsidR="00AF4DB5" w:rsidRPr="00AF4DB5" w:rsidRDefault="00AF4DB5" w:rsidP="00AF4DB5">
            <w:pPr>
              <w:jc w:val="center"/>
              <w:rPr>
                <w:rFonts w:eastAsiaTheme="minorEastAsia" w:cs="Times New Roman"/>
                <w:bCs/>
                <w:sz w:val="18"/>
                <w:szCs w:val="18"/>
              </w:rPr>
            </w:pPr>
            <w:r w:rsidRPr="00AF4DB5">
              <w:rPr>
                <w:rFonts w:eastAsiaTheme="minorEastAsia" w:cs="Times New Roman"/>
                <w:bCs/>
                <w:sz w:val="18"/>
                <w:szCs w:val="18"/>
              </w:rPr>
              <w:t>87 (2.0)</w:t>
            </w:r>
          </w:p>
        </w:tc>
        <w:tc>
          <w:tcPr>
            <w:tcW w:w="1606" w:type="dxa"/>
            <w:vAlign w:val="center"/>
          </w:tcPr>
          <w:p w14:paraId="0D9D394E" w14:textId="092977F8" w:rsidR="00AF4DB5" w:rsidRPr="00AF4DB5" w:rsidRDefault="00AF4DB5" w:rsidP="00AF4DB5">
            <w:pPr>
              <w:jc w:val="center"/>
              <w:rPr>
                <w:rFonts w:eastAsiaTheme="minorEastAsia" w:cs="Times New Roman"/>
                <w:bCs/>
                <w:sz w:val="18"/>
                <w:szCs w:val="18"/>
              </w:rPr>
            </w:pPr>
            <w:r w:rsidRPr="00AF4DB5">
              <w:rPr>
                <w:rFonts w:eastAsiaTheme="minorEastAsia" w:cs="Times New Roman"/>
                <w:bCs/>
                <w:sz w:val="18"/>
                <w:szCs w:val="18"/>
              </w:rPr>
              <w:t>1.00 (0.94-1.05)</w:t>
            </w:r>
          </w:p>
        </w:tc>
        <w:tc>
          <w:tcPr>
            <w:tcW w:w="1218" w:type="dxa"/>
            <w:vAlign w:val="center"/>
          </w:tcPr>
          <w:p w14:paraId="63AC2626" w14:textId="151EBFF3" w:rsidR="00AF4DB5" w:rsidRPr="00AF4DB5" w:rsidRDefault="00AF4DB5" w:rsidP="00AF4DB5">
            <w:pPr>
              <w:jc w:val="center"/>
              <w:rPr>
                <w:rFonts w:eastAsiaTheme="minorEastAsia" w:cs="Times New Roman"/>
                <w:bCs/>
                <w:sz w:val="18"/>
                <w:szCs w:val="18"/>
              </w:rPr>
            </w:pPr>
            <w:r w:rsidRPr="00AF4DB5">
              <w:rPr>
                <w:rFonts w:eastAsiaTheme="minorEastAsia" w:cs="Times New Roman"/>
                <w:bCs/>
                <w:sz w:val="18"/>
                <w:szCs w:val="18"/>
              </w:rPr>
              <w:t>0.86</w:t>
            </w:r>
          </w:p>
        </w:tc>
        <w:tc>
          <w:tcPr>
            <w:tcW w:w="1586" w:type="dxa"/>
            <w:vAlign w:val="center"/>
          </w:tcPr>
          <w:p w14:paraId="5E405E36" w14:textId="7FE58B28" w:rsidR="00AF4DB5" w:rsidRPr="00AF4DB5" w:rsidRDefault="00AF4DB5" w:rsidP="00AF4DB5">
            <w:pPr>
              <w:jc w:val="center"/>
              <w:rPr>
                <w:rFonts w:eastAsiaTheme="minorEastAsia" w:cs="Times New Roman"/>
                <w:bCs/>
                <w:sz w:val="18"/>
                <w:szCs w:val="18"/>
              </w:rPr>
            </w:pPr>
            <w:r w:rsidRPr="00AF4DB5">
              <w:rPr>
                <w:rFonts w:cs="Times New Roman"/>
                <w:sz w:val="18"/>
                <w:szCs w:val="18"/>
              </w:rPr>
              <w:t>0.99 (0.94–1.05)</w:t>
            </w:r>
          </w:p>
        </w:tc>
        <w:tc>
          <w:tcPr>
            <w:tcW w:w="985" w:type="dxa"/>
            <w:vAlign w:val="center"/>
          </w:tcPr>
          <w:p w14:paraId="666B38B9" w14:textId="08AC7B5A" w:rsidR="00AF4DB5" w:rsidRPr="00AF4DB5" w:rsidRDefault="00AF4DB5" w:rsidP="00AF4DB5">
            <w:pPr>
              <w:jc w:val="center"/>
              <w:rPr>
                <w:rFonts w:eastAsiaTheme="minorEastAsia" w:cs="Times New Roman"/>
                <w:bCs/>
                <w:sz w:val="18"/>
                <w:szCs w:val="18"/>
              </w:rPr>
            </w:pPr>
            <w:r w:rsidRPr="00AF4DB5">
              <w:rPr>
                <w:rFonts w:ascii="Aptos" w:hAnsi="Aptos" w:cs="Times New Roman"/>
                <w:sz w:val="18"/>
                <w:szCs w:val="18"/>
              </w:rPr>
              <w:t>0.85</w:t>
            </w:r>
          </w:p>
        </w:tc>
      </w:tr>
      <w:tr w:rsidR="00AF4DB5" w14:paraId="0DCEACA7" w14:textId="77777777" w:rsidTr="00A96723">
        <w:trPr>
          <w:cantSplit/>
        </w:trPr>
        <w:tc>
          <w:tcPr>
            <w:tcW w:w="2425" w:type="dxa"/>
          </w:tcPr>
          <w:p w14:paraId="0FC540A8" w14:textId="592766F1" w:rsidR="00AF4DB5" w:rsidRPr="00E55A89" w:rsidRDefault="00AF4DB5" w:rsidP="0087399E">
            <w:pPr>
              <w:ind w:left="288"/>
              <w:rPr>
                <w:rFonts w:eastAsiaTheme="minorEastAsia" w:cs="Times New Roman"/>
                <w:bCs/>
                <w:sz w:val="20"/>
                <w:szCs w:val="20"/>
              </w:rPr>
            </w:pPr>
            <w:r w:rsidRPr="00E55A89">
              <w:rPr>
                <w:rFonts w:eastAsiaTheme="minorEastAsia" w:cs="Times New Roman"/>
                <w:bCs/>
                <w:sz w:val="20"/>
                <w:szCs w:val="20"/>
              </w:rPr>
              <w:t>Patient-reported</w:t>
            </w:r>
          </w:p>
        </w:tc>
        <w:tc>
          <w:tcPr>
            <w:tcW w:w="1260" w:type="dxa"/>
            <w:vAlign w:val="center"/>
          </w:tcPr>
          <w:p w14:paraId="1D4E2BF9" w14:textId="09FF7B62" w:rsidR="00AF4DB5" w:rsidRPr="00AF4DB5" w:rsidRDefault="00AF4DB5" w:rsidP="00AF4DB5">
            <w:pPr>
              <w:jc w:val="center"/>
              <w:rPr>
                <w:rFonts w:eastAsiaTheme="minorEastAsia" w:cs="Times New Roman"/>
                <w:bCs/>
                <w:sz w:val="18"/>
                <w:szCs w:val="18"/>
              </w:rPr>
            </w:pPr>
            <w:r w:rsidRPr="00AF4DB5">
              <w:rPr>
                <w:rFonts w:eastAsiaTheme="minorEastAsia" w:cs="Times New Roman"/>
                <w:bCs/>
                <w:sz w:val="18"/>
                <w:szCs w:val="18"/>
              </w:rPr>
              <w:t>26/1132 (2.3)</w:t>
            </w:r>
          </w:p>
        </w:tc>
        <w:tc>
          <w:tcPr>
            <w:tcW w:w="1350" w:type="dxa"/>
            <w:vAlign w:val="center"/>
          </w:tcPr>
          <w:p w14:paraId="5AF9B91C" w14:textId="0C7C8A12" w:rsidR="00AF4DB5" w:rsidRPr="00AF4DB5" w:rsidRDefault="00AF4DB5" w:rsidP="00AF4DB5">
            <w:pPr>
              <w:jc w:val="center"/>
              <w:rPr>
                <w:rFonts w:eastAsiaTheme="minorEastAsia" w:cs="Times New Roman"/>
                <w:bCs/>
                <w:sz w:val="18"/>
                <w:szCs w:val="18"/>
              </w:rPr>
            </w:pPr>
            <w:r w:rsidRPr="00AF4DB5">
              <w:rPr>
                <w:rFonts w:eastAsiaTheme="minorEastAsia" w:cs="Times New Roman"/>
                <w:bCs/>
                <w:sz w:val="18"/>
                <w:szCs w:val="18"/>
              </w:rPr>
              <w:t>114/2460 (4.6)</w:t>
            </w:r>
          </w:p>
        </w:tc>
        <w:tc>
          <w:tcPr>
            <w:tcW w:w="1606" w:type="dxa"/>
            <w:vAlign w:val="center"/>
          </w:tcPr>
          <w:p w14:paraId="393F5637" w14:textId="59C323D1" w:rsidR="00AF4DB5" w:rsidRPr="00AF4DB5" w:rsidRDefault="00AF4DB5" w:rsidP="00AF4DB5">
            <w:pPr>
              <w:jc w:val="center"/>
              <w:rPr>
                <w:rFonts w:eastAsiaTheme="minorEastAsia" w:cs="Times New Roman"/>
                <w:bCs/>
                <w:sz w:val="18"/>
                <w:szCs w:val="18"/>
              </w:rPr>
            </w:pPr>
            <w:r w:rsidRPr="00AF4DB5">
              <w:rPr>
                <w:rFonts w:eastAsiaTheme="minorEastAsia" w:cs="Times New Roman"/>
                <w:bCs/>
                <w:sz w:val="18"/>
                <w:szCs w:val="18"/>
              </w:rPr>
              <w:t>1.05 (1.02-1.08)</w:t>
            </w:r>
          </w:p>
        </w:tc>
        <w:tc>
          <w:tcPr>
            <w:tcW w:w="1218" w:type="dxa"/>
            <w:vAlign w:val="center"/>
          </w:tcPr>
          <w:p w14:paraId="4DDB5D29" w14:textId="245CF79F" w:rsidR="00AF4DB5" w:rsidRPr="00AF4DB5" w:rsidRDefault="00AF4DB5" w:rsidP="00AF4DB5">
            <w:pPr>
              <w:jc w:val="center"/>
              <w:rPr>
                <w:rFonts w:eastAsiaTheme="minorEastAsia" w:cs="Times New Roman"/>
                <w:bCs/>
                <w:sz w:val="18"/>
                <w:szCs w:val="18"/>
              </w:rPr>
            </w:pPr>
            <w:r w:rsidRPr="00AF4DB5">
              <w:rPr>
                <w:rFonts w:eastAsiaTheme="minorEastAsia" w:cs="Times New Roman"/>
                <w:bCs/>
                <w:sz w:val="18"/>
                <w:szCs w:val="18"/>
              </w:rPr>
              <w:t>&lt;0.001</w:t>
            </w:r>
          </w:p>
        </w:tc>
        <w:tc>
          <w:tcPr>
            <w:tcW w:w="1586" w:type="dxa"/>
            <w:vAlign w:val="center"/>
          </w:tcPr>
          <w:p w14:paraId="7391DE49" w14:textId="241877C7" w:rsidR="00AF4DB5" w:rsidRPr="00AF4DB5" w:rsidRDefault="00AF4DB5" w:rsidP="00AF4DB5">
            <w:pPr>
              <w:jc w:val="center"/>
              <w:rPr>
                <w:rFonts w:eastAsiaTheme="minorEastAsia" w:cs="Times New Roman"/>
                <w:bCs/>
                <w:sz w:val="18"/>
                <w:szCs w:val="18"/>
              </w:rPr>
            </w:pPr>
            <w:r w:rsidRPr="00AF4DB5">
              <w:rPr>
                <w:rFonts w:cs="Times New Roman"/>
                <w:sz w:val="18"/>
                <w:szCs w:val="18"/>
              </w:rPr>
              <w:t>1.05 (1.02–1.08)</w:t>
            </w:r>
          </w:p>
        </w:tc>
        <w:tc>
          <w:tcPr>
            <w:tcW w:w="985" w:type="dxa"/>
            <w:vAlign w:val="center"/>
          </w:tcPr>
          <w:p w14:paraId="3E09820B" w14:textId="44E94A84" w:rsidR="00AF4DB5" w:rsidRPr="00AF4DB5" w:rsidRDefault="00AF4DB5" w:rsidP="00AF4DB5">
            <w:pPr>
              <w:jc w:val="center"/>
              <w:rPr>
                <w:rFonts w:eastAsiaTheme="minorEastAsia" w:cs="Times New Roman"/>
                <w:bCs/>
                <w:sz w:val="18"/>
                <w:szCs w:val="18"/>
              </w:rPr>
            </w:pPr>
            <w:r w:rsidRPr="00AF4DB5">
              <w:rPr>
                <w:rFonts w:ascii="Aptos" w:hAnsi="Aptos" w:cs="Times New Roman"/>
                <w:b/>
                <w:bCs/>
                <w:sz w:val="18"/>
                <w:szCs w:val="18"/>
              </w:rPr>
              <w:t>0.001</w:t>
            </w:r>
          </w:p>
        </w:tc>
      </w:tr>
      <w:tr w:rsidR="00AF4DB5" w14:paraId="1C42F4A8" w14:textId="77777777" w:rsidTr="00A96723">
        <w:trPr>
          <w:cantSplit/>
        </w:trPr>
        <w:tc>
          <w:tcPr>
            <w:tcW w:w="2425" w:type="dxa"/>
          </w:tcPr>
          <w:p w14:paraId="203A6290" w14:textId="7A8F2DCC" w:rsidR="00AF4DB5" w:rsidRPr="00E55A89" w:rsidRDefault="00AF4DB5" w:rsidP="00AF4DB5">
            <w:pPr>
              <w:rPr>
                <w:rFonts w:eastAsiaTheme="minorEastAsia" w:cs="Times New Roman"/>
                <w:bCs/>
                <w:sz w:val="20"/>
                <w:szCs w:val="20"/>
              </w:rPr>
            </w:pPr>
            <w:r w:rsidRPr="00E55A89">
              <w:rPr>
                <w:rFonts w:eastAsiaTheme="minorEastAsia" w:cs="Times New Roman"/>
                <w:bCs/>
                <w:sz w:val="20"/>
                <w:szCs w:val="20"/>
              </w:rPr>
              <w:t>Composite adverse outcome</w:t>
            </w:r>
          </w:p>
        </w:tc>
        <w:tc>
          <w:tcPr>
            <w:tcW w:w="1260" w:type="dxa"/>
            <w:vAlign w:val="center"/>
          </w:tcPr>
          <w:p w14:paraId="7AE3F557" w14:textId="40114D49" w:rsidR="00AF4DB5" w:rsidRPr="00AF4DB5" w:rsidRDefault="00AF4DB5" w:rsidP="00AF4DB5">
            <w:pPr>
              <w:jc w:val="center"/>
              <w:rPr>
                <w:rFonts w:eastAsiaTheme="minorEastAsia" w:cs="Times New Roman"/>
                <w:bCs/>
                <w:sz w:val="18"/>
                <w:szCs w:val="18"/>
              </w:rPr>
            </w:pPr>
            <w:r w:rsidRPr="00AF4DB5">
              <w:rPr>
                <w:rFonts w:eastAsiaTheme="minorEastAsia" w:cs="Times New Roman"/>
                <w:bCs/>
                <w:sz w:val="18"/>
                <w:szCs w:val="18"/>
              </w:rPr>
              <w:t>499 (23.9)</w:t>
            </w:r>
          </w:p>
        </w:tc>
        <w:tc>
          <w:tcPr>
            <w:tcW w:w="1350" w:type="dxa"/>
            <w:vAlign w:val="center"/>
          </w:tcPr>
          <w:p w14:paraId="1648124E" w14:textId="370CF171" w:rsidR="00AF4DB5" w:rsidRPr="00AF4DB5" w:rsidRDefault="00AF4DB5" w:rsidP="00AF4DB5">
            <w:pPr>
              <w:jc w:val="center"/>
              <w:rPr>
                <w:rFonts w:eastAsiaTheme="minorEastAsia" w:cs="Times New Roman"/>
                <w:bCs/>
                <w:sz w:val="18"/>
                <w:szCs w:val="18"/>
              </w:rPr>
            </w:pPr>
            <w:r w:rsidRPr="00AF4DB5">
              <w:rPr>
                <w:rFonts w:eastAsiaTheme="minorEastAsia" w:cs="Times New Roman"/>
                <w:bCs/>
                <w:sz w:val="18"/>
                <w:szCs w:val="18"/>
              </w:rPr>
              <w:t>897 (20.4)</w:t>
            </w:r>
          </w:p>
        </w:tc>
        <w:tc>
          <w:tcPr>
            <w:tcW w:w="1606" w:type="dxa"/>
            <w:vAlign w:val="center"/>
          </w:tcPr>
          <w:p w14:paraId="65F2EC03" w14:textId="6324F17A" w:rsidR="00AF4DB5" w:rsidRPr="00AF4DB5" w:rsidRDefault="00AF4DB5" w:rsidP="00AF4DB5">
            <w:pPr>
              <w:jc w:val="center"/>
              <w:rPr>
                <w:rFonts w:eastAsiaTheme="minorEastAsia" w:cs="Times New Roman"/>
                <w:bCs/>
                <w:sz w:val="18"/>
                <w:szCs w:val="18"/>
              </w:rPr>
            </w:pPr>
            <w:r w:rsidRPr="00AF4DB5">
              <w:rPr>
                <w:rFonts w:eastAsiaTheme="minorEastAsia" w:cs="Times New Roman"/>
                <w:bCs/>
                <w:sz w:val="18"/>
                <w:szCs w:val="18"/>
              </w:rPr>
              <w:t>0.98 (0.96-1.00)</w:t>
            </w:r>
          </w:p>
        </w:tc>
        <w:tc>
          <w:tcPr>
            <w:tcW w:w="1218" w:type="dxa"/>
            <w:vAlign w:val="center"/>
          </w:tcPr>
          <w:p w14:paraId="33551957" w14:textId="239846FD" w:rsidR="00AF4DB5" w:rsidRPr="00AF4DB5" w:rsidRDefault="00AF4DB5" w:rsidP="00AF4DB5">
            <w:pPr>
              <w:jc w:val="center"/>
              <w:rPr>
                <w:rFonts w:eastAsiaTheme="minorEastAsia" w:cs="Times New Roman"/>
                <w:bCs/>
                <w:sz w:val="18"/>
                <w:szCs w:val="18"/>
              </w:rPr>
            </w:pPr>
            <w:r w:rsidRPr="00AF4DB5">
              <w:rPr>
                <w:rFonts w:eastAsiaTheme="minorEastAsia" w:cs="Times New Roman"/>
                <w:bCs/>
                <w:sz w:val="18"/>
                <w:szCs w:val="18"/>
              </w:rPr>
              <w:t>0.078</w:t>
            </w:r>
          </w:p>
        </w:tc>
        <w:tc>
          <w:tcPr>
            <w:tcW w:w="1586" w:type="dxa"/>
            <w:vAlign w:val="center"/>
          </w:tcPr>
          <w:p w14:paraId="62B9E7CF" w14:textId="59B7E149" w:rsidR="00AF4DB5" w:rsidRPr="00AF4DB5" w:rsidRDefault="00AF4DB5" w:rsidP="00AF4DB5">
            <w:pPr>
              <w:jc w:val="center"/>
              <w:rPr>
                <w:rFonts w:eastAsiaTheme="minorEastAsia" w:cs="Times New Roman"/>
                <w:bCs/>
                <w:sz w:val="18"/>
                <w:szCs w:val="18"/>
              </w:rPr>
            </w:pPr>
            <w:r w:rsidRPr="00AF4DB5">
              <w:rPr>
                <w:rFonts w:cs="Times New Roman"/>
                <w:sz w:val="18"/>
                <w:szCs w:val="18"/>
              </w:rPr>
              <w:t>0.99 (0.97–1.01)</w:t>
            </w:r>
          </w:p>
        </w:tc>
        <w:tc>
          <w:tcPr>
            <w:tcW w:w="985" w:type="dxa"/>
            <w:vAlign w:val="center"/>
          </w:tcPr>
          <w:p w14:paraId="10FEDBCD" w14:textId="5896ACFD" w:rsidR="00AF4DB5" w:rsidRPr="00AF4DB5" w:rsidRDefault="00AF4DB5" w:rsidP="00AF4DB5">
            <w:pPr>
              <w:jc w:val="center"/>
              <w:rPr>
                <w:rFonts w:eastAsiaTheme="minorEastAsia" w:cs="Times New Roman"/>
                <w:bCs/>
                <w:sz w:val="18"/>
                <w:szCs w:val="18"/>
              </w:rPr>
            </w:pPr>
            <w:r w:rsidRPr="00AF4DB5">
              <w:rPr>
                <w:rFonts w:ascii="Aptos" w:hAnsi="Aptos" w:cs="Times New Roman"/>
                <w:sz w:val="18"/>
                <w:szCs w:val="18"/>
              </w:rPr>
              <w:t>0.40</w:t>
            </w:r>
          </w:p>
        </w:tc>
      </w:tr>
    </w:tbl>
    <w:p w14:paraId="6D1A1777" w14:textId="77777777" w:rsidR="0062202B" w:rsidRPr="00AF4DB5" w:rsidRDefault="0062202B" w:rsidP="0062202B">
      <w:pPr>
        <w:spacing w:after="0" w:line="240" w:lineRule="auto"/>
        <w:rPr>
          <w:rFonts w:cs="Times New Roman"/>
          <w:sz w:val="18"/>
          <w:szCs w:val="18"/>
        </w:rPr>
      </w:pPr>
      <w:r w:rsidRPr="00AF4DB5">
        <w:rPr>
          <w:rFonts w:cs="Times New Roman"/>
          <w:sz w:val="18"/>
          <w:szCs w:val="18"/>
        </w:rPr>
        <w:t>OR = odds ratio.</w:t>
      </w:r>
    </w:p>
    <w:p w14:paraId="1D031BD4" w14:textId="77777777" w:rsidR="0062202B" w:rsidRPr="00AF4DB5" w:rsidRDefault="0062202B" w:rsidP="0062202B">
      <w:pPr>
        <w:spacing w:after="0" w:line="240" w:lineRule="auto"/>
        <w:rPr>
          <w:rFonts w:eastAsiaTheme="minorEastAsia" w:cs="Times New Roman"/>
          <w:bCs/>
          <w:iCs/>
          <w:sz w:val="18"/>
          <w:szCs w:val="18"/>
        </w:rPr>
      </w:pPr>
      <w:r w:rsidRPr="00AF4DB5">
        <w:rPr>
          <w:rFonts w:cs="Times New Roman"/>
          <w:sz w:val="18"/>
          <w:szCs w:val="18"/>
        </w:rPr>
        <w:t>Outcomes were collected via the medical record and a follow-up telephone call at 30 d, and their associations with number of excess days of antibiotic treatment are shown. Outcomes were adjusted for hospital clustering, were inverse probability of treatment weighted, and were adjusted for known predictors of the outcome.</w:t>
      </w:r>
    </w:p>
    <w:p w14:paraId="4F4FE96B" w14:textId="1A00A946" w:rsidR="00250AC3" w:rsidRPr="00AF4DB5" w:rsidRDefault="0062202B" w:rsidP="0062202B">
      <w:pPr>
        <w:rPr>
          <w:sz w:val="18"/>
          <w:szCs w:val="18"/>
        </w:rPr>
      </w:pPr>
      <w:r w:rsidRPr="00AF4DB5">
        <w:rPr>
          <w:rFonts w:cs="Times New Roman"/>
          <w:sz w:val="18"/>
          <w:szCs w:val="18"/>
        </w:rPr>
        <w:t>*Proportions shown are among patients who were able to be reached by telephon</w:t>
      </w:r>
      <w:r w:rsidR="00E55A89" w:rsidRPr="00AF4DB5">
        <w:rPr>
          <w:rFonts w:cs="Times New Roman"/>
          <w:sz w:val="18"/>
          <w:szCs w:val="18"/>
        </w:rPr>
        <w:t>e</w:t>
      </w:r>
      <w:bookmarkEnd w:id="12"/>
    </w:p>
    <w:sectPr w:rsidR="00250AC3" w:rsidRPr="00AF4DB5" w:rsidSect="00AF4DB5">
      <w:footerReference w:type="default" r:id="rId8"/>
      <w:pgSz w:w="12240" w:h="15840"/>
      <w:pgMar w:top="72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582B1" w14:textId="77777777" w:rsidR="00294005" w:rsidRDefault="00294005">
      <w:pPr>
        <w:spacing w:after="0" w:line="240" w:lineRule="auto"/>
      </w:pPr>
      <w:r>
        <w:separator/>
      </w:r>
    </w:p>
  </w:endnote>
  <w:endnote w:type="continuationSeparator" w:id="0">
    <w:p w14:paraId="1FA5C41D" w14:textId="77777777" w:rsidR="00294005" w:rsidRDefault="00294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9695336"/>
      <w:docPartObj>
        <w:docPartGallery w:val="Page Numbers (Bottom of Page)"/>
        <w:docPartUnique/>
      </w:docPartObj>
    </w:sdtPr>
    <w:sdtEndPr>
      <w:rPr>
        <w:noProof/>
      </w:rPr>
    </w:sdtEndPr>
    <w:sdtContent>
      <w:p w14:paraId="36F15291" w14:textId="77777777" w:rsidR="005804C4"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F95659" w14:textId="77777777" w:rsidR="005804C4" w:rsidRDefault="00580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D8B2B" w14:textId="77777777" w:rsidR="00294005" w:rsidRDefault="00294005">
      <w:pPr>
        <w:spacing w:after="0" w:line="240" w:lineRule="auto"/>
      </w:pPr>
      <w:r>
        <w:separator/>
      </w:r>
    </w:p>
  </w:footnote>
  <w:footnote w:type="continuationSeparator" w:id="0">
    <w:p w14:paraId="56A2DF61" w14:textId="77777777" w:rsidR="00294005" w:rsidRDefault="002940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E5D2F"/>
    <w:multiLevelType w:val="hybridMultilevel"/>
    <w:tmpl w:val="3F3E8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45448E"/>
    <w:multiLevelType w:val="hybridMultilevel"/>
    <w:tmpl w:val="79B44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5B4E18"/>
    <w:multiLevelType w:val="hybridMultilevel"/>
    <w:tmpl w:val="7CAA1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924197"/>
    <w:multiLevelType w:val="hybridMultilevel"/>
    <w:tmpl w:val="0F28E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310310"/>
    <w:multiLevelType w:val="hybridMultilevel"/>
    <w:tmpl w:val="6A2A4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0507453">
    <w:abstractNumId w:val="3"/>
  </w:num>
  <w:num w:numId="2" w16cid:durableId="1830368622">
    <w:abstractNumId w:val="4"/>
  </w:num>
  <w:num w:numId="3" w16cid:durableId="920480662">
    <w:abstractNumId w:val="2"/>
  </w:num>
  <w:num w:numId="4" w16cid:durableId="1435519167">
    <w:abstractNumId w:val="0"/>
  </w:num>
  <w:num w:numId="5" w16cid:durableId="728843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AC3"/>
    <w:rsid w:val="001F0738"/>
    <w:rsid w:val="00250AC3"/>
    <w:rsid w:val="0027760F"/>
    <w:rsid w:val="00294005"/>
    <w:rsid w:val="00404CD9"/>
    <w:rsid w:val="00431C1D"/>
    <w:rsid w:val="004C3D07"/>
    <w:rsid w:val="004D0EFE"/>
    <w:rsid w:val="00504439"/>
    <w:rsid w:val="005804C4"/>
    <w:rsid w:val="0058381B"/>
    <w:rsid w:val="005A3625"/>
    <w:rsid w:val="005B0B0B"/>
    <w:rsid w:val="005C2A94"/>
    <w:rsid w:val="0062202B"/>
    <w:rsid w:val="0067686B"/>
    <w:rsid w:val="00681EF2"/>
    <w:rsid w:val="00754C0A"/>
    <w:rsid w:val="00762ED5"/>
    <w:rsid w:val="0078375B"/>
    <w:rsid w:val="0087399E"/>
    <w:rsid w:val="008815A7"/>
    <w:rsid w:val="00892633"/>
    <w:rsid w:val="008B63B9"/>
    <w:rsid w:val="008C5A0B"/>
    <w:rsid w:val="00917DED"/>
    <w:rsid w:val="009A38BA"/>
    <w:rsid w:val="00A169E8"/>
    <w:rsid w:val="00A664D4"/>
    <w:rsid w:val="00A96723"/>
    <w:rsid w:val="00AF4DB5"/>
    <w:rsid w:val="00B9548A"/>
    <w:rsid w:val="00BC61C4"/>
    <w:rsid w:val="00CB54CD"/>
    <w:rsid w:val="00D32D08"/>
    <w:rsid w:val="00E55A89"/>
    <w:rsid w:val="00E752DD"/>
    <w:rsid w:val="00F307B1"/>
    <w:rsid w:val="00FB0FEC"/>
    <w:rsid w:val="00FB6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9970D"/>
  <w15:chartTrackingRefBased/>
  <w15:docId w15:val="{83011FF9-EAD2-4CFB-B5E5-864E9AF18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02B"/>
  </w:style>
  <w:style w:type="paragraph" w:styleId="Heading1">
    <w:name w:val="heading 1"/>
    <w:basedOn w:val="Normal"/>
    <w:next w:val="Normal"/>
    <w:link w:val="Heading1Char"/>
    <w:uiPriority w:val="9"/>
    <w:qFormat/>
    <w:rsid w:val="00250A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0A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0A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0A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0A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0A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0A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0A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0A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A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0A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0A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0A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0A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0A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0A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0A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0AC3"/>
    <w:rPr>
      <w:rFonts w:eastAsiaTheme="majorEastAsia" w:cstheme="majorBidi"/>
      <w:color w:val="272727" w:themeColor="text1" w:themeTint="D8"/>
    </w:rPr>
  </w:style>
  <w:style w:type="paragraph" w:styleId="Title">
    <w:name w:val="Title"/>
    <w:basedOn w:val="Normal"/>
    <w:next w:val="Normal"/>
    <w:link w:val="TitleChar"/>
    <w:uiPriority w:val="10"/>
    <w:qFormat/>
    <w:rsid w:val="00250A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0A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0A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0A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0AC3"/>
    <w:pPr>
      <w:spacing w:before="160"/>
      <w:jc w:val="center"/>
    </w:pPr>
    <w:rPr>
      <w:i/>
      <w:iCs/>
      <w:color w:val="404040" w:themeColor="text1" w:themeTint="BF"/>
    </w:rPr>
  </w:style>
  <w:style w:type="character" w:customStyle="1" w:styleId="QuoteChar">
    <w:name w:val="Quote Char"/>
    <w:basedOn w:val="DefaultParagraphFont"/>
    <w:link w:val="Quote"/>
    <w:uiPriority w:val="29"/>
    <w:rsid w:val="00250AC3"/>
    <w:rPr>
      <w:i/>
      <w:iCs/>
      <w:color w:val="404040" w:themeColor="text1" w:themeTint="BF"/>
    </w:rPr>
  </w:style>
  <w:style w:type="paragraph" w:styleId="ListParagraph">
    <w:name w:val="List Paragraph"/>
    <w:basedOn w:val="Normal"/>
    <w:link w:val="ListParagraphChar"/>
    <w:uiPriority w:val="34"/>
    <w:qFormat/>
    <w:rsid w:val="00250AC3"/>
    <w:pPr>
      <w:ind w:left="720"/>
      <w:contextualSpacing/>
    </w:pPr>
  </w:style>
  <w:style w:type="character" w:styleId="IntenseEmphasis">
    <w:name w:val="Intense Emphasis"/>
    <w:basedOn w:val="DefaultParagraphFont"/>
    <w:uiPriority w:val="21"/>
    <w:qFormat/>
    <w:rsid w:val="00250AC3"/>
    <w:rPr>
      <w:i/>
      <w:iCs/>
      <w:color w:val="0F4761" w:themeColor="accent1" w:themeShade="BF"/>
    </w:rPr>
  </w:style>
  <w:style w:type="paragraph" w:styleId="IntenseQuote">
    <w:name w:val="Intense Quote"/>
    <w:basedOn w:val="Normal"/>
    <w:next w:val="Normal"/>
    <w:link w:val="IntenseQuoteChar"/>
    <w:uiPriority w:val="30"/>
    <w:qFormat/>
    <w:rsid w:val="00250A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0AC3"/>
    <w:rPr>
      <w:i/>
      <w:iCs/>
      <w:color w:val="0F4761" w:themeColor="accent1" w:themeShade="BF"/>
    </w:rPr>
  </w:style>
  <w:style w:type="character" w:styleId="IntenseReference">
    <w:name w:val="Intense Reference"/>
    <w:basedOn w:val="DefaultParagraphFont"/>
    <w:uiPriority w:val="32"/>
    <w:qFormat/>
    <w:rsid w:val="00250AC3"/>
    <w:rPr>
      <w:b/>
      <w:bCs/>
      <w:smallCaps/>
      <w:color w:val="0F4761" w:themeColor="accent1" w:themeShade="BF"/>
      <w:spacing w:val="5"/>
    </w:rPr>
  </w:style>
  <w:style w:type="paragraph" w:styleId="BodyText">
    <w:name w:val="Body Text"/>
    <w:basedOn w:val="Normal"/>
    <w:link w:val="BodyTextChar"/>
    <w:uiPriority w:val="1"/>
    <w:qFormat/>
    <w:rsid w:val="0062202B"/>
    <w:pPr>
      <w:widowControl w:val="0"/>
      <w:autoSpaceDE w:val="0"/>
      <w:autoSpaceDN w:val="0"/>
      <w:spacing w:after="0" w:line="240" w:lineRule="auto"/>
    </w:pPr>
    <w:rPr>
      <w:rFonts w:ascii="Arial" w:eastAsia="Arial" w:hAnsi="Arial" w:cs="Arial"/>
      <w:kern w:val="0"/>
      <w:sz w:val="18"/>
      <w:szCs w:val="18"/>
      <w14:ligatures w14:val="none"/>
    </w:rPr>
  </w:style>
  <w:style w:type="character" w:customStyle="1" w:styleId="BodyTextChar">
    <w:name w:val="Body Text Char"/>
    <w:basedOn w:val="DefaultParagraphFont"/>
    <w:link w:val="BodyText"/>
    <w:uiPriority w:val="1"/>
    <w:rsid w:val="0062202B"/>
    <w:rPr>
      <w:rFonts w:ascii="Arial" w:eastAsia="Arial" w:hAnsi="Arial" w:cs="Arial"/>
      <w:kern w:val="0"/>
      <w:sz w:val="18"/>
      <w:szCs w:val="18"/>
      <w14:ligatures w14:val="none"/>
    </w:rPr>
  </w:style>
  <w:style w:type="character" w:styleId="CommentReference">
    <w:name w:val="annotation reference"/>
    <w:basedOn w:val="DefaultParagraphFont"/>
    <w:uiPriority w:val="99"/>
    <w:semiHidden/>
    <w:unhideWhenUsed/>
    <w:rsid w:val="0062202B"/>
    <w:rPr>
      <w:sz w:val="16"/>
      <w:szCs w:val="16"/>
    </w:rPr>
  </w:style>
  <w:style w:type="paragraph" w:styleId="CommentText">
    <w:name w:val="annotation text"/>
    <w:basedOn w:val="Normal"/>
    <w:link w:val="CommentTextChar"/>
    <w:uiPriority w:val="99"/>
    <w:unhideWhenUsed/>
    <w:rsid w:val="0062202B"/>
    <w:pPr>
      <w:widowControl w:val="0"/>
      <w:autoSpaceDE w:val="0"/>
      <w:autoSpaceDN w:val="0"/>
      <w:spacing w:after="0" w:line="240" w:lineRule="auto"/>
    </w:pPr>
    <w:rPr>
      <w:rFonts w:ascii="Arial" w:eastAsia="Arial" w:hAnsi="Arial" w:cs="Arial"/>
      <w:kern w:val="0"/>
      <w:sz w:val="20"/>
      <w:szCs w:val="20"/>
      <w14:ligatures w14:val="none"/>
    </w:rPr>
  </w:style>
  <w:style w:type="character" w:customStyle="1" w:styleId="CommentTextChar">
    <w:name w:val="Comment Text Char"/>
    <w:basedOn w:val="DefaultParagraphFont"/>
    <w:link w:val="CommentText"/>
    <w:uiPriority w:val="99"/>
    <w:rsid w:val="0062202B"/>
    <w:rPr>
      <w:rFonts w:ascii="Arial" w:eastAsia="Arial" w:hAnsi="Arial" w:cs="Arial"/>
      <w:kern w:val="0"/>
      <w:sz w:val="20"/>
      <w:szCs w:val="20"/>
      <w14:ligatures w14:val="none"/>
    </w:rPr>
  </w:style>
  <w:style w:type="table" w:styleId="TableGrid">
    <w:name w:val="Table Grid"/>
    <w:basedOn w:val="TableNormal"/>
    <w:uiPriority w:val="39"/>
    <w:rsid w:val="0062202B"/>
    <w:pPr>
      <w:spacing w:after="0" w:line="240" w:lineRule="auto"/>
    </w:pPr>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2202B"/>
    <w:pPr>
      <w:spacing w:after="0" w:line="240" w:lineRule="auto"/>
    </w:pPr>
    <w:rPr>
      <w:sz w:val="22"/>
      <w:szCs w:val="22"/>
    </w:rPr>
  </w:style>
  <w:style w:type="table" w:styleId="GridTable1Light">
    <w:name w:val="Grid Table 1 Light"/>
    <w:basedOn w:val="TableNormal"/>
    <w:uiPriority w:val="46"/>
    <w:rsid w:val="0062202B"/>
    <w:pPr>
      <w:spacing w:after="0" w:line="240" w:lineRule="auto"/>
    </w:pPr>
    <w:rPr>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62202B"/>
    <w:pPr>
      <w:spacing w:before="100" w:beforeAutospacing="1" w:after="100" w:afterAutospacing="1" w:line="240" w:lineRule="auto"/>
    </w:pPr>
    <w:rPr>
      <w:rFonts w:ascii="Calibri" w:hAnsi="Calibri" w:cs="Calibri"/>
      <w:kern w:val="0"/>
      <w:sz w:val="22"/>
      <w:szCs w:val="22"/>
      <w14:ligatures w14:val="none"/>
    </w:rPr>
  </w:style>
  <w:style w:type="character" w:styleId="Hyperlink">
    <w:name w:val="Hyperlink"/>
    <w:basedOn w:val="DefaultParagraphFont"/>
    <w:uiPriority w:val="99"/>
    <w:unhideWhenUsed/>
    <w:rsid w:val="0062202B"/>
    <w:rPr>
      <w:color w:val="467886" w:themeColor="hyperlink"/>
      <w:u w:val="single"/>
    </w:rPr>
  </w:style>
  <w:style w:type="character" w:customStyle="1" w:styleId="ListParagraphChar">
    <w:name w:val="List Paragraph Char"/>
    <w:link w:val="ListParagraph"/>
    <w:uiPriority w:val="34"/>
    <w:rsid w:val="0062202B"/>
  </w:style>
  <w:style w:type="paragraph" w:styleId="Header">
    <w:name w:val="header"/>
    <w:basedOn w:val="Normal"/>
    <w:link w:val="HeaderChar"/>
    <w:uiPriority w:val="99"/>
    <w:unhideWhenUsed/>
    <w:rsid w:val="006220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02B"/>
  </w:style>
  <w:style w:type="paragraph" w:styleId="Footer">
    <w:name w:val="footer"/>
    <w:basedOn w:val="Normal"/>
    <w:link w:val="FooterChar"/>
    <w:uiPriority w:val="99"/>
    <w:unhideWhenUsed/>
    <w:rsid w:val="00622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02B"/>
  </w:style>
  <w:style w:type="table" w:customStyle="1" w:styleId="GridTable1Light1">
    <w:name w:val="Grid Table 1 Light1"/>
    <w:basedOn w:val="TableNormal"/>
    <w:uiPriority w:val="46"/>
    <w:rsid w:val="0062202B"/>
    <w:pPr>
      <w:spacing w:after="0" w:line="240" w:lineRule="auto"/>
    </w:pPr>
    <w:rPr>
      <w:kern w:val="0"/>
      <w:sz w:val="22"/>
      <w:szCs w:val="22"/>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ommentSubject">
    <w:name w:val="annotation subject"/>
    <w:basedOn w:val="CommentText"/>
    <w:next w:val="CommentText"/>
    <w:link w:val="CommentSubjectChar"/>
    <w:uiPriority w:val="99"/>
    <w:semiHidden/>
    <w:unhideWhenUsed/>
    <w:rsid w:val="0062202B"/>
    <w:pPr>
      <w:widowControl/>
      <w:autoSpaceDE/>
      <w:autoSpaceDN/>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62202B"/>
    <w:rPr>
      <w:rFonts w:ascii="Arial" w:eastAsia="Arial" w:hAnsi="Arial" w:cs="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1399</Words>
  <Characters>7978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White</dc:creator>
  <cp:keywords/>
  <dc:description/>
  <cp:lastModifiedBy>Andrea White</cp:lastModifiedBy>
  <cp:revision>4</cp:revision>
  <dcterms:created xsi:type="dcterms:W3CDTF">2024-10-31T23:04:00Z</dcterms:created>
  <dcterms:modified xsi:type="dcterms:W3CDTF">2024-11-11T16:54:00Z</dcterms:modified>
</cp:coreProperties>
</file>