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148C45" w14:textId="1C60CA70" w:rsidR="00C04AA8" w:rsidRPr="00A81630" w:rsidRDefault="00E77B40" w:rsidP="00C04AA8">
      <w:pPr>
        <w:spacing w:after="120" w:line="240" w:lineRule="auto"/>
        <w:rPr>
          <w:rFonts w:ascii="Arial" w:hAnsi="Arial" w:cs="Arial"/>
          <w:sz w:val="24"/>
          <w:szCs w:val="24"/>
        </w:rPr>
      </w:pPr>
      <w:r w:rsidRPr="00E77B40">
        <w:rPr>
          <w:rFonts w:ascii="Arial" w:hAnsi="Arial" w:cs="Arial"/>
          <w:b/>
          <w:bCs/>
          <w:color w:val="000000"/>
          <w:sz w:val="27"/>
          <w:szCs w:val="27"/>
        </w:rPr>
        <w:t>Practice Environment Scale–5 (PES-5)</w:t>
      </w:r>
      <w:r>
        <w:rPr>
          <w:rFonts w:ascii="Arial" w:hAnsi="Arial" w:cs="Arial"/>
          <w:b/>
          <w:bCs/>
          <w:color w:val="000000"/>
          <w:sz w:val="27"/>
          <w:szCs w:val="27"/>
        </w:rPr>
        <w:t xml:space="preserve"> </w:t>
      </w:r>
      <w:r w:rsidRPr="00E77B40">
        <w:rPr>
          <w:rFonts w:ascii="Arial" w:hAnsi="Arial" w:cs="Arial"/>
          <w:sz w:val="24"/>
          <w:szCs w:val="24"/>
        </w:rPr>
        <w:t>[CBE ID (to be assigned by PQM)</w:t>
      </w:r>
    </w:p>
    <w:p w14:paraId="070EA0E9" w14:textId="3627A5ED" w:rsidR="00F41F7E" w:rsidRDefault="00F41F7E" w:rsidP="00F41F7E">
      <w:pPr>
        <w:spacing w:before="100" w:beforeAutospacing="1" w:after="100" w:afterAutospacing="1" w:line="240" w:lineRule="auto"/>
        <w:rPr>
          <w:rFonts w:ascii="Times New Roman" w:eastAsia="Times New Roman" w:hAnsi="Times New Roman" w:cs="Times New Roman"/>
          <w:color w:val="000000"/>
          <w:kern w:val="0"/>
          <w:sz w:val="24"/>
          <w:szCs w:val="24"/>
          <w14:ligatures w14:val="none"/>
        </w:rPr>
      </w:pPr>
      <w:r>
        <w:rPr>
          <w:rFonts w:ascii="Times New Roman" w:eastAsia="Times New Roman" w:hAnsi="Times New Roman" w:cs="Times New Roman"/>
          <w:color w:val="000000"/>
          <w:kern w:val="0"/>
          <w:sz w:val="24"/>
          <w:szCs w:val="24"/>
          <w14:ligatures w14:val="none"/>
        </w:rPr>
        <w:t>[Measure Description]</w:t>
      </w:r>
    </w:p>
    <w:p w14:paraId="74488392" w14:textId="77777777" w:rsidR="00CC20BF" w:rsidRPr="00CC20BF" w:rsidRDefault="00CC20BF" w:rsidP="00CC20BF">
      <w:p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The Practice Environment Scale–5 (PES-5) is a hospital-level, nurse-reported composite measure that captures the quality of the nursing practice environment across five essential domains. It was developed to support public reporting, internal quality improvement, accreditation, and performance-based accountability initiatives.</w:t>
      </w:r>
    </w:p>
    <w:p w14:paraId="1CEC6716" w14:textId="77777777" w:rsidR="00CC20BF" w:rsidRPr="00CC20BF" w:rsidRDefault="00CC20BF" w:rsidP="00CC20BF">
      <w:p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Each domain is assessed using one representative item drawn from the 31-item Practice Environment Scale of the Nursing Work Index (PES-NWI), a widely used and previously endorsed structural quality measure with a robust evidence base spanning more than two decades. The five domains are:</w:t>
      </w:r>
    </w:p>
    <w:p w14:paraId="343B71D0" w14:textId="77777777" w:rsidR="00CC20BF" w:rsidRPr="00CC20BF" w:rsidRDefault="00CC20BF" w:rsidP="00CC20BF">
      <w:pPr>
        <w:numPr>
          <w:ilvl w:val="0"/>
          <w:numId w:val="7"/>
        </w:num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Nurse Participation in Hospital Affairs</w:t>
      </w:r>
    </w:p>
    <w:p w14:paraId="678A0297" w14:textId="77777777" w:rsidR="00CC20BF" w:rsidRPr="00CC20BF" w:rsidRDefault="00CC20BF" w:rsidP="00CC20BF">
      <w:pPr>
        <w:numPr>
          <w:ilvl w:val="0"/>
          <w:numId w:val="7"/>
        </w:num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Nursing Foundations for Quality of Care</w:t>
      </w:r>
    </w:p>
    <w:p w14:paraId="34924661" w14:textId="77777777" w:rsidR="00CC20BF" w:rsidRPr="00CC20BF" w:rsidRDefault="00CC20BF" w:rsidP="00CC20BF">
      <w:pPr>
        <w:numPr>
          <w:ilvl w:val="0"/>
          <w:numId w:val="7"/>
        </w:num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Nurse Manager Ability, Leadership, and Support</w:t>
      </w:r>
    </w:p>
    <w:p w14:paraId="6AA2C3D0" w14:textId="77777777" w:rsidR="00CC20BF" w:rsidRPr="00CC20BF" w:rsidRDefault="00CC20BF" w:rsidP="00CC20BF">
      <w:pPr>
        <w:numPr>
          <w:ilvl w:val="0"/>
          <w:numId w:val="7"/>
        </w:num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Staffing and Resource Adequacy</w:t>
      </w:r>
    </w:p>
    <w:p w14:paraId="013EF4D5" w14:textId="77777777" w:rsidR="00CC20BF" w:rsidRPr="00CC20BF" w:rsidRDefault="00CC20BF" w:rsidP="00CC20BF">
      <w:pPr>
        <w:numPr>
          <w:ilvl w:val="0"/>
          <w:numId w:val="7"/>
        </w:num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Collegial Nurse–Physician Relations</w:t>
      </w:r>
    </w:p>
    <w:p w14:paraId="674342ED" w14:textId="77777777" w:rsidR="00CC20BF" w:rsidRPr="00CC20BF" w:rsidRDefault="00CC20BF" w:rsidP="00CC20BF">
      <w:pPr>
        <w:spacing w:before="100" w:beforeAutospacing="1" w:after="100" w:afterAutospacing="1" w:line="240" w:lineRule="auto"/>
        <w:rPr>
          <w:rFonts w:ascii="Times New Roman" w:eastAsia="Times New Roman" w:hAnsi="Times New Roman" w:cs="Times New Roman"/>
          <w:color w:val="000000"/>
          <w:kern w:val="0"/>
          <w:sz w:val="24"/>
          <w:szCs w:val="24"/>
          <w:highlight w:val="yellow"/>
          <w14:ligatures w14:val="none"/>
        </w:rPr>
      </w:pPr>
      <w:r w:rsidRPr="00CC20BF">
        <w:rPr>
          <w:rFonts w:ascii="Times New Roman" w:eastAsia="Times New Roman" w:hAnsi="Times New Roman" w:cs="Times New Roman"/>
          <w:color w:val="000000"/>
          <w:kern w:val="0"/>
          <w:sz w:val="24"/>
          <w:szCs w:val="24"/>
          <w:highlight w:val="yellow"/>
          <w14:ligatures w14:val="none"/>
        </w:rPr>
        <w:t>The PES-5 produces a single composite score that reflects the overall quality of the practice environment as experienced by registered nurses. Higher scores indicate more supportive, adequately resourced, and collaborative work environments. These conditions are strongly associated with improved patient outcomes, reduced nurse burnout, and increased nurse retention.</w:t>
      </w:r>
    </w:p>
    <w:p w14:paraId="2231644C" w14:textId="5CFAB38F" w:rsidR="00130F8D" w:rsidRPr="00CC20BF" w:rsidRDefault="00CC20BF" w:rsidP="00F41F7E">
      <w:pPr>
        <w:spacing w:before="100" w:beforeAutospacing="1" w:after="100" w:afterAutospacing="1" w:line="240" w:lineRule="auto"/>
        <w:rPr>
          <w:rFonts w:ascii="Times New Roman" w:eastAsia="Times New Roman" w:hAnsi="Times New Roman" w:cs="Times New Roman"/>
          <w:color w:val="000000"/>
          <w:kern w:val="0"/>
          <w:sz w:val="24"/>
          <w:szCs w:val="24"/>
          <w14:ligatures w14:val="none"/>
        </w:rPr>
      </w:pPr>
      <w:r w:rsidRPr="00CC20BF">
        <w:rPr>
          <w:rFonts w:ascii="Times New Roman" w:eastAsia="Times New Roman" w:hAnsi="Times New Roman" w:cs="Times New Roman"/>
          <w:color w:val="000000"/>
          <w:kern w:val="0"/>
          <w:sz w:val="24"/>
          <w:szCs w:val="24"/>
          <w:highlight w:val="yellow"/>
          <w14:ligatures w14:val="none"/>
        </w:rPr>
        <w:t>The PES-5 retains the predictive validity of the full PES-NWI instrument while substantially reducing response burden, making it a practical and scalable solution for real-time assessment and benchmarking of nurse work environments. It provides healthcare organizations with a scientifically sound and low-burden tool to monitor, compare, and improve the environments in which nurses deliver care.</w:t>
      </w:r>
    </w:p>
    <w:p w14:paraId="75BB6FC9" w14:textId="77777777" w:rsidR="00130F8D" w:rsidRDefault="00130F8D" w:rsidP="00F41F7E">
      <w:pPr>
        <w:spacing w:before="100" w:beforeAutospacing="1" w:after="100" w:afterAutospacing="1" w:line="240" w:lineRule="auto"/>
        <w:rPr>
          <w:rFonts w:ascii="Times New Roman" w:eastAsia="Times New Roman" w:hAnsi="Times New Roman" w:cs="Times New Roman"/>
          <w:color w:val="000000"/>
          <w:kern w:val="0"/>
          <w14:ligatures w14:val="none"/>
        </w:rPr>
      </w:pPr>
    </w:p>
    <w:p w14:paraId="00D03965" w14:textId="77777777" w:rsidR="00130F8D" w:rsidRDefault="00130F8D" w:rsidP="00F41F7E">
      <w:pPr>
        <w:spacing w:before="100" w:beforeAutospacing="1" w:after="100" w:afterAutospacing="1" w:line="240" w:lineRule="auto"/>
        <w:rPr>
          <w:rFonts w:ascii="Times New Roman" w:eastAsia="Times New Roman" w:hAnsi="Times New Roman" w:cs="Times New Roman"/>
          <w:color w:val="000000"/>
          <w:kern w:val="0"/>
          <w14:ligatures w14:val="none"/>
        </w:rPr>
      </w:pPr>
    </w:p>
    <w:p w14:paraId="7940F0E8" w14:textId="77777777" w:rsidR="00130F8D" w:rsidRDefault="00130F8D" w:rsidP="00F41F7E">
      <w:pPr>
        <w:spacing w:before="100" w:beforeAutospacing="1" w:after="100" w:afterAutospacing="1" w:line="240" w:lineRule="auto"/>
        <w:rPr>
          <w:rFonts w:ascii="Times New Roman" w:eastAsia="Times New Roman" w:hAnsi="Times New Roman" w:cs="Times New Roman"/>
          <w:color w:val="000000"/>
          <w:kern w:val="0"/>
          <w14:ligatures w14:val="none"/>
        </w:rPr>
      </w:pPr>
    </w:p>
    <w:p w14:paraId="4470F0D1" w14:textId="77777777" w:rsidR="00130F8D" w:rsidRDefault="00130F8D" w:rsidP="00F41F7E">
      <w:pPr>
        <w:spacing w:before="100" w:beforeAutospacing="1" w:after="100" w:afterAutospacing="1" w:line="240" w:lineRule="auto"/>
        <w:rPr>
          <w:rFonts w:ascii="Times New Roman" w:eastAsia="Times New Roman" w:hAnsi="Times New Roman" w:cs="Times New Roman"/>
          <w:color w:val="000000"/>
          <w:kern w:val="0"/>
          <w14:ligatures w14:val="none"/>
        </w:rPr>
      </w:pPr>
    </w:p>
    <w:p w14:paraId="3507304D" w14:textId="77777777" w:rsidR="00130F8D" w:rsidRPr="00F41F7E" w:rsidRDefault="00130F8D" w:rsidP="00F41F7E">
      <w:pPr>
        <w:spacing w:before="100" w:beforeAutospacing="1" w:after="100" w:afterAutospacing="1" w:line="240" w:lineRule="auto"/>
        <w:rPr>
          <w:rFonts w:ascii="Times New Roman" w:eastAsia="Times New Roman" w:hAnsi="Times New Roman" w:cs="Times New Roman"/>
          <w:color w:val="000000"/>
          <w:kern w:val="0"/>
          <w14:ligatures w14:val="none"/>
        </w:rPr>
      </w:pPr>
    </w:p>
    <w:tbl>
      <w:tblPr>
        <w:tblStyle w:val="TableGrid"/>
        <w:tblW w:w="12960" w:type="dxa"/>
        <w:tblBorders>
          <w:top w:val="single" w:sz="6" w:space="0" w:color="auto"/>
          <w:left w:val="single" w:sz="6" w:space="0" w:color="auto"/>
          <w:bottom w:val="single" w:sz="6" w:space="0" w:color="auto"/>
          <w:right w:val="single" w:sz="6" w:space="0" w:color="auto"/>
        </w:tblBorders>
        <w:tblLayout w:type="fixed"/>
        <w:tblCellMar>
          <w:top w:w="58" w:type="dxa"/>
          <w:left w:w="58" w:type="dxa"/>
          <w:bottom w:w="58" w:type="dxa"/>
          <w:right w:w="58" w:type="dxa"/>
        </w:tblCellMar>
        <w:tblLook w:val="04A0" w:firstRow="1" w:lastRow="0" w:firstColumn="1" w:lastColumn="0" w:noHBand="0" w:noVBand="1"/>
      </w:tblPr>
      <w:tblGrid>
        <w:gridCol w:w="2160"/>
        <w:gridCol w:w="2160"/>
        <w:gridCol w:w="2160"/>
        <w:gridCol w:w="4320"/>
        <w:gridCol w:w="2160"/>
      </w:tblGrid>
      <w:tr w:rsidR="00C04AA8" w:rsidRPr="00C04AA8" w14:paraId="351E6B52" w14:textId="77777777" w:rsidTr="00C04AA8">
        <w:trPr>
          <w:cantSplit/>
        </w:trPr>
        <w:tc>
          <w:tcPr>
            <w:tcW w:w="2160" w:type="dxa"/>
            <w:shd w:val="clear" w:color="auto" w:fill="3F6CA9"/>
            <w:tcMar>
              <w:top w:w="58" w:type="dxa"/>
              <w:left w:w="58" w:type="dxa"/>
              <w:bottom w:w="58" w:type="dxa"/>
              <w:right w:w="58" w:type="dxa"/>
            </w:tcMar>
            <w:vAlign w:val="center"/>
          </w:tcPr>
          <w:p w14:paraId="133E7F7A" w14:textId="6542DC99" w:rsidR="00C04AA8" w:rsidRPr="00C04AA8" w:rsidRDefault="00C04AA8" w:rsidP="00C04AA8">
            <w:pPr>
              <w:rPr>
                <w:rFonts w:ascii="Arial" w:eastAsia="Calibri" w:hAnsi="Arial" w:cs="Arial"/>
                <w:b/>
                <w:color w:val="FFFFFF"/>
                <w:sz w:val="20"/>
                <w:szCs w:val="20"/>
              </w:rPr>
            </w:pPr>
            <w:r w:rsidRPr="00C04AA8">
              <w:rPr>
                <w:rFonts w:ascii="Arial" w:eastAsia="Calibri" w:hAnsi="Arial" w:cs="Arial"/>
                <w:b/>
                <w:color w:val="FFFFFF"/>
                <w:sz w:val="20"/>
                <w:szCs w:val="20"/>
              </w:rPr>
              <w:t>Inputs</w:t>
            </w:r>
          </w:p>
        </w:tc>
        <w:tc>
          <w:tcPr>
            <w:tcW w:w="2160" w:type="dxa"/>
            <w:shd w:val="clear" w:color="auto" w:fill="3F6CA9"/>
            <w:tcMar>
              <w:top w:w="58" w:type="dxa"/>
              <w:left w:w="58" w:type="dxa"/>
              <w:bottom w:w="58" w:type="dxa"/>
              <w:right w:w="58" w:type="dxa"/>
            </w:tcMar>
            <w:vAlign w:val="center"/>
          </w:tcPr>
          <w:p w14:paraId="5FAD28C3" w14:textId="77777777" w:rsidR="00C04AA8" w:rsidRPr="00C04AA8" w:rsidRDefault="00C04AA8" w:rsidP="00C04AA8">
            <w:pPr>
              <w:rPr>
                <w:rFonts w:ascii="Arial" w:eastAsia="Calibri" w:hAnsi="Arial" w:cs="Arial"/>
                <w:b/>
                <w:color w:val="FFFFFF"/>
                <w:sz w:val="20"/>
                <w:szCs w:val="20"/>
              </w:rPr>
            </w:pPr>
            <w:r w:rsidRPr="00C04AA8">
              <w:rPr>
                <w:rFonts w:ascii="Arial" w:eastAsia="Calibri" w:hAnsi="Arial" w:cs="Arial"/>
                <w:b/>
                <w:color w:val="FFFFFF"/>
                <w:sz w:val="20"/>
                <w:szCs w:val="20"/>
              </w:rPr>
              <w:t>Activities</w:t>
            </w:r>
          </w:p>
        </w:tc>
        <w:tc>
          <w:tcPr>
            <w:tcW w:w="2160" w:type="dxa"/>
            <w:shd w:val="clear" w:color="auto" w:fill="3F6CA9"/>
            <w:tcMar>
              <w:top w:w="58" w:type="dxa"/>
              <w:left w:w="58" w:type="dxa"/>
              <w:bottom w:w="58" w:type="dxa"/>
              <w:right w:w="58" w:type="dxa"/>
            </w:tcMar>
            <w:vAlign w:val="center"/>
          </w:tcPr>
          <w:p w14:paraId="11019896" w14:textId="77777777" w:rsidR="00C04AA8" w:rsidRPr="00C04AA8" w:rsidRDefault="00C04AA8" w:rsidP="00C04AA8">
            <w:pPr>
              <w:rPr>
                <w:rFonts w:ascii="Arial" w:eastAsia="Calibri" w:hAnsi="Arial" w:cs="Arial"/>
                <w:b/>
                <w:color w:val="FFFFFF"/>
                <w:sz w:val="20"/>
                <w:szCs w:val="20"/>
              </w:rPr>
            </w:pPr>
            <w:r w:rsidRPr="00C04AA8">
              <w:rPr>
                <w:rFonts w:ascii="Arial" w:eastAsia="Calibri" w:hAnsi="Arial" w:cs="Arial"/>
                <w:b/>
                <w:color w:val="FFFFFF"/>
                <w:sz w:val="20"/>
                <w:szCs w:val="20"/>
              </w:rPr>
              <w:t>Outputs</w:t>
            </w:r>
          </w:p>
        </w:tc>
        <w:tc>
          <w:tcPr>
            <w:tcW w:w="4320" w:type="dxa"/>
            <w:shd w:val="clear" w:color="auto" w:fill="004280"/>
            <w:tcMar>
              <w:top w:w="58" w:type="dxa"/>
              <w:left w:w="58" w:type="dxa"/>
              <w:bottom w:w="58" w:type="dxa"/>
              <w:right w:w="58" w:type="dxa"/>
            </w:tcMar>
            <w:vAlign w:val="center"/>
          </w:tcPr>
          <w:p w14:paraId="05475A82" w14:textId="77777777" w:rsidR="00C04AA8" w:rsidRPr="00C04AA8" w:rsidRDefault="00C04AA8" w:rsidP="00C04AA8">
            <w:pPr>
              <w:rPr>
                <w:rFonts w:ascii="Arial" w:eastAsia="Calibri" w:hAnsi="Arial" w:cs="Arial"/>
                <w:b/>
                <w:color w:val="FFFFFF"/>
                <w:sz w:val="20"/>
                <w:szCs w:val="20"/>
              </w:rPr>
            </w:pPr>
            <w:r w:rsidRPr="00C04AA8">
              <w:rPr>
                <w:rFonts w:ascii="Arial" w:eastAsia="Calibri" w:hAnsi="Arial" w:cs="Arial"/>
                <w:b/>
                <w:color w:val="FFFFFF"/>
                <w:sz w:val="20"/>
                <w:szCs w:val="20"/>
              </w:rPr>
              <w:t>Outcomes</w:t>
            </w:r>
          </w:p>
        </w:tc>
        <w:tc>
          <w:tcPr>
            <w:tcW w:w="2160" w:type="dxa"/>
            <w:shd w:val="clear" w:color="auto" w:fill="004280"/>
            <w:tcMar>
              <w:top w:w="58" w:type="dxa"/>
              <w:left w:w="58" w:type="dxa"/>
              <w:bottom w:w="58" w:type="dxa"/>
              <w:right w:w="58" w:type="dxa"/>
            </w:tcMar>
            <w:vAlign w:val="center"/>
          </w:tcPr>
          <w:p w14:paraId="1D67E08E" w14:textId="77777777" w:rsidR="00C04AA8" w:rsidRPr="00C04AA8" w:rsidRDefault="00C04AA8" w:rsidP="00C04AA8">
            <w:pPr>
              <w:rPr>
                <w:rFonts w:ascii="Arial" w:eastAsia="Calibri" w:hAnsi="Arial" w:cs="Arial"/>
                <w:b/>
                <w:color w:val="FFFFFF"/>
                <w:sz w:val="20"/>
                <w:szCs w:val="20"/>
              </w:rPr>
            </w:pPr>
            <w:r w:rsidRPr="00C04AA8">
              <w:rPr>
                <w:rFonts w:ascii="Arial" w:eastAsia="Calibri" w:hAnsi="Arial" w:cs="Arial"/>
                <w:b/>
                <w:color w:val="FFFFFF"/>
                <w:sz w:val="20"/>
                <w:szCs w:val="20"/>
              </w:rPr>
              <w:t>Impacts</w:t>
            </w:r>
          </w:p>
        </w:tc>
      </w:tr>
      <w:tr w:rsidR="00C32323" w:rsidRPr="00C04AA8" w14:paraId="7E6F1132" w14:textId="77777777" w:rsidTr="00C04AA8">
        <w:trPr>
          <w:cantSplit/>
          <w:trHeight w:val="288"/>
        </w:trPr>
        <w:tc>
          <w:tcPr>
            <w:tcW w:w="2160" w:type="dxa"/>
            <w:tcMar>
              <w:top w:w="58" w:type="dxa"/>
              <w:left w:w="58" w:type="dxa"/>
              <w:bottom w:w="58" w:type="dxa"/>
              <w:right w:w="58" w:type="dxa"/>
            </w:tcMar>
          </w:tcPr>
          <w:p w14:paraId="21C1BA82" w14:textId="77777777" w:rsidR="00C32323" w:rsidRPr="00C32323" w:rsidRDefault="00C32323" w:rsidP="00C32323">
            <w:pPr>
              <w:numPr>
                <w:ilvl w:val="0"/>
                <w:numId w:val="1"/>
              </w:numPr>
              <w:spacing w:after="120"/>
              <w:ind w:left="178" w:hanging="170"/>
              <w:rPr>
                <w:rFonts w:ascii="Arial" w:eastAsia="Times New Roman" w:hAnsi="Arial" w:cs="Arial"/>
                <w:sz w:val="18"/>
                <w:szCs w:val="18"/>
              </w:rPr>
            </w:pPr>
            <w:r w:rsidRPr="00C32323">
              <w:rPr>
                <w:rFonts w:ascii="Arial" w:hAnsi="Arial" w:cs="Arial"/>
                <w:color w:val="000000"/>
                <w:sz w:val="18"/>
                <w:szCs w:val="18"/>
              </w:rPr>
              <w:t xml:space="preserve">Survey platform (Qualtrics, </w:t>
            </w:r>
            <w:proofErr w:type="spellStart"/>
            <w:r w:rsidRPr="00C32323">
              <w:rPr>
                <w:rFonts w:ascii="Arial" w:hAnsi="Arial" w:cs="Arial"/>
                <w:color w:val="000000"/>
                <w:sz w:val="18"/>
                <w:szCs w:val="18"/>
              </w:rPr>
              <w:t>REDCap</w:t>
            </w:r>
            <w:proofErr w:type="spellEnd"/>
            <w:r w:rsidRPr="00C32323">
              <w:rPr>
                <w:rFonts w:ascii="Arial" w:hAnsi="Arial" w:cs="Arial"/>
                <w:color w:val="000000"/>
                <w:sz w:val="18"/>
                <w:szCs w:val="18"/>
              </w:rPr>
              <w:t>, or paper)</w:t>
            </w:r>
            <w:r w:rsidRPr="00C32323">
              <w:rPr>
                <w:rStyle w:val="apple-converted-space"/>
                <w:rFonts w:ascii="Arial" w:hAnsi="Arial" w:cs="Arial"/>
                <w:color w:val="000000"/>
                <w:sz w:val="18"/>
                <w:szCs w:val="18"/>
              </w:rPr>
              <w:t> </w:t>
            </w:r>
          </w:p>
          <w:p w14:paraId="23EB99B3" w14:textId="77777777" w:rsidR="00C32323" w:rsidRPr="00C32323" w:rsidRDefault="00C32323" w:rsidP="00C32323">
            <w:pPr>
              <w:numPr>
                <w:ilvl w:val="0"/>
                <w:numId w:val="1"/>
              </w:numPr>
              <w:spacing w:after="120"/>
              <w:ind w:left="178" w:hanging="170"/>
              <w:rPr>
                <w:rFonts w:ascii="Arial" w:eastAsia="Times New Roman" w:hAnsi="Arial" w:cs="Arial"/>
                <w:sz w:val="18"/>
                <w:szCs w:val="18"/>
              </w:rPr>
            </w:pPr>
            <w:r w:rsidRPr="00C32323">
              <w:rPr>
                <w:rFonts w:ascii="Arial" w:hAnsi="Arial" w:cs="Arial"/>
                <w:color w:val="000000"/>
                <w:sz w:val="18"/>
                <w:szCs w:val="18"/>
              </w:rPr>
              <w:t>Registered nurse contact lists</w:t>
            </w:r>
            <w:r w:rsidRPr="00C32323">
              <w:rPr>
                <w:rStyle w:val="apple-converted-space"/>
                <w:rFonts w:ascii="Arial" w:hAnsi="Arial" w:cs="Arial"/>
                <w:color w:val="000000"/>
                <w:sz w:val="18"/>
                <w:szCs w:val="18"/>
              </w:rPr>
              <w:t> </w:t>
            </w:r>
          </w:p>
          <w:p w14:paraId="7A6D03FE" w14:textId="77777777" w:rsidR="00C32323" w:rsidRPr="00C32323" w:rsidRDefault="00C32323" w:rsidP="00C32323">
            <w:pPr>
              <w:numPr>
                <w:ilvl w:val="0"/>
                <w:numId w:val="1"/>
              </w:numPr>
              <w:spacing w:after="120"/>
              <w:ind w:left="178" w:hanging="170"/>
              <w:rPr>
                <w:rFonts w:ascii="Arial" w:eastAsia="Times New Roman" w:hAnsi="Arial" w:cs="Arial"/>
                <w:sz w:val="18"/>
                <w:szCs w:val="18"/>
              </w:rPr>
            </w:pPr>
            <w:r w:rsidRPr="00C32323">
              <w:rPr>
                <w:rFonts w:ascii="Arial" w:hAnsi="Arial" w:cs="Arial"/>
                <w:color w:val="000000"/>
                <w:sz w:val="18"/>
                <w:szCs w:val="18"/>
              </w:rPr>
              <w:t>Institutional support from hospital leadership</w:t>
            </w:r>
            <w:r w:rsidRPr="00C32323">
              <w:rPr>
                <w:rStyle w:val="apple-converted-space"/>
                <w:rFonts w:ascii="Arial" w:hAnsi="Arial" w:cs="Arial"/>
                <w:color w:val="000000"/>
                <w:sz w:val="18"/>
                <w:szCs w:val="18"/>
              </w:rPr>
              <w:t> </w:t>
            </w:r>
          </w:p>
          <w:p w14:paraId="61A9ADC7" w14:textId="77777777" w:rsidR="00C32323" w:rsidRPr="00C32323" w:rsidRDefault="00C32323" w:rsidP="00C32323">
            <w:pPr>
              <w:numPr>
                <w:ilvl w:val="0"/>
                <w:numId w:val="1"/>
              </w:numPr>
              <w:spacing w:after="120"/>
              <w:ind w:left="178" w:hanging="170"/>
              <w:rPr>
                <w:rFonts w:ascii="Arial" w:eastAsia="Times New Roman" w:hAnsi="Arial" w:cs="Arial"/>
                <w:sz w:val="18"/>
                <w:szCs w:val="18"/>
              </w:rPr>
            </w:pPr>
            <w:r w:rsidRPr="00C32323">
              <w:rPr>
                <w:rFonts w:ascii="Arial" w:hAnsi="Arial" w:cs="Arial"/>
                <w:color w:val="000000"/>
                <w:sz w:val="18"/>
                <w:szCs w:val="18"/>
              </w:rPr>
              <w:t>Data analysis tools</w:t>
            </w:r>
            <w:r w:rsidRPr="00C32323">
              <w:rPr>
                <w:rStyle w:val="apple-converted-space"/>
                <w:rFonts w:ascii="Arial" w:hAnsi="Arial" w:cs="Arial"/>
                <w:color w:val="000000"/>
                <w:sz w:val="18"/>
                <w:szCs w:val="18"/>
              </w:rPr>
              <w:t> </w:t>
            </w:r>
          </w:p>
          <w:p w14:paraId="582E74F1" w14:textId="77777777" w:rsidR="00C32323" w:rsidRPr="00C32323" w:rsidRDefault="00C32323" w:rsidP="00C32323">
            <w:pPr>
              <w:numPr>
                <w:ilvl w:val="0"/>
                <w:numId w:val="1"/>
              </w:numPr>
              <w:spacing w:after="120"/>
              <w:ind w:left="178" w:hanging="170"/>
              <w:rPr>
                <w:rFonts w:ascii="Arial" w:eastAsia="Times New Roman" w:hAnsi="Arial" w:cs="Arial"/>
                <w:sz w:val="18"/>
                <w:szCs w:val="18"/>
              </w:rPr>
            </w:pPr>
            <w:r w:rsidRPr="00C32323">
              <w:rPr>
                <w:rFonts w:ascii="Arial" w:hAnsi="Arial" w:cs="Arial"/>
                <w:color w:val="000000"/>
                <w:sz w:val="18"/>
                <w:szCs w:val="18"/>
              </w:rPr>
              <w:t>Research evidence supporting PES-5</w:t>
            </w:r>
            <w:r w:rsidRPr="00C32323">
              <w:rPr>
                <w:rStyle w:val="apple-converted-space"/>
                <w:rFonts w:ascii="Arial" w:hAnsi="Arial" w:cs="Arial"/>
                <w:color w:val="000000"/>
                <w:sz w:val="18"/>
                <w:szCs w:val="18"/>
              </w:rPr>
              <w:t> </w:t>
            </w:r>
          </w:p>
          <w:p w14:paraId="362F1B92" w14:textId="77777777" w:rsidR="00C32323" w:rsidRPr="00EF609C" w:rsidRDefault="00C32323" w:rsidP="00C32323">
            <w:pPr>
              <w:numPr>
                <w:ilvl w:val="0"/>
                <w:numId w:val="1"/>
              </w:numPr>
              <w:spacing w:after="120"/>
              <w:ind w:left="178" w:hanging="170"/>
              <w:rPr>
                <w:rFonts w:ascii="Arial" w:eastAsia="Times New Roman" w:hAnsi="Arial" w:cs="Arial"/>
                <w:sz w:val="20"/>
                <w:szCs w:val="20"/>
              </w:rPr>
            </w:pPr>
            <w:r w:rsidRPr="00C32323">
              <w:rPr>
                <w:rFonts w:ascii="Arial" w:hAnsi="Arial" w:cs="Arial"/>
                <w:color w:val="000000"/>
                <w:sz w:val="18"/>
                <w:szCs w:val="18"/>
              </w:rPr>
              <w:t>Engagement from nursing staff and managers</w:t>
            </w:r>
          </w:p>
          <w:p w14:paraId="798053EB" w14:textId="77777777" w:rsidR="00EF609C" w:rsidRPr="00BB3B1D" w:rsidRDefault="00EF609C" w:rsidP="00C32323">
            <w:pPr>
              <w:numPr>
                <w:ilvl w:val="0"/>
                <w:numId w:val="1"/>
              </w:numPr>
              <w:spacing w:after="120"/>
              <w:ind w:left="178" w:hanging="170"/>
              <w:rPr>
                <w:rFonts w:ascii="Arial" w:eastAsia="Times New Roman" w:hAnsi="Arial" w:cs="Arial"/>
                <w:sz w:val="20"/>
                <w:szCs w:val="20"/>
              </w:rPr>
            </w:pPr>
            <w:r w:rsidRPr="00EF609C">
              <w:rPr>
                <w:rFonts w:ascii="Arial" w:hAnsi="Arial" w:cs="Arial"/>
                <w:color w:val="000000"/>
                <w:sz w:val="18"/>
                <w:szCs w:val="18"/>
              </w:rPr>
              <w:t>Endorsement by external organizations (e.g., Leapfrog, academic users, and national workforce studies)</w:t>
            </w:r>
          </w:p>
          <w:p w14:paraId="7AB1AE9F" w14:textId="77777777" w:rsidR="00BB3B1D" w:rsidRPr="00BB3B1D" w:rsidRDefault="00BB3B1D" w:rsidP="00C32323">
            <w:pPr>
              <w:numPr>
                <w:ilvl w:val="0"/>
                <w:numId w:val="1"/>
              </w:numPr>
              <w:spacing w:after="120"/>
              <w:ind w:left="178" w:hanging="170"/>
              <w:rPr>
                <w:rFonts w:ascii="Arial" w:eastAsia="Times New Roman" w:hAnsi="Arial" w:cs="Arial"/>
                <w:sz w:val="18"/>
                <w:szCs w:val="18"/>
              </w:rPr>
            </w:pPr>
            <w:r w:rsidRPr="00BB3B1D">
              <w:rPr>
                <w:rFonts w:ascii="Arial" w:hAnsi="Arial" w:cs="Arial"/>
                <w:sz w:val="18"/>
                <w:szCs w:val="18"/>
              </w:rPr>
              <w:t>Supportive nurse managers with leadership training time</w:t>
            </w:r>
          </w:p>
          <w:p w14:paraId="3D1C6593" w14:textId="4360FC09" w:rsidR="00BB3B1D" w:rsidRPr="00EF609C" w:rsidRDefault="00BB3B1D" w:rsidP="00C32323">
            <w:pPr>
              <w:numPr>
                <w:ilvl w:val="0"/>
                <w:numId w:val="1"/>
              </w:numPr>
              <w:spacing w:after="120"/>
              <w:ind w:left="178" w:hanging="170"/>
              <w:rPr>
                <w:rFonts w:ascii="Arial" w:eastAsia="Times New Roman" w:hAnsi="Arial" w:cs="Arial"/>
                <w:sz w:val="20"/>
                <w:szCs w:val="20"/>
              </w:rPr>
            </w:pPr>
            <w:r w:rsidRPr="00BB3B1D">
              <w:rPr>
                <w:rFonts w:ascii="Arial" w:hAnsi="Arial" w:cs="Arial"/>
                <w:sz w:val="18"/>
                <w:szCs w:val="18"/>
              </w:rPr>
              <w:t>Data systems and budget allocation for nurse-led quality initiatives</w:t>
            </w:r>
          </w:p>
        </w:tc>
        <w:tc>
          <w:tcPr>
            <w:tcW w:w="2160" w:type="dxa"/>
            <w:tcMar>
              <w:top w:w="58" w:type="dxa"/>
              <w:left w:w="58" w:type="dxa"/>
              <w:bottom w:w="58" w:type="dxa"/>
              <w:right w:w="58" w:type="dxa"/>
            </w:tcMar>
          </w:tcPr>
          <w:p w14:paraId="008E2374"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C32323">
              <w:rPr>
                <w:rFonts w:ascii="Arial" w:hAnsi="Arial" w:cs="Arial"/>
                <w:color w:val="000000"/>
                <w:sz w:val="18"/>
                <w:szCs w:val="18"/>
              </w:rPr>
              <w:t>Distribute PES-5 to registered nurses</w:t>
            </w:r>
            <w:r w:rsidRPr="00C32323">
              <w:rPr>
                <w:rStyle w:val="apple-converted-space"/>
                <w:rFonts w:ascii="Arial" w:hAnsi="Arial" w:cs="Arial"/>
                <w:color w:val="000000"/>
                <w:sz w:val="18"/>
                <w:szCs w:val="18"/>
              </w:rPr>
              <w:t> </w:t>
            </w:r>
          </w:p>
          <w:p w14:paraId="7DDE587C"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C32323">
              <w:rPr>
                <w:rFonts w:ascii="Arial" w:hAnsi="Arial" w:cs="Arial"/>
                <w:color w:val="000000"/>
                <w:sz w:val="18"/>
                <w:szCs w:val="18"/>
              </w:rPr>
              <w:t>Aggregate and analyze survey responses at hospital level</w:t>
            </w:r>
            <w:r w:rsidRPr="00C32323">
              <w:rPr>
                <w:rStyle w:val="apple-converted-space"/>
                <w:rFonts w:ascii="Arial" w:hAnsi="Arial" w:cs="Arial"/>
                <w:color w:val="000000"/>
                <w:sz w:val="18"/>
                <w:szCs w:val="18"/>
              </w:rPr>
              <w:t> </w:t>
            </w:r>
          </w:p>
          <w:p w14:paraId="625F01BB"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C32323">
              <w:rPr>
                <w:rFonts w:ascii="Arial" w:hAnsi="Arial" w:cs="Arial"/>
                <w:color w:val="000000"/>
                <w:sz w:val="18"/>
                <w:szCs w:val="18"/>
              </w:rPr>
              <w:t>Generate score reports and domain dashboards</w:t>
            </w:r>
            <w:r w:rsidRPr="00C32323">
              <w:rPr>
                <w:rStyle w:val="apple-converted-space"/>
                <w:rFonts w:ascii="Arial" w:hAnsi="Arial" w:cs="Arial"/>
                <w:color w:val="000000"/>
                <w:sz w:val="18"/>
                <w:szCs w:val="18"/>
              </w:rPr>
              <w:t> </w:t>
            </w:r>
          </w:p>
          <w:p w14:paraId="2BED252C"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C32323">
              <w:rPr>
                <w:rFonts w:ascii="Arial" w:hAnsi="Arial" w:cs="Arial"/>
                <w:color w:val="000000"/>
                <w:sz w:val="18"/>
                <w:szCs w:val="18"/>
              </w:rPr>
              <w:t>Use data to inform quality improvement initiatives</w:t>
            </w:r>
            <w:r w:rsidRPr="00C32323">
              <w:rPr>
                <w:rStyle w:val="apple-converted-space"/>
                <w:rFonts w:ascii="Arial" w:hAnsi="Arial" w:cs="Arial"/>
                <w:color w:val="000000"/>
                <w:sz w:val="18"/>
                <w:szCs w:val="18"/>
              </w:rPr>
              <w:t> </w:t>
            </w:r>
          </w:p>
          <w:p w14:paraId="5731A139" w14:textId="77777777" w:rsidR="00C32323" w:rsidRPr="00EF609C" w:rsidRDefault="00C32323" w:rsidP="00C32323">
            <w:pPr>
              <w:numPr>
                <w:ilvl w:val="0"/>
                <w:numId w:val="1"/>
              </w:numPr>
              <w:spacing w:after="120"/>
              <w:ind w:left="178" w:hanging="170"/>
              <w:rPr>
                <w:rFonts w:ascii="Arial" w:eastAsia="Calibri" w:hAnsi="Arial" w:cs="Arial"/>
                <w:sz w:val="18"/>
                <w:szCs w:val="18"/>
              </w:rPr>
            </w:pPr>
            <w:r w:rsidRPr="00C32323">
              <w:rPr>
                <w:rFonts w:ascii="Arial" w:hAnsi="Arial" w:cs="Arial"/>
                <w:color w:val="000000"/>
                <w:sz w:val="18"/>
                <w:szCs w:val="18"/>
              </w:rPr>
              <w:t>Educate leadership on interpreting PES-5 results</w:t>
            </w:r>
          </w:p>
          <w:p w14:paraId="4312D981" w14:textId="4BC2D94C" w:rsidR="00EF609C" w:rsidRPr="00EF609C" w:rsidRDefault="00EF609C" w:rsidP="00C32323">
            <w:pPr>
              <w:numPr>
                <w:ilvl w:val="0"/>
                <w:numId w:val="1"/>
              </w:numPr>
              <w:spacing w:after="120"/>
              <w:ind w:left="178" w:hanging="170"/>
              <w:rPr>
                <w:rFonts w:ascii="Arial" w:eastAsia="Calibri" w:hAnsi="Arial" w:cs="Arial"/>
                <w:sz w:val="18"/>
                <w:szCs w:val="18"/>
              </w:rPr>
            </w:pPr>
            <w:r w:rsidRPr="00EF609C">
              <w:rPr>
                <w:rFonts w:ascii="Arial" w:hAnsi="Arial" w:cs="Arial"/>
                <w:color w:val="000000"/>
                <w:sz w:val="18"/>
                <w:szCs w:val="18"/>
              </w:rPr>
              <w:t>Use PES-5 results in accountability applications, including public reporting, internal benchmarking, and quality-based contracting</w:t>
            </w:r>
          </w:p>
        </w:tc>
        <w:tc>
          <w:tcPr>
            <w:tcW w:w="2160" w:type="dxa"/>
            <w:tcMar>
              <w:top w:w="58" w:type="dxa"/>
              <w:left w:w="58" w:type="dxa"/>
              <w:bottom w:w="58" w:type="dxa"/>
              <w:right w:w="58" w:type="dxa"/>
            </w:tcMar>
          </w:tcPr>
          <w:p w14:paraId="0AA7B893" w14:textId="40D02C8E" w:rsidR="00C32323" w:rsidRPr="00C32323" w:rsidRDefault="00F72844" w:rsidP="00C32323">
            <w:pPr>
              <w:numPr>
                <w:ilvl w:val="0"/>
                <w:numId w:val="1"/>
              </w:numPr>
              <w:spacing w:after="120"/>
              <w:ind w:left="178" w:hanging="170"/>
              <w:rPr>
                <w:rFonts w:ascii="Arial" w:eastAsia="Calibri" w:hAnsi="Arial" w:cs="Arial"/>
                <w:sz w:val="18"/>
                <w:szCs w:val="18"/>
              </w:rPr>
            </w:pPr>
            <w:r w:rsidRPr="00F72844">
              <w:rPr>
                <w:rFonts w:ascii="Arial" w:hAnsi="Arial" w:cs="Arial"/>
                <w:color w:val="000000"/>
                <w:sz w:val="18"/>
                <w:szCs w:val="18"/>
              </w:rPr>
              <w:t>PES-5 composite and domain-level results (aggregated at the hospital level)</w:t>
            </w:r>
          </w:p>
          <w:p w14:paraId="3686463D"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Benchmarking reports by domain and composite</w:t>
            </w:r>
          </w:p>
          <w:p w14:paraId="0DBFFFD2"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Implementation toolkits or internal memos</w:t>
            </w:r>
          </w:p>
          <w:p w14:paraId="2DFDB951" w14:textId="77777777" w:rsidR="00C32323" w:rsidRPr="001644FE"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Updated quality dashboards or action plans</w:t>
            </w:r>
          </w:p>
          <w:p w14:paraId="3CDFC7ED" w14:textId="77777777" w:rsidR="001644FE" w:rsidRPr="00491ED8" w:rsidRDefault="001644FE" w:rsidP="00C32323">
            <w:pPr>
              <w:numPr>
                <w:ilvl w:val="0"/>
                <w:numId w:val="1"/>
              </w:numPr>
              <w:spacing w:after="120"/>
              <w:ind w:left="178" w:hanging="170"/>
              <w:rPr>
                <w:rFonts w:ascii="Arial" w:eastAsia="Calibri" w:hAnsi="Arial" w:cs="Arial"/>
                <w:sz w:val="18"/>
                <w:szCs w:val="18"/>
              </w:rPr>
            </w:pPr>
            <w:r w:rsidRPr="001644FE">
              <w:rPr>
                <w:rFonts w:ascii="Arial" w:hAnsi="Arial" w:cs="Arial"/>
                <w:color w:val="000000"/>
                <w:sz w:val="18"/>
                <w:szCs w:val="18"/>
              </w:rPr>
              <w:t>Actionable summaries and improvement tools provided to unit-level or system-level leaders for rapid-cycle change</w:t>
            </w:r>
          </w:p>
          <w:p w14:paraId="11F890F0" w14:textId="2B2B68F9" w:rsidR="00491ED8" w:rsidRPr="00491ED8" w:rsidRDefault="00491ED8" w:rsidP="00C32323">
            <w:pPr>
              <w:numPr>
                <w:ilvl w:val="0"/>
                <w:numId w:val="1"/>
              </w:numPr>
              <w:spacing w:after="120"/>
              <w:ind w:left="178" w:hanging="170"/>
              <w:rPr>
                <w:rFonts w:ascii="Arial" w:eastAsia="Calibri" w:hAnsi="Arial" w:cs="Arial"/>
                <w:sz w:val="18"/>
                <w:szCs w:val="18"/>
              </w:rPr>
            </w:pPr>
            <w:r w:rsidRPr="00491ED8">
              <w:rPr>
                <w:rFonts w:ascii="Arial" w:hAnsi="Arial" w:cs="Arial"/>
                <w:color w:val="000000"/>
                <w:sz w:val="18"/>
                <w:szCs w:val="18"/>
              </w:rPr>
              <w:t>Policy/procedure changes</w:t>
            </w:r>
          </w:p>
        </w:tc>
        <w:tc>
          <w:tcPr>
            <w:tcW w:w="4320" w:type="dxa"/>
            <w:tcMar>
              <w:top w:w="58" w:type="dxa"/>
              <w:left w:w="58" w:type="dxa"/>
              <w:bottom w:w="58" w:type="dxa"/>
              <w:right w:w="58" w:type="dxa"/>
            </w:tcMar>
          </w:tcPr>
          <w:p w14:paraId="4E79A5F2" w14:textId="77777777" w:rsidR="00B55570" w:rsidRDefault="00B55570" w:rsidP="00B55570">
            <w:pPr>
              <w:spacing w:before="100" w:beforeAutospacing="1" w:after="100" w:afterAutospacing="1"/>
            </w:pPr>
            <w:r w:rsidRPr="00B55570">
              <w:rPr>
                <w:rStyle w:val="Strong"/>
                <w:rFonts w:ascii="Arial" w:hAnsi="Arial" w:cs="Arial"/>
                <w:sz w:val="18"/>
                <w:szCs w:val="18"/>
              </w:rPr>
              <w:t>Short-Term (1–2 years):</w:t>
            </w:r>
          </w:p>
          <w:p w14:paraId="3008D08D" w14:textId="77777777" w:rsidR="00B55570" w:rsidRPr="00B55570" w:rsidRDefault="00B55570" w:rsidP="00B55570">
            <w:pPr>
              <w:pStyle w:val="ListParagraph"/>
              <w:numPr>
                <w:ilvl w:val="0"/>
                <w:numId w:val="6"/>
              </w:numPr>
              <w:spacing w:before="100" w:beforeAutospacing="1" w:after="100" w:afterAutospacing="1"/>
            </w:pPr>
            <w:r w:rsidRPr="00B55570">
              <w:rPr>
                <w:rFonts w:ascii="Arial" w:hAnsi="Arial" w:cs="Arial"/>
                <w:sz w:val="18"/>
                <w:szCs w:val="18"/>
              </w:rPr>
              <w:t>Improved nurse-reported PES-5 scores and perceptions of the work environment</w:t>
            </w:r>
          </w:p>
          <w:p w14:paraId="7256B470" w14:textId="77777777" w:rsidR="00B55570" w:rsidRPr="00B55570" w:rsidRDefault="00B55570" w:rsidP="00B55570">
            <w:pPr>
              <w:pStyle w:val="ListParagraph"/>
              <w:numPr>
                <w:ilvl w:val="0"/>
                <w:numId w:val="6"/>
              </w:numPr>
              <w:spacing w:before="100" w:beforeAutospacing="1" w:after="100" w:afterAutospacing="1"/>
            </w:pPr>
            <w:r w:rsidRPr="00B55570">
              <w:rPr>
                <w:rFonts w:ascii="Arial" w:hAnsi="Arial" w:cs="Arial"/>
                <w:sz w:val="18"/>
                <w:szCs w:val="18"/>
              </w:rPr>
              <w:t>Increased use of PES-5 data in internal quality and leadership decision-making</w:t>
            </w:r>
          </w:p>
          <w:p w14:paraId="21BE051E" w14:textId="3D5EA117" w:rsidR="00B55570" w:rsidRPr="00B55570" w:rsidRDefault="00B55570" w:rsidP="00B55570">
            <w:pPr>
              <w:pStyle w:val="ListParagraph"/>
              <w:numPr>
                <w:ilvl w:val="0"/>
                <w:numId w:val="6"/>
              </w:numPr>
              <w:spacing w:before="100" w:beforeAutospacing="1" w:after="100" w:afterAutospacing="1"/>
            </w:pPr>
            <w:r w:rsidRPr="00B55570">
              <w:rPr>
                <w:rFonts w:ascii="Arial" w:hAnsi="Arial" w:cs="Arial"/>
                <w:sz w:val="18"/>
                <w:szCs w:val="18"/>
              </w:rPr>
              <w:t>Strengthened leadership awareness and engagement with nursing priorities</w:t>
            </w:r>
          </w:p>
          <w:p w14:paraId="158673EB" w14:textId="77777777" w:rsidR="00B55570" w:rsidRDefault="00B55570" w:rsidP="00B55570">
            <w:pPr>
              <w:spacing w:before="100" w:beforeAutospacing="1" w:after="100" w:afterAutospacing="1"/>
            </w:pPr>
            <w:r w:rsidRPr="00B55570">
              <w:rPr>
                <w:rStyle w:val="Strong"/>
                <w:rFonts w:ascii="Arial" w:hAnsi="Arial" w:cs="Arial"/>
                <w:sz w:val="18"/>
                <w:szCs w:val="18"/>
              </w:rPr>
              <w:t>Intermediate (2–3 years):</w:t>
            </w:r>
          </w:p>
          <w:p w14:paraId="39D549CF" w14:textId="77777777" w:rsid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Reduced nurse burnout and intent to leave</w:t>
            </w:r>
          </w:p>
          <w:p w14:paraId="35233CB3" w14:textId="77777777" w:rsid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Lower RN turnover and vacancy rates</w:t>
            </w:r>
          </w:p>
          <w:p w14:paraId="2EF97A11" w14:textId="77777777" w:rsid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Improved collaboration between nurses and physicians</w:t>
            </w:r>
          </w:p>
          <w:p w14:paraId="427EBBAC" w14:textId="6D5D4A54" w:rsidR="00B55570" w:rsidRP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More responsive staffing models and targeted interventions based on survey data</w:t>
            </w:r>
          </w:p>
          <w:p w14:paraId="71D96308" w14:textId="77777777" w:rsidR="00B55570" w:rsidRDefault="00B55570" w:rsidP="00B55570">
            <w:pPr>
              <w:spacing w:before="100" w:beforeAutospacing="1" w:after="100" w:afterAutospacing="1"/>
              <w:rPr>
                <w:rFonts w:ascii="Arial" w:hAnsi="Arial" w:cs="Arial"/>
                <w:sz w:val="18"/>
                <w:szCs w:val="18"/>
              </w:rPr>
            </w:pPr>
            <w:r w:rsidRPr="00B55570">
              <w:rPr>
                <w:rStyle w:val="Strong"/>
                <w:rFonts w:ascii="Arial" w:hAnsi="Arial" w:cs="Arial"/>
                <w:sz w:val="18"/>
                <w:szCs w:val="18"/>
              </w:rPr>
              <w:t>Long-Term (3+ years):</w:t>
            </w:r>
          </w:p>
          <w:p w14:paraId="16B05E87" w14:textId="77777777" w:rsid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Improved patient outcomes (e.g., fewer falls, infections, and readmissions)</w:t>
            </w:r>
          </w:p>
          <w:p w14:paraId="1061C632" w14:textId="77777777" w:rsid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 xml:space="preserve">Enhanced </w:t>
            </w:r>
            <w:proofErr w:type="gramStart"/>
            <w:r w:rsidRPr="00B55570">
              <w:rPr>
                <w:rFonts w:ascii="Arial" w:hAnsi="Arial" w:cs="Arial"/>
                <w:sz w:val="18"/>
                <w:szCs w:val="18"/>
              </w:rPr>
              <w:t>patient</w:t>
            </w:r>
            <w:proofErr w:type="gramEnd"/>
            <w:r w:rsidRPr="00B55570">
              <w:rPr>
                <w:rFonts w:ascii="Arial" w:hAnsi="Arial" w:cs="Arial"/>
                <w:sz w:val="18"/>
                <w:szCs w:val="18"/>
              </w:rPr>
              <w:t xml:space="preserve"> experience scores (e.g., HCAHPS)</w:t>
            </w:r>
          </w:p>
          <w:p w14:paraId="020DBB84" w14:textId="3010D255" w:rsidR="00B55570" w:rsidRPr="00B55570" w:rsidRDefault="00B55570" w:rsidP="00B55570">
            <w:pPr>
              <w:pStyle w:val="ListParagraph"/>
              <w:numPr>
                <w:ilvl w:val="0"/>
                <w:numId w:val="6"/>
              </w:numPr>
              <w:spacing w:before="100" w:beforeAutospacing="1" w:after="100" w:afterAutospacing="1"/>
              <w:rPr>
                <w:rFonts w:ascii="Arial" w:hAnsi="Arial" w:cs="Arial"/>
                <w:sz w:val="18"/>
                <w:szCs w:val="18"/>
              </w:rPr>
            </w:pPr>
            <w:r w:rsidRPr="00B55570">
              <w:rPr>
                <w:rFonts w:ascii="Arial" w:hAnsi="Arial" w:cs="Arial"/>
                <w:sz w:val="18"/>
                <w:szCs w:val="18"/>
              </w:rPr>
              <w:t>Organizational recognition (e.g., Leapfrog, Magnet) and cost savings from workforce stability</w:t>
            </w:r>
          </w:p>
          <w:p w14:paraId="15BA8D97" w14:textId="7F580FB7" w:rsidR="00B55570" w:rsidRPr="00C04AA8" w:rsidRDefault="00B55570" w:rsidP="00B55570">
            <w:pPr>
              <w:spacing w:after="120"/>
              <w:rPr>
                <w:rFonts w:ascii="Arial" w:eastAsia="Calibri" w:hAnsi="Arial" w:cs="Arial"/>
                <w:sz w:val="18"/>
                <w:szCs w:val="18"/>
              </w:rPr>
            </w:pPr>
          </w:p>
        </w:tc>
        <w:tc>
          <w:tcPr>
            <w:tcW w:w="2160" w:type="dxa"/>
            <w:tcMar>
              <w:top w:w="58" w:type="dxa"/>
              <w:left w:w="58" w:type="dxa"/>
              <w:bottom w:w="58" w:type="dxa"/>
              <w:right w:w="58" w:type="dxa"/>
            </w:tcMar>
          </w:tcPr>
          <w:p w14:paraId="3B5542A6"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Reduced nurse burnout and turnover</w:t>
            </w:r>
          </w:p>
          <w:p w14:paraId="446064CE"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Enhanced patient safety and satisfaction</w:t>
            </w:r>
          </w:p>
          <w:p w14:paraId="23E12249"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Institutional adoption of nurse-led improvement processes</w:t>
            </w:r>
          </w:p>
          <w:p w14:paraId="19FDAF90" w14:textId="77777777" w:rsidR="00C32323" w:rsidRPr="00C32323"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Recognition or public reporting of high-performing hospitals (e.g., Leapfrog)</w:t>
            </w:r>
          </w:p>
          <w:p w14:paraId="1D2C680A" w14:textId="77777777" w:rsidR="00C32323" w:rsidRPr="007329C7" w:rsidRDefault="00C32323" w:rsidP="00C32323">
            <w:pPr>
              <w:numPr>
                <w:ilvl w:val="0"/>
                <w:numId w:val="1"/>
              </w:numPr>
              <w:spacing w:after="120"/>
              <w:ind w:left="178" w:hanging="170"/>
              <w:rPr>
                <w:rFonts w:ascii="Arial" w:eastAsia="Calibri" w:hAnsi="Arial" w:cs="Arial"/>
                <w:sz w:val="18"/>
                <w:szCs w:val="18"/>
              </w:rPr>
            </w:pPr>
            <w:r w:rsidRPr="00D445D2">
              <w:rPr>
                <w:rFonts w:ascii="Arial" w:hAnsi="Arial" w:cs="Arial"/>
                <w:sz w:val="18"/>
                <w:szCs w:val="18"/>
              </w:rPr>
              <w:t>Improved quality of care and patient outcomes nationally</w:t>
            </w:r>
          </w:p>
          <w:p w14:paraId="15388C75" w14:textId="4A2AE63B" w:rsidR="007329C7" w:rsidRPr="007329C7" w:rsidRDefault="007329C7" w:rsidP="00C32323">
            <w:pPr>
              <w:numPr>
                <w:ilvl w:val="0"/>
                <w:numId w:val="1"/>
              </w:numPr>
              <w:spacing w:after="120"/>
              <w:ind w:left="178" w:hanging="170"/>
              <w:rPr>
                <w:rFonts w:ascii="Arial" w:eastAsia="Calibri" w:hAnsi="Arial" w:cs="Arial"/>
                <w:sz w:val="18"/>
                <w:szCs w:val="18"/>
              </w:rPr>
            </w:pPr>
            <w:r w:rsidRPr="007329C7">
              <w:rPr>
                <w:rFonts w:ascii="Arial" w:hAnsi="Arial" w:cs="Arial"/>
                <w:color w:val="000000"/>
                <w:sz w:val="18"/>
                <w:szCs w:val="18"/>
              </w:rPr>
              <w:t xml:space="preserve">Progress toward </w:t>
            </w:r>
            <w:r w:rsidR="0099281A">
              <w:rPr>
                <w:rFonts w:ascii="Arial" w:hAnsi="Arial" w:cs="Arial"/>
                <w:color w:val="000000"/>
                <w:sz w:val="18"/>
                <w:szCs w:val="18"/>
              </w:rPr>
              <w:t xml:space="preserve">better </w:t>
            </w:r>
            <w:r w:rsidRPr="007329C7">
              <w:rPr>
                <w:rFonts w:ascii="Arial" w:hAnsi="Arial" w:cs="Arial"/>
                <w:color w:val="000000"/>
                <w:sz w:val="18"/>
                <w:szCs w:val="18"/>
              </w:rPr>
              <w:t xml:space="preserve">health </w:t>
            </w:r>
            <w:r w:rsidR="0099281A">
              <w:rPr>
                <w:rFonts w:ascii="Arial" w:hAnsi="Arial" w:cs="Arial"/>
                <w:color w:val="000000"/>
                <w:sz w:val="18"/>
                <w:szCs w:val="18"/>
              </w:rPr>
              <w:t xml:space="preserve">outcomes for patients in </w:t>
            </w:r>
            <w:r w:rsidR="0099281A" w:rsidRPr="007329C7">
              <w:rPr>
                <w:rFonts w:ascii="Arial" w:hAnsi="Arial" w:cs="Arial"/>
                <w:color w:val="000000"/>
                <w:sz w:val="18"/>
                <w:szCs w:val="18"/>
              </w:rPr>
              <w:t>under-resourced hospitals</w:t>
            </w:r>
            <w:r w:rsidR="0099281A">
              <w:rPr>
                <w:rFonts w:ascii="Arial" w:hAnsi="Arial" w:cs="Arial"/>
                <w:color w:val="000000"/>
                <w:sz w:val="18"/>
                <w:szCs w:val="18"/>
              </w:rPr>
              <w:t xml:space="preserve"> </w:t>
            </w:r>
            <w:r w:rsidRPr="007329C7">
              <w:rPr>
                <w:rFonts w:ascii="Arial" w:hAnsi="Arial" w:cs="Arial"/>
                <w:color w:val="000000"/>
                <w:sz w:val="18"/>
                <w:szCs w:val="18"/>
              </w:rPr>
              <w:t xml:space="preserve">through improvements </w:t>
            </w:r>
          </w:p>
          <w:p w14:paraId="34460D0A" w14:textId="385A2A6F" w:rsidR="007329C7" w:rsidRPr="007329C7" w:rsidRDefault="007329C7" w:rsidP="00C32323">
            <w:pPr>
              <w:numPr>
                <w:ilvl w:val="0"/>
                <w:numId w:val="1"/>
              </w:numPr>
              <w:spacing w:after="120"/>
              <w:ind w:left="178" w:hanging="170"/>
              <w:rPr>
                <w:rFonts w:ascii="Arial" w:eastAsia="Calibri" w:hAnsi="Arial" w:cs="Arial"/>
                <w:sz w:val="18"/>
                <w:szCs w:val="18"/>
              </w:rPr>
            </w:pPr>
            <w:r w:rsidRPr="007329C7">
              <w:rPr>
                <w:rFonts w:ascii="Arial" w:hAnsi="Arial" w:cs="Arial"/>
                <w:color w:val="000000"/>
                <w:sz w:val="18"/>
                <w:szCs w:val="18"/>
              </w:rPr>
              <w:t>Support for future policy and accreditation changes.</w:t>
            </w:r>
          </w:p>
        </w:tc>
      </w:tr>
    </w:tbl>
    <w:p w14:paraId="08CC5715" w14:textId="77777777" w:rsidR="00A81630" w:rsidRDefault="00A81630" w:rsidP="00C03B3F">
      <w:pPr>
        <w:spacing w:after="0" w:line="240" w:lineRule="auto"/>
        <w:rPr>
          <w:rFonts w:ascii="Arial" w:hAnsi="Arial" w:cs="Arial"/>
          <w:sz w:val="20"/>
          <w:szCs w:val="20"/>
        </w:rPr>
      </w:pPr>
    </w:p>
    <w:tbl>
      <w:tblPr>
        <w:tblStyle w:val="TableGrid"/>
        <w:tblW w:w="12968" w:type="dxa"/>
        <w:tblInd w:w="-8" w:type="dxa"/>
        <w:tblBorders>
          <w:top w:val="single" w:sz="6" w:space="0" w:color="auto"/>
          <w:left w:val="single" w:sz="6" w:space="0" w:color="auto"/>
          <w:bottom w:val="single" w:sz="6" w:space="0" w:color="auto"/>
          <w:right w:val="single" w:sz="6" w:space="0" w:color="auto"/>
        </w:tblBorders>
        <w:tblLayout w:type="fixed"/>
        <w:tblCellMar>
          <w:top w:w="58" w:type="dxa"/>
          <w:left w:w="58" w:type="dxa"/>
          <w:bottom w:w="58" w:type="dxa"/>
          <w:right w:w="58" w:type="dxa"/>
        </w:tblCellMar>
        <w:tblLook w:val="04A0" w:firstRow="1" w:lastRow="0" w:firstColumn="1" w:lastColumn="0" w:noHBand="0" w:noVBand="1"/>
      </w:tblPr>
      <w:tblGrid>
        <w:gridCol w:w="12968"/>
      </w:tblGrid>
      <w:tr w:rsidR="009A71B6" w:rsidRPr="00C04AA8" w14:paraId="43D97D9A" w14:textId="77777777" w:rsidTr="009A71B6">
        <w:trPr>
          <w:cantSplit/>
          <w:trHeight w:val="157"/>
        </w:trPr>
        <w:tc>
          <w:tcPr>
            <w:tcW w:w="12968" w:type="dxa"/>
            <w:shd w:val="clear" w:color="auto" w:fill="E9F4F7"/>
            <w:tcMar>
              <w:top w:w="58" w:type="dxa"/>
              <w:left w:w="58" w:type="dxa"/>
              <w:bottom w:w="58" w:type="dxa"/>
              <w:right w:w="58" w:type="dxa"/>
            </w:tcMar>
            <w:vAlign w:val="center"/>
          </w:tcPr>
          <w:p w14:paraId="2403E0F3" w14:textId="77777777" w:rsidR="009A71B6" w:rsidRPr="00C04AA8" w:rsidRDefault="009A71B6" w:rsidP="001C67BE">
            <w:pPr>
              <w:rPr>
                <w:rFonts w:ascii="Arial" w:eastAsia="Calibri" w:hAnsi="Arial" w:cs="Arial"/>
                <w:sz w:val="20"/>
                <w:szCs w:val="20"/>
              </w:rPr>
            </w:pPr>
            <w:r w:rsidRPr="00C04AA8">
              <w:rPr>
                <w:rFonts w:ascii="Arial" w:eastAsia="Times New Roman" w:hAnsi="Arial" w:cs="Arial"/>
                <w:b/>
                <w:bCs/>
                <w:sz w:val="20"/>
                <w:szCs w:val="20"/>
              </w:rPr>
              <w:t>Feedback Mechanisms</w:t>
            </w:r>
          </w:p>
        </w:tc>
      </w:tr>
      <w:tr w:rsidR="009A71B6" w:rsidRPr="00C04AA8" w14:paraId="68E1F2A0" w14:textId="77777777" w:rsidTr="009A71B6">
        <w:trPr>
          <w:cantSplit/>
          <w:trHeight w:val="288"/>
        </w:trPr>
        <w:tc>
          <w:tcPr>
            <w:tcW w:w="12968" w:type="dxa"/>
            <w:tcMar>
              <w:top w:w="58" w:type="dxa"/>
              <w:left w:w="58" w:type="dxa"/>
              <w:bottom w:w="58" w:type="dxa"/>
              <w:right w:w="58" w:type="dxa"/>
            </w:tcMar>
          </w:tcPr>
          <w:p w14:paraId="09B4670C" w14:textId="765AEED8" w:rsidR="009A71B6" w:rsidRPr="00C04AA8" w:rsidRDefault="00D01676" w:rsidP="00567F61">
            <w:pPr>
              <w:spacing w:after="120"/>
              <w:ind w:left="178"/>
              <w:rPr>
                <w:rFonts w:ascii="Arial" w:eastAsia="Calibri" w:hAnsi="Arial" w:cs="Arial"/>
                <w:sz w:val="18"/>
                <w:szCs w:val="18"/>
              </w:rPr>
            </w:pPr>
            <w:r w:rsidRPr="008D193D">
              <w:rPr>
                <w:rFonts w:ascii="Arial" w:hAnsi="Arial" w:cs="Arial"/>
                <w:sz w:val="18"/>
                <w:szCs w:val="18"/>
              </w:rPr>
              <w:lastRenderedPageBreak/>
              <w:t>• Results from PES-5 are shared with nursing leadership, quality improvement teams, and frontline staff.</w:t>
            </w:r>
            <w:r w:rsidRPr="008D193D">
              <w:rPr>
                <w:rFonts w:ascii="Arial" w:hAnsi="Arial" w:cs="Arial"/>
                <w:sz w:val="18"/>
                <w:szCs w:val="18"/>
              </w:rPr>
              <w:br/>
              <w:t>• Hospitals use internal review sessions to interpret findings and prioritize action plans.</w:t>
            </w:r>
            <w:r w:rsidRPr="008D193D">
              <w:rPr>
                <w:rFonts w:ascii="Arial" w:hAnsi="Arial" w:cs="Arial"/>
                <w:sz w:val="18"/>
                <w:szCs w:val="18"/>
              </w:rPr>
              <w:br/>
              <w:t>• PES-5 benchmarking reports and dashboards are updated periodically and compared against prior cycles.</w:t>
            </w:r>
            <w:r w:rsidRPr="008D193D">
              <w:rPr>
                <w:rFonts w:ascii="Arial" w:hAnsi="Arial" w:cs="Arial"/>
                <w:sz w:val="18"/>
                <w:szCs w:val="18"/>
              </w:rPr>
              <w:br/>
              <w:t>• Nurse satisfaction surveys and retention data are used alongside PES-5 scores to validate progress.</w:t>
            </w:r>
            <w:r w:rsidRPr="008D193D">
              <w:rPr>
                <w:rFonts w:ascii="Arial" w:hAnsi="Arial" w:cs="Arial"/>
                <w:sz w:val="18"/>
                <w:szCs w:val="18"/>
              </w:rPr>
              <w:br/>
              <w:t>• Stakeholder feedback is collected post-implementation to refine survey rollout and response strategies.</w:t>
            </w:r>
          </w:p>
        </w:tc>
      </w:tr>
      <w:tr w:rsidR="009A71B6" w:rsidRPr="00C04AA8" w14:paraId="29DAF187" w14:textId="77777777" w:rsidTr="009A71B6">
        <w:trPr>
          <w:cantSplit/>
        </w:trPr>
        <w:tc>
          <w:tcPr>
            <w:tcW w:w="12968" w:type="dxa"/>
            <w:shd w:val="clear" w:color="auto" w:fill="E9F4F7"/>
            <w:tcMar>
              <w:top w:w="58" w:type="dxa"/>
              <w:left w:w="58" w:type="dxa"/>
              <w:bottom w:w="58" w:type="dxa"/>
              <w:right w:w="58" w:type="dxa"/>
            </w:tcMar>
            <w:vAlign w:val="center"/>
          </w:tcPr>
          <w:p w14:paraId="3F25D7F7" w14:textId="77777777" w:rsidR="009A71B6" w:rsidRPr="00C04AA8" w:rsidRDefault="009A71B6" w:rsidP="001C67BE">
            <w:pPr>
              <w:rPr>
                <w:rFonts w:ascii="Arial" w:eastAsia="Calibri" w:hAnsi="Arial" w:cs="Arial"/>
                <w:sz w:val="20"/>
                <w:szCs w:val="20"/>
              </w:rPr>
            </w:pPr>
            <w:r w:rsidRPr="00C04AA8">
              <w:rPr>
                <w:rFonts w:ascii="Arial" w:eastAsia="Times New Roman" w:hAnsi="Arial" w:cs="Arial"/>
                <w:b/>
                <w:bCs/>
                <w:sz w:val="20"/>
                <w:szCs w:val="20"/>
              </w:rPr>
              <w:t>Assumptions</w:t>
            </w:r>
          </w:p>
        </w:tc>
      </w:tr>
      <w:tr w:rsidR="00D01676" w:rsidRPr="00C04AA8" w14:paraId="2D589FC9" w14:textId="77777777" w:rsidTr="009A71B6">
        <w:trPr>
          <w:cantSplit/>
          <w:trHeight w:val="288"/>
        </w:trPr>
        <w:tc>
          <w:tcPr>
            <w:tcW w:w="12968" w:type="dxa"/>
            <w:tcMar>
              <w:top w:w="58" w:type="dxa"/>
              <w:left w:w="58" w:type="dxa"/>
              <w:bottom w:w="58" w:type="dxa"/>
              <w:right w:w="58" w:type="dxa"/>
            </w:tcMar>
          </w:tcPr>
          <w:p w14:paraId="4F7096DE" w14:textId="5580C889" w:rsidR="00BB3B1D" w:rsidRPr="00BB3B1D" w:rsidRDefault="00BB3B1D" w:rsidP="00BB3B1D">
            <w:pPr>
              <w:spacing w:after="120"/>
              <w:ind w:left="178"/>
              <w:rPr>
                <w:rFonts w:ascii="Arial" w:hAnsi="Arial" w:cs="Arial"/>
                <w:sz w:val="18"/>
                <w:szCs w:val="18"/>
              </w:rPr>
            </w:pPr>
            <w:r w:rsidRPr="00BB3B1D">
              <w:rPr>
                <w:rFonts w:ascii="Arial" w:hAnsi="Arial" w:cs="Arial"/>
                <w:sz w:val="18"/>
                <w:szCs w:val="18"/>
              </w:rPr>
              <w:t>• Hospitals are motivated to assess and improve the nursing practice environment.</w:t>
            </w:r>
            <w:r w:rsidRPr="00BB3B1D">
              <w:rPr>
                <w:rFonts w:ascii="Arial" w:hAnsi="Arial" w:cs="Arial"/>
                <w:sz w:val="18"/>
                <w:szCs w:val="18"/>
              </w:rPr>
              <w:br/>
              <w:t>• Registered nurses will provide accurate and honest responses if confidentiality is assured.</w:t>
            </w:r>
            <w:r w:rsidRPr="00BB3B1D">
              <w:rPr>
                <w:rFonts w:ascii="Arial" w:hAnsi="Arial" w:cs="Arial"/>
                <w:sz w:val="18"/>
                <w:szCs w:val="18"/>
              </w:rPr>
              <w:br/>
              <w:t>• Hospital leadership has the capacity and willingness to act on PES-5 findings.</w:t>
            </w:r>
            <w:r w:rsidRPr="00BB3B1D">
              <w:rPr>
                <w:rFonts w:ascii="Arial" w:hAnsi="Arial" w:cs="Arial"/>
                <w:sz w:val="18"/>
                <w:szCs w:val="18"/>
              </w:rPr>
              <w:br/>
              <w:t>• Improvements in the work environment will translate into measurable improvements in nurse and patient outcomes.</w:t>
            </w:r>
            <w:r w:rsidRPr="00BB3B1D">
              <w:rPr>
                <w:rFonts w:ascii="Arial" w:hAnsi="Arial" w:cs="Arial"/>
                <w:sz w:val="18"/>
                <w:szCs w:val="18"/>
              </w:rPr>
              <w:br/>
            </w:r>
          </w:p>
        </w:tc>
      </w:tr>
      <w:tr w:rsidR="00D01676" w:rsidRPr="00C04AA8" w14:paraId="024CE736" w14:textId="77777777" w:rsidTr="009A71B6">
        <w:trPr>
          <w:cantSplit/>
          <w:trHeight w:val="238"/>
        </w:trPr>
        <w:tc>
          <w:tcPr>
            <w:tcW w:w="12968" w:type="dxa"/>
            <w:shd w:val="clear" w:color="auto" w:fill="E9F4F7"/>
            <w:tcMar>
              <w:top w:w="58" w:type="dxa"/>
              <w:left w:w="58" w:type="dxa"/>
              <w:bottom w:w="58" w:type="dxa"/>
              <w:right w:w="58" w:type="dxa"/>
            </w:tcMar>
            <w:vAlign w:val="center"/>
          </w:tcPr>
          <w:p w14:paraId="3BF6B364" w14:textId="77777777" w:rsidR="00D01676" w:rsidRPr="00C04AA8" w:rsidRDefault="00D01676" w:rsidP="00D01676">
            <w:pPr>
              <w:rPr>
                <w:rFonts w:ascii="Arial" w:eastAsia="Calibri" w:hAnsi="Arial" w:cs="Arial"/>
                <w:sz w:val="20"/>
                <w:szCs w:val="20"/>
              </w:rPr>
            </w:pPr>
            <w:r w:rsidRPr="00C04AA8">
              <w:rPr>
                <w:rFonts w:ascii="Arial" w:eastAsia="Times New Roman" w:hAnsi="Arial" w:cs="Arial"/>
                <w:b/>
                <w:bCs/>
                <w:sz w:val="20"/>
                <w:szCs w:val="20"/>
              </w:rPr>
              <w:t>External Factors</w:t>
            </w:r>
          </w:p>
        </w:tc>
      </w:tr>
      <w:tr w:rsidR="00D01676" w:rsidRPr="00C04AA8" w14:paraId="76675FFC" w14:textId="77777777" w:rsidTr="00E82DD8">
        <w:trPr>
          <w:cantSplit/>
          <w:trHeight w:val="288"/>
        </w:trPr>
        <w:tc>
          <w:tcPr>
            <w:tcW w:w="12968" w:type="dxa"/>
            <w:shd w:val="clear" w:color="auto" w:fill="auto"/>
            <w:tcMar>
              <w:top w:w="58" w:type="dxa"/>
              <w:left w:w="58" w:type="dxa"/>
              <w:bottom w:w="58" w:type="dxa"/>
              <w:right w:w="58" w:type="dxa"/>
            </w:tcMar>
          </w:tcPr>
          <w:p w14:paraId="62442D92" w14:textId="77777777" w:rsidR="00034727" w:rsidRDefault="00034727" w:rsidP="00034727">
            <w:pPr>
              <w:pStyle w:val="ListParagraph"/>
              <w:numPr>
                <w:ilvl w:val="0"/>
                <w:numId w:val="5"/>
              </w:numPr>
              <w:spacing w:after="120"/>
              <w:rPr>
                <w:rFonts w:ascii="Arial" w:hAnsi="Arial" w:cs="Arial"/>
                <w:sz w:val="18"/>
                <w:szCs w:val="18"/>
              </w:rPr>
            </w:pPr>
            <w:r w:rsidRPr="00034727">
              <w:rPr>
                <w:rFonts w:ascii="Arial" w:hAnsi="Arial" w:cs="Arial"/>
                <w:color w:val="000000"/>
                <w:sz w:val="18"/>
                <w:szCs w:val="18"/>
              </w:rPr>
              <w:t>Shifts in CMS or state-level performance reporting requirements may influence demand for structural workforce measures like the PES-5.</w:t>
            </w:r>
            <w:r w:rsidR="00D01676" w:rsidRPr="00034727">
              <w:rPr>
                <w:rFonts w:ascii="Arial" w:hAnsi="Arial" w:cs="Arial"/>
                <w:sz w:val="18"/>
                <w:szCs w:val="18"/>
              </w:rPr>
              <w:t xml:space="preserve"> </w:t>
            </w:r>
          </w:p>
          <w:p w14:paraId="7E77B106" w14:textId="77777777" w:rsidR="00034727" w:rsidRDefault="00D01676" w:rsidP="00034727">
            <w:pPr>
              <w:pStyle w:val="ListParagraph"/>
              <w:numPr>
                <w:ilvl w:val="0"/>
                <w:numId w:val="5"/>
              </w:numPr>
              <w:spacing w:after="120"/>
              <w:rPr>
                <w:rFonts w:ascii="Arial" w:hAnsi="Arial" w:cs="Arial"/>
                <w:sz w:val="18"/>
                <w:szCs w:val="18"/>
              </w:rPr>
            </w:pPr>
            <w:r w:rsidRPr="00034727">
              <w:rPr>
                <w:rFonts w:ascii="Arial" w:hAnsi="Arial" w:cs="Arial"/>
                <w:sz w:val="18"/>
                <w:szCs w:val="18"/>
              </w:rPr>
              <w:t>Workforce shortages may limit the ability to implement improvements, even if areas of concern are identified.</w:t>
            </w:r>
          </w:p>
          <w:p w14:paraId="5C6C3DDD" w14:textId="77777777" w:rsidR="00034727" w:rsidRDefault="00D01676" w:rsidP="00034727">
            <w:pPr>
              <w:pStyle w:val="ListParagraph"/>
              <w:numPr>
                <w:ilvl w:val="0"/>
                <w:numId w:val="5"/>
              </w:numPr>
              <w:spacing w:after="120"/>
              <w:rPr>
                <w:rFonts w:ascii="Arial" w:hAnsi="Arial" w:cs="Arial"/>
                <w:sz w:val="18"/>
                <w:szCs w:val="18"/>
              </w:rPr>
            </w:pPr>
            <w:r w:rsidRPr="00034727">
              <w:rPr>
                <w:rFonts w:ascii="Arial" w:hAnsi="Arial" w:cs="Arial"/>
                <w:sz w:val="18"/>
                <w:szCs w:val="18"/>
              </w:rPr>
              <w:t>Financial constraints or budget cuts could delay or prevent hospital responses to PES-5 findings.</w:t>
            </w:r>
          </w:p>
          <w:p w14:paraId="1BDBE9CC" w14:textId="77777777" w:rsidR="00034727" w:rsidRDefault="00D01676" w:rsidP="00034727">
            <w:pPr>
              <w:pStyle w:val="ListParagraph"/>
              <w:numPr>
                <w:ilvl w:val="0"/>
                <w:numId w:val="5"/>
              </w:numPr>
              <w:spacing w:after="120"/>
              <w:rPr>
                <w:rFonts w:ascii="Arial" w:hAnsi="Arial" w:cs="Arial"/>
                <w:sz w:val="18"/>
                <w:szCs w:val="18"/>
              </w:rPr>
            </w:pPr>
            <w:r w:rsidRPr="00034727">
              <w:rPr>
                <w:rFonts w:ascii="Arial" w:hAnsi="Arial" w:cs="Arial"/>
                <w:sz w:val="18"/>
                <w:szCs w:val="18"/>
              </w:rPr>
              <w:t>Regulatory changes, accreditation requirements, or union negotiations may influence hospital priorities.</w:t>
            </w:r>
          </w:p>
          <w:p w14:paraId="795EAD8E" w14:textId="00B43182" w:rsidR="00034727" w:rsidRPr="00034727" w:rsidRDefault="00D01676" w:rsidP="00034727">
            <w:pPr>
              <w:pStyle w:val="ListParagraph"/>
              <w:numPr>
                <w:ilvl w:val="0"/>
                <w:numId w:val="5"/>
              </w:numPr>
              <w:spacing w:after="120"/>
              <w:rPr>
                <w:rFonts w:ascii="Arial" w:hAnsi="Arial" w:cs="Arial"/>
                <w:sz w:val="18"/>
                <w:szCs w:val="18"/>
              </w:rPr>
            </w:pPr>
            <w:r w:rsidRPr="00034727">
              <w:rPr>
                <w:rFonts w:ascii="Arial" w:hAnsi="Arial" w:cs="Arial"/>
                <w:sz w:val="18"/>
                <w:szCs w:val="18"/>
              </w:rPr>
              <w:t>Pandemic-related disruptions or surges could affect the timing and scope of PES-5 data collection or interventions.</w:t>
            </w:r>
          </w:p>
          <w:p w14:paraId="5B4EBAF6" w14:textId="336A8F34" w:rsidR="00034727" w:rsidRPr="00034727" w:rsidRDefault="00034727" w:rsidP="00034727">
            <w:pPr>
              <w:spacing w:after="120"/>
              <w:rPr>
                <w:rFonts w:ascii="Arial" w:hAnsi="Arial" w:cs="Arial"/>
                <w:sz w:val="18"/>
                <w:szCs w:val="18"/>
              </w:rPr>
            </w:pPr>
          </w:p>
        </w:tc>
      </w:tr>
    </w:tbl>
    <w:p w14:paraId="1215564D" w14:textId="77777777" w:rsidR="009A71B6" w:rsidRDefault="009A71B6" w:rsidP="00643F09">
      <w:pPr>
        <w:spacing w:after="120" w:line="240" w:lineRule="auto"/>
        <w:rPr>
          <w:rFonts w:ascii="Arial" w:hAnsi="Arial" w:cs="Arial"/>
          <w:sz w:val="20"/>
          <w:szCs w:val="20"/>
        </w:rPr>
      </w:pPr>
    </w:p>
    <w:p w14:paraId="62E0C51E" w14:textId="77777777" w:rsidR="00DE1681" w:rsidRDefault="003605C5" w:rsidP="00DE1681">
      <w:pPr>
        <w:pStyle w:val="Heading3"/>
        <w:rPr>
          <w:rFonts w:ascii="Arial" w:hAnsi="Arial" w:cs="Arial"/>
          <w:b/>
          <w:bCs/>
          <w:sz w:val="20"/>
          <w:szCs w:val="20"/>
        </w:rPr>
      </w:pPr>
      <w:r>
        <w:rPr>
          <w:rFonts w:ascii="Arial" w:hAnsi="Arial" w:cs="Arial"/>
          <w:b/>
          <w:bCs/>
          <w:sz w:val="20"/>
          <w:szCs w:val="20"/>
        </w:rPr>
        <w:t xml:space="preserve">Summary: </w:t>
      </w:r>
    </w:p>
    <w:p w14:paraId="19EECEEE" w14:textId="4193EC65" w:rsidR="00DE1681" w:rsidRDefault="00DE1681" w:rsidP="00DE1681">
      <w:pPr>
        <w:pStyle w:val="Heading3"/>
        <w:rPr>
          <w:color w:val="000000"/>
        </w:rPr>
      </w:pPr>
      <w:r>
        <w:rPr>
          <w:rStyle w:val="Strong"/>
          <w:b w:val="0"/>
          <w:bCs w:val="0"/>
          <w:color w:val="000000"/>
        </w:rPr>
        <w:t>Logic Model Summary for PES-5</w:t>
      </w:r>
    </w:p>
    <w:p w14:paraId="71D63FBC"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rPr>
        <w:t>The Practice Environment Scale–5 (PES-5) addresses a critical quality gap in healthcare: suboptimal nursing work environments in hospitals. These environments—characterized by insufficient staffing, poor leadership support, weak nurse-physician collaboration, and limited nurse involvement in decision-making—contribute to nurse burnout, high turnover, and compromised patient care. The PES-5 is a psychometrically validated, low-burden composite measure that enables hospitals to assess and benchmark their nursing practice environment across five key domains using a concise 5-item instrument. Its brevity makes it highly scalable and practical for inclusion in both internal quality programs and external accountability efforts.</w:t>
      </w:r>
    </w:p>
    <w:p w14:paraId="435813C5"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color w:val="000000"/>
        </w:rPr>
        <w:t xml:space="preserve">To implement the PES-5, key inputs include clinical and administrative engagement, survey technology (paper or electronic), access to staff contact lists, leadership support, and basic analytic tools for scoring and reporting. Activities include administering the PES-5 to hospital-based </w:t>
      </w:r>
      <w:r w:rsidRPr="00BB3B1D">
        <w:rPr>
          <w:rFonts w:ascii="Times New Roman" w:hAnsi="Times New Roman" w:cs="Times New Roman"/>
          <w:color w:val="000000"/>
        </w:rPr>
        <w:lastRenderedPageBreak/>
        <w:t>registered nurses, aggregating responses at the hospital level, analyzing domain and composite scores, and using the findings to inform organizational improvement efforts.</w:t>
      </w:r>
    </w:p>
    <w:p w14:paraId="24FB4BCD"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color w:val="000000"/>
        </w:rPr>
        <w:t>Outputs of these activities include internal reports, scorecards, and comparative benchmarks highlighting the current state of the nursing practice environment. Hospitals can identify priority domains in need of improvement (e.g., staffing or leadership) and use these insights to inform interventions.</w:t>
      </w:r>
    </w:p>
    <w:p w14:paraId="5797CC24"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color w:val="000000"/>
        </w:rPr>
        <w:t>In the short term, organizations will improve nurse engagement and increase their understanding of specific workplace strengths and deficiencies. In the intermediate term, hospitals that act on PES-5 results are expected to see enhanced nurse retention, reduced burnout, and stronger teamwork. Over the long term, improvements in the work environment—guided by PES-5 measurement—are associated with better patient outcomes, including reduced mortality and improved safety and satisfaction.</w:t>
      </w:r>
    </w:p>
    <w:p w14:paraId="757F64A8"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color w:val="000000"/>
        </w:rPr>
        <w:t>The anticipated impact is a measurable shift in the standard of nursing practice environments across hospitals, contributing to a more sustainable workforce and better patient care. Broader policy implications include potential inclusion of PES-5 in national accountability programs such as public reporting, accreditation, or pay-for-performance.</w:t>
      </w:r>
    </w:p>
    <w:p w14:paraId="33456A3B" w14:textId="77777777" w:rsidR="00BB3B1D" w:rsidRPr="00BB3B1D" w:rsidRDefault="00BB3B1D" w:rsidP="00BB3B1D">
      <w:pPr>
        <w:spacing w:before="100" w:beforeAutospacing="1" w:after="100" w:afterAutospacing="1"/>
        <w:rPr>
          <w:rFonts w:ascii="Times New Roman" w:hAnsi="Times New Roman" w:cs="Times New Roman"/>
          <w:color w:val="000000"/>
        </w:rPr>
      </w:pPr>
      <w:r w:rsidRPr="00BB3B1D">
        <w:rPr>
          <w:rFonts w:ascii="Times New Roman" w:hAnsi="Times New Roman" w:cs="Times New Roman"/>
          <w:color w:val="000000"/>
        </w:rPr>
        <w:t>This model assumes that hospitals are willing and able to act on PES-5 data and that nurses respond honestly when confidentiality is assured. External factors such as workforce shortages, leadership turnover, or financial constraints may affect a hospital’s ability to respond to findings. Nonetheless, the PES-5 provides a feasible, evidence-based tool for tracking and improving a core structural driver of care quality.</w:t>
      </w:r>
    </w:p>
    <w:p w14:paraId="0633C5B2" w14:textId="77777777" w:rsidR="00A81630" w:rsidRDefault="00A81630" w:rsidP="00643F09">
      <w:pPr>
        <w:spacing w:after="120" w:line="240" w:lineRule="auto"/>
        <w:rPr>
          <w:rFonts w:ascii="Arial" w:hAnsi="Arial" w:cs="Arial"/>
          <w:sz w:val="20"/>
          <w:szCs w:val="20"/>
        </w:rPr>
      </w:pPr>
    </w:p>
    <w:p w14:paraId="5C947DE8" w14:textId="5218F6C1" w:rsidR="00734194" w:rsidRPr="00DE1681" w:rsidRDefault="00A81630" w:rsidP="00643F09">
      <w:pPr>
        <w:spacing w:after="120" w:line="240" w:lineRule="auto"/>
        <w:rPr>
          <w:rFonts w:ascii="Arial" w:hAnsi="Arial" w:cs="Arial"/>
          <w:i/>
          <w:iCs/>
          <w:sz w:val="20"/>
          <w:szCs w:val="20"/>
        </w:rPr>
      </w:pPr>
      <w:r w:rsidRPr="00DE1681">
        <w:rPr>
          <w:rFonts w:ascii="Arial" w:hAnsi="Arial" w:cs="Arial"/>
          <w:i/>
          <w:iCs/>
          <w:sz w:val="20"/>
          <w:szCs w:val="20"/>
        </w:rPr>
        <w:t>See</w:t>
      </w:r>
      <w:r w:rsidR="00643F09" w:rsidRPr="00DE1681">
        <w:rPr>
          <w:rFonts w:ascii="Arial" w:hAnsi="Arial" w:cs="Arial"/>
          <w:i/>
          <w:iCs/>
          <w:sz w:val="20"/>
          <w:szCs w:val="20"/>
        </w:rPr>
        <w:t xml:space="preserve"> the E&amp;M Logic Model Guidance for </w:t>
      </w:r>
      <w:r w:rsidRPr="00DE1681">
        <w:rPr>
          <w:rFonts w:ascii="Arial" w:hAnsi="Arial" w:cs="Arial"/>
          <w:i/>
          <w:iCs/>
          <w:sz w:val="20"/>
          <w:szCs w:val="20"/>
        </w:rPr>
        <w:t xml:space="preserve">definitions and </w:t>
      </w:r>
      <w:r w:rsidR="00643F09" w:rsidRPr="00DE1681">
        <w:rPr>
          <w:rFonts w:ascii="Arial" w:hAnsi="Arial" w:cs="Arial"/>
          <w:i/>
          <w:iCs/>
          <w:sz w:val="20"/>
          <w:szCs w:val="20"/>
        </w:rPr>
        <w:t>additional information</w:t>
      </w:r>
      <w:r w:rsidRPr="00DE1681">
        <w:rPr>
          <w:rFonts w:ascii="Arial" w:hAnsi="Arial" w:cs="Arial"/>
          <w:i/>
          <w:iCs/>
          <w:sz w:val="20"/>
          <w:szCs w:val="20"/>
        </w:rPr>
        <w:t xml:space="preserve"> on how to use this optional template for measure logic models.</w:t>
      </w:r>
    </w:p>
    <w:sectPr w:rsidR="00734194" w:rsidRPr="00DE1681" w:rsidSect="00C04AA8">
      <w:headerReference w:type="default" r:id="rId11"/>
      <w:footerReference w:type="default" r:id="rId1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250966" w14:textId="77777777" w:rsidR="00F35274" w:rsidRDefault="00F35274" w:rsidP="00A81630">
      <w:pPr>
        <w:spacing w:after="0" w:line="240" w:lineRule="auto"/>
      </w:pPr>
      <w:r>
        <w:separator/>
      </w:r>
    </w:p>
  </w:endnote>
  <w:endnote w:type="continuationSeparator" w:id="0">
    <w:p w14:paraId="7714E0EE" w14:textId="77777777" w:rsidR="00F35274" w:rsidRDefault="00F35274" w:rsidP="00A81630">
      <w:pPr>
        <w:spacing w:after="0" w:line="240" w:lineRule="auto"/>
      </w:pPr>
      <w:r>
        <w:continuationSeparator/>
      </w:r>
    </w:p>
  </w:endnote>
  <w:endnote w:type="continuationNotice" w:id="1">
    <w:p w14:paraId="3C9A9B87" w14:textId="77777777" w:rsidR="00F35274" w:rsidRDefault="00F352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E0384B" w14:textId="263E771D" w:rsidR="00C130E4" w:rsidRPr="002167F8" w:rsidRDefault="002167F8" w:rsidP="002167F8">
    <w:pPr>
      <w:pStyle w:val="Footer"/>
    </w:pPr>
    <w:r w:rsidRPr="005E3C76">
      <w:rPr>
        <w:rFonts w:ascii="Arial" w:hAnsi="Arial" w:cs="Arial"/>
        <w:sz w:val="20"/>
        <w:szCs w:val="20"/>
      </w:rPr>
      <w:t>Battelle | Version 1.0 | January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34CEC3" w14:textId="77777777" w:rsidR="00F35274" w:rsidRDefault="00F35274" w:rsidP="00A81630">
      <w:pPr>
        <w:spacing w:after="0" w:line="240" w:lineRule="auto"/>
      </w:pPr>
      <w:r>
        <w:separator/>
      </w:r>
    </w:p>
  </w:footnote>
  <w:footnote w:type="continuationSeparator" w:id="0">
    <w:p w14:paraId="034AAE7F" w14:textId="77777777" w:rsidR="00F35274" w:rsidRDefault="00F35274" w:rsidP="00A81630">
      <w:pPr>
        <w:spacing w:after="0" w:line="240" w:lineRule="auto"/>
      </w:pPr>
      <w:r>
        <w:continuationSeparator/>
      </w:r>
    </w:p>
  </w:footnote>
  <w:footnote w:type="continuationNotice" w:id="1">
    <w:p w14:paraId="340D56A7" w14:textId="77777777" w:rsidR="00F35274" w:rsidRDefault="00F3527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36F33B" w14:textId="7449D08E" w:rsidR="00A81630" w:rsidRPr="00B30078" w:rsidRDefault="00CB1BEF" w:rsidP="00CB1BEF">
    <w:pPr>
      <w:spacing w:after="0" w:line="240" w:lineRule="auto"/>
      <w:rPr>
        <w:rFonts w:ascii="Arial" w:hAnsi="Arial" w:cs="Arial"/>
      </w:rPr>
    </w:pPr>
    <w:r>
      <w:rPr>
        <w:noProof/>
      </w:rPr>
      <w:drawing>
        <wp:anchor distT="0" distB="0" distL="114300" distR="114300" simplePos="0" relativeHeight="251658240" behindDoc="0" locked="0" layoutInCell="1" allowOverlap="1" wp14:anchorId="0A2A3F94" wp14:editId="4203E206">
          <wp:simplePos x="0" y="0"/>
          <wp:positionH relativeFrom="margin">
            <wp:align>right</wp:align>
          </wp:positionH>
          <wp:positionV relativeFrom="paragraph">
            <wp:posOffset>-178435</wp:posOffset>
          </wp:positionV>
          <wp:extent cx="1876425" cy="415199"/>
          <wp:effectExtent l="0" t="0" r="0" b="4445"/>
          <wp:wrapNone/>
          <wp:docPr id="12935416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6425" cy="41519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81630" w:rsidRPr="00B30078">
      <w:rPr>
        <w:rFonts w:ascii="Arial" w:hAnsi="Arial" w:cs="Arial"/>
      </w:rPr>
      <w:t>Logic Model Template for Quality Measures</w:t>
    </w:r>
    <w:r w:rsidRPr="00CB1BEF">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06F58"/>
    <w:multiLevelType w:val="hybridMultilevel"/>
    <w:tmpl w:val="31225558"/>
    <w:lvl w:ilvl="0" w:tplc="ABBCC4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D03588"/>
    <w:multiLevelType w:val="multilevel"/>
    <w:tmpl w:val="C1D48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B6C5251"/>
    <w:multiLevelType w:val="hybridMultilevel"/>
    <w:tmpl w:val="11CAF152"/>
    <w:lvl w:ilvl="0" w:tplc="833E5E90">
      <w:numFmt w:val="bullet"/>
      <w:lvlText w:val="-"/>
      <w:lvlJc w:val="left"/>
      <w:pPr>
        <w:ind w:left="538" w:hanging="360"/>
      </w:pPr>
      <w:rPr>
        <w:rFonts w:ascii="Arial" w:eastAsiaTheme="minorHAnsi" w:hAnsi="Arial" w:cs="Arial" w:hint="default"/>
      </w:rPr>
    </w:lvl>
    <w:lvl w:ilvl="1" w:tplc="04090003" w:tentative="1">
      <w:start w:val="1"/>
      <w:numFmt w:val="bullet"/>
      <w:lvlText w:val="o"/>
      <w:lvlJc w:val="left"/>
      <w:pPr>
        <w:ind w:left="1258" w:hanging="360"/>
      </w:pPr>
      <w:rPr>
        <w:rFonts w:ascii="Courier New" w:hAnsi="Courier New" w:cs="Courier New" w:hint="default"/>
      </w:rPr>
    </w:lvl>
    <w:lvl w:ilvl="2" w:tplc="04090005" w:tentative="1">
      <w:start w:val="1"/>
      <w:numFmt w:val="bullet"/>
      <w:lvlText w:val=""/>
      <w:lvlJc w:val="left"/>
      <w:pPr>
        <w:ind w:left="1978" w:hanging="360"/>
      </w:pPr>
      <w:rPr>
        <w:rFonts w:ascii="Wingdings" w:hAnsi="Wingdings" w:hint="default"/>
      </w:rPr>
    </w:lvl>
    <w:lvl w:ilvl="3" w:tplc="04090001" w:tentative="1">
      <w:start w:val="1"/>
      <w:numFmt w:val="bullet"/>
      <w:lvlText w:val=""/>
      <w:lvlJc w:val="left"/>
      <w:pPr>
        <w:ind w:left="2698" w:hanging="360"/>
      </w:pPr>
      <w:rPr>
        <w:rFonts w:ascii="Symbol" w:hAnsi="Symbol" w:hint="default"/>
      </w:rPr>
    </w:lvl>
    <w:lvl w:ilvl="4" w:tplc="04090003" w:tentative="1">
      <w:start w:val="1"/>
      <w:numFmt w:val="bullet"/>
      <w:lvlText w:val="o"/>
      <w:lvlJc w:val="left"/>
      <w:pPr>
        <w:ind w:left="3418" w:hanging="360"/>
      </w:pPr>
      <w:rPr>
        <w:rFonts w:ascii="Courier New" w:hAnsi="Courier New" w:cs="Courier New" w:hint="default"/>
      </w:rPr>
    </w:lvl>
    <w:lvl w:ilvl="5" w:tplc="04090005" w:tentative="1">
      <w:start w:val="1"/>
      <w:numFmt w:val="bullet"/>
      <w:lvlText w:val=""/>
      <w:lvlJc w:val="left"/>
      <w:pPr>
        <w:ind w:left="4138" w:hanging="360"/>
      </w:pPr>
      <w:rPr>
        <w:rFonts w:ascii="Wingdings" w:hAnsi="Wingdings" w:hint="default"/>
      </w:rPr>
    </w:lvl>
    <w:lvl w:ilvl="6" w:tplc="04090001" w:tentative="1">
      <w:start w:val="1"/>
      <w:numFmt w:val="bullet"/>
      <w:lvlText w:val=""/>
      <w:lvlJc w:val="left"/>
      <w:pPr>
        <w:ind w:left="4858" w:hanging="360"/>
      </w:pPr>
      <w:rPr>
        <w:rFonts w:ascii="Symbol" w:hAnsi="Symbol" w:hint="default"/>
      </w:rPr>
    </w:lvl>
    <w:lvl w:ilvl="7" w:tplc="04090003" w:tentative="1">
      <w:start w:val="1"/>
      <w:numFmt w:val="bullet"/>
      <w:lvlText w:val="o"/>
      <w:lvlJc w:val="left"/>
      <w:pPr>
        <w:ind w:left="5578" w:hanging="360"/>
      </w:pPr>
      <w:rPr>
        <w:rFonts w:ascii="Courier New" w:hAnsi="Courier New" w:cs="Courier New" w:hint="default"/>
      </w:rPr>
    </w:lvl>
    <w:lvl w:ilvl="8" w:tplc="04090005" w:tentative="1">
      <w:start w:val="1"/>
      <w:numFmt w:val="bullet"/>
      <w:lvlText w:val=""/>
      <w:lvlJc w:val="left"/>
      <w:pPr>
        <w:ind w:left="6298" w:hanging="360"/>
      </w:pPr>
      <w:rPr>
        <w:rFonts w:ascii="Wingdings" w:hAnsi="Wingdings" w:hint="default"/>
      </w:rPr>
    </w:lvl>
  </w:abstractNum>
  <w:abstractNum w:abstractNumId="3" w15:restartNumberingAfterBreak="0">
    <w:nsid w:val="4A492961"/>
    <w:multiLevelType w:val="hybridMultilevel"/>
    <w:tmpl w:val="33E2E04C"/>
    <w:lvl w:ilvl="0" w:tplc="ABBCC4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5F5B67"/>
    <w:multiLevelType w:val="hybridMultilevel"/>
    <w:tmpl w:val="58BECFC8"/>
    <w:lvl w:ilvl="0" w:tplc="ABBCC4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ED5A04"/>
    <w:multiLevelType w:val="multilevel"/>
    <w:tmpl w:val="2BBC51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165228F"/>
    <w:multiLevelType w:val="hybridMultilevel"/>
    <w:tmpl w:val="740A04AE"/>
    <w:lvl w:ilvl="0" w:tplc="2BEC8746">
      <w:start w:val="1"/>
      <w:numFmt w:val="bullet"/>
      <w:lvlText w:val=""/>
      <w:lvlJc w:val="left"/>
      <w:pPr>
        <w:ind w:left="792" w:hanging="576"/>
      </w:pPr>
      <w:rPr>
        <w:rFonts w:ascii="Symbol" w:hAnsi="Symbol" w:hint="default"/>
      </w:rPr>
    </w:lvl>
    <w:lvl w:ilvl="1" w:tplc="04090003" w:tentative="1">
      <w:start w:val="1"/>
      <w:numFmt w:val="bullet"/>
      <w:lvlText w:val="o"/>
      <w:lvlJc w:val="left"/>
      <w:pPr>
        <w:ind w:left="1618" w:hanging="360"/>
      </w:pPr>
      <w:rPr>
        <w:rFonts w:ascii="Courier New" w:hAnsi="Courier New" w:cs="Courier New" w:hint="default"/>
      </w:rPr>
    </w:lvl>
    <w:lvl w:ilvl="2" w:tplc="04090005" w:tentative="1">
      <w:start w:val="1"/>
      <w:numFmt w:val="bullet"/>
      <w:lvlText w:val=""/>
      <w:lvlJc w:val="left"/>
      <w:pPr>
        <w:ind w:left="2338" w:hanging="360"/>
      </w:pPr>
      <w:rPr>
        <w:rFonts w:ascii="Wingdings" w:hAnsi="Wingdings" w:hint="default"/>
      </w:rPr>
    </w:lvl>
    <w:lvl w:ilvl="3" w:tplc="04090001" w:tentative="1">
      <w:start w:val="1"/>
      <w:numFmt w:val="bullet"/>
      <w:lvlText w:val=""/>
      <w:lvlJc w:val="left"/>
      <w:pPr>
        <w:ind w:left="3058" w:hanging="360"/>
      </w:pPr>
      <w:rPr>
        <w:rFonts w:ascii="Symbol" w:hAnsi="Symbol" w:hint="default"/>
      </w:rPr>
    </w:lvl>
    <w:lvl w:ilvl="4" w:tplc="04090003" w:tentative="1">
      <w:start w:val="1"/>
      <w:numFmt w:val="bullet"/>
      <w:lvlText w:val="o"/>
      <w:lvlJc w:val="left"/>
      <w:pPr>
        <w:ind w:left="3778" w:hanging="360"/>
      </w:pPr>
      <w:rPr>
        <w:rFonts w:ascii="Courier New" w:hAnsi="Courier New" w:cs="Courier New" w:hint="default"/>
      </w:rPr>
    </w:lvl>
    <w:lvl w:ilvl="5" w:tplc="04090005" w:tentative="1">
      <w:start w:val="1"/>
      <w:numFmt w:val="bullet"/>
      <w:lvlText w:val=""/>
      <w:lvlJc w:val="left"/>
      <w:pPr>
        <w:ind w:left="4498" w:hanging="360"/>
      </w:pPr>
      <w:rPr>
        <w:rFonts w:ascii="Wingdings" w:hAnsi="Wingdings" w:hint="default"/>
      </w:rPr>
    </w:lvl>
    <w:lvl w:ilvl="6" w:tplc="04090001" w:tentative="1">
      <w:start w:val="1"/>
      <w:numFmt w:val="bullet"/>
      <w:lvlText w:val=""/>
      <w:lvlJc w:val="left"/>
      <w:pPr>
        <w:ind w:left="5218" w:hanging="360"/>
      </w:pPr>
      <w:rPr>
        <w:rFonts w:ascii="Symbol" w:hAnsi="Symbol" w:hint="default"/>
      </w:rPr>
    </w:lvl>
    <w:lvl w:ilvl="7" w:tplc="04090003" w:tentative="1">
      <w:start w:val="1"/>
      <w:numFmt w:val="bullet"/>
      <w:lvlText w:val="o"/>
      <w:lvlJc w:val="left"/>
      <w:pPr>
        <w:ind w:left="5938" w:hanging="360"/>
      </w:pPr>
      <w:rPr>
        <w:rFonts w:ascii="Courier New" w:hAnsi="Courier New" w:cs="Courier New" w:hint="default"/>
      </w:rPr>
    </w:lvl>
    <w:lvl w:ilvl="8" w:tplc="04090005" w:tentative="1">
      <w:start w:val="1"/>
      <w:numFmt w:val="bullet"/>
      <w:lvlText w:val=""/>
      <w:lvlJc w:val="left"/>
      <w:pPr>
        <w:ind w:left="6658" w:hanging="360"/>
      </w:pPr>
      <w:rPr>
        <w:rFonts w:ascii="Wingdings" w:hAnsi="Wingdings" w:hint="default"/>
      </w:rPr>
    </w:lvl>
  </w:abstractNum>
  <w:num w:numId="1" w16cid:durableId="2139759846">
    <w:abstractNumId w:val="4"/>
  </w:num>
  <w:num w:numId="2" w16cid:durableId="1789661600">
    <w:abstractNumId w:val="1"/>
  </w:num>
  <w:num w:numId="3" w16cid:durableId="1455295020">
    <w:abstractNumId w:val="6"/>
  </w:num>
  <w:num w:numId="4" w16cid:durableId="971978113">
    <w:abstractNumId w:val="2"/>
  </w:num>
  <w:num w:numId="5" w16cid:durableId="1084957077">
    <w:abstractNumId w:val="0"/>
  </w:num>
  <w:num w:numId="6" w16cid:durableId="1123570618">
    <w:abstractNumId w:val="3"/>
  </w:num>
  <w:num w:numId="7" w16cid:durableId="1228958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1"/>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AA8"/>
    <w:rsid w:val="00002BCF"/>
    <w:rsid w:val="00007B6B"/>
    <w:rsid w:val="00016430"/>
    <w:rsid w:val="000242E7"/>
    <w:rsid w:val="000301BB"/>
    <w:rsid w:val="00034727"/>
    <w:rsid w:val="00067944"/>
    <w:rsid w:val="000D6A4D"/>
    <w:rsid w:val="000E2319"/>
    <w:rsid w:val="000F4EF3"/>
    <w:rsid w:val="00113B0B"/>
    <w:rsid w:val="00130F8D"/>
    <w:rsid w:val="00141835"/>
    <w:rsid w:val="001644FE"/>
    <w:rsid w:val="001F4A49"/>
    <w:rsid w:val="00201B38"/>
    <w:rsid w:val="002167F8"/>
    <w:rsid w:val="002B5824"/>
    <w:rsid w:val="002D5426"/>
    <w:rsid w:val="00353E73"/>
    <w:rsid w:val="003605C5"/>
    <w:rsid w:val="003645C6"/>
    <w:rsid w:val="00491ED8"/>
    <w:rsid w:val="004C4E8D"/>
    <w:rsid w:val="004C4FA7"/>
    <w:rsid w:val="004F72DF"/>
    <w:rsid w:val="00527214"/>
    <w:rsid w:val="00535096"/>
    <w:rsid w:val="0056259E"/>
    <w:rsid w:val="00567F61"/>
    <w:rsid w:val="00571A97"/>
    <w:rsid w:val="006314FE"/>
    <w:rsid w:val="00643F09"/>
    <w:rsid w:val="006600E3"/>
    <w:rsid w:val="006651F4"/>
    <w:rsid w:val="006A3E86"/>
    <w:rsid w:val="006A702D"/>
    <w:rsid w:val="007329C7"/>
    <w:rsid w:val="00734194"/>
    <w:rsid w:val="00740D42"/>
    <w:rsid w:val="00753E78"/>
    <w:rsid w:val="00755BA3"/>
    <w:rsid w:val="00826780"/>
    <w:rsid w:val="00832F07"/>
    <w:rsid w:val="008C1032"/>
    <w:rsid w:val="008C20B7"/>
    <w:rsid w:val="008E5ED0"/>
    <w:rsid w:val="009315A5"/>
    <w:rsid w:val="0094169E"/>
    <w:rsid w:val="00947F44"/>
    <w:rsid w:val="0099281A"/>
    <w:rsid w:val="009A71B6"/>
    <w:rsid w:val="009B18EE"/>
    <w:rsid w:val="009F37EB"/>
    <w:rsid w:val="00A27888"/>
    <w:rsid w:val="00A521DE"/>
    <w:rsid w:val="00A81630"/>
    <w:rsid w:val="00AE40BD"/>
    <w:rsid w:val="00B30078"/>
    <w:rsid w:val="00B504E7"/>
    <w:rsid w:val="00B55570"/>
    <w:rsid w:val="00BB3B1D"/>
    <w:rsid w:val="00C03B3F"/>
    <w:rsid w:val="00C04AA8"/>
    <w:rsid w:val="00C130E4"/>
    <w:rsid w:val="00C16482"/>
    <w:rsid w:val="00C32323"/>
    <w:rsid w:val="00C4381F"/>
    <w:rsid w:val="00CA05F5"/>
    <w:rsid w:val="00CA5530"/>
    <w:rsid w:val="00CB1BEF"/>
    <w:rsid w:val="00CC20BF"/>
    <w:rsid w:val="00D01676"/>
    <w:rsid w:val="00D5538A"/>
    <w:rsid w:val="00DE1681"/>
    <w:rsid w:val="00E00AED"/>
    <w:rsid w:val="00E33164"/>
    <w:rsid w:val="00E50275"/>
    <w:rsid w:val="00E77B40"/>
    <w:rsid w:val="00E9137B"/>
    <w:rsid w:val="00EF609C"/>
    <w:rsid w:val="00F35274"/>
    <w:rsid w:val="00F41F7E"/>
    <w:rsid w:val="00F64BBB"/>
    <w:rsid w:val="00F72844"/>
    <w:rsid w:val="00F84A62"/>
    <w:rsid w:val="00F90C32"/>
    <w:rsid w:val="00FF052C"/>
    <w:rsid w:val="0C5BDD1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8E7C4"/>
  <w15:chartTrackingRefBased/>
  <w15:docId w15:val="{32BB9E1D-9C3D-4FCA-BC25-058B0FD60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04AA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04AA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04AA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04AA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04AA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04AA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04AA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04AA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04AA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4AA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04AA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04AA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04AA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04AA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04AA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04AA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04AA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04AA8"/>
    <w:rPr>
      <w:rFonts w:eastAsiaTheme="majorEastAsia" w:cstheme="majorBidi"/>
      <w:color w:val="272727" w:themeColor="text1" w:themeTint="D8"/>
    </w:rPr>
  </w:style>
  <w:style w:type="paragraph" w:styleId="Title">
    <w:name w:val="Title"/>
    <w:basedOn w:val="Normal"/>
    <w:next w:val="Normal"/>
    <w:link w:val="TitleChar"/>
    <w:uiPriority w:val="10"/>
    <w:qFormat/>
    <w:rsid w:val="00C04AA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04AA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04AA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04AA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04AA8"/>
    <w:pPr>
      <w:spacing w:before="160"/>
      <w:jc w:val="center"/>
    </w:pPr>
    <w:rPr>
      <w:i/>
      <w:iCs/>
      <w:color w:val="404040" w:themeColor="text1" w:themeTint="BF"/>
    </w:rPr>
  </w:style>
  <w:style w:type="character" w:customStyle="1" w:styleId="QuoteChar">
    <w:name w:val="Quote Char"/>
    <w:basedOn w:val="DefaultParagraphFont"/>
    <w:link w:val="Quote"/>
    <w:uiPriority w:val="29"/>
    <w:rsid w:val="00C04AA8"/>
    <w:rPr>
      <w:i/>
      <w:iCs/>
      <w:color w:val="404040" w:themeColor="text1" w:themeTint="BF"/>
    </w:rPr>
  </w:style>
  <w:style w:type="paragraph" w:styleId="ListParagraph">
    <w:name w:val="List Paragraph"/>
    <w:basedOn w:val="Normal"/>
    <w:uiPriority w:val="34"/>
    <w:qFormat/>
    <w:rsid w:val="00C04AA8"/>
    <w:pPr>
      <w:ind w:left="720"/>
      <w:contextualSpacing/>
    </w:pPr>
  </w:style>
  <w:style w:type="character" w:styleId="IntenseEmphasis">
    <w:name w:val="Intense Emphasis"/>
    <w:basedOn w:val="DefaultParagraphFont"/>
    <w:uiPriority w:val="21"/>
    <w:qFormat/>
    <w:rsid w:val="00C04AA8"/>
    <w:rPr>
      <w:i/>
      <w:iCs/>
      <w:color w:val="0F4761" w:themeColor="accent1" w:themeShade="BF"/>
    </w:rPr>
  </w:style>
  <w:style w:type="paragraph" w:styleId="IntenseQuote">
    <w:name w:val="Intense Quote"/>
    <w:basedOn w:val="Normal"/>
    <w:next w:val="Normal"/>
    <w:link w:val="IntenseQuoteChar"/>
    <w:uiPriority w:val="30"/>
    <w:qFormat/>
    <w:rsid w:val="00C04AA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04AA8"/>
    <w:rPr>
      <w:i/>
      <w:iCs/>
      <w:color w:val="0F4761" w:themeColor="accent1" w:themeShade="BF"/>
    </w:rPr>
  </w:style>
  <w:style w:type="character" w:styleId="IntenseReference">
    <w:name w:val="Intense Reference"/>
    <w:basedOn w:val="DefaultParagraphFont"/>
    <w:uiPriority w:val="32"/>
    <w:qFormat/>
    <w:rsid w:val="00C04AA8"/>
    <w:rPr>
      <w:b/>
      <w:bCs/>
      <w:smallCaps/>
      <w:color w:val="0F4761" w:themeColor="accent1" w:themeShade="BF"/>
      <w:spacing w:val="5"/>
    </w:rPr>
  </w:style>
  <w:style w:type="table" w:styleId="TableGrid">
    <w:name w:val="Table Grid"/>
    <w:basedOn w:val="TableNormal"/>
    <w:uiPriority w:val="39"/>
    <w:rsid w:val="00C04AA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81630"/>
    <w:rPr>
      <w:sz w:val="16"/>
      <w:szCs w:val="16"/>
    </w:rPr>
  </w:style>
  <w:style w:type="paragraph" w:styleId="CommentText">
    <w:name w:val="annotation text"/>
    <w:basedOn w:val="Normal"/>
    <w:link w:val="CommentTextChar"/>
    <w:uiPriority w:val="99"/>
    <w:unhideWhenUsed/>
    <w:rsid w:val="00A81630"/>
    <w:pPr>
      <w:spacing w:line="240" w:lineRule="auto"/>
    </w:pPr>
    <w:rPr>
      <w:sz w:val="20"/>
      <w:szCs w:val="20"/>
    </w:rPr>
  </w:style>
  <w:style w:type="character" w:customStyle="1" w:styleId="CommentTextChar">
    <w:name w:val="Comment Text Char"/>
    <w:basedOn w:val="DefaultParagraphFont"/>
    <w:link w:val="CommentText"/>
    <w:uiPriority w:val="99"/>
    <w:rsid w:val="00A81630"/>
    <w:rPr>
      <w:sz w:val="20"/>
      <w:szCs w:val="20"/>
    </w:rPr>
  </w:style>
  <w:style w:type="paragraph" w:styleId="CommentSubject">
    <w:name w:val="annotation subject"/>
    <w:basedOn w:val="CommentText"/>
    <w:next w:val="CommentText"/>
    <w:link w:val="CommentSubjectChar"/>
    <w:uiPriority w:val="99"/>
    <w:semiHidden/>
    <w:unhideWhenUsed/>
    <w:rsid w:val="00A81630"/>
    <w:rPr>
      <w:b/>
      <w:bCs/>
    </w:rPr>
  </w:style>
  <w:style w:type="character" w:customStyle="1" w:styleId="CommentSubjectChar">
    <w:name w:val="Comment Subject Char"/>
    <w:basedOn w:val="CommentTextChar"/>
    <w:link w:val="CommentSubject"/>
    <w:uiPriority w:val="99"/>
    <w:semiHidden/>
    <w:rsid w:val="00A81630"/>
    <w:rPr>
      <w:b/>
      <w:bCs/>
      <w:sz w:val="20"/>
      <w:szCs w:val="20"/>
    </w:rPr>
  </w:style>
  <w:style w:type="paragraph" w:styleId="Header">
    <w:name w:val="header"/>
    <w:basedOn w:val="Normal"/>
    <w:link w:val="HeaderChar"/>
    <w:uiPriority w:val="99"/>
    <w:unhideWhenUsed/>
    <w:rsid w:val="00A816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1630"/>
  </w:style>
  <w:style w:type="paragraph" w:styleId="Footer">
    <w:name w:val="footer"/>
    <w:basedOn w:val="Normal"/>
    <w:link w:val="FooterChar"/>
    <w:uiPriority w:val="99"/>
    <w:unhideWhenUsed/>
    <w:rsid w:val="00A816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1630"/>
  </w:style>
  <w:style w:type="character" w:styleId="Strong">
    <w:name w:val="Strong"/>
    <w:basedOn w:val="DefaultParagraphFont"/>
    <w:uiPriority w:val="22"/>
    <w:qFormat/>
    <w:rsid w:val="00DE1681"/>
    <w:rPr>
      <w:b/>
      <w:bCs/>
    </w:rPr>
  </w:style>
  <w:style w:type="character" w:customStyle="1" w:styleId="apple-converted-space">
    <w:name w:val="apple-converted-space"/>
    <w:basedOn w:val="DefaultParagraphFont"/>
    <w:rsid w:val="009F37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5810382">
      <w:bodyDiv w:val="1"/>
      <w:marLeft w:val="0"/>
      <w:marRight w:val="0"/>
      <w:marTop w:val="0"/>
      <w:marBottom w:val="0"/>
      <w:divBdr>
        <w:top w:val="none" w:sz="0" w:space="0" w:color="auto"/>
        <w:left w:val="none" w:sz="0" w:space="0" w:color="auto"/>
        <w:bottom w:val="none" w:sz="0" w:space="0" w:color="auto"/>
        <w:right w:val="none" w:sz="0" w:space="0" w:color="auto"/>
      </w:divBdr>
    </w:div>
    <w:div w:id="1138642000">
      <w:bodyDiv w:val="1"/>
      <w:marLeft w:val="0"/>
      <w:marRight w:val="0"/>
      <w:marTop w:val="0"/>
      <w:marBottom w:val="0"/>
      <w:divBdr>
        <w:top w:val="none" w:sz="0" w:space="0" w:color="auto"/>
        <w:left w:val="none" w:sz="0" w:space="0" w:color="auto"/>
        <w:bottom w:val="none" w:sz="0" w:space="0" w:color="auto"/>
        <w:right w:val="none" w:sz="0" w:space="0" w:color="auto"/>
      </w:divBdr>
    </w:div>
    <w:div w:id="1250971118">
      <w:bodyDiv w:val="1"/>
      <w:marLeft w:val="0"/>
      <w:marRight w:val="0"/>
      <w:marTop w:val="0"/>
      <w:marBottom w:val="0"/>
      <w:divBdr>
        <w:top w:val="none" w:sz="0" w:space="0" w:color="auto"/>
        <w:left w:val="none" w:sz="0" w:space="0" w:color="auto"/>
        <w:bottom w:val="none" w:sz="0" w:space="0" w:color="auto"/>
        <w:right w:val="none" w:sz="0" w:space="0" w:color="auto"/>
      </w:divBdr>
    </w:div>
    <w:div w:id="1409765050">
      <w:bodyDiv w:val="1"/>
      <w:marLeft w:val="0"/>
      <w:marRight w:val="0"/>
      <w:marTop w:val="0"/>
      <w:marBottom w:val="0"/>
      <w:divBdr>
        <w:top w:val="none" w:sz="0" w:space="0" w:color="auto"/>
        <w:left w:val="none" w:sz="0" w:space="0" w:color="auto"/>
        <w:bottom w:val="none" w:sz="0" w:space="0" w:color="auto"/>
        <w:right w:val="none" w:sz="0" w:space="0" w:color="auto"/>
      </w:divBdr>
    </w:div>
    <w:div w:id="142668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304E72-AD59-6A49-A38F-562EA164BCE4}">
  <ds:schemaRefs>
    <ds:schemaRef ds:uri="http://schemas.openxmlformats.org/officeDocument/2006/bibliography"/>
  </ds:schemaRefs>
</ds:datastoreItem>
</file>

<file path=customXml/itemProps2.xml><?xml version="1.0" encoding="utf-8"?>
<ds:datastoreItem xmlns:ds="http://schemas.openxmlformats.org/officeDocument/2006/customXml" ds:itemID="{84FA1486-82EF-4F2F-ADEE-7F2AD135CF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62C1BE0-F0A2-4E8D-9189-B8A6428D6FA1}">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customXml/itemProps4.xml><?xml version="1.0" encoding="utf-8"?>
<ds:datastoreItem xmlns:ds="http://schemas.openxmlformats.org/officeDocument/2006/customXml" ds:itemID="{7D0165CA-D749-4EF0-8874-CFF7322C7B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1267</Words>
  <Characters>7224</Characters>
  <Application>Microsoft Office Word</Application>
  <DocSecurity>0</DocSecurity>
  <Lines>60</Lines>
  <Paragraphs>16</Paragraphs>
  <ScaleCrop>false</ScaleCrop>
  <Company/>
  <LinksUpToDate>false</LinksUpToDate>
  <CharactersWithSpaces>8475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E&amp;M Logic Model Template</dc:title>
  <dc:subject/>
  <dc:creator>Battelle</dc:creator>
  <cp:keywords>E&amp;M, Logic Model Template</cp:keywords>
  <dc:description/>
  <cp:lastModifiedBy>Rettberg, Gary</cp:lastModifiedBy>
  <cp:revision>22</cp:revision>
  <dcterms:created xsi:type="dcterms:W3CDTF">2025-04-17T15:29:00Z</dcterms:created>
  <dcterms:modified xsi:type="dcterms:W3CDTF">2025-04-18T17:02:00Z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