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36D4" w14:textId="1CA8EE7A" w:rsidR="00BB704D" w:rsidRDefault="645BF6B7" w:rsidP="60D766E4">
      <w:pPr>
        <w:pStyle w:val="Heading2"/>
        <w:spacing w:before="240" w:after="0"/>
      </w:pPr>
      <w:r w:rsidRPr="60D766E4">
        <w:rPr>
          <w:rFonts w:ascii="Arial" w:eastAsia="Arial" w:hAnsi="Arial" w:cs="Arial"/>
          <w:color w:val="44546A"/>
        </w:rPr>
        <w:t>Section 2. Importance</w:t>
      </w:r>
    </w:p>
    <w:p w14:paraId="21F9F157" w14:textId="34A0C369" w:rsidR="00BB704D" w:rsidRDefault="645BF6B7" w:rsidP="60D766E4">
      <w:pPr>
        <w:spacing w:after="0"/>
      </w:pPr>
      <w:r w:rsidRPr="60D766E4">
        <w:rPr>
          <w:rFonts w:ascii="Arial" w:eastAsia="Arial" w:hAnsi="Arial" w:cs="Arial"/>
        </w:rPr>
        <w:t xml:space="preserve"> </w:t>
      </w:r>
    </w:p>
    <w:p w14:paraId="278C7F9E" w14:textId="6F6908BF" w:rsidR="00BB704D" w:rsidRDefault="645BF6B7" w:rsidP="60D766E4">
      <w:pPr>
        <w:spacing w:after="0"/>
      </w:pPr>
      <w:r w:rsidRPr="60D766E4">
        <w:rPr>
          <w:rFonts w:ascii="Arial" w:eastAsia="Arial" w:hAnsi="Arial" w:cs="Arial"/>
          <w:b/>
          <w:bCs/>
        </w:rPr>
        <w:t>2.1 Attach Logic Model</w:t>
      </w:r>
      <w:r w:rsidRPr="60D766E4">
        <w:rPr>
          <w:rFonts w:ascii="Arial" w:eastAsia="Arial" w:hAnsi="Arial" w:cs="Arial"/>
          <w:color w:val="C00000"/>
          <w:sz w:val="28"/>
          <w:szCs w:val="28"/>
        </w:rPr>
        <w:t>*</w:t>
      </w:r>
    </w:p>
    <w:p w14:paraId="38B7B498" w14:textId="657F87A5" w:rsidR="00BB704D" w:rsidRDefault="645BF6B7" w:rsidP="60D766E4">
      <w:pPr>
        <w:spacing w:after="0"/>
      </w:pPr>
      <w:r w:rsidRPr="60D766E4">
        <w:rPr>
          <w:rFonts w:ascii="Arial" w:eastAsia="Arial" w:hAnsi="Arial" w:cs="Arial"/>
          <w:i/>
          <w:iCs/>
          <w:color w:val="0070C0"/>
          <w:sz w:val="22"/>
          <w:szCs w:val="22"/>
        </w:rPr>
        <w:t xml:space="preserve">Attach a logic model that illustrates the relationship between health care structures and processes and the desired outcomes. In addition, in the attachment, briefly describe steps between these structures and processes and the desired health outcomes by outlining the resources (i.e., structures or inputs) required and the key activities (i.e., processes or actions) that the accountable entity can plausibly implement. The expected outputs, along with short-term, intermediate, and long-term outcomes, should be clearly articulated. Outcomes should include the measure focus. The relationships depicted in the diagram should be straightforward, ensuring they are easily understood by a general, non-technical audience. Additionally, highlight any assumptions that underpin your model, describe feedback mechanisms, and acknowledge external factors that could influence the success of the measure, ensuring a comprehensive understanding of the measure’s logic and its intended effects. For instrument submissions, the logic model should include each of the associated IDMs. See the </w:t>
      </w:r>
      <w:hyperlink r:id="rId8">
        <w:r w:rsidRPr="60D766E4">
          <w:rPr>
            <w:rStyle w:val="Hyperlink"/>
            <w:rFonts w:ascii="Arial" w:eastAsia="Arial" w:hAnsi="Arial" w:cs="Arial"/>
            <w:i/>
            <w:iCs/>
            <w:color w:val="0563C1"/>
            <w:sz w:val="22"/>
            <w:szCs w:val="22"/>
          </w:rPr>
          <w:t>Logic Model Guidance</w:t>
        </w:r>
      </w:hyperlink>
      <w:r w:rsidRPr="60D766E4">
        <w:rPr>
          <w:rFonts w:ascii="Arial" w:eastAsia="Arial" w:hAnsi="Arial" w:cs="Arial"/>
          <w:i/>
          <w:iCs/>
          <w:color w:val="0070C0"/>
          <w:sz w:val="22"/>
          <w:szCs w:val="22"/>
        </w:rPr>
        <w:t xml:space="preserve"> for additional information.</w:t>
      </w:r>
    </w:p>
    <w:p w14:paraId="39568D1D" w14:textId="6FD49FC7" w:rsidR="00BB704D" w:rsidRDefault="645BF6B7" w:rsidP="60D766E4">
      <w:pPr>
        <w:spacing w:before="120" w:after="0"/>
      </w:pPr>
      <w:r w:rsidRPr="60D766E4">
        <w:rPr>
          <w:rFonts w:ascii="Arial" w:eastAsia="Arial" w:hAnsi="Arial" w:cs="Arial"/>
          <w:i/>
          <w:iCs/>
          <w:color w:val="0070C0"/>
          <w:sz w:val="22"/>
          <w:szCs w:val="22"/>
        </w:rPr>
        <w:t>One file only; 256 MB limit; allowed file types: .</w:t>
      </w:r>
      <w:proofErr w:type="gramStart"/>
      <w:r w:rsidRPr="60D766E4">
        <w:rPr>
          <w:rFonts w:ascii="Arial" w:eastAsia="Arial" w:hAnsi="Arial" w:cs="Arial"/>
          <w:i/>
          <w:iCs/>
          <w:color w:val="0070C0"/>
          <w:sz w:val="22"/>
          <w:szCs w:val="22"/>
        </w:rPr>
        <w:t>pdf;</w:t>
      </w:r>
      <w:proofErr w:type="gramEnd"/>
      <w:r w:rsidRPr="60D766E4">
        <w:rPr>
          <w:rFonts w:ascii="Arial" w:eastAsia="Arial" w:hAnsi="Arial" w:cs="Arial"/>
          <w:i/>
          <w:iCs/>
          <w:color w:val="0070C0"/>
          <w:sz w:val="22"/>
          <w:szCs w:val="22"/>
        </w:rPr>
        <w:t xml:space="preserve"> .doc; .docx.</w:t>
      </w:r>
    </w:p>
    <w:p w14:paraId="25783599" w14:textId="1F06CC52" w:rsidR="00BB704D" w:rsidRDefault="645BF6B7" w:rsidP="60D766E4">
      <w:pPr>
        <w:spacing w:before="120" w:after="0"/>
      </w:pPr>
      <w:r w:rsidRPr="60D766E4">
        <w:rPr>
          <w:rFonts w:ascii="Arial" w:eastAsia="Arial" w:hAnsi="Arial" w:cs="Arial"/>
          <w:i/>
          <w:iCs/>
          <w:color w:val="44546A"/>
          <w:sz w:val="20"/>
          <w:szCs w:val="20"/>
        </w:rPr>
        <w:t>[Please use a standard file naming convention; for example, XXXX-2.1-LogicModel-[cycle].docx (where XXXX is the CBE ID).]</w:t>
      </w:r>
    </w:p>
    <w:p w14:paraId="13683A35" w14:textId="14AA6C6E" w:rsidR="00BB704D" w:rsidRDefault="645BF6B7" w:rsidP="60D766E4">
      <w:pPr>
        <w:spacing w:after="0"/>
      </w:pPr>
      <w:r w:rsidRPr="60D766E4">
        <w:rPr>
          <w:rFonts w:ascii="Arial" w:eastAsia="Arial" w:hAnsi="Arial" w:cs="Arial"/>
          <w:sz w:val="22"/>
          <w:szCs w:val="22"/>
        </w:rPr>
        <w:t xml:space="preserve"> </w:t>
      </w:r>
    </w:p>
    <w:tbl>
      <w:tblPr>
        <w:tblW w:w="0" w:type="auto"/>
        <w:tblInd w:w="180" w:type="dxa"/>
        <w:tblLook w:val="01E0" w:firstRow="1" w:lastRow="1" w:firstColumn="1" w:lastColumn="1" w:noHBand="0" w:noVBand="0"/>
      </w:tblPr>
      <w:tblGrid>
        <w:gridCol w:w="2678"/>
        <w:gridCol w:w="2477"/>
        <w:gridCol w:w="2619"/>
        <w:gridCol w:w="2686"/>
        <w:gridCol w:w="2300"/>
      </w:tblGrid>
      <w:tr w:rsidR="60D766E4" w14:paraId="420E704B" w14:textId="77777777" w:rsidTr="60D766E4">
        <w:trPr>
          <w:trHeight w:val="900"/>
        </w:trPr>
        <w:tc>
          <w:tcPr>
            <w:tcW w:w="2700" w:type="dxa"/>
            <w:tcBorders>
              <w:top w:val="single" w:sz="8" w:space="0" w:color="231F20"/>
              <w:left w:val="single" w:sz="8" w:space="0" w:color="231F20"/>
              <w:bottom w:val="single" w:sz="8" w:space="0" w:color="231F20"/>
              <w:right w:val="single" w:sz="8" w:space="0" w:color="231F20"/>
            </w:tcBorders>
            <w:shd w:val="clear" w:color="auto" w:fill="B4C5E7"/>
          </w:tcPr>
          <w:p w14:paraId="40C8147A" w14:textId="0D7C3D2D" w:rsidR="60D766E4" w:rsidRDefault="60D766E4" w:rsidP="60D766E4">
            <w:pPr>
              <w:spacing w:before="132" w:after="0"/>
              <w:ind w:left="80"/>
            </w:pPr>
            <w:r w:rsidRPr="60D766E4">
              <w:rPr>
                <w:rFonts w:ascii="Arial" w:eastAsia="Arial" w:hAnsi="Arial" w:cs="Arial"/>
                <w:b/>
                <w:bCs/>
                <w:color w:val="231F20"/>
                <w:sz w:val="22"/>
                <w:szCs w:val="22"/>
              </w:rPr>
              <w:t>Inputs (resources)</w:t>
            </w:r>
          </w:p>
        </w:tc>
        <w:tc>
          <w:tcPr>
            <w:tcW w:w="2505" w:type="dxa"/>
            <w:tcBorders>
              <w:top w:val="single" w:sz="8" w:space="0" w:color="231F20"/>
              <w:left w:val="single" w:sz="8" w:space="0" w:color="231F20"/>
              <w:bottom w:val="single" w:sz="8" w:space="0" w:color="231F20"/>
              <w:right w:val="single" w:sz="8" w:space="0" w:color="231F20"/>
            </w:tcBorders>
            <w:shd w:val="clear" w:color="auto" w:fill="F7C9AC"/>
          </w:tcPr>
          <w:p w14:paraId="759A713B" w14:textId="659E7883" w:rsidR="60D766E4" w:rsidRDefault="60D766E4" w:rsidP="60D766E4">
            <w:pPr>
              <w:spacing w:before="132" w:after="0" w:line="247" w:lineRule="auto"/>
              <w:ind w:left="80" w:right="103"/>
            </w:pPr>
            <w:r w:rsidRPr="60D766E4">
              <w:rPr>
                <w:rFonts w:ascii="Arial" w:eastAsia="Arial" w:hAnsi="Arial" w:cs="Arial"/>
                <w:b/>
                <w:bCs/>
                <w:color w:val="231F20"/>
                <w:sz w:val="22"/>
                <w:szCs w:val="22"/>
              </w:rPr>
              <w:t>Activities (what the program does)</w:t>
            </w:r>
          </w:p>
        </w:tc>
        <w:tc>
          <w:tcPr>
            <w:tcW w:w="2640" w:type="dxa"/>
            <w:tcBorders>
              <w:top w:val="single" w:sz="8" w:space="0" w:color="231F20"/>
              <w:left w:val="single" w:sz="8" w:space="0" w:color="231F20"/>
              <w:bottom w:val="single" w:sz="8" w:space="0" w:color="231F20"/>
              <w:right w:val="single" w:sz="8" w:space="0" w:color="231F20"/>
            </w:tcBorders>
            <w:shd w:val="clear" w:color="auto" w:fill="FFE499"/>
          </w:tcPr>
          <w:p w14:paraId="3479F9CB" w14:textId="6229D4DC" w:rsidR="60D766E4" w:rsidRDefault="60D766E4" w:rsidP="60D766E4">
            <w:pPr>
              <w:spacing w:before="132" w:after="0" w:line="247" w:lineRule="auto"/>
              <w:ind w:left="80" w:right="533"/>
            </w:pPr>
            <w:r w:rsidRPr="60D766E4">
              <w:rPr>
                <w:rFonts w:ascii="Arial" w:eastAsia="Arial" w:hAnsi="Arial" w:cs="Arial"/>
                <w:b/>
                <w:bCs/>
                <w:color w:val="231F20"/>
                <w:sz w:val="22"/>
                <w:szCs w:val="22"/>
              </w:rPr>
              <w:t>Outputs (direct results of the activities)</w:t>
            </w:r>
          </w:p>
        </w:tc>
        <w:tc>
          <w:tcPr>
            <w:tcW w:w="2715" w:type="dxa"/>
            <w:tcBorders>
              <w:top w:val="single" w:sz="8" w:space="0" w:color="231F20"/>
              <w:left w:val="single" w:sz="8" w:space="0" w:color="231F20"/>
              <w:bottom w:val="single" w:sz="8" w:space="0" w:color="231F20"/>
              <w:right w:val="single" w:sz="8" w:space="0" w:color="231F20"/>
            </w:tcBorders>
            <w:shd w:val="clear" w:color="auto" w:fill="C5DFB3"/>
          </w:tcPr>
          <w:p w14:paraId="5E4EE770" w14:textId="7A57FE23" w:rsidR="60D766E4" w:rsidRDefault="60D766E4" w:rsidP="60D766E4">
            <w:pPr>
              <w:spacing w:before="132" w:after="0"/>
              <w:ind w:left="79"/>
            </w:pPr>
            <w:r w:rsidRPr="60D766E4">
              <w:rPr>
                <w:rFonts w:ascii="Arial" w:eastAsia="Arial" w:hAnsi="Arial" w:cs="Arial"/>
                <w:b/>
                <w:bCs/>
                <w:color w:val="231F20"/>
                <w:sz w:val="22"/>
                <w:szCs w:val="22"/>
              </w:rPr>
              <w:t>Outcomes</w:t>
            </w:r>
          </w:p>
        </w:tc>
        <w:tc>
          <w:tcPr>
            <w:tcW w:w="2325" w:type="dxa"/>
            <w:tcBorders>
              <w:top w:val="single" w:sz="8" w:space="0" w:color="231F20"/>
              <w:left w:val="single" w:sz="8" w:space="0" w:color="231F20"/>
              <w:bottom w:val="single" w:sz="8" w:space="0" w:color="231F20"/>
              <w:right w:val="single" w:sz="8" w:space="0" w:color="231F20"/>
            </w:tcBorders>
            <w:shd w:val="clear" w:color="auto" w:fill="D9D9D9" w:themeFill="background1" w:themeFillShade="D9"/>
          </w:tcPr>
          <w:p w14:paraId="4AFB512E" w14:textId="54952D7E" w:rsidR="60D766E4" w:rsidRDefault="60D766E4" w:rsidP="60D766E4">
            <w:pPr>
              <w:spacing w:before="132" w:after="0" w:line="247" w:lineRule="auto"/>
              <w:ind w:left="79" w:right="59"/>
            </w:pPr>
            <w:r w:rsidRPr="60D766E4">
              <w:rPr>
                <w:rFonts w:ascii="Arial" w:eastAsia="Arial" w:hAnsi="Arial" w:cs="Arial"/>
                <w:b/>
                <w:bCs/>
                <w:color w:val="231F20"/>
                <w:sz w:val="22"/>
                <w:szCs w:val="22"/>
              </w:rPr>
              <w:t>Impact (broad, systemic changes influenced by the quality program)</w:t>
            </w:r>
          </w:p>
        </w:tc>
      </w:tr>
      <w:tr w:rsidR="60D766E4" w14:paraId="5DE554D8" w14:textId="77777777" w:rsidTr="60D766E4">
        <w:trPr>
          <w:trHeight w:val="2205"/>
        </w:trPr>
        <w:tc>
          <w:tcPr>
            <w:tcW w:w="2700" w:type="dxa"/>
            <w:tcBorders>
              <w:top w:val="single" w:sz="8" w:space="0" w:color="231F20"/>
              <w:left w:val="single" w:sz="8" w:space="0" w:color="231F20"/>
              <w:bottom w:val="single" w:sz="8" w:space="0" w:color="231F20"/>
              <w:right w:val="single" w:sz="8" w:space="0" w:color="231F20"/>
            </w:tcBorders>
          </w:tcPr>
          <w:p w14:paraId="71D2CF5A" w14:textId="380AC1A4" w:rsidR="60D766E4" w:rsidRDefault="60D766E4" w:rsidP="60D766E4">
            <w:pPr>
              <w:pStyle w:val="ListParagraph"/>
              <w:numPr>
                <w:ilvl w:val="0"/>
                <w:numId w:val="4"/>
              </w:numPr>
              <w:spacing w:after="0"/>
              <w:ind w:left="360"/>
              <w:rPr>
                <w:rFonts w:ascii="Arial" w:eastAsia="Arial" w:hAnsi="Arial" w:cs="Arial"/>
                <w:sz w:val="22"/>
                <w:szCs w:val="22"/>
              </w:rPr>
            </w:pPr>
            <w:r w:rsidRPr="60D766E4">
              <w:rPr>
                <w:rFonts w:ascii="Arial" w:eastAsia="Arial" w:hAnsi="Arial" w:cs="Arial"/>
                <w:b/>
                <w:bCs/>
                <w:sz w:val="22"/>
                <w:szCs w:val="22"/>
              </w:rPr>
              <w:t>Interdisciplinary Palliative Team:</w:t>
            </w:r>
            <w:r w:rsidRPr="60D766E4">
              <w:rPr>
                <w:rFonts w:ascii="Arial" w:eastAsia="Arial" w:hAnsi="Arial" w:cs="Arial"/>
                <w:sz w:val="22"/>
                <w:szCs w:val="22"/>
              </w:rPr>
              <w:t xml:space="preserve"> Access to doctors, nurses, social workers, and chaplains specializing in advanced illness.</w:t>
            </w:r>
          </w:p>
          <w:p w14:paraId="5D6F46C2" w14:textId="123AE5C1" w:rsidR="60D766E4" w:rsidRDefault="60D766E4" w:rsidP="60D766E4">
            <w:pPr>
              <w:pStyle w:val="ListParagraph"/>
              <w:numPr>
                <w:ilvl w:val="0"/>
                <w:numId w:val="4"/>
              </w:numPr>
              <w:spacing w:after="0"/>
              <w:ind w:left="360"/>
              <w:rPr>
                <w:rFonts w:ascii="Arial" w:eastAsia="Arial" w:hAnsi="Arial" w:cs="Arial"/>
                <w:sz w:val="22"/>
                <w:szCs w:val="22"/>
              </w:rPr>
            </w:pPr>
            <w:r w:rsidRPr="60D766E4">
              <w:rPr>
                <w:rFonts w:ascii="Arial" w:eastAsia="Arial" w:hAnsi="Arial" w:cs="Arial"/>
                <w:b/>
                <w:bCs/>
                <w:sz w:val="22"/>
                <w:szCs w:val="22"/>
              </w:rPr>
              <w:lastRenderedPageBreak/>
              <w:t>Health Information Technology (HIT):</w:t>
            </w:r>
            <w:r w:rsidRPr="60D766E4">
              <w:rPr>
                <w:rFonts w:ascii="Arial" w:eastAsia="Arial" w:hAnsi="Arial" w:cs="Arial"/>
                <w:sz w:val="22"/>
                <w:szCs w:val="22"/>
              </w:rPr>
              <w:t xml:space="preserve"> Electronic Health Record (EHR) systems with prognostic screening tools (e.g., mortality risk calculators).</w:t>
            </w:r>
          </w:p>
          <w:p w14:paraId="2A0388CA" w14:textId="0540A030" w:rsidR="60D766E4" w:rsidRDefault="60D766E4" w:rsidP="60D766E4">
            <w:pPr>
              <w:pStyle w:val="ListParagraph"/>
              <w:numPr>
                <w:ilvl w:val="0"/>
                <w:numId w:val="4"/>
              </w:numPr>
              <w:spacing w:after="0"/>
              <w:ind w:left="360"/>
              <w:rPr>
                <w:rFonts w:ascii="Arial" w:eastAsia="Arial" w:hAnsi="Arial" w:cs="Arial"/>
                <w:sz w:val="22"/>
                <w:szCs w:val="22"/>
              </w:rPr>
            </w:pPr>
            <w:r w:rsidRPr="60D766E4">
              <w:rPr>
                <w:rFonts w:ascii="Arial" w:eastAsia="Arial" w:hAnsi="Arial" w:cs="Arial"/>
                <w:b/>
                <w:bCs/>
                <w:sz w:val="22"/>
                <w:szCs w:val="22"/>
              </w:rPr>
              <w:t>Hospice Liaison Agreements:</w:t>
            </w:r>
            <w:r w:rsidRPr="60D766E4">
              <w:rPr>
                <w:rFonts w:ascii="Arial" w:eastAsia="Arial" w:hAnsi="Arial" w:cs="Arial"/>
                <w:sz w:val="22"/>
                <w:szCs w:val="22"/>
              </w:rPr>
              <w:t xml:space="preserve"> Formalized partnerships with local hospice agencies to streamline the transition from hospital to home/hospice care.</w:t>
            </w:r>
          </w:p>
          <w:p w14:paraId="6D584030" w14:textId="15EFFCD3" w:rsidR="60D766E4" w:rsidRDefault="60D766E4" w:rsidP="60D766E4">
            <w:pPr>
              <w:pStyle w:val="ListParagraph"/>
              <w:numPr>
                <w:ilvl w:val="0"/>
                <w:numId w:val="4"/>
              </w:numPr>
              <w:spacing w:after="0"/>
              <w:ind w:left="360"/>
              <w:rPr>
                <w:rFonts w:ascii="Arial" w:eastAsia="Arial" w:hAnsi="Arial" w:cs="Arial"/>
                <w:sz w:val="22"/>
                <w:szCs w:val="22"/>
              </w:rPr>
            </w:pPr>
            <w:r w:rsidRPr="60D766E4">
              <w:rPr>
                <w:rFonts w:ascii="Arial" w:eastAsia="Arial" w:hAnsi="Arial" w:cs="Arial"/>
                <w:b/>
                <w:bCs/>
                <w:sz w:val="22"/>
                <w:szCs w:val="22"/>
              </w:rPr>
              <w:t>Educational Tools:</w:t>
            </w:r>
            <w:r w:rsidRPr="60D766E4">
              <w:rPr>
                <w:rFonts w:ascii="Arial" w:eastAsia="Arial" w:hAnsi="Arial" w:cs="Arial"/>
                <w:sz w:val="22"/>
                <w:szCs w:val="22"/>
              </w:rPr>
              <w:t xml:space="preserve"> Guides and videos regarding the benefits of hospice care versus aggressive treatment.</w:t>
            </w:r>
          </w:p>
        </w:tc>
        <w:tc>
          <w:tcPr>
            <w:tcW w:w="2505" w:type="dxa"/>
            <w:tcBorders>
              <w:top w:val="single" w:sz="8" w:space="0" w:color="231F20"/>
              <w:left w:val="single" w:sz="8" w:space="0" w:color="231F20"/>
              <w:bottom w:val="single" w:sz="8" w:space="0" w:color="231F20"/>
              <w:right w:val="single" w:sz="8" w:space="0" w:color="231F20"/>
            </w:tcBorders>
          </w:tcPr>
          <w:p w14:paraId="4BE19CB2" w14:textId="3B9F588E" w:rsidR="60D766E4" w:rsidRDefault="60D766E4" w:rsidP="60D766E4">
            <w:pPr>
              <w:pStyle w:val="ListParagraph"/>
              <w:numPr>
                <w:ilvl w:val="0"/>
                <w:numId w:val="4"/>
              </w:numPr>
              <w:spacing w:after="0" w:line="276" w:lineRule="auto"/>
              <w:ind w:left="360"/>
              <w:rPr>
                <w:rFonts w:ascii="Arial" w:eastAsia="Arial" w:hAnsi="Arial" w:cs="Arial"/>
                <w:sz w:val="22"/>
                <w:szCs w:val="22"/>
              </w:rPr>
            </w:pPr>
            <w:r w:rsidRPr="60D766E4">
              <w:rPr>
                <w:rFonts w:ascii="Arial" w:eastAsia="Arial" w:hAnsi="Arial" w:cs="Arial"/>
                <w:b/>
                <w:bCs/>
                <w:sz w:val="22"/>
                <w:szCs w:val="22"/>
              </w:rPr>
              <w:lastRenderedPageBreak/>
              <w:t>Proactive Screening:</w:t>
            </w:r>
            <w:r w:rsidRPr="60D766E4">
              <w:rPr>
                <w:rFonts w:ascii="Arial" w:eastAsia="Arial" w:hAnsi="Arial" w:cs="Arial"/>
                <w:sz w:val="22"/>
                <w:szCs w:val="22"/>
              </w:rPr>
              <w:t xml:space="preserve"> Identifying patients with advanced cancer early in their trajectory using clinical triggers.</w:t>
            </w:r>
          </w:p>
          <w:p w14:paraId="016A9CBC" w14:textId="0A4D857C" w:rsidR="60D766E4" w:rsidRDefault="60D766E4" w:rsidP="60D766E4">
            <w:pPr>
              <w:pStyle w:val="ListParagraph"/>
              <w:numPr>
                <w:ilvl w:val="0"/>
                <w:numId w:val="4"/>
              </w:numPr>
              <w:spacing w:after="0" w:line="276" w:lineRule="auto"/>
              <w:ind w:left="360"/>
              <w:rPr>
                <w:rFonts w:ascii="Arial" w:eastAsia="Arial" w:hAnsi="Arial" w:cs="Arial"/>
                <w:sz w:val="22"/>
                <w:szCs w:val="22"/>
              </w:rPr>
            </w:pPr>
            <w:r w:rsidRPr="60D766E4">
              <w:rPr>
                <w:rFonts w:ascii="Arial" w:eastAsia="Arial" w:hAnsi="Arial" w:cs="Arial"/>
                <w:b/>
                <w:bCs/>
                <w:sz w:val="22"/>
                <w:szCs w:val="22"/>
              </w:rPr>
              <w:t xml:space="preserve">Standardized "Goals of Care" </w:t>
            </w:r>
            <w:r w:rsidRPr="60D766E4">
              <w:rPr>
                <w:rFonts w:ascii="Arial" w:eastAsia="Arial" w:hAnsi="Arial" w:cs="Arial"/>
                <w:b/>
                <w:bCs/>
                <w:sz w:val="22"/>
                <w:szCs w:val="22"/>
              </w:rPr>
              <w:lastRenderedPageBreak/>
              <w:t>Discussions:</w:t>
            </w:r>
            <w:r w:rsidRPr="60D766E4">
              <w:rPr>
                <w:rFonts w:ascii="Arial" w:eastAsia="Arial" w:hAnsi="Arial" w:cs="Arial"/>
                <w:sz w:val="22"/>
                <w:szCs w:val="22"/>
              </w:rPr>
              <w:t xml:space="preserve"> Ensuring clinicians have structured conversations about what matters most to the patient (comfort vs. longevity).</w:t>
            </w:r>
          </w:p>
          <w:p w14:paraId="50AD20B6" w14:textId="282BC204" w:rsidR="60D766E4" w:rsidRDefault="60D766E4" w:rsidP="60D766E4">
            <w:pPr>
              <w:pStyle w:val="ListParagraph"/>
              <w:numPr>
                <w:ilvl w:val="0"/>
                <w:numId w:val="4"/>
              </w:numPr>
              <w:spacing w:after="0" w:line="276" w:lineRule="auto"/>
              <w:ind w:left="360"/>
              <w:rPr>
                <w:rFonts w:ascii="Arial" w:eastAsia="Arial" w:hAnsi="Arial" w:cs="Arial"/>
                <w:sz w:val="22"/>
                <w:szCs w:val="22"/>
              </w:rPr>
            </w:pPr>
            <w:r w:rsidRPr="60D766E4">
              <w:rPr>
                <w:rFonts w:ascii="Arial" w:eastAsia="Arial" w:hAnsi="Arial" w:cs="Arial"/>
                <w:b/>
                <w:bCs/>
                <w:sz w:val="22"/>
                <w:szCs w:val="22"/>
              </w:rPr>
              <w:t>Timely Referral:</w:t>
            </w:r>
            <w:r w:rsidRPr="60D766E4">
              <w:rPr>
                <w:rFonts w:ascii="Arial" w:eastAsia="Arial" w:hAnsi="Arial" w:cs="Arial"/>
                <w:sz w:val="22"/>
                <w:szCs w:val="22"/>
              </w:rPr>
              <w:t xml:space="preserve"> Initiating hospice referrals weeks before death is anticipated, rather than during a crisis.</w:t>
            </w:r>
          </w:p>
          <w:p w14:paraId="3DA82EEA" w14:textId="500D4F61" w:rsidR="60D766E4" w:rsidRDefault="60D766E4" w:rsidP="60D766E4">
            <w:pPr>
              <w:pStyle w:val="ListParagraph"/>
              <w:numPr>
                <w:ilvl w:val="0"/>
                <w:numId w:val="4"/>
              </w:numPr>
              <w:spacing w:after="0" w:line="276" w:lineRule="auto"/>
              <w:ind w:left="360"/>
              <w:rPr>
                <w:rFonts w:ascii="Arial" w:eastAsia="Arial" w:hAnsi="Arial" w:cs="Arial"/>
                <w:sz w:val="22"/>
                <w:szCs w:val="22"/>
              </w:rPr>
            </w:pPr>
            <w:r w:rsidRPr="60D766E4">
              <w:rPr>
                <w:rFonts w:ascii="Arial" w:eastAsia="Arial" w:hAnsi="Arial" w:cs="Arial"/>
                <w:b/>
                <w:bCs/>
                <w:sz w:val="22"/>
                <w:szCs w:val="22"/>
              </w:rPr>
              <w:t>Provider Training:</w:t>
            </w:r>
            <w:r w:rsidRPr="60D766E4">
              <w:rPr>
                <w:rFonts w:ascii="Arial" w:eastAsia="Arial" w:hAnsi="Arial" w:cs="Arial"/>
                <w:sz w:val="22"/>
                <w:szCs w:val="22"/>
              </w:rPr>
              <w:t xml:space="preserve"> Coaching clinicians on how to discuss prognosis without "destroying hope."</w:t>
            </w:r>
          </w:p>
          <w:p w14:paraId="732804E0" w14:textId="74C4CFE2" w:rsidR="60D766E4" w:rsidRDefault="60D766E4" w:rsidP="60D766E4">
            <w:pPr>
              <w:spacing w:line="276" w:lineRule="auto"/>
            </w:pPr>
            <w:r w:rsidRPr="60D766E4">
              <w:rPr>
                <w:rFonts w:ascii="Arial" w:eastAsia="Arial" w:hAnsi="Arial" w:cs="Arial"/>
                <w:sz w:val="22"/>
                <w:szCs w:val="22"/>
              </w:rPr>
              <w:t xml:space="preserve"> </w:t>
            </w:r>
          </w:p>
        </w:tc>
        <w:tc>
          <w:tcPr>
            <w:tcW w:w="2640" w:type="dxa"/>
            <w:tcBorders>
              <w:top w:val="single" w:sz="8" w:space="0" w:color="231F20"/>
              <w:left w:val="single" w:sz="8" w:space="0" w:color="231F20"/>
              <w:bottom w:val="single" w:sz="8" w:space="0" w:color="231F20"/>
              <w:right w:val="single" w:sz="8" w:space="0" w:color="231F20"/>
            </w:tcBorders>
          </w:tcPr>
          <w:p w14:paraId="0DC53B9C" w14:textId="0CB348F8" w:rsidR="60D766E4" w:rsidRDefault="60D766E4" w:rsidP="60D766E4">
            <w:pPr>
              <w:pStyle w:val="ListParagraph"/>
              <w:numPr>
                <w:ilvl w:val="0"/>
                <w:numId w:val="3"/>
              </w:numPr>
              <w:spacing w:after="0" w:line="247" w:lineRule="auto"/>
              <w:ind w:left="360" w:right="55"/>
              <w:rPr>
                <w:rFonts w:ascii="Arial" w:eastAsia="Arial" w:hAnsi="Arial" w:cs="Arial"/>
                <w:sz w:val="22"/>
                <w:szCs w:val="22"/>
              </w:rPr>
            </w:pPr>
            <w:r w:rsidRPr="60D766E4">
              <w:rPr>
                <w:rFonts w:ascii="Arial" w:eastAsia="Arial" w:hAnsi="Arial" w:cs="Arial"/>
                <w:b/>
                <w:bCs/>
                <w:sz w:val="22"/>
                <w:szCs w:val="22"/>
              </w:rPr>
              <w:lastRenderedPageBreak/>
              <w:t>Documentation Rates:</w:t>
            </w:r>
            <w:r w:rsidRPr="60D766E4">
              <w:rPr>
                <w:rFonts w:ascii="Arial" w:eastAsia="Arial" w:hAnsi="Arial" w:cs="Arial"/>
                <w:sz w:val="22"/>
                <w:szCs w:val="22"/>
              </w:rPr>
              <w:t xml:space="preserve"> High percentage of advanced cancer patients with an uploaded Advance Directive or GOC note.</w:t>
            </w:r>
          </w:p>
          <w:p w14:paraId="050B4966" w14:textId="3A0E2F0E" w:rsidR="60D766E4" w:rsidRDefault="60D766E4" w:rsidP="60D766E4">
            <w:pPr>
              <w:pStyle w:val="ListParagraph"/>
              <w:numPr>
                <w:ilvl w:val="0"/>
                <w:numId w:val="3"/>
              </w:numPr>
              <w:spacing w:after="0" w:line="247" w:lineRule="auto"/>
              <w:ind w:left="360" w:right="55"/>
              <w:rPr>
                <w:rFonts w:ascii="Arial" w:eastAsia="Arial" w:hAnsi="Arial" w:cs="Arial"/>
                <w:sz w:val="22"/>
                <w:szCs w:val="22"/>
              </w:rPr>
            </w:pPr>
            <w:r w:rsidRPr="60D766E4">
              <w:rPr>
                <w:rFonts w:ascii="Arial" w:eastAsia="Arial" w:hAnsi="Arial" w:cs="Arial"/>
                <w:b/>
                <w:bCs/>
                <w:sz w:val="22"/>
                <w:szCs w:val="22"/>
              </w:rPr>
              <w:t>Consultation Volume:</w:t>
            </w:r>
            <w:r w:rsidRPr="60D766E4">
              <w:rPr>
                <w:rFonts w:ascii="Arial" w:eastAsia="Arial" w:hAnsi="Arial" w:cs="Arial"/>
                <w:sz w:val="22"/>
                <w:szCs w:val="22"/>
              </w:rPr>
              <w:t xml:space="preserve"> Number of palliative care </w:t>
            </w:r>
            <w:r w:rsidRPr="60D766E4">
              <w:rPr>
                <w:rFonts w:ascii="Arial" w:eastAsia="Arial" w:hAnsi="Arial" w:cs="Arial"/>
                <w:sz w:val="22"/>
                <w:szCs w:val="22"/>
              </w:rPr>
              <w:lastRenderedPageBreak/>
              <w:t>consultations performed annually.</w:t>
            </w:r>
          </w:p>
          <w:p w14:paraId="3ADA1A6C" w14:textId="5C37FA6D" w:rsidR="60D766E4" w:rsidRDefault="60D766E4" w:rsidP="60D766E4">
            <w:pPr>
              <w:pStyle w:val="ListParagraph"/>
              <w:numPr>
                <w:ilvl w:val="0"/>
                <w:numId w:val="3"/>
              </w:numPr>
              <w:spacing w:after="0" w:line="247" w:lineRule="auto"/>
              <w:ind w:left="360" w:right="55"/>
              <w:rPr>
                <w:rFonts w:ascii="Arial" w:eastAsia="Arial" w:hAnsi="Arial" w:cs="Arial"/>
                <w:sz w:val="22"/>
                <w:szCs w:val="22"/>
              </w:rPr>
            </w:pPr>
            <w:r w:rsidRPr="60D766E4">
              <w:rPr>
                <w:rFonts w:ascii="Arial" w:eastAsia="Arial" w:hAnsi="Arial" w:cs="Arial"/>
                <w:b/>
                <w:bCs/>
                <w:sz w:val="22"/>
                <w:szCs w:val="22"/>
              </w:rPr>
              <w:t>Referral Speed:</w:t>
            </w:r>
            <w:r w:rsidRPr="60D766E4">
              <w:rPr>
                <w:rFonts w:ascii="Arial" w:eastAsia="Arial" w:hAnsi="Arial" w:cs="Arial"/>
                <w:sz w:val="22"/>
                <w:szCs w:val="22"/>
              </w:rPr>
              <w:t xml:space="preserve"> Reduction in the time between a "terminal" prognosis and a hospice referral.</w:t>
            </w:r>
          </w:p>
          <w:p w14:paraId="507E5AAD" w14:textId="1D8E12C8" w:rsidR="60D766E4" w:rsidRDefault="60D766E4" w:rsidP="60D766E4">
            <w:pPr>
              <w:pStyle w:val="ListParagraph"/>
              <w:numPr>
                <w:ilvl w:val="0"/>
                <w:numId w:val="3"/>
              </w:numPr>
              <w:spacing w:after="0" w:line="247" w:lineRule="auto"/>
              <w:ind w:left="360" w:right="55"/>
              <w:rPr>
                <w:rFonts w:ascii="Arial" w:eastAsia="Arial" w:hAnsi="Arial" w:cs="Arial"/>
                <w:sz w:val="22"/>
                <w:szCs w:val="22"/>
              </w:rPr>
            </w:pPr>
            <w:r w:rsidRPr="60D766E4">
              <w:rPr>
                <w:rFonts w:ascii="Arial" w:eastAsia="Arial" w:hAnsi="Arial" w:cs="Arial"/>
                <w:b/>
                <w:bCs/>
                <w:sz w:val="22"/>
                <w:szCs w:val="22"/>
              </w:rPr>
              <w:t>Staff Competency:</w:t>
            </w:r>
            <w:r w:rsidRPr="60D766E4">
              <w:rPr>
                <w:rFonts w:ascii="Arial" w:eastAsia="Arial" w:hAnsi="Arial" w:cs="Arial"/>
                <w:sz w:val="22"/>
                <w:szCs w:val="22"/>
              </w:rPr>
              <w:t xml:space="preserve"> Number of clinicians certified in specialized end-of-life communication.</w:t>
            </w:r>
          </w:p>
          <w:p w14:paraId="06901DE2" w14:textId="6874172A" w:rsidR="60D766E4" w:rsidRDefault="60D766E4" w:rsidP="60D766E4">
            <w:pPr>
              <w:spacing w:before="28" w:after="0" w:line="247" w:lineRule="auto"/>
              <w:ind w:right="55"/>
            </w:pPr>
            <w:r w:rsidRPr="60D766E4">
              <w:rPr>
                <w:rFonts w:ascii="Arial" w:eastAsia="Arial" w:hAnsi="Arial" w:cs="Arial"/>
                <w:sz w:val="22"/>
                <w:szCs w:val="22"/>
              </w:rPr>
              <w:t xml:space="preserve"> </w:t>
            </w:r>
          </w:p>
          <w:p w14:paraId="3E5B0A08" w14:textId="6F64D3DF" w:rsidR="60D766E4" w:rsidRDefault="60D766E4" w:rsidP="60D766E4">
            <w:pPr>
              <w:spacing w:after="0" w:line="247" w:lineRule="auto"/>
              <w:ind w:left="80" w:right="293"/>
            </w:pPr>
            <w:r w:rsidRPr="60D766E4">
              <w:rPr>
                <w:rFonts w:ascii="Arial" w:eastAsia="Arial" w:hAnsi="Arial" w:cs="Arial"/>
                <w:sz w:val="22"/>
                <w:szCs w:val="22"/>
              </w:rPr>
              <w:t xml:space="preserve"> </w:t>
            </w:r>
          </w:p>
        </w:tc>
        <w:tc>
          <w:tcPr>
            <w:tcW w:w="2715" w:type="dxa"/>
            <w:tcBorders>
              <w:top w:val="single" w:sz="8" w:space="0" w:color="231F20"/>
              <w:left w:val="single" w:sz="8" w:space="0" w:color="231F20"/>
              <w:bottom w:val="single" w:sz="8" w:space="0" w:color="231F20"/>
              <w:right w:val="single" w:sz="8" w:space="0" w:color="231F20"/>
            </w:tcBorders>
          </w:tcPr>
          <w:p w14:paraId="2BF24071" w14:textId="5CFCDE0E" w:rsidR="60D766E4" w:rsidRDefault="60D766E4" w:rsidP="60D766E4">
            <w:pPr>
              <w:pStyle w:val="ListParagraph"/>
              <w:numPr>
                <w:ilvl w:val="0"/>
                <w:numId w:val="3"/>
              </w:numPr>
              <w:spacing w:after="0"/>
              <w:ind w:left="360"/>
              <w:rPr>
                <w:rFonts w:ascii="Arial" w:eastAsia="Arial" w:hAnsi="Arial" w:cs="Arial"/>
                <w:sz w:val="22"/>
                <w:szCs w:val="22"/>
              </w:rPr>
            </w:pPr>
            <w:r w:rsidRPr="60D766E4">
              <w:rPr>
                <w:rFonts w:ascii="Arial" w:eastAsia="Arial" w:hAnsi="Arial" w:cs="Arial"/>
                <w:sz w:val="22"/>
                <w:szCs w:val="22"/>
              </w:rPr>
              <w:lastRenderedPageBreak/>
              <w:t xml:space="preserve">Patients and families report a clearer understanding of the disease trajectory and feel more "prepared" for the end of life. Increased patient and family literacy regarding </w:t>
            </w:r>
            <w:r w:rsidRPr="60D766E4">
              <w:rPr>
                <w:rFonts w:ascii="Arial" w:eastAsia="Arial" w:hAnsi="Arial" w:cs="Arial"/>
                <w:sz w:val="22"/>
                <w:szCs w:val="22"/>
              </w:rPr>
              <w:lastRenderedPageBreak/>
              <w:t>hospice benefits; decreased "crisis" calls to the oncologist's office for pain.</w:t>
            </w:r>
          </w:p>
          <w:p w14:paraId="550CAA19" w14:textId="0BA50B70" w:rsidR="60D766E4" w:rsidRDefault="60D766E4" w:rsidP="60D766E4">
            <w:pPr>
              <w:pStyle w:val="ListParagraph"/>
              <w:numPr>
                <w:ilvl w:val="0"/>
                <w:numId w:val="3"/>
              </w:numPr>
              <w:spacing w:after="0"/>
              <w:ind w:left="360"/>
              <w:rPr>
                <w:rFonts w:ascii="Arial" w:eastAsia="Arial" w:hAnsi="Arial" w:cs="Arial"/>
                <w:sz w:val="22"/>
                <w:szCs w:val="22"/>
              </w:rPr>
            </w:pPr>
            <w:r w:rsidRPr="60D766E4">
              <w:rPr>
                <w:rFonts w:ascii="Arial" w:eastAsia="Arial" w:hAnsi="Arial" w:cs="Arial"/>
                <w:sz w:val="22"/>
                <w:szCs w:val="22"/>
              </w:rPr>
              <w:t>Reduction in ED visits, hospitalizations, and ICU visits (less comfort-focused). Fewer patients are subjected to invasive monitoring or mechanical ventilation when death is imminent.</w:t>
            </w:r>
          </w:p>
          <w:p w14:paraId="6899ADBC" w14:textId="681562F7" w:rsidR="00194C9B" w:rsidRPr="00194C9B" w:rsidRDefault="00194C9B" w:rsidP="00194C9B">
            <w:pPr>
              <w:pStyle w:val="ListParagraph"/>
              <w:numPr>
                <w:ilvl w:val="0"/>
                <w:numId w:val="3"/>
              </w:numPr>
              <w:ind w:left="360"/>
              <w:rPr>
                <w:rFonts w:ascii="Arial" w:eastAsia="Arial" w:hAnsi="Arial" w:cs="Arial"/>
                <w:sz w:val="22"/>
                <w:szCs w:val="22"/>
              </w:rPr>
            </w:pPr>
            <w:r>
              <w:rPr>
                <w:rFonts w:ascii="Arial" w:eastAsia="Arial" w:hAnsi="Arial" w:cs="Arial"/>
                <w:sz w:val="22"/>
                <w:szCs w:val="22"/>
              </w:rPr>
              <w:t>I</w:t>
            </w:r>
            <w:r w:rsidRPr="00194C9B">
              <w:rPr>
                <w:rFonts w:ascii="Arial" w:eastAsia="Arial" w:hAnsi="Arial" w:cs="Arial"/>
                <w:sz w:val="22"/>
                <w:szCs w:val="22"/>
              </w:rPr>
              <w:t>ncrease in the percentage of patients enrolled in hospice for at least 3 days before death</w:t>
            </w:r>
            <w:r>
              <w:rPr>
                <w:rFonts w:ascii="Arial" w:eastAsia="Arial" w:hAnsi="Arial" w:cs="Arial"/>
                <w:sz w:val="22"/>
                <w:szCs w:val="22"/>
              </w:rPr>
              <w:t>.</w:t>
            </w:r>
          </w:p>
          <w:p w14:paraId="01C866D0" w14:textId="169209C7" w:rsidR="60D766E4" w:rsidRPr="00194C9B" w:rsidRDefault="60D766E4" w:rsidP="00194C9B">
            <w:pPr>
              <w:pStyle w:val="ListParagraph"/>
              <w:numPr>
                <w:ilvl w:val="0"/>
                <w:numId w:val="3"/>
              </w:numPr>
              <w:ind w:left="360"/>
              <w:rPr>
                <w:rFonts w:ascii="Arial" w:eastAsia="Arial" w:hAnsi="Arial" w:cs="Arial"/>
                <w:sz w:val="22"/>
                <w:szCs w:val="22"/>
              </w:rPr>
            </w:pPr>
            <w:r w:rsidRPr="00194C9B">
              <w:rPr>
                <w:rFonts w:ascii="Arial" w:eastAsia="Arial" w:hAnsi="Arial" w:cs="Arial"/>
                <w:sz w:val="22"/>
                <w:szCs w:val="22"/>
              </w:rPr>
              <w:t>Improved symptom control, comfort, quality of life, patient and caregiver satisfaction. A more positive experience of death.</w:t>
            </w:r>
          </w:p>
        </w:tc>
        <w:tc>
          <w:tcPr>
            <w:tcW w:w="2325" w:type="dxa"/>
            <w:tcBorders>
              <w:top w:val="single" w:sz="8" w:space="0" w:color="231F20"/>
              <w:left w:val="single" w:sz="8" w:space="0" w:color="231F20"/>
              <w:bottom w:val="single" w:sz="8" w:space="0" w:color="231F20"/>
              <w:right w:val="single" w:sz="8" w:space="0" w:color="231F20"/>
            </w:tcBorders>
          </w:tcPr>
          <w:p w14:paraId="320B93E0" w14:textId="0DB81F3D" w:rsidR="60D766E4" w:rsidRDefault="60D766E4" w:rsidP="60D766E4">
            <w:pPr>
              <w:pStyle w:val="ListParagraph"/>
              <w:numPr>
                <w:ilvl w:val="0"/>
                <w:numId w:val="3"/>
              </w:numPr>
              <w:spacing w:after="0"/>
              <w:ind w:left="360"/>
              <w:rPr>
                <w:rFonts w:ascii="Arial" w:eastAsia="Arial" w:hAnsi="Arial" w:cs="Arial"/>
                <w:sz w:val="22"/>
                <w:szCs w:val="22"/>
              </w:rPr>
            </w:pPr>
            <w:r w:rsidRPr="60D766E4">
              <w:rPr>
                <w:rFonts w:ascii="Arial" w:eastAsia="Arial" w:hAnsi="Arial" w:cs="Arial"/>
                <w:sz w:val="22"/>
                <w:szCs w:val="22"/>
              </w:rPr>
              <w:lastRenderedPageBreak/>
              <w:t>Improved "Quality of Death" scores from bereaved families.</w:t>
            </w:r>
          </w:p>
          <w:p w14:paraId="79F287A8" w14:textId="38212E25" w:rsidR="60D766E4" w:rsidRDefault="60D766E4" w:rsidP="60D766E4">
            <w:pPr>
              <w:pStyle w:val="ListParagraph"/>
              <w:numPr>
                <w:ilvl w:val="0"/>
                <w:numId w:val="3"/>
              </w:numPr>
              <w:spacing w:after="0"/>
              <w:ind w:left="360"/>
              <w:rPr>
                <w:rFonts w:ascii="Arial" w:eastAsia="Arial" w:hAnsi="Arial" w:cs="Arial"/>
                <w:sz w:val="22"/>
                <w:szCs w:val="22"/>
              </w:rPr>
            </w:pPr>
            <w:r w:rsidRPr="60D766E4">
              <w:rPr>
                <w:rFonts w:ascii="Arial" w:eastAsia="Arial" w:hAnsi="Arial" w:cs="Arial"/>
                <w:sz w:val="22"/>
                <w:szCs w:val="22"/>
              </w:rPr>
              <w:t xml:space="preserve">Reduced overall healthcare expenditures by avoiding futile </w:t>
            </w:r>
            <w:r w:rsidRPr="60D766E4">
              <w:rPr>
                <w:rFonts w:ascii="Arial" w:eastAsia="Arial" w:hAnsi="Arial" w:cs="Arial"/>
                <w:sz w:val="22"/>
                <w:szCs w:val="22"/>
              </w:rPr>
              <w:lastRenderedPageBreak/>
              <w:t>high-intensity care.</w:t>
            </w:r>
          </w:p>
          <w:p w14:paraId="2416D9F1" w14:textId="596867E1" w:rsidR="60D766E4" w:rsidRDefault="60D766E4" w:rsidP="60D766E4">
            <w:pPr>
              <w:pStyle w:val="ListParagraph"/>
              <w:numPr>
                <w:ilvl w:val="0"/>
                <w:numId w:val="3"/>
              </w:numPr>
              <w:spacing w:after="0"/>
              <w:ind w:left="360"/>
              <w:rPr>
                <w:rFonts w:ascii="Arial" w:eastAsia="Arial" w:hAnsi="Arial" w:cs="Arial"/>
                <w:sz w:val="22"/>
                <w:szCs w:val="22"/>
              </w:rPr>
            </w:pPr>
            <w:r w:rsidRPr="60D766E4">
              <w:rPr>
                <w:rFonts w:ascii="Arial" w:eastAsia="Arial" w:hAnsi="Arial" w:cs="Arial"/>
                <w:sz w:val="22"/>
                <w:szCs w:val="22"/>
              </w:rPr>
              <w:t>Increased rates of death at home or in hospice (per patient preference).</w:t>
            </w:r>
          </w:p>
          <w:p w14:paraId="241107AC" w14:textId="744C81E8" w:rsidR="60D766E4" w:rsidRDefault="60D766E4" w:rsidP="60D766E4">
            <w:pPr>
              <w:spacing w:before="14" w:after="0"/>
            </w:pPr>
            <w:r w:rsidRPr="60D766E4">
              <w:rPr>
                <w:rFonts w:ascii="Arial" w:eastAsia="Arial" w:hAnsi="Arial" w:cs="Arial"/>
                <w:color w:val="FF0000"/>
                <w:sz w:val="22"/>
                <w:szCs w:val="22"/>
              </w:rPr>
              <w:t xml:space="preserve"> </w:t>
            </w:r>
          </w:p>
          <w:p w14:paraId="2F686197" w14:textId="351331D0" w:rsidR="60D766E4" w:rsidRDefault="60D766E4" w:rsidP="60D766E4">
            <w:pPr>
              <w:spacing w:after="0" w:line="247" w:lineRule="auto"/>
              <w:ind w:right="59"/>
            </w:pPr>
            <w:r w:rsidRPr="60D766E4">
              <w:rPr>
                <w:rFonts w:ascii="Arial" w:eastAsia="Arial" w:hAnsi="Arial" w:cs="Arial"/>
                <w:color w:val="FF0000"/>
                <w:sz w:val="22"/>
                <w:szCs w:val="22"/>
              </w:rPr>
              <w:t xml:space="preserve"> </w:t>
            </w:r>
          </w:p>
        </w:tc>
      </w:tr>
      <w:tr w:rsidR="60D766E4" w14:paraId="427F464B" w14:textId="77777777" w:rsidTr="60D766E4">
        <w:trPr>
          <w:trHeight w:val="285"/>
        </w:trPr>
        <w:tc>
          <w:tcPr>
            <w:tcW w:w="12885" w:type="dxa"/>
            <w:gridSpan w:val="5"/>
            <w:tcBorders>
              <w:top w:val="single" w:sz="8" w:space="0" w:color="231F20"/>
              <w:left w:val="single" w:sz="8" w:space="0" w:color="231F20"/>
              <w:bottom w:val="single" w:sz="8" w:space="0" w:color="231F20"/>
              <w:right w:val="single" w:sz="8" w:space="0" w:color="231F20"/>
            </w:tcBorders>
            <w:shd w:val="clear" w:color="auto" w:fill="B4C5E7"/>
          </w:tcPr>
          <w:p w14:paraId="1495821B" w14:textId="40DE080B" w:rsidR="60D766E4" w:rsidRDefault="60D766E4" w:rsidP="60D766E4">
            <w:pPr>
              <w:spacing w:before="28" w:after="0"/>
              <w:ind w:left="79"/>
            </w:pPr>
            <w:r w:rsidRPr="60D766E4">
              <w:rPr>
                <w:rFonts w:ascii="Arial" w:eastAsia="Arial" w:hAnsi="Arial" w:cs="Arial"/>
                <w:b/>
                <w:bCs/>
                <w:color w:val="000000" w:themeColor="text1"/>
                <w:sz w:val="22"/>
                <w:szCs w:val="22"/>
              </w:rPr>
              <w:lastRenderedPageBreak/>
              <w:t>Feedback Mechanisms</w:t>
            </w:r>
          </w:p>
        </w:tc>
      </w:tr>
      <w:tr w:rsidR="60D766E4" w14:paraId="2B3BFA71" w14:textId="77777777" w:rsidTr="60D766E4">
        <w:trPr>
          <w:trHeight w:val="525"/>
        </w:trPr>
        <w:tc>
          <w:tcPr>
            <w:tcW w:w="12885" w:type="dxa"/>
            <w:gridSpan w:val="5"/>
            <w:tcBorders>
              <w:top w:val="single" w:sz="8" w:space="0" w:color="231F20"/>
              <w:left w:val="single" w:sz="8" w:space="0" w:color="231F20"/>
              <w:bottom w:val="single" w:sz="8" w:space="0" w:color="231F20"/>
              <w:right w:val="single" w:sz="8" w:space="0" w:color="231F20"/>
            </w:tcBorders>
          </w:tcPr>
          <w:p w14:paraId="25E653F4" w14:textId="42C3C4E4" w:rsidR="60D766E4" w:rsidRDefault="60D766E4" w:rsidP="60D766E4">
            <w:pPr>
              <w:spacing w:before="18" w:after="0"/>
              <w:ind w:left="79"/>
            </w:pPr>
            <w:r w:rsidRPr="60D766E4">
              <w:rPr>
                <w:rFonts w:ascii="Arial" w:eastAsia="Arial" w:hAnsi="Arial" w:cs="Arial"/>
                <w:sz w:val="22"/>
                <w:szCs w:val="22"/>
              </w:rPr>
              <w:t xml:space="preserve">Entities reporting on this measure within MIPS can view their scores at the individual level or group level, depending on how the measure was reported. Entities receive preliminary feedback and then the final score report. </w:t>
            </w:r>
          </w:p>
        </w:tc>
      </w:tr>
      <w:tr w:rsidR="60D766E4" w14:paraId="00316726" w14:textId="77777777" w:rsidTr="60D766E4">
        <w:trPr>
          <w:trHeight w:val="285"/>
        </w:trPr>
        <w:tc>
          <w:tcPr>
            <w:tcW w:w="12885" w:type="dxa"/>
            <w:gridSpan w:val="5"/>
            <w:tcBorders>
              <w:top w:val="single" w:sz="8" w:space="0" w:color="231F20"/>
              <w:left w:val="single" w:sz="8" w:space="0" w:color="231F20"/>
              <w:bottom w:val="single" w:sz="8" w:space="0" w:color="231F20"/>
              <w:right w:val="single" w:sz="8" w:space="0" w:color="231F20"/>
            </w:tcBorders>
            <w:shd w:val="clear" w:color="auto" w:fill="B4C5E7"/>
          </w:tcPr>
          <w:p w14:paraId="12CB55BC" w14:textId="2596B3D7" w:rsidR="60D766E4" w:rsidRDefault="60D766E4" w:rsidP="60D766E4">
            <w:pPr>
              <w:spacing w:before="28" w:after="0"/>
              <w:ind w:left="79"/>
            </w:pPr>
            <w:r w:rsidRPr="60D766E4">
              <w:rPr>
                <w:rFonts w:ascii="Arial" w:eastAsia="Arial" w:hAnsi="Arial" w:cs="Arial"/>
                <w:b/>
                <w:bCs/>
                <w:color w:val="000000" w:themeColor="text1"/>
                <w:sz w:val="22"/>
                <w:szCs w:val="22"/>
              </w:rPr>
              <w:lastRenderedPageBreak/>
              <w:t>Assumptions (underlying beliefs about the quality program and context)</w:t>
            </w:r>
          </w:p>
        </w:tc>
      </w:tr>
      <w:tr w:rsidR="60D766E4" w14:paraId="0C367F93" w14:textId="77777777" w:rsidTr="60D766E4">
        <w:trPr>
          <w:trHeight w:val="1635"/>
        </w:trPr>
        <w:tc>
          <w:tcPr>
            <w:tcW w:w="12885" w:type="dxa"/>
            <w:gridSpan w:val="5"/>
            <w:tcBorders>
              <w:top w:val="single" w:sz="8" w:space="0" w:color="231F20"/>
              <w:left w:val="single" w:sz="8" w:space="0" w:color="231F20"/>
              <w:bottom w:val="single" w:sz="8" w:space="0" w:color="231F20"/>
              <w:right w:val="single" w:sz="8" w:space="0" w:color="231F20"/>
            </w:tcBorders>
          </w:tcPr>
          <w:p w14:paraId="302F4DAA" w14:textId="3BF00D27" w:rsidR="60D766E4" w:rsidRDefault="60D766E4" w:rsidP="60D766E4">
            <w:pPr>
              <w:pStyle w:val="ListParagraph"/>
              <w:numPr>
                <w:ilvl w:val="0"/>
                <w:numId w:val="2"/>
              </w:numPr>
              <w:spacing w:after="0" w:line="247" w:lineRule="auto"/>
              <w:ind w:left="439" w:right="93"/>
              <w:rPr>
                <w:rFonts w:ascii="Arial" w:eastAsia="Arial" w:hAnsi="Arial" w:cs="Arial"/>
                <w:sz w:val="22"/>
                <w:szCs w:val="22"/>
              </w:rPr>
            </w:pPr>
            <w:r w:rsidRPr="60D766E4">
              <w:rPr>
                <w:rFonts w:ascii="Arial" w:eastAsia="Arial" w:hAnsi="Arial" w:cs="Arial"/>
                <w:b/>
                <w:bCs/>
                <w:sz w:val="22"/>
                <w:szCs w:val="22"/>
              </w:rPr>
              <w:t xml:space="preserve">Hospice Availability: </w:t>
            </w:r>
            <w:r w:rsidRPr="60D766E4">
              <w:rPr>
                <w:rFonts w:ascii="Arial" w:eastAsia="Arial" w:hAnsi="Arial" w:cs="Arial"/>
                <w:sz w:val="22"/>
                <w:szCs w:val="22"/>
              </w:rPr>
              <w:t>We assume that hospice providers in the community have the capacity and staffing to accept patients within 24–48 hours of referral.</w:t>
            </w:r>
          </w:p>
          <w:p w14:paraId="45610B4F" w14:textId="306B2739" w:rsidR="60D766E4" w:rsidRDefault="60D766E4" w:rsidP="60D766E4">
            <w:pPr>
              <w:pStyle w:val="ListParagraph"/>
              <w:numPr>
                <w:ilvl w:val="0"/>
                <w:numId w:val="2"/>
              </w:numPr>
              <w:spacing w:after="0" w:line="247" w:lineRule="auto"/>
              <w:ind w:left="439" w:right="93"/>
              <w:rPr>
                <w:rFonts w:ascii="Arial" w:eastAsia="Arial" w:hAnsi="Arial" w:cs="Arial"/>
                <w:color w:val="131619"/>
                <w:sz w:val="22"/>
                <w:szCs w:val="22"/>
              </w:rPr>
            </w:pPr>
            <w:r w:rsidRPr="60D766E4">
              <w:rPr>
                <w:rFonts w:ascii="Arial" w:eastAsia="Arial" w:hAnsi="Arial" w:cs="Arial"/>
                <w:b/>
                <w:bCs/>
                <w:sz w:val="22"/>
                <w:szCs w:val="22"/>
              </w:rPr>
              <w:t>Hospice Referral:</w:t>
            </w:r>
            <w:r w:rsidRPr="60D766E4">
              <w:rPr>
                <w:rFonts w:ascii="Arial" w:eastAsia="Arial" w:hAnsi="Arial" w:cs="Arial"/>
                <w:sz w:val="22"/>
                <w:szCs w:val="22"/>
              </w:rPr>
              <w:t xml:space="preserve"> We assume that if a hospice referral is made, it happens. There are currently issues with hospice access and staffing. </w:t>
            </w:r>
            <w:r w:rsidRPr="60D766E4">
              <w:rPr>
                <w:rFonts w:ascii="Arial" w:eastAsia="Arial" w:hAnsi="Arial" w:cs="Arial"/>
                <w:color w:val="131619"/>
                <w:sz w:val="22"/>
                <w:szCs w:val="22"/>
              </w:rPr>
              <w:t xml:space="preserve">Also, the criteria for home hospice have become extremely strict due to fraud. Per ASCO’s 2023-2024 EOL Measures TEP, clinicians have had patients trying to get into hospice and there are </w:t>
            </w:r>
            <w:proofErr w:type="gramStart"/>
            <w:r w:rsidRPr="60D766E4">
              <w:rPr>
                <w:rFonts w:ascii="Arial" w:eastAsia="Arial" w:hAnsi="Arial" w:cs="Arial"/>
                <w:color w:val="131619"/>
                <w:sz w:val="22"/>
                <w:szCs w:val="22"/>
              </w:rPr>
              <w:t>several-week</w:t>
            </w:r>
            <w:proofErr w:type="gramEnd"/>
            <w:r w:rsidRPr="60D766E4">
              <w:rPr>
                <w:rFonts w:ascii="Arial" w:eastAsia="Arial" w:hAnsi="Arial" w:cs="Arial"/>
                <w:color w:val="131619"/>
                <w:sz w:val="22"/>
                <w:szCs w:val="22"/>
              </w:rPr>
              <w:t xml:space="preserve"> delays. </w:t>
            </w:r>
          </w:p>
          <w:p w14:paraId="310154D8" w14:textId="4B8DA856" w:rsidR="60D766E4" w:rsidRDefault="60D766E4" w:rsidP="60D766E4">
            <w:pPr>
              <w:pStyle w:val="ListParagraph"/>
              <w:numPr>
                <w:ilvl w:val="0"/>
                <w:numId w:val="2"/>
              </w:numPr>
              <w:spacing w:after="0" w:line="247" w:lineRule="auto"/>
              <w:ind w:left="439" w:right="93"/>
              <w:rPr>
                <w:rFonts w:ascii="Arial" w:eastAsia="Arial" w:hAnsi="Arial" w:cs="Arial"/>
                <w:sz w:val="22"/>
                <w:szCs w:val="22"/>
              </w:rPr>
            </w:pPr>
            <w:r w:rsidRPr="60D766E4">
              <w:rPr>
                <w:rFonts w:ascii="Arial" w:eastAsia="Arial" w:hAnsi="Arial" w:cs="Arial"/>
                <w:b/>
                <w:bCs/>
                <w:sz w:val="22"/>
                <w:szCs w:val="22"/>
              </w:rPr>
              <w:t xml:space="preserve">Patient Preference: </w:t>
            </w:r>
            <w:r w:rsidRPr="60D766E4">
              <w:rPr>
                <w:rFonts w:ascii="Arial" w:eastAsia="Arial" w:hAnsi="Arial" w:cs="Arial"/>
                <w:sz w:val="22"/>
                <w:szCs w:val="22"/>
              </w:rPr>
              <w:t>We assume that if patients are fully informed about their prognosis and the limits of late-stage treatment, a significant majority will choose comfort-oriented care.</w:t>
            </w:r>
          </w:p>
          <w:p w14:paraId="790F347E" w14:textId="0F50223D" w:rsidR="60D766E4" w:rsidRDefault="60D766E4" w:rsidP="60D766E4">
            <w:pPr>
              <w:pStyle w:val="ListParagraph"/>
              <w:numPr>
                <w:ilvl w:val="0"/>
                <w:numId w:val="2"/>
              </w:numPr>
              <w:spacing w:after="0" w:line="247" w:lineRule="auto"/>
              <w:ind w:left="439" w:right="93"/>
              <w:rPr>
                <w:rFonts w:ascii="Arial" w:eastAsia="Arial" w:hAnsi="Arial" w:cs="Arial"/>
                <w:sz w:val="22"/>
                <w:szCs w:val="22"/>
              </w:rPr>
            </w:pPr>
            <w:r w:rsidRPr="60D766E4">
              <w:rPr>
                <w:rFonts w:ascii="Arial" w:eastAsia="Arial" w:hAnsi="Arial" w:cs="Arial"/>
                <w:b/>
                <w:bCs/>
                <w:sz w:val="22"/>
                <w:szCs w:val="22"/>
              </w:rPr>
              <w:t xml:space="preserve">Clinical Accuracy: </w:t>
            </w:r>
            <w:r w:rsidRPr="60D766E4">
              <w:rPr>
                <w:rFonts w:ascii="Arial" w:eastAsia="Arial" w:hAnsi="Arial" w:cs="Arial"/>
                <w:sz w:val="22"/>
                <w:szCs w:val="22"/>
              </w:rPr>
              <w:t>We assume that oncologists can reasonably identify the terminal phase of the disease to trigger the referral.</w:t>
            </w:r>
          </w:p>
        </w:tc>
      </w:tr>
      <w:tr w:rsidR="60D766E4" w14:paraId="5746C65A" w14:textId="77777777" w:rsidTr="60D766E4">
        <w:trPr>
          <w:trHeight w:val="285"/>
        </w:trPr>
        <w:tc>
          <w:tcPr>
            <w:tcW w:w="12885" w:type="dxa"/>
            <w:gridSpan w:val="5"/>
            <w:tcBorders>
              <w:top w:val="single" w:sz="8" w:space="0" w:color="231F20"/>
              <w:left w:val="single" w:sz="8" w:space="0" w:color="231F20"/>
              <w:bottom w:val="single" w:sz="8" w:space="0" w:color="231F20"/>
              <w:right w:val="single" w:sz="8" w:space="0" w:color="231F20"/>
            </w:tcBorders>
            <w:shd w:val="clear" w:color="auto" w:fill="B4C5E7"/>
          </w:tcPr>
          <w:p w14:paraId="677C9C84" w14:textId="311942FD" w:rsidR="60D766E4" w:rsidRDefault="60D766E4" w:rsidP="60D766E4">
            <w:pPr>
              <w:spacing w:before="28" w:after="0"/>
              <w:ind w:left="79"/>
            </w:pPr>
            <w:r w:rsidRPr="60D766E4">
              <w:rPr>
                <w:rFonts w:ascii="Arial" w:eastAsia="Arial" w:hAnsi="Arial" w:cs="Arial"/>
                <w:b/>
                <w:bCs/>
                <w:color w:val="000000" w:themeColor="text1"/>
                <w:sz w:val="22"/>
                <w:szCs w:val="22"/>
              </w:rPr>
              <w:t>External Factors (conditions outside the quality program’s control)</w:t>
            </w:r>
          </w:p>
        </w:tc>
      </w:tr>
      <w:tr w:rsidR="60D766E4" w14:paraId="7D89E75B" w14:textId="77777777" w:rsidTr="60D766E4">
        <w:trPr>
          <w:trHeight w:val="390"/>
        </w:trPr>
        <w:tc>
          <w:tcPr>
            <w:tcW w:w="12885" w:type="dxa"/>
            <w:gridSpan w:val="5"/>
            <w:tcBorders>
              <w:top w:val="single" w:sz="8" w:space="0" w:color="231F20"/>
              <w:left w:val="single" w:sz="8" w:space="0" w:color="231F20"/>
              <w:bottom w:val="single" w:sz="8" w:space="0" w:color="231F20"/>
              <w:right w:val="single" w:sz="8" w:space="0" w:color="231F20"/>
            </w:tcBorders>
          </w:tcPr>
          <w:p w14:paraId="54A60CDC" w14:textId="07A2E7C4" w:rsidR="60D766E4" w:rsidRDefault="60D766E4" w:rsidP="60D766E4">
            <w:pPr>
              <w:pStyle w:val="ListParagraph"/>
              <w:numPr>
                <w:ilvl w:val="0"/>
                <w:numId w:val="1"/>
              </w:numPr>
              <w:spacing w:after="0"/>
              <w:ind w:left="439"/>
              <w:rPr>
                <w:rFonts w:ascii="Arial" w:eastAsia="Arial" w:hAnsi="Arial" w:cs="Arial"/>
                <w:sz w:val="22"/>
                <w:szCs w:val="22"/>
              </w:rPr>
            </w:pPr>
            <w:r w:rsidRPr="60D766E4">
              <w:rPr>
                <w:rFonts w:ascii="Arial" w:eastAsia="Arial" w:hAnsi="Arial" w:cs="Arial"/>
                <w:b/>
                <w:bCs/>
                <w:sz w:val="22"/>
                <w:szCs w:val="22"/>
              </w:rPr>
              <w:t xml:space="preserve">Cultural &amp; Linguistic Barriers: </w:t>
            </w:r>
            <w:r w:rsidRPr="60D766E4">
              <w:rPr>
                <w:rFonts w:ascii="Arial" w:eastAsia="Arial" w:hAnsi="Arial" w:cs="Arial"/>
                <w:sz w:val="22"/>
                <w:szCs w:val="22"/>
              </w:rPr>
              <w:t>Stigma surrounding the word "hospice" in certain cultures may lead to resistance, regardless of the quality of the clinician's communication.</w:t>
            </w:r>
          </w:p>
          <w:p w14:paraId="57D50E1D" w14:textId="36338BA5" w:rsidR="60D766E4" w:rsidRDefault="60D766E4" w:rsidP="60D766E4">
            <w:pPr>
              <w:pStyle w:val="ListParagraph"/>
              <w:numPr>
                <w:ilvl w:val="0"/>
                <w:numId w:val="1"/>
              </w:numPr>
              <w:spacing w:after="0"/>
              <w:ind w:left="439"/>
              <w:rPr>
                <w:rFonts w:ascii="Arial" w:eastAsia="Arial" w:hAnsi="Arial" w:cs="Arial"/>
                <w:sz w:val="22"/>
                <w:szCs w:val="22"/>
              </w:rPr>
            </w:pPr>
            <w:r w:rsidRPr="60D766E4">
              <w:rPr>
                <w:rFonts w:ascii="Arial" w:eastAsia="Arial" w:hAnsi="Arial" w:cs="Arial"/>
                <w:b/>
                <w:bCs/>
                <w:sz w:val="22"/>
                <w:szCs w:val="22"/>
              </w:rPr>
              <w:t xml:space="preserve">Payer Regulations: </w:t>
            </w:r>
            <w:r w:rsidRPr="60D766E4">
              <w:rPr>
                <w:rFonts w:ascii="Arial" w:eastAsia="Arial" w:hAnsi="Arial" w:cs="Arial"/>
                <w:sz w:val="22"/>
                <w:szCs w:val="22"/>
              </w:rPr>
              <w:t>Insurance or complex pre-authorization requirements for hospice can create administrative delays that eat into the three-day window.</w:t>
            </w:r>
          </w:p>
          <w:p w14:paraId="6D601AD0" w14:textId="087BCBC6" w:rsidR="60D766E4" w:rsidRDefault="60D766E4" w:rsidP="60D766E4">
            <w:pPr>
              <w:pStyle w:val="ListParagraph"/>
              <w:numPr>
                <w:ilvl w:val="0"/>
                <w:numId w:val="1"/>
              </w:numPr>
              <w:spacing w:after="0"/>
              <w:ind w:left="439"/>
              <w:rPr>
                <w:rFonts w:ascii="Arial" w:eastAsia="Arial" w:hAnsi="Arial" w:cs="Arial"/>
                <w:sz w:val="22"/>
                <w:szCs w:val="22"/>
              </w:rPr>
            </w:pPr>
            <w:r w:rsidRPr="60D766E4">
              <w:rPr>
                <w:rFonts w:ascii="Arial" w:eastAsia="Arial" w:hAnsi="Arial" w:cs="Arial"/>
                <w:sz w:val="22"/>
                <w:szCs w:val="22"/>
              </w:rPr>
              <w:t>Sudden Clinical Decline.</w:t>
            </w:r>
          </w:p>
        </w:tc>
      </w:tr>
    </w:tbl>
    <w:p w14:paraId="52677E39" w14:textId="3E1956F2" w:rsidR="00BB704D" w:rsidRDefault="00BB704D" w:rsidP="60D766E4">
      <w:pPr>
        <w:spacing w:after="0"/>
        <w:rPr>
          <w:rFonts w:ascii="Arial" w:eastAsia="Arial" w:hAnsi="Arial" w:cs="Arial"/>
          <w:sz w:val="22"/>
          <w:szCs w:val="22"/>
        </w:rPr>
      </w:pPr>
    </w:p>
    <w:p w14:paraId="2C078E63" w14:textId="0B8AD5E8" w:rsidR="00BB704D" w:rsidRDefault="00BB704D"/>
    <w:sectPr w:rsidR="00BB70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B7E76"/>
    <w:multiLevelType w:val="hybridMultilevel"/>
    <w:tmpl w:val="D9FC473E"/>
    <w:lvl w:ilvl="0" w:tplc="9522CF06">
      <w:start w:val="1"/>
      <w:numFmt w:val="bullet"/>
      <w:lvlText w:val="·"/>
      <w:lvlJc w:val="left"/>
      <w:pPr>
        <w:ind w:left="720" w:hanging="360"/>
      </w:pPr>
      <w:rPr>
        <w:rFonts w:ascii="Symbol" w:hAnsi="Symbol" w:hint="default"/>
      </w:rPr>
    </w:lvl>
    <w:lvl w:ilvl="1" w:tplc="8E6AF8C8">
      <w:start w:val="1"/>
      <w:numFmt w:val="bullet"/>
      <w:lvlText w:val="o"/>
      <w:lvlJc w:val="left"/>
      <w:pPr>
        <w:ind w:left="1440" w:hanging="360"/>
      </w:pPr>
      <w:rPr>
        <w:rFonts w:ascii="Courier New" w:hAnsi="Courier New" w:hint="default"/>
      </w:rPr>
    </w:lvl>
    <w:lvl w:ilvl="2" w:tplc="A0FA4856">
      <w:start w:val="1"/>
      <w:numFmt w:val="bullet"/>
      <w:lvlText w:val=""/>
      <w:lvlJc w:val="left"/>
      <w:pPr>
        <w:ind w:left="2160" w:hanging="360"/>
      </w:pPr>
      <w:rPr>
        <w:rFonts w:ascii="Wingdings" w:hAnsi="Wingdings" w:hint="default"/>
      </w:rPr>
    </w:lvl>
    <w:lvl w:ilvl="3" w:tplc="7E2CDCB0">
      <w:start w:val="1"/>
      <w:numFmt w:val="bullet"/>
      <w:lvlText w:val=""/>
      <w:lvlJc w:val="left"/>
      <w:pPr>
        <w:ind w:left="2880" w:hanging="360"/>
      </w:pPr>
      <w:rPr>
        <w:rFonts w:ascii="Symbol" w:hAnsi="Symbol" w:hint="default"/>
      </w:rPr>
    </w:lvl>
    <w:lvl w:ilvl="4" w:tplc="E250D524">
      <w:start w:val="1"/>
      <w:numFmt w:val="bullet"/>
      <w:lvlText w:val="o"/>
      <w:lvlJc w:val="left"/>
      <w:pPr>
        <w:ind w:left="3600" w:hanging="360"/>
      </w:pPr>
      <w:rPr>
        <w:rFonts w:ascii="Courier New" w:hAnsi="Courier New" w:hint="default"/>
      </w:rPr>
    </w:lvl>
    <w:lvl w:ilvl="5" w:tplc="819A8048">
      <w:start w:val="1"/>
      <w:numFmt w:val="bullet"/>
      <w:lvlText w:val=""/>
      <w:lvlJc w:val="left"/>
      <w:pPr>
        <w:ind w:left="4320" w:hanging="360"/>
      </w:pPr>
      <w:rPr>
        <w:rFonts w:ascii="Wingdings" w:hAnsi="Wingdings" w:hint="default"/>
      </w:rPr>
    </w:lvl>
    <w:lvl w:ilvl="6" w:tplc="D160D9F0">
      <w:start w:val="1"/>
      <w:numFmt w:val="bullet"/>
      <w:lvlText w:val=""/>
      <w:lvlJc w:val="left"/>
      <w:pPr>
        <w:ind w:left="5040" w:hanging="360"/>
      </w:pPr>
      <w:rPr>
        <w:rFonts w:ascii="Symbol" w:hAnsi="Symbol" w:hint="default"/>
      </w:rPr>
    </w:lvl>
    <w:lvl w:ilvl="7" w:tplc="72A6DB94">
      <w:start w:val="1"/>
      <w:numFmt w:val="bullet"/>
      <w:lvlText w:val="o"/>
      <w:lvlJc w:val="left"/>
      <w:pPr>
        <w:ind w:left="5760" w:hanging="360"/>
      </w:pPr>
      <w:rPr>
        <w:rFonts w:ascii="Courier New" w:hAnsi="Courier New" w:hint="default"/>
      </w:rPr>
    </w:lvl>
    <w:lvl w:ilvl="8" w:tplc="7CC2AC74">
      <w:start w:val="1"/>
      <w:numFmt w:val="bullet"/>
      <w:lvlText w:val=""/>
      <w:lvlJc w:val="left"/>
      <w:pPr>
        <w:ind w:left="6480" w:hanging="360"/>
      </w:pPr>
      <w:rPr>
        <w:rFonts w:ascii="Wingdings" w:hAnsi="Wingdings" w:hint="default"/>
      </w:rPr>
    </w:lvl>
  </w:abstractNum>
  <w:abstractNum w:abstractNumId="1" w15:restartNumberingAfterBreak="0">
    <w:nsid w:val="4B89AFD7"/>
    <w:multiLevelType w:val="hybridMultilevel"/>
    <w:tmpl w:val="5B08B5D6"/>
    <w:lvl w:ilvl="0" w:tplc="5032FC52">
      <w:start w:val="1"/>
      <w:numFmt w:val="bullet"/>
      <w:lvlText w:val="·"/>
      <w:lvlJc w:val="left"/>
      <w:pPr>
        <w:ind w:left="720" w:hanging="360"/>
      </w:pPr>
      <w:rPr>
        <w:rFonts w:ascii="Symbol" w:hAnsi="Symbol" w:hint="default"/>
      </w:rPr>
    </w:lvl>
    <w:lvl w:ilvl="1" w:tplc="8F32D890">
      <w:start w:val="1"/>
      <w:numFmt w:val="bullet"/>
      <w:lvlText w:val="o"/>
      <w:lvlJc w:val="left"/>
      <w:pPr>
        <w:ind w:left="1440" w:hanging="360"/>
      </w:pPr>
      <w:rPr>
        <w:rFonts w:ascii="Courier New" w:hAnsi="Courier New" w:hint="default"/>
      </w:rPr>
    </w:lvl>
    <w:lvl w:ilvl="2" w:tplc="A8262CCE">
      <w:start w:val="1"/>
      <w:numFmt w:val="bullet"/>
      <w:lvlText w:val=""/>
      <w:lvlJc w:val="left"/>
      <w:pPr>
        <w:ind w:left="2160" w:hanging="360"/>
      </w:pPr>
      <w:rPr>
        <w:rFonts w:ascii="Wingdings" w:hAnsi="Wingdings" w:hint="default"/>
      </w:rPr>
    </w:lvl>
    <w:lvl w:ilvl="3" w:tplc="340881EE">
      <w:start w:val="1"/>
      <w:numFmt w:val="bullet"/>
      <w:lvlText w:val=""/>
      <w:lvlJc w:val="left"/>
      <w:pPr>
        <w:ind w:left="2880" w:hanging="360"/>
      </w:pPr>
      <w:rPr>
        <w:rFonts w:ascii="Symbol" w:hAnsi="Symbol" w:hint="default"/>
      </w:rPr>
    </w:lvl>
    <w:lvl w:ilvl="4" w:tplc="00CAC4FE">
      <w:start w:val="1"/>
      <w:numFmt w:val="bullet"/>
      <w:lvlText w:val="o"/>
      <w:lvlJc w:val="left"/>
      <w:pPr>
        <w:ind w:left="3600" w:hanging="360"/>
      </w:pPr>
      <w:rPr>
        <w:rFonts w:ascii="Courier New" w:hAnsi="Courier New" w:hint="default"/>
      </w:rPr>
    </w:lvl>
    <w:lvl w:ilvl="5" w:tplc="D22C77D0">
      <w:start w:val="1"/>
      <w:numFmt w:val="bullet"/>
      <w:lvlText w:val=""/>
      <w:lvlJc w:val="left"/>
      <w:pPr>
        <w:ind w:left="4320" w:hanging="360"/>
      </w:pPr>
      <w:rPr>
        <w:rFonts w:ascii="Wingdings" w:hAnsi="Wingdings" w:hint="default"/>
      </w:rPr>
    </w:lvl>
    <w:lvl w:ilvl="6" w:tplc="E21AB670">
      <w:start w:val="1"/>
      <w:numFmt w:val="bullet"/>
      <w:lvlText w:val=""/>
      <w:lvlJc w:val="left"/>
      <w:pPr>
        <w:ind w:left="5040" w:hanging="360"/>
      </w:pPr>
      <w:rPr>
        <w:rFonts w:ascii="Symbol" w:hAnsi="Symbol" w:hint="default"/>
      </w:rPr>
    </w:lvl>
    <w:lvl w:ilvl="7" w:tplc="650E27D4">
      <w:start w:val="1"/>
      <w:numFmt w:val="bullet"/>
      <w:lvlText w:val="o"/>
      <w:lvlJc w:val="left"/>
      <w:pPr>
        <w:ind w:left="5760" w:hanging="360"/>
      </w:pPr>
      <w:rPr>
        <w:rFonts w:ascii="Courier New" w:hAnsi="Courier New" w:hint="default"/>
      </w:rPr>
    </w:lvl>
    <w:lvl w:ilvl="8" w:tplc="60C25FB0">
      <w:start w:val="1"/>
      <w:numFmt w:val="bullet"/>
      <w:lvlText w:val=""/>
      <w:lvlJc w:val="left"/>
      <w:pPr>
        <w:ind w:left="6480" w:hanging="360"/>
      </w:pPr>
      <w:rPr>
        <w:rFonts w:ascii="Wingdings" w:hAnsi="Wingdings" w:hint="default"/>
      </w:rPr>
    </w:lvl>
  </w:abstractNum>
  <w:abstractNum w:abstractNumId="2" w15:restartNumberingAfterBreak="0">
    <w:nsid w:val="53CB48D2"/>
    <w:multiLevelType w:val="hybridMultilevel"/>
    <w:tmpl w:val="9B2C7C24"/>
    <w:lvl w:ilvl="0" w:tplc="F3E2F0F8">
      <w:start w:val="1"/>
      <w:numFmt w:val="bullet"/>
      <w:lvlText w:val="·"/>
      <w:lvlJc w:val="left"/>
      <w:pPr>
        <w:ind w:left="720" w:hanging="360"/>
      </w:pPr>
      <w:rPr>
        <w:rFonts w:ascii="Symbol" w:hAnsi="Symbol" w:hint="default"/>
      </w:rPr>
    </w:lvl>
    <w:lvl w:ilvl="1" w:tplc="F3AC93C2">
      <w:start w:val="1"/>
      <w:numFmt w:val="bullet"/>
      <w:lvlText w:val="o"/>
      <w:lvlJc w:val="left"/>
      <w:pPr>
        <w:ind w:left="1440" w:hanging="360"/>
      </w:pPr>
      <w:rPr>
        <w:rFonts w:ascii="Courier New" w:hAnsi="Courier New" w:hint="default"/>
      </w:rPr>
    </w:lvl>
    <w:lvl w:ilvl="2" w:tplc="0C80DC20">
      <w:start w:val="1"/>
      <w:numFmt w:val="bullet"/>
      <w:lvlText w:val=""/>
      <w:lvlJc w:val="left"/>
      <w:pPr>
        <w:ind w:left="2160" w:hanging="360"/>
      </w:pPr>
      <w:rPr>
        <w:rFonts w:ascii="Wingdings" w:hAnsi="Wingdings" w:hint="default"/>
      </w:rPr>
    </w:lvl>
    <w:lvl w:ilvl="3" w:tplc="6136ADE2">
      <w:start w:val="1"/>
      <w:numFmt w:val="bullet"/>
      <w:lvlText w:val=""/>
      <w:lvlJc w:val="left"/>
      <w:pPr>
        <w:ind w:left="2880" w:hanging="360"/>
      </w:pPr>
      <w:rPr>
        <w:rFonts w:ascii="Symbol" w:hAnsi="Symbol" w:hint="default"/>
      </w:rPr>
    </w:lvl>
    <w:lvl w:ilvl="4" w:tplc="5950E634">
      <w:start w:val="1"/>
      <w:numFmt w:val="bullet"/>
      <w:lvlText w:val="o"/>
      <w:lvlJc w:val="left"/>
      <w:pPr>
        <w:ind w:left="3600" w:hanging="360"/>
      </w:pPr>
      <w:rPr>
        <w:rFonts w:ascii="Courier New" w:hAnsi="Courier New" w:hint="default"/>
      </w:rPr>
    </w:lvl>
    <w:lvl w:ilvl="5" w:tplc="05D64976">
      <w:start w:val="1"/>
      <w:numFmt w:val="bullet"/>
      <w:lvlText w:val=""/>
      <w:lvlJc w:val="left"/>
      <w:pPr>
        <w:ind w:left="4320" w:hanging="360"/>
      </w:pPr>
      <w:rPr>
        <w:rFonts w:ascii="Wingdings" w:hAnsi="Wingdings" w:hint="default"/>
      </w:rPr>
    </w:lvl>
    <w:lvl w:ilvl="6" w:tplc="A7A4DCC0">
      <w:start w:val="1"/>
      <w:numFmt w:val="bullet"/>
      <w:lvlText w:val=""/>
      <w:lvlJc w:val="left"/>
      <w:pPr>
        <w:ind w:left="5040" w:hanging="360"/>
      </w:pPr>
      <w:rPr>
        <w:rFonts w:ascii="Symbol" w:hAnsi="Symbol" w:hint="default"/>
      </w:rPr>
    </w:lvl>
    <w:lvl w:ilvl="7" w:tplc="3300D52A">
      <w:start w:val="1"/>
      <w:numFmt w:val="bullet"/>
      <w:lvlText w:val="o"/>
      <w:lvlJc w:val="left"/>
      <w:pPr>
        <w:ind w:left="5760" w:hanging="360"/>
      </w:pPr>
      <w:rPr>
        <w:rFonts w:ascii="Courier New" w:hAnsi="Courier New" w:hint="default"/>
      </w:rPr>
    </w:lvl>
    <w:lvl w:ilvl="8" w:tplc="402C2F9A">
      <w:start w:val="1"/>
      <w:numFmt w:val="bullet"/>
      <w:lvlText w:val=""/>
      <w:lvlJc w:val="left"/>
      <w:pPr>
        <w:ind w:left="6480" w:hanging="360"/>
      </w:pPr>
      <w:rPr>
        <w:rFonts w:ascii="Wingdings" w:hAnsi="Wingdings" w:hint="default"/>
      </w:rPr>
    </w:lvl>
  </w:abstractNum>
  <w:abstractNum w:abstractNumId="3" w15:restartNumberingAfterBreak="0">
    <w:nsid w:val="75C97305"/>
    <w:multiLevelType w:val="hybridMultilevel"/>
    <w:tmpl w:val="CF907E40"/>
    <w:lvl w:ilvl="0" w:tplc="F08CB776">
      <w:start w:val="1"/>
      <w:numFmt w:val="bullet"/>
      <w:lvlText w:val="·"/>
      <w:lvlJc w:val="left"/>
      <w:pPr>
        <w:ind w:left="720" w:hanging="360"/>
      </w:pPr>
      <w:rPr>
        <w:rFonts w:ascii="Symbol" w:hAnsi="Symbol" w:hint="default"/>
      </w:rPr>
    </w:lvl>
    <w:lvl w:ilvl="1" w:tplc="A488A64C">
      <w:start w:val="1"/>
      <w:numFmt w:val="bullet"/>
      <w:lvlText w:val="o"/>
      <w:lvlJc w:val="left"/>
      <w:pPr>
        <w:ind w:left="1440" w:hanging="360"/>
      </w:pPr>
      <w:rPr>
        <w:rFonts w:ascii="Courier New" w:hAnsi="Courier New" w:hint="default"/>
      </w:rPr>
    </w:lvl>
    <w:lvl w:ilvl="2" w:tplc="227427CA">
      <w:start w:val="1"/>
      <w:numFmt w:val="bullet"/>
      <w:lvlText w:val=""/>
      <w:lvlJc w:val="left"/>
      <w:pPr>
        <w:ind w:left="2160" w:hanging="360"/>
      </w:pPr>
      <w:rPr>
        <w:rFonts w:ascii="Wingdings" w:hAnsi="Wingdings" w:hint="default"/>
      </w:rPr>
    </w:lvl>
    <w:lvl w:ilvl="3" w:tplc="D84EB64A">
      <w:start w:val="1"/>
      <w:numFmt w:val="bullet"/>
      <w:lvlText w:val=""/>
      <w:lvlJc w:val="left"/>
      <w:pPr>
        <w:ind w:left="2880" w:hanging="360"/>
      </w:pPr>
      <w:rPr>
        <w:rFonts w:ascii="Symbol" w:hAnsi="Symbol" w:hint="default"/>
      </w:rPr>
    </w:lvl>
    <w:lvl w:ilvl="4" w:tplc="A1CA406A">
      <w:start w:val="1"/>
      <w:numFmt w:val="bullet"/>
      <w:lvlText w:val="o"/>
      <w:lvlJc w:val="left"/>
      <w:pPr>
        <w:ind w:left="3600" w:hanging="360"/>
      </w:pPr>
      <w:rPr>
        <w:rFonts w:ascii="Courier New" w:hAnsi="Courier New" w:hint="default"/>
      </w:rPr>
    </w:lvl>
    <w:lvl w:ilvl="5" w:tplc="89842E5C">
      <w:start w:val="1"/>
      <w:numFmt w:val="bullet"/>
      <w:lvlText w:val=""/>
      <w:lvlJc w:val="left"/>
      <w:pPr>
        <w:ind w:left="4320" w:hanging="360"/>
      </w:pPr>
      <w:rPr>
        <w:rFonts w:ascii="Wingdings" w:hAnsi="Wingdings" w:hint="default"/>
      </w:rPr>
    </w:lvl>
    <w:lvl w:ilvl="6" w:tplc="EC9E2220">
      <w:start w:val="1"/>
      <w:numFmt w:val="bullet"/>
      <w:lvlText w:val=""/>
      <w:lvlJc w:val="left"/>
      <w:pPr>
        <w:ind w:left="5040" w:hanging="360"/>
      </w:pPr>
      <w:rPr>
        <w:rFonts w:ascii="Symbol" w:hAnsi="Symbol" w:hint="default"/>
      </w:rPr>
    </w:lvl>
    <w:lvl w:ilvl="7" w:tplc="A5040948">
      <w:start w:val="1"/>
      <w:numFmt w:val="bullet"/>
      <w:lvlText w:val="o"/>
      <w:lvlJc w:val="left"/>
      <w:pPr>
        <w:ind w:left="5760" w:hanging="360"/>
      </w:pPr>
      <w:rPr>
        <w:rFonts w:ascii="Courier New" w:hAnsi="Courier New" w:hint="default"/>
      </w:rPr>
    </w:lvl>
    <w:lvl w:ilvl="8" w:tplc="8B6E73B8">
      <w:start w:val="1"/>
      <w:numFmt w:val="bullet"/>
      <w:lvlText w:val=""/>
      <w:lvlJc w:val="left"/>
      <w:pPr>
        <w:ind w:left="6480" w:hanging="360"/>
      </w:pPr>
      <w:rPr>
        <w:rFonts w:ascii="Wingdings" w:hAnsi="Wingdings" w:hint="default"/>
      </w:rPr>
    </w:lvl>
  </w:abstractNum>
  <w:num w:numId="1" w16cid:durableId="73281783">
    <w:abstractNumId w:val="0"/>
  </w:num>
  <w:num w:numId="2" w16cid:durableId="699204730">
    <w:abstractNumId w:val="3"/>
  </w:num>
  <w:num w:numId="3" w16cid:durableId="502623495">
    <w:abstractNumId w:val="2"/>
  </w:num>
  <w:num w:numId="4" w16cid:durableId="1576820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8750FA"/>
    <w:rsid w:val="00194C9B"/>
    <w:rsid w:val="00BB704D"/>
    <w:rsid w:val="00C80B37"/>
    <w:rsid w:val="5F8750FA"/>
    <w:rsid w:val="60D766E4"/>
    <w:rsid w:val="645BF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50FA"/>
  <w15:chartTrackingRefBased/>
  <w15:docId w15:val="{6B34F14D-B81A-49A0-BCC7-F47DA03E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4qm.org/document/388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15E894A20AB4A8C08CB36E56A7D57" ma:contentTypeVersion="19" ma:contentTypeDescription="Create a new document." ma:contentTypeScope="" ma:versionID="69198fd7e44866b7443acdedeae73269">
  <xsd:schema xmlns:xsd="http://www.w3.org/2001/XMLSchema" xmlns:xs="http://www.w3.org/2001/XMLSchema" xmlns:p="http://schemas.microsoft.com/office/2006/metadata/properties" xmlns:ns2="729ba519-fdf0-4d1e-822f-a497148b3b76" xmlns:ns3="c2b84374-c7b4-4c9f-a8cd-f2be2dc14ae3" targetNamespace="http://schemas.microsoft.com/office/2006/metadata/properties" ma:root="true" ma:fieldsID="d4cad2a7d4dd8055077789fd9dc339e1" ns2:_="" ns3:_="">
    <xsd:import namespace="729ba519-fdf0-4d1e-822f-a497148b3b76"/>
    <xsd:import namespace="c2b84374-c7b4-4c9f-a8cd-f2be2dc14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ba519-fdf0-4d1e-822f-a497148b3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43fba-eea5-49d5-8e80-f25e2672b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84374-c7b4-4c9f-a8cd-f2be2dc14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b00968-f3d3-4a8b-8d95-fabeccc63a44}" ma:internalName="TaxCatchAll" ma:showField="CatchAllData" ma:web="c2b84374-c7b4-4c9f-a8cd-f2be2dc14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9ba519-fdf0-4d1e-822f-a497148b3b76">
      <Terms xmlns="http://schemas.microsoft.com/office/infopath/2007/PartnerControls"/>
    </lcf76f155ced4ddcb4097134ff3c332f>
    <TaxCatchAll xmlns="c2b84374-c7b4-4c9f-a8cd-f2be2dc14a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2EB56-C0F3-4BC0-9B00-AE8370638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ba519-fdf0-4d1e-822f-a497148b3b76"/>
    <ds:schemaRef ds:uri="c2b84374-c7b4-4c9f-a8cd-f2be2dc14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A147E-16D3-4FF0-A64D-AB6CAD077387}">
  <ds:schemaRefs>
    <ds:schemaRef ds:uri="http://schemas.microsoft.com/office/2006/metadata/properties"/>
    <ds:schemaRef ds:uri="http://schemas.microsoft.com/office/infopath/2007/PartnerControls"/>
    <ds:schemaRef ds:uri="729ba519-fdf0-4d1e-822f-a497148b3b76"/>
    <ds:schemaRef ds:uri="c2b84374-c7b4-4c9f-a8cd-f2be2dc14ae3"/>
  </ds:schemaRefs>
</ds:datastoreItem>
</file>

<file path=customXml/itemProps3.xml><?xml version="1.0" encoding="utf-8"?>
<ds:datastoreItem xmlns:ds="http://schemas.openxmlformats.org/officeDocument/2006/customXml" ds:itemID="{5DCE098D-A120-40F5-86E2-31943EF8A4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Agrawal</dc:creator>
  <cp:keywords/>
  <dc:description/>
  <cp:lastModifiedBy>Neha Agrawal</cp:lastModifiedBy>
  <cp:revision>2</cp:revision>
  <dcterms:created xsi:type="dcterms:W3CDTF">2026-05-01T20:04:00Z</dcterms:created>
  <dcterms:modified xsi:type="dcterms:W3CDTF">2026-06-02T22:28:00Z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0x01010056F15E894A20AB4A8C08CB36E56A7D57</vt:lpwstr>
  </property>
  <property fmtid="{D5CDD505-2E9C-101B-9397-08002B2CF9AE}" pid="3" name="MediaServiceImageTags">
    <vt:lpwstr/>
  </property>
</Properties>
</file>