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2F273C55"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63064A">
            <w:rPr>
              <w:rStyle w:val="Style1"/>
            </w:rPr>
            <w:t>0071</w:t>
          </w:r>
        </w:sdtContent>
      </w:sdt>
    </w:p>
    <w:p w14:paraId="0CABCF56" w14:textId="3A5C4EE9"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63064A">
            <w:rPr>
              <w:rStyle w:val="Style1"/>
              <w:rFonts w:cstheme="minorHAnsi"/>
            </w:rPr>
            <w:t>Persistence of Beta-Blocker Treatment After a Heart Attack</w:t>
          </w:r>
          <w:r w:rsidR="007B6BE7">
            <w:rPr>
              <w:rStyle w:val="Style1"/>
              <w:rFonts w:cstheme="minorHAnsi"/>
            </w:rPr>
            <w:t xml:space="preserve"> (PBH)</w:t>
          </w:r>
        </w:sdtContent>
      </w:sdt>
    </w:p>
    <w:p w14:paraId="0CABCF57" w14:textId="2EF1F43C"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092A8FB1D6E440E19C9DD15124126BDA"/>
          </w:placeholder>
          <w:date w:fullDate="2019-08-01T00:00:00Z">
            <w:dateFormat w:val="M/d/yyyy"/>
            <w:lid w:val="en-US"/>
            <w:storeMappedDataAs w:val="dateTime"/>
            <w:calendar w:val="gregorian"/>
          </w:date>
        </w:sdtPr>
        <w:sdtEndPr>
          <w:rPr>
            <w:rStyle w:val="DefaultParagraphFont"/>
            <w:noProof/>
            <w:color w:val="auto"/>
            <w:u w:val="none"/>
          </w:rPr>
        </w:sdtEndPr>
        <w:sdtContent>
          <w:r w:rsidR="002760B1">
            <w:rPr>
              <w:rStyle w:val="Style2"/>
              <w:rFonts w:cstheme="minorHAnsi"/>
            </w:rPr>
            <w:t>8/1</w:t>
          </w:r>
          <w:r w:rsidR="0063064A">
            <w:rPr>
              <w:rStyle w:val="Style2"/>
              <w:rFonts w:cstheme="minorHAnsi"/>
            </w:rPr>
            <w:t>/2019</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8A27A9"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8A27A9"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0206700B" w:rsidR="000B7D57" w:rsidRPr="00C775CE" w:rsidRDefault="008A27A9" w:rsidP="00CD364B">
            <w:pPr>
              <w:autoSpaceDE w:val="0"/>
              <w:autoSpaceDN w:val="0"/>
              <w:adjustRightInd w:val="0"/>
              <w:rPr>
                <w:rFonts w:cstheme="minorHAnsi"/>
                <w:bCs/>
                <w:color w:val="0000FF"/>
              </w:rPr>
            </w:pPr>
            <w:sdt>
              <w:sdtPr>
                <w:rPr>
                  <w:rFonts w:cstheme="minorHAnsi"/>
                  <w:bCs/>
                  <w:color w:val="0000FF"/>
                </w:rPr>
                <w:id w:val="654653068"/>
                <w14:checkbox>
                  <w14:checked w14:val="1"/>
                  <w14:checkedState w14:val="2612" w14:font="MS Gothic"/>
                  <w14:uncheckedState w14:val="2610" w14:font="MS Gothic"/>
                </w14:checkbox>
              </w:sdtPr>
              <w:sdtEndPr/>
              <w:sdtContent>
                <w:r w:rsidR="00B15229">
                  <w:rPr>
                    <w:rFonts w:ascii="MS Gothic" w:eastAsia="MS Gothic" w:hAnsi="MS Gothic"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8A27A9"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7818664E" w:rsidR="000B7D57" w:rsidRPr="00C775CE" w:rsidRDefault="008A27A9"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B15229">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8A27A9"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8A27A9"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8A27A9"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8A27A9"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7C11A00C" w:rsidR="00A01494" w:rsidRPr="000F1B7A" w:rsidRDefault="008A27A9"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AA0F9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4D7EA12" w:rsidR="00A01494" w:rsidRPr="000F1B7A" w:rsidRDefault="008A27A9"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AA0F98">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430C0939" w:rsidR="00A01494" w:rsidRPr="00417B68" w:rsidRDefault="008A27A9"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456BC4" w:rsidRPr="00417B68">
                  <w:rPr>
                    <w:rFonts w:ascii="MS Gothic" w:eastAsia="MS Gothic" w:hAnsi="MS Gothic" w:cstheme="minorHAnsi" w:hint="eastAsia"/>
                    <w:bCs/>
                    <w:color w:val="0000FF"/>
                  </w:rPr>
                  <w:t>☐</w:t>
                </w:r>
              </w:sdtContent>
            </w:sdt>
            <w:r w:rsidR="00B82A57" w:rsidRPr="00417B68">
              <w:rPr>
                <w:rFonts w:cstheme="minorHAnsi"/>
                <w:bCs/>
              </w:rPr>
              <w:t xml:space="preserve"> </w:t>
            </w:r>
            <w:r w:rsidR="00A01494" w:rsidRPr="00417B68">
              <w:rPr>
                <w:rFonts w:eastAsia="MS Gothic" w:cstheme="minorHAnsi"/>
                <w:bCs/>
              </w:rPr>
              <w:t>registry</w:t>
            </w:r>
          </w:p>
        </w:tc>
        <w:tc>
          <w:tcPr>
            <w:tcW w:w="4847" w:type="dxa"/>
          </w:tcPr>
          <w:p w14:paraId="0CABCFA2" w14:textId="7D8C9E9C" w:rsidR="00A01494" w:rsidRPr="00417B68" w:rsidRDefault="008A27A9"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456BC4" w:rsidRPr="00417B68">
                  <w:rPr>
                    <w:rFonts w:ascii="MS Gothic" w:eastAsia="MS Gothic" w:hAnsi="MS Gothic" w:cstheme="minorHAnsi" w:hint="eastAsia"/>
                    <w:bCs/>
                    <w:color w:val="0000FF"/>
                  </w:rPr>
                  <w:t>☐</w:t>
                </w:r>
              </w:sdtContent>
            </w:sdt>
            <w:r w:rsidR="006574D2" w:rsidRPr="00417B68">
              <w:rPr>
                <w:rFonts w:cstheme="minorHAnsi"/>
                <w:bCs/>
                <w:color w:val="0000FF"/>
              </w:rPr>
              <w:t xml:space="preserve"> </w:t>
            </w:r>
            <w:r w:rsidR="00A01494" w:rsidRPr="00417B68">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8A27A9"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8A27A9"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8A27A9"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8A27A9"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802197C" w:rsidR="00A01494" w:rsidRPr="00417B68" w:rsidRDefault="008A27A9"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456BC4" w:rsidRPr="00417B68">
                  <w:rPr>
                    <w:rFonts w:ascii="MS Gothic" w:eastAsia="MS Gothic" w:hAnsi="MS Gothic" w:cstheme="minorHAnsi" w:hint="eastAsia"/>
                    <w:bCs/>
                    <w:color w:val="0000FF"/>
                  </w:rPr>
                  <w:t>☐</w:t>
                </w:r>
              </w:sdtContent>
            </w:sdt>
            <w:r w:rsidR="00B82A57" w:rsidRPr="00417B68">
              <w:rPr>
                <w:rFonts w:cstheme="minorHAnsi"/>
                <w:bCs/>
              </w:rPr>
              <w:t xml:space="preserve"> </w:t>
            </w:r>
            <w:r w:rsidR="00A01494" w:rsidRPr="00417B68">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417B68">
                  <w:rPr>
                    <w:rStyle w:val="Style1"/>
                  </w:rPr>
                  <w:t xml:space="preserve">     </w:t>
                </w:r>
              </w:sdtContent>
            </w:sdt>
          </w:p>
        </w:tc>
        <w:tc>
          <w:tcPr>
            <w:tcW w:w="4847" w:type="dxa"/>
          </w:tcPr>
          <w:p w14:paraId="0CABCFAB" w14:textId="65C4E16F" w:rsidR="00A01494" w:rsidRPr="00417B68" w:rsidRDefault="008A27A9"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456BC4" w:rsidRPr="00417B68">
                  <w:rPr>
                    <w:rFonts w:ascii="MS Gothic" w:eastAsia="MS Gothic" w:hAnsi="MS Gothic" w:cstheme="minorHAnsi" w:hint="eastAsia"/>
                    <w:bCs/>
                    <w:color w:val="0000FF"/>
                  </w:rPr>
                  <w:t>☐</w:t>
                </w:r>
              </w:sdtContent>
            </w:sdt>
            <w:r w:rsidR="00B82A57" w:rsidRPr="00417B68">
              <w:rPr>
                <w:rFonts w:cstheme="minorHAnsi"/>
                <w:bCs/>
              </w:rPr>
              <w:t xml:space="preserve"> </w:t>
            </w:r>
            <w:r w:rsidR="00A01494" w:rsidRPr="00417B68">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417B68">
                  <w:rPr>
                    <w:rStyle w:val="Style1"/>
                  </w:rPr>
                  <w:t xml:space="preserve">     </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CABCFAF" w14:textId="38F5905D" w:rsidR="009E1846" w:rsidRPr="00526BEA" w:rsidRDefault="001D1F28" w:rsidP="00DB3627">
      <w:pPr>
        <w:autoSpaceDE w:val="0"/>
        <w:autoSpaceDN w:val="0"/>
        <w:adjustRightInd w:val="0"/>
        <w:spacing w:after="0" w:line="240" w:lineRule="auto"/>
        <w:rPr>
          <w:rFonts w:cstheme="minorHAnsi"/>
          <w:color w:val="1111FB"/>
        </w:rPr>
      </w:pPr>
      <w:r w:rsidRPr="00526BEA">
        <w:rPr>
          <w:rFonts w:cstheme="minorHAnsi"/>
          <w:color w:val="1111FB"/>
        </w:rPr>
        <w:t>N/A</w:t>
      </w:r>
    </w:p>
    <w:p w14:paraId="3FB00C23" w14:textId="77777777" w:rsidR="00667F41" w:rsidRPr="001D1F28" w:rsidRDefault="00667F41" w:rsidP="00DB3627">
      <w:pPr>
        <w:autoSpaceDE w:val="0"/>
        <w:autoSpaceDN w:val="0"/>
        <w:adjustRightInd w:val="0"/>
        <w:spacing w:after="0" w:line="240" w:lineRule="auto"/>
        <w:rPr>
          <w:rFonts w:cstheme="minorHAnsi"/>
          <w:b/>
          <w:color w:val="4F81BD" w:themeColor="accent1"/>
        </w:rPr>
      </w:pPr>
    </w:p>
    <w:p w14:paraId="0CABCFB1" w14:textId="48DBADB3" w:rsidR="000574AB" w:rsidRPr="00FF4BDA"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792420FF" w14:textId="17057413" w:rsidR="00667F41" w:rsidRPr="00526BEA" w:rsidRDefault="00667F41" w:rsidP="00DB3627">
      <w:pPr>
        <w:autoSpaceDE w:val="0"/>
        <w:autoSpaceDN w:val="0"/>
        <w:adjustRightInd w:val="0"/>
        <w:spacing w:after="0" w:line="240" w:lineRule="auto"/>
        <w:rPr>
          <w:rFonts w:cstheme="minorHAnsi"/>
          <w:color w:val="1111FB"/>
        </w:rPr>
      </w:pPr>
      <w:r w:rsidRPr="00526BEA">
        <w:rPr>
          <w:rFonts w:cstheme="minorHAnsi"/>
          <w:color w:val="1111FB"/>
        </w:rPr>
        <w:t xml:space="preserve">Testing of performance measure score with beta binomial reliability </w:t>
      </w:r>
      <w:r w:rsidR="00D0796A" w:rsidRPr="00526BEA">
        <w:rPr>
          <w:rFonts w:cstheme="minorHAnsi"/>
          <w:color w:val="1111FB"/>
        </w:rPr>
        <w:t xml:space="preserve">and testing of construct validity with </w:t>
      </w:r>
      <w:r w:rsidR="008D73C4" w:rsidRPr="00526BEA">
        <w:rPr>
          <w:rFonts w:cstheme="minorHAnsi"/>
          <w:color w:val="1111FB"/>
        </w:rPr>
        <w:t xml:space="preserve">the </w:t>
      </w:r>
      <w:r w:rsidR="00D0796A" w:rsidRPr="00526BEA">
        <w:rPr>
          <w:rFonts w:cstheme="minorHAnsi"/>
          <w:color w:val="1111FB"/>
        </w:rPr>
        <w:t xml:space="preserve">Pearson Correlation were </w:t>
      </w:r>
      <w:r w:rsidRPr="00526BEA">
        <w:rPr>
          <w:rFonts w:cstheme="minorHAnsi"/>
          <w:color w:val="1111FB"/>
        </w:rPr>
        <w:t xml:space="preserve">performed </w:t>
      </w:r>
      <w:r w:rsidR="007E4CB4" w:rsidRPr="00526BEA">
        <w:rPr>
          <w:rFonts w:cstheme="minorHAnsi"/>
          <w:color w:val="1111FB"/>
        </w:rPr>
        <w:t xml:space="preserve">using </w:t>
      </w:r>
      <w:r w:rsidR="00EC7B2E">
        <w:rPr>
          <w:rFonts w:cstheme="minorHAnsi"/>
          <w:bCs/>
          <w:color w:val="1111FB"/>
        </w:rPr>
        <w:t>HEDIS</w:t>
      </w:r>
      <w:r w:rsidR="003B0E21">
        <w:rPr>
          <w:rFonts w:cstheme="minorHAnsi"/>
          <w:bCs/>
          <w:color w:val="1111FB"/>
        </w:rPr>
        <w:t xml:space="preserve"> 2018</w:t>
      </w:r>
      <w:r w:rsidR="00EC7B2E">
        <w:rPr>
          <w:rFonts w:cstheme="minorHAnsi"/>
          <w:bCs/>
          <w:color w:val="1111FB"/>
        </w:rPr>
        <w:t xml:space="preserve"> plan level data,</w:t>
      </w:r>
      <w:r>
        <w:rPr>
          <w:rFonts w:cstheme="minorHAnsi"/>
          <w:color w:val="1111FB"/>
        </w:rPr>
        <w:t xml:space="preserve"> </w:t>
      </w:r>
      <w:r w:rsidRPr="00526BEA">
        <w:rPr>
          <w:rFonts w:cstheme="minorHAnsi"/>
          <w:color w:val="1111FB"/>
        </w:rPr>
        <w:t>measurement year 2017.</w:t>
      </w:r>
    </w:p>
    <w:p w14:paraId="0EE1572F" w14:textId="77777777" w:rsidR="00667F41" w:rsidRDefault="00667F41"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417B68">
        <w:trPr>
          <w:jc w:val="center"/>
        </w:trPr>
        <w:tc>
          <w:tcPr>
            <w:tcW w:w="4909"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4909"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417B68">
        <w:trPr>
          <w:jc w:val="center"/>
        </w:trPr>
        <w:tc>
          <w:tcPr>
            <w:tcW w:w="4909" w:type="dxa"/>
          </w:tcPr>
          <w:p w14:paraId="0CABCFB7" w14:textId="77777777" w:rsidR="000414E8" w:rsidRPr="00A01494" w:rsidRDefault="008A27A9"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4909" w:type="dxa"/>
          </w:tcPr>
          <w:p w14:paraId="0CABCFB8" w14:textId="77777777" w:rsidR="000414E8" w:rsidRPr="00A01494" w:rsidRDefault="008A27A9"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417B68">
        <w:trPr>
          <w:jc w:val="center"/>
        </w:trPr>
        <w:tc>
          <w:tcPr>
            <w:tcW w:w="4909" w:type="dxa"/>
          </w:tcPr>
          <w:p w14:paraId="0CABCFBA" w14:textId="77777777" w:rsidR="000414E8" w:rsidRPr="00A01494" w:rsidRDefault="008A27A9"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4909" w:type="dxa"/>
          </w:tcPr>
          <w:p w14:paraId="0CABCFBB" w14:textId="77777777" w:rsidR="000414E8" w:rsidRPr="00A01494" w:rsidRDefault="008A27A9"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417B68">
        <w:trPr>
          <w:jc w:val="center"/>
        </w:trPr>
        <w:tc>
          <w:tcPr>
            <w:tcW w:w="4909" w:type="dxa"/>
          </w:tcPr>
          <w:p w14:paraId="0CABCFBD" w14:textId="77777777" w:rsidR="000414E8" w:rsidRPr="00A01494" w:rsidRDefault="008A27A9"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4909" w:type="dxa"/>
          </w:tcPr>
          <w:p w14:paraId="0CABCFBE" w14:textId="77777777" w:rsidR="000414E8" w:rsidRPr="00A01494" w:rsidRDefault="008A27A9"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417B68">
        <w:trPr>
          <w:jc w:val="center"/>
        </w:trPr>
        <w:tc>
          <w:tcPr>
            <w:tcW w:w="4909" w:type="dxa"/>
          </w:tcPr>
          <w:p w14:paraId="0CABCFC0" w14:textId="345E06F2" w:rsidR="000414E8" w:rsidRPr="00A01494" w:rsidRDefault="008A27A9"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746665">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4909" w:type="dxa"/>
          </w:tcPr>
          <w:p w14:paraId="0CABCFC1" w14:textId="44F8262B" w:rsidR="000414E8" w:rsidRPr="00A01494" w:rsidRDefault="008A27A9"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746665">
                  <w:rPr>
                    <w:rFonts w:ascii="MS Gothic" w:eastAsia="MS Gothic" w:hAnsi="MS Gothic" w:cstheme="minorHAnsi" w:hint="eastAsia"/>
                    <w:bCs/>
                    <w:color w:val="0000FF"/>
                  </w:rPr>
                  <w:t>☒</w:t>
                </w:r>
              </w:sdtContent>
            </w:sdt>
            <w:r w:rsidR="000414E8">
              <w:rPr>
                <w:rFonts w:cstheme="minorHAnsi"/>
                <w:bCs/>
              </w:rPr>
              <w:t xml:space="preserve"> health plan</w:t>
            </w:r>
          </w:p>
        </w:tc>
      </w:tr>
    </w:tbl>
    <w:p w14:paraId="0CABCFC6" w14:textId="7C6E7D76" w:rsidR="000414E8" w:rsidRPr="00A25024" w:rsidRDefault="000414E8" w:rsidP="00DB3627">
      <w:pPr>
        <w:autoSpaceDE w:val="0"/>
        <w:autoSpaceDN w:val="0"/>
        <w:adjustRightInd w:val="0"/>
        <w:spacing w:after="0" w:line="240" w:lineRule="auto"/>
        <w:rPr>
          <w:rFonts w:cstheme="minorHAnsi"/>
          <w:bCs/>
        </w:rPr>
      </w:pPr>
    </w:p>
    <w:p w14:paraId="0CABCFC7" w14:textId="780A59B6"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2EA23524" w14:textId="5632246A" w:rsidR="00A965E8" w:rsidRDefault="00A965E8" w:rsidP="00DB3627">
      <w:pPr>
        <w:autoSpaceDE w:val="0"/>
        <w:autoSpaceDN w:val="0"/>
        <w:adjustRightInd w:val="0"/>
        <w:spacing w:after="0" w:line="240" w:lineRule="auto"/>
        <w:rPr>
          <w:rFonts w:cstheme="minorHAnsi"/>
          <w:bCs/>
          <w:color w:val="1111FB"/>
        </w:rPr>
      </w:pPr>
      <w:r>
        <w:rPr>
          <w:rFonts w:cstheme="minorHAnsi"/>
          <w:bCs/>
          <w:color w:val="1111FB"/>
        </w:rPr>
        <w:t>This measure assesses</w:t>
      </w:r>
      <w:r w:rsidR="00F2184E">
        <w:rPr>
          <w:rFonts w:cstheme="minorHAnsi"/>
          <w:bCs/>
          <w:color w:val="1111FB"/>
        </w:rPr>
        <w:t xml:space="preserve"> whether adults</w:t>
      </w:r>
      <w:r w:rsidR="001B0C0F">
        <w:rPr>
          <w:rFonts w:cstheme="minorHAnsi"/>
          <w:bCs/>
          <w:color w:val="1111FB"/>
        </w:rPr>
        <w:t xml:space="preserve"> enrolled in commercial, Medicare, and Medicaid plans </w:t>
      </w:r>
      <w:r w:rsidR="001352DE">
        <w:rPr>
          <w:rFonts w:cstheme="minorHAnsi"/>
          <w:bCs/>
          <w:color w:val="1111FB"/>
        </w:rPr>
        <w:t>who had acute myocardial infarctions received</w:t>
      </w:r>
      <w:r w:rsidR="00C654AE">
        <w:rPr>
          <w:rFonts w:cstheme="minorHAnsi"/>
          <w:bCs/>
          <w:color w:val="1111FB"/>
        </w:rPr>
        <w:t xml:space="preserve"> persistent beta blocker treatment six months after discharge.</w:t>
      </w:r>
      <w:r w:rsidR="00BE2311">
        <w:rPr>
          <w:rFonts w:cstheme="minorHAnsi"/>
          <w:bCs/>
          <w:color w:val="1111FB"/>
        </w:rPr>
        <w:t xml:space="preserve"> </w:t>
      </w:r>
      <w:r w:rsidR="00C654AE">
        <w:rPr>
          <w:rFonts w:cstheme="minorHAnsi"/>
          <w:bCs/>
          <w:color w:val="1111FB"/>
        </w:rPr>
        <w:t xml:space="preserve"> </w:t>
      </w:r>
      <w:r w:rsidR="007B6DC9">
        <w:rPr>
          <w:rFonts w:cstheme="minorHAnsi"/>
          <w:bCs/>
          <w:color w:val="1111FB"/>
        </w:rPr>
        <w:lastRenderedPageBreak/>
        <w:t>Therefore, testing</w:t>
      </w:r>
      <w:r w:rsidR="00BE2311" w:rsidRPr="00BE2311">
        <w:rPr>
          <w:rFonts w:cstheme="minorHAnsi"/>
          <w:bCs/>
          <w:color w:val="1111FB"/>
        </w:rPr>
        <w:t xml:space="preserve"> was done at the health-plan level, which is appropriate for the level of reporting for this measure.</w:t>
      </w:r>
    </w:p>
    <w:p w14:paraId="0BC7502A" w14:textId="785B146D" w:rsidR="00C654AE" w:rsidRDefault="00C654AE" w:rsidP="00DB3627">
      <w:pPr>
        <w:autoSpaceDE w:val="0"/>
        <w:autoSpaceDN w:val="0"/>
        <w:adjustRightInd w:val="0"/>
        <w:spacing w:after="0" w:line="240" w:lineRule="auto"/>
        <w:rPr>
          <w:rFonts w:cstheme="minorHAnsi"/>
          <w:bCs/>
          <w:color w:val="1111FB"/>
        </w:rPr>
      </w:pPr>
    </w:p>
    <w:p w14:paraId="7F1DD3B4" w14:textId="51B92E71" w:rsidR="00426A64" w:rsidRPr="003C3045" w:rsidRDefault="002D3B21" w:rsidP="00DB3627">
      <w:pPr>
        <w:autoSpaceDE w:val="0"/>
        <w:autoSpaceDN w:val="0"/>
        <w:adjustRightInd w:val="0"/>
        <w:spacing w:after="0" w:line="240" w:lineRule="auto"/>
        <w:rPr>
          <w:rFonts w:cstheme="minorHAnsi"/>
          <w:color w:val="1111FB"/>
        </w:rPr>
      </w:pPr>
      <w:r w:rsidRPr="003C3045">
        <w:rPr>
          <w:rFonts w:cstheme="minorHAnsi"/>
          <w:color w:val="1111FB"/>
        </w:rPr>
        <w:t xml:space="preserve">We calculated the measure score reliability and construct validity from HEDIS data that included </w:t>
      </w:r>
      <w:r w:rsidR="00E170DD" w:rsidRPr="003C3045">
        <w:rPr>
          <w:rFonts w:cstheme="minorHAnsi"/>
          <w:color w:val="1111FB"/>
        </w:rPr>
        <w:t xml:space="preserve">243 </w:t>
      </w:r>
      <w:r w:rsidRPr="003C3045">
        <w:rPr>
          <w:rFonts w:cstheme="minorHAnsi"/>
          <w:color w:val="1111FB"/>
        </w:rPr>
        <w:t>c</w:t>
      </w:r>
      <w:r w:rsidR="00E170DD" w:rsidRPr="003C3045">
        <w:rPr>
          <w:rFonts w:cstheme="minorHAnsi"/>
          <w:color w:val="1111FB"/>
        </w:rPr>
        <w:t xml:space="preserve">ommercial plans, </w:t>
      </w:r>
      <w:r w:rsidR="00C736A5" w:rsidRPr="003C3045">
        <w:rPr>
          <w:rFonts w:cstheme="minorHAnsi"/>
          <w:bCs/>
          <w:color w:val="1111FB"/>
        </w:rPr>
        <w:t>145 Medicaid plans</w:t>
      </w:r>
      <w:r w:rsidR="00DB15F6">
        <w:rPr>
          <w:rFonts w:cstheme="minorHAnsi"/>
          <w:bCs/>
          <w:color w:val="1111FB"/>
        </w:rPr>
        <w:t>,</w:t>
      </w:r>
      <w:r w:rsidR="00C736A5">
        <w:rPr>
          <w:rFonts w:cstheme="minorHAnsi"/>
          <w:bCs/>
          <w:color w:val="1111FB"/>
        </w:rPr>
        <w:t xml:space="preserve"> </w:t>
      </w:r>
      <w:r w:rsidRPr="003C3045">
        <w:rPr>
          <w:rFonts w:cstheme="minorHAnsi"/>
          <w:bCs/>
          <w:color w:val="1111FB"/>
        </w:rPr>
        <w:t>and</w:t>
      </w:r>
      <w:r w:rsidR="00C736A5">
        <w:rPr>
          <w:rFonts w:cstheme="minorHAnsi"/>
          <w:bCs/>
          <w:color w:val="1111FB"/>
        </w:rPr>
        <w:t xml:space="preserve"> </w:t>
      </w:r>
      <w:r w:rsidR="00E170DD" w:rsidRPr="003C3045">
        <w:rPr>
          <w:rFonts w:cstheme="minorHAnsi"/>
          <w:color w:val="1111FB"/>
        </w:rPr>
        <w:t>272 Medicare plans</w:t>
      </w:r>
      <w:r w:rsidR="00E170DD" w:rsidRPr="003C3045">
        <w:rPr>
          <w:rFonts w:cstheme="minorHAnsi"/>
          <w:bCs/>
          <w:color w:val="1111FB"/>
        </w:rPr>
        <w:t>.</w:t>
      </w:r>
      <w:r w:rsidR="00E170DD" w:rsidRPr="003C3045">
        <w:rPr>
          <w:rFonts w:cstheme="minorHAnsi"/>
          <w:color w:val="1111FB"/>
        </w:rPr>
        <w:t xml:space="preserve"> </w:t>
      </w:r>
      <w:r w:rsidRPr="003C3045">
        <w:rPr>
          <w:rFonts w:cstheme="minorHAnsi"/>
          <w:color w:val="1111FB"/>
        </w:rPr>
        <w:t>The sample included all commercial, Medicare</w:t>
      </w:r>
      <w:r w:rsidR="00DB15F6">
        <w:rPr>
          <w:rFonts w:cstheme="minorHAnsi"/>
          <w:color w:val="1111FB"/>
        </w:rPr>
        <w:t>,</w:t>
      </w:r>
      <w:r w:rsidRPr="003C3045">
        <w:rPr>
          <w:rFonts w:cstheme="minorHAnsi"/>
          <w:color w:val="1111FB"/>
        </w:rPr>
        <w:t xml:space="preserve"> and Medicaid health plans submitting data to NCQA for HEDIS. The plans were geographically diverse and varied in size.</w:t>
      </w:r>
    </w:p>
    <w:p w14:paraId="29ADE380" w14:textId="77777777" w:rsidR="00426A64" w:rsidRDefault="00426A64" w:rsidP="00DB3627">
      <w:pPr>
        <w:autoSpaceDE w:val="0"/>
        <w:autoSpaceDN w:val="0"/>
        <w:adjustRightInd w:val="0"/>
        <w:spacing w:after="0" w:line="240" w:lineRule="auto"/>
        <w:rPr>
          <w:rFonts w:cstheme="minorHAnsi"/>
          <w:bCs/>
          <w:color w:val="4F81BD" w:themeColor="accent1"/>
        </w:rPr>
      </w:pPr>
    </w:p>
    <w:p w14:paraId="45FF3ED1" w14:textId="132F1333" w:rsidR="00E27E9A" w:rsidRPr="003A5621" w:rsidRDefault="00D82E86" w:rsidP="00D82E86">
      <w:pPr>
        <w:autoSpaceDE w:val="0"/>
        <w:autoSpaceDN w:val="0"/>
        <w:adjustRightInd w:val="0"/>
        <w:spacing w:after="0" w:line="240" w:lineRule="auto"/>
        <w:rPr>
          <w:rFonts w:cstheme="minorHAnsi"/>
          <w:b/>
          <w:color w:val="4F81BD" w:themeColor="accent1"/>
        </w:rPr>
      </w:pPr>
      <w:r>
        <w:rPr>
          <w:rFonts w:cstheme="minorHAnsi"/>
          <w:b/>
          <w:bCs/>
        </w:rPr>
        <w:t>1.</w:t>
      </w:r>
      <w:r w:rsidRPr="00A25024">
        <w:rPr>
          <w:rFonts w:cstheme="minorHAnsi"/>
          <w:b/>
          <w:bCs/>
        </w:rPr>
        <w:t xml:space="preserve">6. How many and which </w:t>
      </w:r>
      <w:r w:rsidRPr="00A25024">
        <w:rPr>
          <w:rFonts w:cstheme="minorHAnsi"/>
          <w:b/>
          <w:bCs/>
          <w:u w:val="single"/>
        </w:rPr>
        <w:t>patients</w:t>
      </w:r>
      <w:r w:rsidRPr="00A25024">
        <w:rPr>
          <w:rFonts w:cstheme="minorHAnsi"/>
          <w:b/>
          <w:bCs/>
        </w:rPr>
        <w:t xml:space="preserve"> were included in the testing and analysis</w:t>
      </w:r>
      <w:r>
        <w:rPr>
          <w:rFonts w:cstheme="minorHAnsi"/>
          <w:b/>
          <w:bCs/>
        </w:rPr>
        <w:t xml:space="preserve"> (by level of analysis and data source)</w:t>
      </w:r>
      <w:r w:rsidRPr="00A25024">
        <w:rPr>
          <w:rFonts w:cstheme="minorHAnsi"/>
          <w:bCs/>
        </w:rPr>
        <w:t>? (</w:t>
      </w:r>
      <w:r w:rsidRPr="00A25024">
        <w:rPr>
          <w:rFonts w:cstheme="minorHAnsi"/>
          <w:bCs/>
          <w:i/>
        </w:rPr>
        <w:t>identify the number and descriptive characteristics of patients included in the analysis (e.g., age, sex, race, diagnosis); if a sample was used, describe how patients were selected for inclusion in the sample</w:t>
      </w:r>
      <w:r w:rsidRPr="00A25024">
        <w:rPr>
          <w:rFonts w:cstheme="minorHAnsi"/>
          <w:bCs/>
        </w:rPr>
        <w:t xml:space="preserve">) </w:t>
      </w:r>
      <w:r w:rsidRPr="00A25024">
        <w:rPr>
          <w:rFonts w:cstheme="minorHAnsi"/>
          <w:bCs/>
        </w:rPr>
        <w:br/>
      </w:r>
      <w:r w:rsidR="00E27E9A" w:rsidRPr="00F82801">
        <w:rPr>
          <w:rFonts w:cstheme="minorHAnsi"/>
          <w:bCs/>
          <w:color w:val="1111FB"/>
        </w:rPr>
        <w:t xml:space="preserve">Below is a description of the </w:t>
      </w:r>
      <w:r w:rsidR="00E507BC" w:rsidRPr="00F82801">
        <w:rPr>
          <w:rFonts w:cstheme="minorHAnsi"/>
          <w:bCs/>
          <w:color w:val="1111FB"/>
        </w:rPr>
        <w:t>data submitted for 2017</w:t>
      </w:r>
      <w:r w:rsidR="00B60C12" w:rsidRPr="00F82801">
        <w:rPr>
          <w:rFonts w:cstheme="minorHAnsi"/>
          <w:bCs/>
          <w:color w:val="1111FB"/>
        </w:rPr>
        <w:t>, including the median denominator size per plan.</w:t>
      </w:r>
      <w:r w:rsidR="00F82801" w:rsidRPr="00F82801">
        <w:rPr>
          <w:rFonts w:cstheme="minorHAnsi"/>
          <w:bCs/>
          <w:color w:val="1111FB"/>
        </w:rPr>
        <w:t xml:space="preserve"> </w:t>
      </w:r>
      <w:r w:rsidR="000310EA" w:rsidRPr="00F82801">
        <w:rPr>
          <w:rFonts w:cstheme="minorHAnsi"/>
          <w:color w:val="1111FB"/>
        </w:rPr>
        <w:t xml:space="preserve">Data are summarized at the health plan level and stratified by </w:t>
      </w:r>
      <w:r w:rsidR="00F82801" w:rsidRPr="00F82801">
        <w:rPr>
          <w:rFonts w:cstheme="minorHAnsi"/>
          <w:bCs/>
          <w:color w:val="1111FB"/>
        </w:rPr>
        <w:t>plan type</w:t>
      </w:r>
      <w:r w:rsidR="00350E68" w:rsidRPr="00F82801">
        <w:rPr>
          <w:rFonts w:cstheme="minorHAnsi"/>
          <w:color w:val="1111FB"/>
        </w:rPr>
        <w:t xml:space="preserve"> </w:t>
      </w:r>
      <w:r w:rsidR="002C1181" w:rsidRPr="00F82801">
        <w:rPr>
          <w:rFonts w:cstheme="minorHAnsi"/>
          <w:color w:val="1111FB"/>
        </w:rPr>
        <w:t>(i.e. commercial, Medicaid, Medicare).</w:t>
      </w:r>
    </w:p>
    <w:p w14:paraId="2E7565EF" w14:textId="7F031311" w:rsidR="00E27E9A" w:rsidRPr="00F82801" w:rsidRDefault="00E27E9A" w:rsidP="2A8FC9A5">
      <w:pPr>
        <w:spacing w:after="0" w:line="240" w:lineRule="auto"/>
        <w:rPr>
          <w:color w:val="1111FB"/>
        </w:rPr>
      </w:pPr>
    </w:p>
    <w:p w14:paraId="49321284" w14:textId="5BDCEC42" w:rsidR="2A8FC9A5" w:rsidRPr="00F82801" w:rsidRDefault="2A8FC9A5" w:rsidP="2A8FC9A5">
      <w:pPr>
        <w:spacing w:after="0" w:line="240" w:lineRule="auto"/>
        <w:rPr>
          <w:color w:val="1111FB"/>
        </w:rPr>
      </w:pPr>
      <w:r w:rsidRPr="00F82801">
        <w:rPr>
          <w:color w:val="1111FB"/>
        </w:rPr>
        <w:t xml:space="preserve">Table 1. </w:t>
      </w:r>
      <w:r w:rsidR="004F372B">
        <w:rPr>
          <w:color w:val="1111FB"/>
        </w:rPr>
        <w:t>Median denominator size per plan</w:t>
      </w:r>
      <w:r w:rsidR="00461E6A">
        <w:rPr>
          <w:color w:val="1111FB"/>
        </w:rPr>
        <w:t xml:space="preserve"> for</w:t>
      </w:r>
      <w:r>
        <w:rPr>
          <w:color w:val="1111FB"/>
        </w:rPr>
        <w:t xml:space="preserve"> </w:t>
      </w:r>
      <w:r w:rsidR="0063064A" w:rsidRPr="00EA6939">
        <w:rPr>
          <w:color w:val="1111FB"/>
        </w:rPr>
        <w:t>Per</w:t>
      </w:r>
      <w:r w:rsidR="00E540B5" w:rsidRPr="00EA6939">
        <w:rPr>
          <w:color w:val="1111FB"/>
        </w:rPr>
        <w:t>sistence of Beta-Blocker Treatment After a Heart Attack</w:t>
      </w:r>
      <w:r w:rsidR="00E540B5">
        <w:rPr>
          <w:color w:val="1111FB"/>
        </w:rPr>
        <w:t xml:space="preserve">, </w:t>
      </w:r>
      <w:r w:rsidR="00D25389">
        <w:rPr>
          <w:color w:val="1111FB"/>
        </w:rPr>
        <w:t>2017</w:t>
      </w:r>
      <w:r w:rsidR="00DA1A87">
        <w:rPr>
          <w:color w:val="1111FB"/>
        </w:rPr>
        <w:t>.</w:t>
      </w:r>
    </w:p>
    <w:tbl>
      <w:tblPr>
        <w:tblStyle w:val="TableGrid"/>
        <w:tblW w:w="0" w:type="auto"/>
        <w:tblLook w:val="04A0" w:firstRow="1" w:lastRow="0" w:firstColumn="1" w:lastColumn="0" w:noHBand="0" w:noVBand="1"/>
      </w:tblPr>
      <w:tblGrid>
        <w:gridCol w:w="3116"/>
        <w:gridCol w:w="3117"/>
        <w:gridCol w:w="3117"/>
      </w:tblGrid>
      <w:tr w:rsidR="00E27E9A" w14:paraId="5A865808" w14:textId="77777777" w:rsidTr="00E27E9A">
        <w:tc>
          <w:tcPr>
            <w:tcW w:w="3116" w:type="dxa"/>
          </w:tcPr>
          <w:p w14:paraId="100FF8B2" w14:textId="65033BC9" w:rsidR="00E27E9A" w:rsidRPr="00422E39" w:rsidRDefault="00E27E9A" w:rsidP="00E27E9A">
            <w:pPr>
              <w:autoSpaceDE w:val="0"/>
              <w:autoSpaceDN w:val="0"/>
              <w:adjustRightInd w:val="0"/>
              <w:jc w:val="center"/>
              <w:rPr>
                <w:rFonts w:cstheme="minorHAnsi"/>
                <w:color w:val="1111FB"/>
              </w:rPr>
            </w:pPr>
            <w:r w:rsidRPr="00422E39">
              <w:rPr>
                <w:rFonts w:cstheme="minorHAnsi"/>
                <w:color w:val="1111FB"/>
              </w:rPr>
              <w:t>Product Line</w:t>
            </w:r>
          </w:p>
        </w:tc>
        <w:tc>
          <w:tcPr>
            <w:tcW w:w="3117" w:type="dxa"/>
          </w:tcPr>
          <w:p w14:paraId="4FC47D02" w14:textId="75CAD7A4" w:rsidR="00E27E9A" w:rsidRPr="00422E39" w:rsidRDefault="00E27E9A" w:rsidP="00E27E9A">
            <w:pPr>
              <w:autoSpaceDE w:val="0"/>
              <w:autoSpaceDN w:val="0"/>
              <w:adjustRightInd w:val="0"/>
              <w:jc w:val="center"/>
              <w:rPr>
                <w:rFonts w:cstheme="minorHAnsi"/>
                <w:color w:val="1111FB"/>
              </w:rPr>
            </w:pPr>
            <w:r w:rsidRPr="00422E39">
              <w:rPr>
                <w:rFonts w:cstheme="minorHAnsi"/>
                <w:color w:val="1111FB"/>
              </w:rPr>
              <w:t>Number of Plans</w:t>
            </w:r>
          </w:p>
        </w:tc>
        <w:tc>
          <w:tcPr>
            <w:tcW w:w="3117" w:type="dxa"/>
          </w:tcPr>
          <w:p w14:paraId="3FFCA658" w14:textId="06D7BC46" w:rsidR="00E27E9A" w:rsidRPr="00422E39" w:rsidRDefault="009761B6" w:rsidP="00E27E9A">
            <w:pPr>
              <w:autoSpaceDE w:val="0"/>
              <w:autoSpaceDN w:val="0"/>
              <w:adjustRightInd w:val="0"/>
              <w:jc w:val="center"/>
              <w:rPr>
                <w:rFonts w:cstheme="minorHAnsi"/>
                <w:color w:val="1111FB"/>
              </w:rPr>
            </w:pPr>
            <w:r w:rsidRPr="00422E39">
              <w:rPr>
                <w:rFonts w:cstheme="minorHAnsi"/>
                <w:color w:val="1111FB"/>
              </w:rPr>
              <w:t>Median</w:t>
            </w:r>
            <w:r w:rsidR="00E27E9A" w:rsidRPr="00422E39">
              <w:rPr>
                <w:rFonts w:cstheme="minorHAnsi"/>
                <w:color w:val="1111FB"/>
              </w:rPr>
              <w:t xml:space="preserve"> Denominator Size</w:t>
            </w:r>
            <w:r w:rsidR="00422E39">
              <w:rPr>
                <w:rFonts w:cstheme="minorHAnsi"/>
                <w:color w:val="1111FB"/>
              </w:rPr>
              <w:t>/</w:t>
            </w:r>
            <w:r w:rsidR="00E27E9A" w:rsidRPr="00422E39">
              <w:rPr>
                <w:rFonts w:cstheme="minorHAnsi"/>
                <w:color w:val="1111FB"/>
              </w:rPr>
              <w:t>Plan</w:t>
            </w:r>
          </w:p>
        </w:tc>
      </w:tr>
      <w:tr w:rsidR="00E27E9A" w14:paraId="7298CDE0" w14:textId="77777777" w:rsidTr="00E27E9A">
        <w:tc>
          <w:tcPr>
            <w:tcW w:w="3116" w:type="dxa"/>
          </w:tcPr>
          <w:p w14:paraId="6EEC117B" w14:textId="2B16C236" w:rsidR="00E27E9A" w:rsidRPr="00422E39" w:rsidRDefault="00E27E9A" w:rsidP="00E27E9A">
            <w:pPr>
              <w:autoSpaceDE w:val="0"/>
              <w:autoSpaceDN w:val="0"/>
              <w:adjustRightInd w:val="0"/>
              <w:jc w:val="center"/>
              <w:rPr>
                <w:rFonts w:cstheme="minorHAnsi"/>
                <w:color w:val="1111FB"/>
              </w:rPr>
            </w:pPr>
            <w:r w:rsidRPr="00422E39">
              <w:rPr>
                <w:rFonts w:cstheme="minorHAnsi"/>
                <w:color w:val="1111FB"/>
              </w:rPr>
              <w:t xml:space="preserve">Commercial </w:t>
            </w:r>
          </w:p>
        </w:tc>
        <w:tc>
          <w:tcPr>
            <w:tcW w:w="3117" w:type="dxa"/>
          </w:tcPr>
          <w:p w14:paraId="71678F12" w14:textId="37A13438" w:rsidR="00E27E9A" w:rsidRPr="00F82801" w:rsidRDefault="00C80E47" w:rsidP="00E27E9A">
            <w:pPr>
              <w:autoSpaceDE w:val="0"/>
              <w:autoSpaceDN w:val="0"/>
              <w:adjustRightInd w:val="0"/>
              <w:jc w:val="center"/>
              <w:rPr>
                <w:rFonts w:cstheme="minorHAnsi"/>
                <w:color w:val="1111FB"/>
              </w:rPr>
            </w:pPr>
            <w:r w:rsidRPr="00F82801">
              <w:rPr>
                <w:rFonts w:cstheme="minorHAnsi"/>
                <w:color w:val="1111FB"/>
              </w:rPr>
              <w:t>243</w:t>
            </w:r>
          </w:p>
        </w:tc>
        <w:tc>
          <w:tcPr>
            <w:tcW w:w="3117" w:type="dxa"/>
          </w:tcPr>
          <w:p w14:paraId="2CE89B41" w14:textId="00FA6B16" w:rsidR="00E27E9A" w:rsidRPr="00F82801" w:rsidRDefault="00862151" w:rsidP="00E27E9A">
            <w:pPr>
              <w:autoSpaceDE w:val="0"/>
              <w:autoSpaceDN w:val="0"/>
              <w:adjustRightInd w:val="0"/>
              <w:jc w:val="center"/>
              <w:rPr>
                <w:rFonts w:cstheme="minorHAnsi"/>
                <w:color w:val="1111FB"/>
              </w:rPr>
            </w:pPr>
            <w:r w:rsidRPr="00F82801">
              <w:rPr>
                <w:rFonts w:cstheme="minorHAnsi"/>
                <w:bCs/>
                <w:color w:val="1111FB"/>
              </w:rPr>
              <w:t>65</w:t>
            </w:r>
          </w:p>
        </w:tc>
      </w:tr>
      <w:tr w:rsidR="00E27E9A" w14:paraId="7ADCE205" w14:textId="77777777" w:rsidTr="00E27E9A">
        <w:tc>
          <w:tcPr>
            <w:tcW w:w="3116" w:type="dxa"/>
          </w:tcPr>
          <w:p w14:paraId="6B1EEC3B" w14:textId="71EC79C3" w:rsidR="00E27E9A" w:rsidRPr="00422E39" w:rsidRDefault="00E27E9A" w:rsidP="00E27E9A">
            <w:pPr>
              <w:autoSpaceDE w:val="0"/>
              <w:autoSpaceDN w:val="0"/>
              <w:adjustRightInd w:val="0"/>
              <w:jc w:val="center"/>
              <w:rPr>
                <w:rFonts w:cstheme="minorHAnsi"/>
                <w:color w:val="1111FB"/>
              </w:rPr>
            </w:pPr>
            <w:r w:rsidRPr="00422E39">
              <w:rPr>
                <w:rFonts w:cstheme="minorHAnsi"/>
                <w:color w:val="1111FB"/>
              </w:rPr>
              <w:t>Medicaid</w:t>
            </w:r>
          </w:p>
        </w:tc>
        <w:tc>
          <w:tcPr>
            <w:tcW w:w="3117" w:type="dxa"/>
          </w:tcPr>
          <w:p w14:paraId="1C5975F8" w14:textId="272A9F00" w:rsidR="00E27E9A" w:rsidRPr="00F82801" w:rsidRDefault="00C80E47" w:rsidP="00E27E9A">
            <w:pPr>
              <w:autoSpaceDE w:val="0"/>
              <w:autoSpaceDN w:val="0"/>
              <w:adjustRightInd w:val="0"/>
              <w:jc w:val="center"/>
              <w:rPr>
                <w:rFonts w:cstheme="minorHAnsi"/>
                <w:color w:val="1111FB"/>
              </w:rPr>
            </w:pPr>
            <w:r w:rsidRPr="00F82801">
              <w:rPr>
                <w:rFonts w:cstheme="minorHAnsi"/>
                <w:color w:val="1111FB"/>
              </w:rPr>
              <w:t>145</w:t>
            </w:r>
          </w:p>
        </w:tc>
        <w:tc>
          <w:tcPr>
            <w:tcW w:w="3117" w:type="dxa"/>
          </w:tcPr>
          <w:p w14:paraId="2F0F592D" w14:textId="3E925341" w:rsidR="00E27E9A" w:rsidRPr="00F82801" w:rsidRDefault="00862151" w:rsidP="00E27E9A">
            <w:pPr>
              <w:autoSpaceDE w:val="0"/>
              <w:autoSpaceDN w:val="0"/>
              <w:adjustRightInd w:val="0"/>
              <w:jc w:val="center"/>
              <w:rPr>
                <w:rFonts w:cstheme="minorHAnsi"/>
                <w:color w:val="1111FB"/>
              </w:rPr>
            </w:pPr>
            <w:r w:rsidRPr="00F82801">
              <w:rPr>
                <w:rFonts w:cstheme="minorHAnsi"/>
                <w:bCs/>
                <w:color w:val="1111FB"/>
              </w:rPr>
              <w:t>81</w:t>
            </w:r>
          </w:p>
        </w:tc>
      </w:tr>
      <w:tr w:rsidR="00E27E9A" w14:paraId="22C952CC" w14:textId="77777777" w:rsidTr="00E27E9A">
        <w:tc>
          <w:tcPr>
            <w:tcW w:w="3116" w:type="dxa"/>
          </w:tcPr>
          <w:p w14:paraId="06D7CF62" w14:textId="7ABE7C60" w:rsidR="00E27E9A" w:rsidRPr="00422E39" w:rsidRDefault="00E27E9A" w:rsidP="00E27E9A">
            <w:pPr>
              <w:autoSpaceDE w:val="0"/>
              <w:autoSpaceDN w:val="0"/>
              <w:adjustRightInd w:val="0"/>
              <w:jc w:val="center"/>
              <w:rPr>
                <w:rFonts w:cstheme="minorHAnsi"/>
                <w:color w:val="1111FB"/>
              </w:rPr>
            </w:pPr>
            <w:r w:rsidRPr="00422E39">
              <w:rPr>
                <w:rFonts w:cstheme="minorHAnsi"/>
                <w:color w:val="1111FB"/>
              </w:rPr>
              <w:t>Medicare</w:t>
            </w:r>
          </w:p>
        </w:tc>
        <w:tc>
          <w:tcPr>
            <w:tcW w:w="3117" w:type="dxa"/>
          </w:tcPr>
          <w:p w14:paraId="203B95EE" w14:textId="1BA2A730" w:rsidR="00E27E9A" w:rsidRPr="00F82801" w:rsidRDefault="00ED6F33" w:rsidP="00E27E9A">
            <w:pPr>
              <w:autoSpaceDE w:val="0"/>
              <w:autoSpaceDN w:val="0"/>
              <w:adjustRightInd w:val="0"/>
              <w:jc w:val="center"/>
              <w:rPr>
                <w:rFonts w:cstheme="minorHAnsi"/>
                <w:color w:val="1111FB"/>
              </w:rPr>
            </w:pPr>
            <w:r w:rsidRPr="00F82801">
              <w:rPr>
                <w:rFonts w:cstheme="minorHAnsi"/>
                <w:color w:val="1111FB"/>
              </w:rPr>
              <w:t>272</w:t>
            </w:r>
          </w:p>
        </w:tc>
        <w:tc>
          <w:tcPr>
            <w:tcW w:w="3117" w:type="dxa"/>
          </w:tcPr>
          <w:p w14:paraId="28F38F33" w14:textId="5EDD38C1" w:rsidR="00E27E9A" w:rsidRPr="00F82801" w:rsidRDefault="00862151" w:rsidP="00E27E9A">
            <w:pPr>
              <w:autoSpaceDE w:val="0"/>
              <w:autoSpaceDN w:val="0"/>
              <w:adjustRightInd w:val="0"/>
              <w:jc w:val="center"/>
              <w:rPr>
                <w:rFonts w:cstheme="minorHAnsi"/>
                <w:color w:val="1111FB"/>
              </w:rPr>
            </w:pPr>
            <w:r w:rsidRPr="00F82801">
              <w:rPr>
                <w:rFonts w:cstheme="minorHAnsi"/>
                <w:bCs/>
                <w:color w:val="1111FB"/>
              </w:rPr>
              <w:t>72</w:t>
            </w:r>
          </w:p>
        </w:tc>
      </w:tr>
    </w:tbl>
    <w:p w14:paraId="0CABCFC9" w14:textId="6C19B97B" w:rsidR="007422FD" w:rsidRPr="000310EA" w:rsidRDefault="007422FD" w:rsidP="00DB3627">
      <w:pPr>
        <w:autoSpaceDE w:val="0"/>
        <w:autoSpaceDN w:val="0"/>
        <w:adjustRightInd w:val="0"/>
        <w:spacing w:after="0" w:line="240" w:lineRule="auto"/>
        <w:rPr>
          <w:rFonts w:cstheme="minorHAnsi"/>
          <w:b/>
          <w:color w:val="4F81BD" w:themeColor="accent1"/>
        </w:rPr>
      </w:pPr>
      <w:r w:rsidRPr="00A25024">
        <w:rPr>
          <w:rFonts w:cstheme="minorHAnsi"/>
          <w:bCs/>
        </w:rPr>
        <w:br/>
      </w: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CABCFCB" w14:textId="0AC57154" w:rsidR="00E37E1B" w:rsidRPr="00EA6939" w:rsidRDefault="00B7516B" w:rsidP="00E37E1B">
      <w:pPr>
        <w:autoSpaceDE w:val="0"/>
        <w:autoSpaceDN w:val="0"/>
        <w:adjustRightInd w:val="0"/>
        <w:spacing w:after="0" w:line="240" w:lineRule="auto"/>
        <w:rPr>
          <w:rFonts w:cstheme="minorHAnsi"/>
          <w:color w:val="1111FB"/>
        </w:rPr>
      </w:pPr>
      <w:r w:rsidRPr="00EA6939">
        <w:rPr>
          <w:rFonts w:cstheme="minorHAnsi"/>
          <w:color w:val="1111FB"/>
          <w:u w:val="single"/>
        </w:rPr>
        <w:t>Reliability</w:t>
      </w:r>
      <w:r w:rsidRPr="00EA6939">
        <w:rPr>
          <w:rFonts w:cstheme="minorHAnsi"/>
          <w:color w:val="1111FB"/>
        </w:rPr>
        <w:t>:</w:t>
      </w:r>
    </w:p>
    <w:p w14:paraId="67BA3F97" w14:textId="4118FF89" w:rsidR="00B7516B" w:rsidRPr="00EA6939" w:rsidRDefault="00B7516B" w:rsidP="00E37E1B">
      <w:pPr>
        <w:autoSpaceDE w:val="0"/>
        <w:autoSpaceDN w:val="0"/>
        <w:adjustRightInd w:val="0"/>
        <w:spacing w:after="0" w:line="240" w:lineRule="auto"/>
        <w:rPr>
          <w:rFonts w:cstheme="minorHAnsi"/>
          <w:color w:val="1111FB"/>
        </w:rPr>
      </w:pPr>
      <w:r w:rsidRPr="00EA6939">
        <w:rPr>
          <w:rFonts w:cstheme="minorHAnsi"/>
          <w:color w:val="1111FB"/>
        </w:rPr>
        <w:t>Reliability of the health plan measure score was tested using a beta-binomial calculation. This analysis included the entire HEDIS data sample (described above).</w:t>
      </w:r>
    </w:p>
    <w:p w14:paraId="39B946EF" w14:textId="77777777" w:rsidR="00B7516B" w:rsidRPr="00EA6939" w:rsidRDefault="00B7516B" w:rsidP="00E37E1B">
      <w:pPr>
        <w:autoSpaceDE w:val="0"/>
        <w:autoSpaceDN w:val="0"/>
        <w:adjustRightInd w:val="0"/>
        <w:spacing w:after="0" w:line="240" w:lineRule="auto"/>
        <w:rPr>
          <w:rFonts w:cstheme="minorHAnsi"/>
          <w:color w:val="1111FB"/>
        </w:rPr>
      </w:pPr>
    </w:p>
    <w:p w14:paraId="0A91FF4B" w14:textId="268CF23A" w:rsidR="00B7516B" w:rsidRPr="00EA6939" w:rsidRDefault="00B7516B" w:rsidP="00E37E1B">
      <w:pPr>
        <w:autoSpaceDE w:val="0"/>
        <w:autoSpaceDN w:val="0"/>
        <w:adjustRightInd w:val="0"/>
        <w:spacing w:after="0" w:line="240" w:lineRule="auto"/>
        <w:rPr>
          <w:rFonts w:cstheme="minorHAnsi"/>
          <w:color w:val="1111FB"/>
        </w:rPr>
      </w:pPr>
      <w:r w:rsidRPr="00EA6939">
        <w:rPr>
          <w:rFonts w:cstheme="minorHAnsi"/>
          <w:color w:val="1111FB"/>
          <w:u w:val="single"/>
        </w:rPr>
        <w:t>Validity</w:t>
      </w:r>
      <w:r w:rsidRPr="00EA6939">
        <w:rPr>
          <w:rFonts w:cstheme="minorHAnsi"/>
          <w:color w:val="1111FB"/>
        </w:rPr>
        <w:t>:</w:t>
      </w:r>
    </w:p>
    <w:p w14:paraId="0188D1B9" w14:textId="56CC6AA9" w:rsidR="00B7516B" w:rsidRPr="00EA6939" w:rsidRDefault="00B7516B" w:rsidP="00E37E1B">
      <w:pPr>
        <w:autoSpaceDE w:val="0"/>
        <w:autoSpaceDN w:val="0"/>
        <w:adjustRightInd w:val="0"/>
        <w:spacing w:after="0" w:line="240" w:lineRule="auto"/>
        <w:rPr>
          <w:rFonts w:cstheme="minorHAnsi"/>
          <w:color w:val="1111FB"/>
        </w:rPr>
      </w:pPr>
      <w:r w:rsidRPr="00EA6939">
        <w:rPr>
          <w:rFonts w:cstheme="minorHAnsi"/>
          <w:color w:val="1111FB"/>
        </w:rPr>
        <w:t>Validity of the health plan measure was demonstrated through construct validity using the entire HEDIS data sample (described above</w:t>
      </w:r>
      <w:r w:rsidRPr="00EA6939">
        <w:rPr>
          <w:rFonts w:cstheme="minorHAnsi"/>
          <w:bCs/>
          <w:color w:val="1111FB"/>
        </w:rPr>
        <w:t>).</w:t>
      </w:r>
    </w:p>
    <w:p w14:paraId="35E6C17C" w14:textId="77777777" w:rsidR="002465AA" w:rsidRPr="002465AA" w:rsidRDefault="002465AA" w:rsidP="00E37E1B">
      <w:pPr>
        <w:autoSpaceDE w:val="0"/>
        <w:autoSpaceDN w:val="0"/>
        <w:adjustRightInd w:val="0"/>
        <w:spacing w:after="0" w:line="240" w:lineRule="auto"/>
        <w:rPr>
          <w:rFonts w:cstheme="minorHAnsi"/>
          <w:bCs/>
          <w:color w:val="4F81BD" w:themeColor="accent1"/>
        </w:rPr>
      </w:pPr>
    </w:p>
    <w:p w14:paraId="6798FF63" w14:textId="7E143BE2" w:rsidR="008C7B72" w:rsidRPr="000F2156" w:rsidRDefault="008B292D" w:rsidP="008B292D">
      <w:pPr>
        <w:autoSpaceDE w:val="0"/>
        <w:autoSpaceDN w:val="0"/>
        <w:adjustRightInd w:val="0"/>
        <w:spacing w:after="0" w:line="240" w:lineRule="auto"/>
        <w:rPr>
          <w:rStyle w:val="normaltextrun"/>
          <w:rFonts w:cstheme="minorHAnsi"/>
          <w:bCs/>
        </w:rPr>
      </w:pPr>
      <w:r w:rsidRPr="3C795A04">
        <w:rPr>
          <w:b/>
        </w:rPr>
        <w:t>1.8</w:t>
      </w:r>
      <w:r w:rsidRPr="3C795A04">
        <w:t xml:space="preserve"> </w:t>
      </w:r>
      <w:r w:rsidRPr="3C795A04">
        <w:rPr>
          <w:b/>
        </w:rPr>
        <w:t>What were the social risk factors that were available and analyzed</w:t>
      </w:r>
      <w:r w:rsidRPr="3C795A04">
        <w:t xml:space="preserve">? </w:t>
      </w:r>
      <w:r>
        <w:rPr>
          <w:rFonts w:cstheme="minorHAnsi"/>
          <w:bCs/>
        </w:rPr>
        <w:t xml:space="preserve">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14:paraId="4D70B398" w14:textId="483795BE" w:rsidR="008B292D" w:rsidRPr="008C7B72" w:rsidRDefault="008C7B72" w:rsidP="008B292D">
      <w:pPr>
        <w:autoSpaceDE w:val="0"/>
        <w:autoSpaceDN w:val="0"/>
        <w:adjustRightInd w:val="0"/>
        <w:spacing w:after="0" w:line="240" w:lineRule="auto"/>
        <w:rPr>
          <w:rFonts w:cstheme="minorHAnsi"/>
          <w:color w:val="1111FB"/>
        </w:rPr>
      </w:pPr>
      <w:r w:rsidRPr="008C7B72">
        <w:rPr>
          <w:rStyle w:val="normaltextrun"/>
          <w:rFonts w:ascii="Calibri" w:hAnsi="Calibri" w:cs="Calibri"/>
          <w:color w:val="1111FB"/>
          <w:shd w:val="clear" w:color="auto" w:fill="FFFFFF"/>
        </w:rPr>
        <w:t xml:space="preserve">We did not analyze social risk factors. This measure </w:t>
      </w:r>
      <w:r w:rsidR="00856B4B">
        <w:rPr>
          <w:rStyle w:val="normaltextrun"/>
          <w:rFonts w:ascii="Calibri" w:hAnsi="Calibri" w:cs="Calibri"/>
          <w:color w:val="1111FB"/>
          <w:shd w:val="clear" w:color="auto" w:fill="FFFFFF"/>
        </w:rPr>
        <w:t xml:space="preserve">of health plan performance </w:t>
      </w:r>
      <w:r w:rsidRPr="008C7B72">
        <w:rPr>
          <w:rStyle w:val="normaltextrun"/>
          <w:rFonts w:ascii="Calibri" w:hAnsi="Calibri" w:cs="Calibri"/>
          <w:color w:val="1111FB"/>
          <w:shd w:val="clear" w:color="auto" w:fill="FFFFFF"/>
        </w:rPr>
        <w:t xml:space="preserve">is specified to be reported separately by </w:t>
      </w:r>
      <w:r>
        <w:rPr>
          <w:rStyle w:val="normaltextrun"/>
          <w:rFonts w:ascii="Calibri" w:hAnsi="Calibri" w:cs="Calibri"/>
          <w:color w:val="1111FB"/>
          <w:shd w:val="clear" w:color="auto" w:fill="FFFFFF"/>
        </w:rPr>
        <w:t xml:space="preserve">commercial, </w:t>
      </w:r>
      <w:r w:rsidRPr="008C7B72">
        <w:rPr>
          <w:rStyle w:val="normaltextrun"/>
          <w:rFonts w:ascii="Calibri" w:hAnsi="Calibri" w:cs="Calibri"/>
          <w:color w:val="1111FB"/>
          <w:shd w:val="clear" w:color="auto" w:fill="FFFFFF"/>
        </w:rPr>
        <w:t>Medicaid</w:t>
      </w:r>
      <w:r w:rsidR="00DB15F6">
        <w:rPr>
          <w:rStyle w:val="normaltextrun"/>
          <w:rFonts w:ascii="Calibri" w:hAnsi="Calibri" w:cs="Calibri"/>
          <w:color w:val="1111FB"/>
          <w:shd w:val="clear" w:color="auto" w:fill="FFFFFF"/>
        </w:rPr>
        <w:t>,</w:t>
      </w:r>
      <w:r w:rsidRPr="008C7B72">
        <w:rPr>
          <w:rStyle w:val="normaltextrun"/>
          <w:rFonts w:ascii="Calibri" w:hAnsi="Calibri" w:cs="Calibri"/>
          <w:color w:val="1111FB"/>
          <w:shd w:val="clear" w:color="auto" w:fill="FFFFFF"/>
        </w:rPr>
        <w:t xml:space="preserve"> and </w:t>
      </w:r>
      <w:r>
        <w:rPr>
          <w:rStyle w:val="normaltextrun"/>
          <w:rFonts w:ascii="Calibri" w:hAnsi="Calibri" w:cs="Calibri"/>
          <w:color w:val="1111FB"/>
          <w:shd w:val="clear" w:color="auto" w:fill="FFFFFF"/>
        </w:rPr>
        <w:t>Medicare</w:t>
      </w:r>
      <w:r w:rsidRPr="008C7B72">
        <w:rPr>
          <w:rStyle w:val="normaltextrun"/>
          <w:rFonts w:ascii="Calibri" w:hAnsi="Calibri" w:cs="Calibri"/>
          <w:color w:val="1111FB"/>
          <w:shd w:val="clear" w:color="auto" w:fill="FFFFFF"/>
        </w:rPr>
        <w:t xml:space="preserve"> plan types, which serves as a proxy for income and other socioeconomic factors.  </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3810F78C" w:rsidR="001969C5" w:rsidRPr="00A25024" w:rsidRDefault="00092566" w:rsidP="008C54A9">
      <w:pPr>
        <w:autoSpaceDE w:val="0"/>
        <w:autoSpaceDN w:val="0"/>
        <w:adjustRightInd w:val="0"/>
        <w:spacing w:after="0" w:line="240" w:lineRule="auto"/>
        <w:rPr>
          <w:rFonts w:cstheme="minorHAnsi"/>
          <w:bCs/>
        </w:rPr>
      </w:pPr>
      <w:r>
        <w:rPr>
          <w:rFonts w:cstheme="minorHAnsi"/>
          <w:b/>
          <w:bCs/>
        </w:rPr>
        <w:lastRenderedPageBreak/>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BF5A23">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12AED2DE" w14:textId="18AC0CC7" w:rsidR="00D90F28" w:rsidRDefault="006C3DCB" w:rsidP="008C54A9">
      <w:pPr>
        <w:autoSpaceDE w:val="0"/>
        <w:autoSpaceDN w:val="0"/>
        <w:adjustRightInd w:val="0"/>
        <w:spacing w:after="0" w:line="240" w:lineRule="auto"/>
        <w:rPr>
          <w:rFonts w:cstheme="minorHAnsi"/>
          <w:color w:val="1111FB"/>
        </w:rPr>
      </w:pPr>
      <w:r w:rsidRPr="00AC014C">
        <w:rPr>
          <w:rFonts w:cstheme="minorHAnsi"/>
          <w:color w:val="1111FB"/>
        </w:rPr>
        <w:t xml:space="preserve">Reliability was estimated by using the </w:t>
      </w:r>
      <w:r w:rsidR="005D75FF">
        <w:rPr>
          <w:rFonts w:cstheme="minorHAnsi"/>
          <w:bCs/>
          <w:color w:val="1111FB"/>
        </w:rPr>
        <w:t>B</w:t>
      </w:r>
      <w:r w:rsidRPr="00AC014C">
        <w:rPr>
          <w:rFonts w:cstheme="minorHAnsi"/>
          <w:bCs/>
          <w:color w:val="1111FB"/>
        </w:rPr>
        <w:t>eta</w:t>
      </w:r>
      <w:r w:rsidRPr="00AC014C">
        <w:rPr>
          <w:rFonts w:cstheme="minorHAnsi"/>
          <w:color w:val="1111FB"/>
        </w:rPr>
        <w:t xml:space="preserve">-binomial model </w:t>
      </w:r>
      <w:r w:rsidR="005D75FF">
        <w:rPr>
          <w:rFonts w:cstheme="minorHAnsi"/>
          <w:bCs/>
          <w:color w:val="1111FB"/>
        </w:rPr>
        <w:t xml:space="preserve">(Adams, 2009) </w:t>
      </w:r>
      <w:r w:rsidRPr="00AC014C">
        <w:rPr>
          <w:rFonts w:cstheme="minorHAnsi"/>
          <w:color w:val="1111FB"/>
        </w:rPr>
        <w:t xml:space="preserve">for </w:t>
      </w:r>
      <w:r w:rsidR="003423A7">
        <w:rPr>
          <w:rFonts w:cstheme="minorHAnsi"/>
          <w:color w:val="1111FB"/>
        </w:rPr>
        <w:t>this</w:t>
      </w:r>
      <w:r w:rsidRPr="00AC014C">
        <w:rPr>
          <w:rFonts w:cstheme="minorHAnsi"/>
          <w:color w:val="1111FB"/>
        </w:rPr>
        <w:t xml:space="preserve"> health plan measure. Beta-binomial is </w:t>
      </w:r>
      <w:r w:rsidR="008D6632">
        <w:rPr>
          <w:rFonts w:cstheme="minorHAnsi"/>
          <w:color w:val="1111FB"/>
        </w:rPr>
        <w:t>appropriate for</w:t>
      </w:r>
      <w:r w:rsidRPr="00AC014C">
        <w:rPr>
          <w:rFonts w:cstheme="minorHAnsi"/>
          <w:color w:val="1111FB"/>
        </w:rPr>
        <w:t xml:space="preserve"> estimating the reliability of pass/fail rate measures</w:t>
      </w:r>
      <w:r w:rsidR="005D14C4" w:rsidRPr="00AC014C">
        <w:rPr>
          <w:rFonts w:cstheme="minorHAnsi"/>
          <w:color w:val="1111FB"/>
        </w:rPr>
        <w:t>.</w:t>
      </w:r>
      <w:r w:rsidR="00A90EE9" w:rsidRPr="00AC014C">
        <w:rPr>
          <w:rFonts w:cstheme="minorHAnsi"/>
          <w:color w:val="1111FB"/>
        </w:rPr>
        <w:t xml:space="preserve"> </w:t>
      </w:r>
      <w:r w:rsidR="00D90F28" w:rsidRPr="00AC014C">
        <w:rPr>
          <w:rFonts w:cstheme="minorHAnsi"/>
          <w:color w:val="1111FB"/>
        </w:rPr>
        <w:t>Reliability used here is the ratio of signal to noise. The signal in this case is the proportion of the variability in measured performance that can be explained by real differences in performance. A reliability of zero implies that all the variability in a measure is attributable to measurement error. A reliability of one implies that all the variability is attributable to real differences in performance. The higher the reliability score, th</w:t>
      </w:r>
      <w:r w:rsidR="00542E49">
        <w:rPr>
          <w:rFonts w:cstheme="minorHAnsi"/>
          <w:color w:val="1111FB"/>
        </w:rPr>
        <w:t>e</w:t>
      </w:r>
      <w:r w:rsidR="00D90F28" w:rsidRPr="00AC014C">
        <w:rPr>
          <w:rFonts w:cstheme="minorHAnsi"/>
          <w:color w:val="1111FB"/>
        </w:rPr>
        <w:t xml:space="preserve"> greater is the confidence with which one can distinguish the performance of one plan from another. A reliability </w:t>
      </w:r>
      <w:proofErr w:type="gramStart"/>
      <w:r w:rsidR="00D90F28" w:rsidRPr="00AC014C">
        <w:rPr>
          <w:rFonts w:cstheme="minorHAnsi"/>
          <w:color w:val="1111FB"/>
        </w:rPr>
        <w:t>score</w:t>
      </w:r>
      <w:proofErr w:type="gramEnd"/>
      <w:r w:rsidR="00D90F28" w:rsidRPr="00AC014C">
        <w:rPr>
          <w:rFonts w:cstheme="minorHAnsi"/>
          <w:color w:val="1111FB"/>
        </w:rPr>
        <w:t xml:space="preserve"> greater than or equal to 0.7 is considered very good.</w:t>
      </w:r>
    </w:p>
    <w:p w14:paraId="4C5B3044" w14:textId="61578AF3" w:rsidR="005D75FF" w:rsidRDefault="005D75FF" w:rsidP="008C54A9">
      <w:pPr>
        <w:autoSpaceDE w:val="0"/>
        <w:autoSpaceDN w:val="0"/>
        <w:adjustRightInd w:val="0"/>
        <w:spacing w:after="0" w:line="240" w:lineRule="auto"/>
        <w:rPr>
          <w:rFonts w:cstheme="minorHAnsi"/>
          <w:bCs/>
          <w:color w:val="1111FB"/>
        </w:rPr>
      </w:pPr>
    </w:p>
    <w:p w14:paraId="767A7BD8" w14:textId="001D2D5A" w:rsidR="005D75FF" w:rsidRPr="005D75FF" w:rsidRDefault="005D75FF" w:rsidP="008C54A9">
      <w:pPr>
        <w:autoSpaceDE w:val="0"/>
        <w:autoSpaceDN w:val="0"/>
        <w:adjustRightInd w:val="0"/>
        <w:spacing w:after="0" w:line="240" w:lineRule="auto"/>
        <w:rPr>
          <w:rFonts w:cstheme="minorHAnsi"/>
          <w:bCs/>
          <w:color w:val="1111FB"/>
          <w:sz w:val="18"/>
          <w:szCs w:val="18"/>
        </w:rPr>
      </w:pPr>
      <w:r w:rsidRPr="005D75FF">
        <w:rPr>
          <w:rFonts w:cstheme="minorHAnsi"/>
          <w:bCs/>
          <w:color w:val="1111FB"/>
          <w:sz w:val="18"/>
          <w:szCs w:val="18"/>
        </w:rPr>
        <w:t>Adams, J.L. The Reliability of Provider Profiling: A Tutorial. Santa Monica, California: RAND Corporation. TR-653-NCQA, 2009</w:t>
      </w:r>
    </w:p>
    <w:p w14:paraId="0A67E021" w14:textId="77777777" w:rsidR="00BF5A23" w:rsidRPr="00A25024" w:rsidRDefault="00BF5A23" w:rsidP="008C54A9">
      <w:pPr>
        <w:autoSpaceDE w:val="0"/>
        <w:autoSpaceDN w:val="0"/>
        <w:adjustRightInd w:val="0"/>
        <w:spacing w:after="0" w:line="240" w:lineRule="auto"/>
        <w:rPr>
          <w:rFonts w:cstheme="minorHAnsi"/>
          <w:bCs/>
        </w:rPr>
      </w:pPr>
    </w:p>
    <w:p w14:paraId="63E317DF" w14:textId="691C0970" w:rsidR="0038435B" w:rsidRDefault="00092566" w:rsidP="008C54A9">
      <w:pPr>
        <w:autoSpaceDE w:val="0"/>
        <w:autoSpaceDN w:val="0"/>
        <w:adjustRightInd w:val="0"/>
        <w:spacing w:after="0" w:line="240" w:lineRule="auto"/>
        <w:rPr>
          <w:rFonts w:cstheme="minorHAnsi"/>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1806DDC6" w14:textId="1A393D7C" w:rsidR="002A56EE" w:rsidRDefault="00777995" w:rsidP="002A56EE">
      <w:pPr>
        <w:autoSpaceDE w:val="0"/>
        <w:autoSpaceDN w:val="0"/>
        <w:adjustRightInd w:val="0"/>
        <w:spacing w:after="0" w:line="240" w:lineRule="auto"/>
        <w:rPr>
          <w:rFonts w:cstheme="minorHAnsi"/>
          <w:bCs/>
          <w:color w:val="1111FB"/>
        </w:rPr>
      </w:pPr>
      <w:r w:rsidRPr="00777995">
        <w:rPr>
          <w:rFonts w:cstheme="minorHAnsi"/>
          <w:bCs/>
          <w:color w:val="1111FB"/>
        </w:rPr>
        <w:t xml:space="preserve">Table 2 </w:t>
      </w:r>
      <w:r w:rsidR="00764CA0">
        <w:rPr>
          <w:rFonts w:cstheme="minorHAnsi"/>
          <w:bCs/>
          <w:color w:val="1111FB"/>
        </w:rPr>
        <w:t>provides</w:t>
      </w:r>
      <w:r w:rsidRPr="00777995">
        <w:rPr>
          <w:rFonts w:cstheme="minorHAnsi"/>
          <w:bCs/>
          <w:color w:val="1111FB"/>
        </w:rPr>
        <w:t xml:space="preserve"> the reliability for the overall measure as shown by the Beta-binomial model</w:t>
      </w:r>
      <w:r w:rsidR="002A56EE">
        <w:rPr>
          <w:rFonts w:cstheme="minorHAnsi"/>
          <w:bCs/>
          <w:color w:val="1111FB"/>
        </w:rPr>
        <w:t xml:space="preserve"> </w:t>
      </w:r>
      <w:r w:rsidR="00764CA0">
        <w:rPr>
          <w:rFonts w:cstheme="minorHAnsi"/>
          <w:bCs/>
          <w:color w:val="1111FB"/>
        </w:rPr>
        <w:t xml:space="preserve">and the </w:t>
      </w:r>
      <w:r w:rsidR="002A56EE">
        <w:rPr>
          <w:rFonts w:cstheme="minorHAnsi"/>
          <w:bCs/>
          <w:color w:val="1111FB"/>
        </w:rPr>
        <w:t xml:space="preserve">distribution of individual plan </w:t>
      </w:r>
      <w:r w:rsidR="002A56EE" w:rsidRPr="00777995">
        <w:rPr>
          <w:rFonts w:cstheme="minorHAnsi"/>
          <w:bCs/>
          <w:color w:val="1111FB"/>
        </w:rPr>
        <w:t>reliability.</w:t>
      </w:r>
    </w:p>
    <w:p w14:paraId="287F6B63" w14:textId="335DE1C4" w:rsidR="00777995" w:rsidRDefault="00777995" w:rsidP="008C54A9">
      <w:pPr>
        <w:autoSpaceDE w:val="0"/>
        <w:autoSpaceDN w:val="0"/>
        <w:adjustRightInd w:val="0"/>
        <w:spacing w:after="0" w:line="240" w:lineRule="auto"/>
        <w:rPr>
          <w:rFonts w:cstheme="minorHAnsi"/>
          <w:bCs/>
          <w:color w:val="4F81BD" w:themeColor="accent1"/>
        </w:rPr>
      </w:pPr>
    </w:p>
    <w:p w14:paraId="59F71803" w14:textId="7E3B89E3" w:rsidR="00C56D5C" w:rsidRPr="00C56D5C" w:rsidRDefault="00C56D5C" w:rsidP="008C54A9">
      <w:pPr>
        <w:autoSpaceDE w:val="0"/>
        <w:autoSpaceDN w:val="0"/>
        <w:adjustRightInd w:val="0"/>
        <w:spacing w:after="0" w:line="240" w:lineRule="auto"/>
        <w:rPr>
          <w:rFonts w:cstheme="minorHAnsi"/>
          <w:bCs/>
          <w:color w:val="1111FB"/>
        </w:rPr>
      </w:pPr>
      <w:r>
        <w:rPr>
          <w:rFonts w:cstheme="minorHAnsi"/>
          <w:bCs/>
          <w:color w:val="1111FB"/>
        </w:rPr>
        <w:t xml:space="preserve">Table </w:t>
      </w:r>
      <w:r w:rsidR="00E17872">
        <w:rPr>
          <w:rFonts w:cstheme="minorHAnsi"/>
          <w:bCs/>
          <w:color w:val="1111FB"/>
        </w:rPr>
        <w:t>2</w:t>
      </w:r>
      <w:r>
        <w:rPr>
          <w:rFonts w:cstheme="minorHAnsi"/>
          <w:bCs/>
          <w:color w:val="1111FB"/>
        </w:rPr>
        <w:t xml:space="preserve">. </w:t>
      </w:r>
      <w:r w:rsidR="00F61EF8">
        <w:rPr>
          <w:rFonts w:cstheme="minorHAnsi"/>
          <w:color w:val="1111FB"/>
        </w:rPr>
        <w:t xml:space="preserve">Overall </w:t>
      </w:r>
      <w:r w:rsidR="00F61EF8" w:rsidRPr="008325E1">
        <w:rPr>
          <w:rFonts w:cstheme="minorHAnsi"/>
          <w:color w:val="1111FB"/>
        </w:rPr>
        <w:t>Beta-binomial statistic</w:t>
      </w:r>
      <w:r w:rsidR="00F61EF8">
        <w:rPr>
          <w:rFonts w:cstheme="minorHAnsi"/>
          <w:color w:val="1111FB"/>
        </w:rPr>
        <w:t xml:space="preserve"> and d</w:t>
      </w:r>
      <w:r w:rsidR="002A56EE">
        <w:rPr>
          <w:rFonts w:cstheme="minorHAnsi"/>
          <w:bCs/>
          <w:color w:val="1111FB"/>
        </w:rPr>
        <w:t>istribution of plan reliability</w:t>
      </w:r>
      <w:r w:rsidR="00640BA6">
        <w:rPr>
          <w:rFonts w:cstheme="minorHAnsi"/>
          <w:bCs/>
          <w:color w:val="1111FB"/>
        </w:rPr>
        <w:t xml:space="preserve"> for commercial, Medicaid, and Medicare product lines, 2017</w:t>
      </w:r>
    </w:p>
    <w:tbl>
      <w:tblPr>
        <w:tblStyle w:val="TableGrid"/>
        <w:tblW w:w="0" w:type="auto"/>
        <w:tblLook w:val="04A0" w:firstRow="1" w:lastRow="0" w:firstColumn="1" w:lastColumn="0" w:noHBand="0" w:noVBand="1"/>
      </w:tblPr>
      <w:tblGrid>
        <w:gridCol w:w="1433"/>
        <w:gridCol w:w="1093"/>
        <w:gridCol w:w="986"/>
        <w:gridCol w:w="973"/>
        <w:gridCol w:w="973"/>
        <w:gridCol w:w="973"/>
        <w:gridCol w:w="973"/>
        <w:gridCol w:w="973"/>
        <w:gridCol w:w="973"/>
      </w:tblGrid>
      <w:tr w:rsidR="00F61EF8" w:rsidRPr="008325E1" w14:paraId="7F208872" w14:textId="77777777" w:rsidTr="00F61EF8">
        <w:tc>
          <w:tcPr>
            <w:tcW w:w="1433" w:type="dxa"/>
            <w:vMerge w:val="restart"/>
            <w:vAlign w:val="center"/>
          </w:tcPr>
          <w:p w14:paraId="79653316" w14:textId="759BD59A" w:rsidR="00F61EF8" w:rsidRPr="008325E1" w:rsidRDefault="00F61EF8" w:rsidP="00AC46EA">
            <w:pPr>
              <w:autoSpaceDE w:val="0"/>
              <w:autoSpaceDN w:val="0"/>
              <w:adjustRightInd w:val="0"/>
              <w:jc w:val="center"/>
              <w:rPr>
                <w:rFonts w:cstheme="minorHAnsi"/>
                <w:color w:val="1111FB"/>
              </w:rPr>
            </w:pPr>
            <w:r w:rsidRPr="008325E1">
              <w:rPr>
                <w:rFonts w:cstheme="minorHAnsi"/>
                <w:color w:val="1111FB"/>
              </w:rPr>
              <w:t>Product Line</w:t>
            </w:r>
          </w:p>
        </w:tc>
        <w:tc>
          <w:tcPr>
            <w:tcW w:w="1093" w:type="dxa"/>
            <w:vMerge w:val="restart"/>
          </w:tcPr>
          <w:p w14:paraId="761E6E72" w14:textId="4E5D1732" w:rsidR="00F61EF8" w:rsidRDefault="00F61EF8" w:rsidP="00AC46EA">
            <w:pPr>
              <w:autoSpaceDE w:val="0"/>
              <w:autoSpaceDN w:val="0"/>
              <w:adjustRightInd w:val="0"/>
              <w:jc w:val="center"/>
              <w:rPr>
                <w:rFonts w:cstheme="minorHAnsi"/>
                <w:color w:val="1111FB"/>
              </w:rPr>
            </w:pPr>
            <w:r>
              <w:rPr>
                <w:rFonts w:cstheme="minorHAnsi"/>
                <w:color w:val="1111FB"/>
              </w:rPr>
              <w:t>Overall Reliability</w:t>
            </w:r>
          </w:p>
        </w:tc>
        <w:tc>
          <w:tcPr>
            <w:tcW w:w="986" w:type="dxa"/>
            <w:vMerge w:val="restart"/>
            <w:vAlign w:val="center"/>
          </w:tcPr>
          <w:p w14:paraId="3A65C7A8" w14:textId="00707AAA" w:rsidR="00F61EF8" w:rsidRDefault="00F61EF8" w:rsidP="00AC46EA">
            <w:pPr>
              <w:autoSpaceDE w:val="0"/>
              <w:autoSpaceDN w:val="0"/>
              <w:adjustRightInd w:val="0"/>
              <w:jc w:val="center"/>
              <w:rPr>
                <w:rFonts w:cstheme="minorHAnsi"/>
                <w:color w:val="1111FB"/>
              </w:rPr>
            </w:pPr>
            <w:r>
              <w:rPr>
                <w:rFonts w:cstheme="minorHAnsi"/>
                <w:color w:val="1111FB"/>
              </w:rPr>
              <w:t>Min</w:t>
            </w:r>
          </w:p>
        </w:tc>
        <w:tc>
          <w:tcPr>
            <w:tcW w:w="4865" w:type="dxa"/>
            <w:gridSpan w:val="5"/>
            <w:vAlign w:val="center"/>
          </w:tcPr>
          <w:p w14:paraId="6BD1CA12" w14:textId="10F450EE" w:rsidR="00F61EF8" w:rsidRDefault="00F61EF8" w:rsidP="00AC46EA">
            <w:pPr>
              <w:autoSpaceDE w:val="0"/>
              <w:autoSpaceDN w:val="0"/>
              <w:adjustRightInd w:val="0"/>
              <w:jc w:val="center"/>
              <w:rPr>
                <w:rFonts w:cstheme="minorHAnsi"/>
                <w:color w:val="1111FB"/>
              </w:rPr>
            </w:pPr>
            <w:r>
              <w:rPr>
                <w:rFonts w:cstheme="minorHAnsi"/>
                <w:color w:val="1111FB"/>
              </w:rPr>
              <w:t>Percentile</w:t>
            </w:r>
          </w:p>
        </w:tc>
        <w:tc>
          <w:tcPr>
            <w:tcW w:w="973" w:type="dxa"/>
            <w:vMerge w:val="restart"/>
            <w:vAlign w:val="center"/>
          </w:tcPr>
          <w:p w14:paraId="6A41F352" w14:textId="0BB882AE" w:rsidR="00F61EF8" w:rsidRDefault="00F61EF8" w:rsidP="00AC46EA">
            <w:pPr>
              <w:autoSpaceDE w:val="0"/>
              <w:autoSpaceDN w:val="0"/>
              <w:adjustRightInd w:val="0"/>
              <w:jc w:val="center"/>
              <w:rPr>
                <w:rFonts w:cstheme="minorHAnsi"/>
                <w:color w:val="1111FB"/>
              </w:rPr>
            </w:pPr>
            <w:r>
              <w:rPr>
                <w:rFonts w:cstheme="minorHAnsi"/>
                <w:color w:val="1111FB"/>
              </w:rPr>
              <w:t>Max</w:t>
            </w:r>
          </w:p>
        </w:tc>
      </w:tr>
      <w:tr w:rsidR="00F61EF8" w:rsidRPr="008325E1" w14:paraId="1CA8C9EA" w14:textId="154A7C02" w:rsidTr="00F61EF8">
        <w:tc>
          <w:tcPr>
            <w:tcW w:w="1433" w:type="dxa"/>
            <w:vMerge/>
            <w:vAlign w:val="center"/>
          </w:tcPr>
          <w:p w14:paraId="2CC5279B" w14:textId="44B9A8E2" w:rsidR="00F61EF8" w:rsidRPr="008325E1" w:rsidRDefault="00F61EF8" w:rsidP="00AC46EA">
            <w:pPr>
              <w:autoSpaceDE w:val="0"/>
              <w:autoSpaceDN w:val="0"/>
              <w:adjustRightInd w:val="0"/>
              <w:jc w:val="center"/>
              <w:rPr>
                <w:rFonts w:cstheme="minorHAnsi"/>
                <w:color w:val="1111FB"/>
              </w:rPr>
            </w:pPr>
          </w:p>
        </w:tc>
        <w:tc>
          <w:tcPr>
            <w:tcW w:w="1093" w:type="dxa"/>
            <w:vMerge/>
          </w:tcPr>
          <w:p w14:paraId="038A9331" w14:textId="77777777" w:rsidR="00F61EF8" w:rsidRPr="008325E1" w:rsidRDefault="00F61EF8" w:rsidP="00AC46EA">
            <w:pPr>
              <w:autoSpaceDE w:val="0"/>
              <w:autoSpaceDN w:val="0"/>
              <w:adjustRightInd w:val="0"/>
              <w:jc w:val="center"/>
              <w:rPr>
                <w:rFonts w:cstheme="minorHAnsi"/>
                <w:color w:val="1111FB"/>
              </w:rPr>
            </w:pPr>
          </w:p>
        </w:tc>
        <w:tc>
          <w:tcPr>
            <w:tcW w:w="986" w:type="dxa"/>
            <w:vMerge/>
            <w:vAlign w:val="center"/>
          </w:tcPr>
          <w:p w14:paraId="228D2A9F" w14:textId="45951670" w:rsidR="00F61EF8" w:rsidRPr="008325E1" w:rsidRDefault="00F61EF8" w:rsidP="00AC46EA">
            <w:pPr>
              <w:autoSpaceDE w:val="0"/>
              <w:autoSpaceDN w:val="0"/>
              <w:adjustRightInd w:val="0"/>
              <w:jc w:val="center"/>
              <w:rPr>
                <w:rFonts w:cstheme="minorHAnsi"/>
                <w:color w:val="1111FB"/>
              </w:rPr>
            </w:pPr>
          </w:p>
        </w:tc>
        <w:tc>
          <w:tcPr>
            <w:tcW w:w="973" w:type="dxa"/>
            <w:vAlign w:val="center"/>
          </w:tcPr>
          <w:p w14:paraId="1A25F1FD" w14:textId="21D1D07A" w:rsidR="00F61EF8" w:rsidRDefault="00F61EF8" w:rsidP="00AC46EA">
            <w:pPr>
              <w:autoSpaceDE w:val="0"/>
              <w:autoSpaceDN w:val="0"/>
              <w:adjustRightInd w:val="0"/>
              <w:jc w:val="center"/>
              <w:rPr>
                <w:rFonts w:cstheme="minorHAnsi"/>
                <w:color w:val="1111FB"/>
              </w:rPr>
            </w:pPr>
            <w:r>
              <w:rPr>
                <w:rFonts w:cstheme="minorHAnsi"/>
                <w:color w:val="1111FB"/>
              </w:rPr>
              <w:t>10</w:t>
            </w:r>
            <w:r w:rsidRPr="002A56EE">
              <w:rPr>
                <w:rFonts w:cstheme="minorHAnsi"/>
                <w:color w:val="1111FB"/>
                <w:vertAlign w:val="superscript"/>
              </w:rPr>
              <w:t>th</w:t>
            </w:r>
          </w:p>
        </w:tc>
        <w:tc>
          <w:tcPr>
            <w:tcW w:w="973" w:type="dxa"/>
            <w:vAlign w:val="center"/>
          </w:tcPr>
          <w:p w14:paraId="38BF5C86" w14:textId="333D97EB" w:rsidR="00F61EF8" w:rsidRDefault="00F61EF8" w:rsidP="00AC46EA">
            <w:pPr>
              <w:autoSpaceDE w:val="0"/>
              <w:autoSpaceDN w:val="0"/>
              <w:adjustRightInd w:val="0"/>
              <w:jc w:val="center"/>
              <w:rPr>
                <w:rFonts w:cstheme="minorHAnsi"/>
                <w:color w:val="1111FB"/>
              </w:rPr>
            </w:pPr>
            <w:r>
              <w:rPr>
                <w:rFonts w:cstheme="minorHAnsi"/>
                <w:color w:val="1111FB"/>
              </w:rPr>
              <w:t>25</w:t>
            </w:r>
            <w:r w:rsidRPr="002A56EE">
              <w:rPr>
                <w:rFonts w:cstheme="minorHAnsi"/>
                <w:color w:val="1111FB"/>
                <w:vertAlign w:val="superscript"/>
              </w:rPr>
              <w:t>th</w:t>
            </w:r>
          </w:p>
        </w:tc>
        <w:tc>
          <w:tcPr>
            <w:tcW w:w="973" w:type="dxa"/>
            <w:vAlign w:val="center"/>
          </w:tcPr>
          <w:p w14:paraId="2C0E6687" w14:textId="3B1DC22F" w:rsidR="00F61EF8" w:rsidRDefault="00F61EF8" w:rsidP="00AC46EA">
            <w:pPr>
              <w:autoSpaceDE w:val="0"/>
              <w:autoSpaceDN w:val="0"/>
              <w:adjustRightInd w:val="0"/>
              <w:jc w:val="center"/>
              <w:rPr>
                <w:rFonts w:cstheme="minorHAnsi"/>
                <w:color w:val="1111FB"/>
              </w:rPr>
            </w:pPr>
            <w:r>
              <w:rPr>
                <w:rFonts w:cstheme="minorHAnsi"/>
                <w:color w:val="1111FB"/>
              </w:rPr>
              <w:t>50</w:t>
            </w:r>
            <w:r w:rsidRPr="002A56EE">
              <w:rPr>
                <w:rFonts w:cstheme="minorHAnsi"/>
                <w:color w:val="1111FB"/>
                <w:vertAlign w:val="superscript"/>
              </w:rPr>
              <w:t>th</w:t>
            </w:r>
          </w:p>
        </w:tc>
        <w:tc>
          <w:tcPr>
            <w:tcW w:w="973" w:type="dxa"/>
            <w:vAlign w:val="center"/>
          </w:tcPr>
          <w:p w14:paraId="7F6197EF" w14:textId="1A2EB0DA" w:rsidR="00F61EF8" w:rsidRDefault="00F61EF8" w:rsidP="00AC46EA">
            <w:pPr>
              <w:autoSpaceDE w:val="0"/>
              <w:autoSpaceDN w:val="0"/>
              <w:adjustRightInd w:val="0"/>
              <w:jc w:val="center"/>
              <w:rPr>
                <w:rFonts w:cstheme="minorHAnsi"/>
                <w:color w:val="1111FB"/>
              </w:rPr>
            </w:pPr>
            <w:r>
              <w:rPr>
                <w:rFonts w:cstheme="minorHAnsi"/>
                <w:color w:val="1111FB"/>
              </w:rPr>
              <w:t>75</w:t>
            </w:r>
            <w:r w:rsidRPr="002A56EE">
              <w:rPr>
                <w:rFonts w:cstheme="minorHAnsi"/>
                <w:color w:val="1111FB"/>
                <w:vertAlign w:val="superscript"/>
              </w:rPr>
              <w:t>th</w:t>
            </w:r>
            <w:r>
              <w:rPr>
                <w:rFonts w:cstheme="minorHAnsi"/>
                <w:color w:val="1111FB"/>
              </w:rPr>
              <w:t xml:space="preserve"> </w:t>
            </w:r>
          </w:p>
        </w:tc>
        <w:tc>
          <w:tcPr>
            <w:tcW w:w="973" w:type="dxa"/>
            <w:vAlign w:val="center"/>
          </w:tcPr>
          <w:p w14:paraId="163AE2AE" w14:textId="7BADD3EC" w:rsidR="00F61EF8" w:rsidRDefault="00F61EF8" w:rsidP="00AC46EA">
            <w:pPr>
              <w:autoSpaceDE w:val="0"/>
              <w:autoSpaceDN w:val="0"/>
              <w:adjustRightInd w:val="0"/>
              <w:jc w:val="center"/>
              <w:rPr>
                <w:rFonts w:cstheme="minorHAnsi"/>
                <w:color w:val="1111FB"/>
              </w:rPr>
            </w:pPr>
            <w:r>
              <w:rPr>
                <w:rFonts w:cstheme="minorHAnsi"/>
                <w:color w:val="1111FB"/>
              </w:rPr>
              <w:t>90</w:t>
            </w:r>
            <w:r w:rsidRPr="002A56EE">
              <w:rPr>
                <w:rFonts w:cstheme="minorHAnsi"/>
                <w:color w:val="1111FB"/>
                <w:vertAlign w:val="superscript"/>
              </w:rPr>
              <w:t>th</w:t>
            </w:r>
          </w:p>
        </w:tc>
        <w:tc>
          <w:tcPr>
            <w:tcW w:w="973" w:type="dxa"/>
            <w:vMerge/>
            <w:vAlign w:val="center"/>
          </w:tcPr>
          <w:p w14:paraId="65841DA9" w14:textId="442C4B68" w:rsidR="00F61EF8" w:rsidRDefault="00F61EF8" w:rsidP="00AC46EA">
            <w:pPr>
              <w:autoSpaceDE w:val="0"/>
              <w:autoSpaceDN w:val="0"/>
              <w:adjustRightInd w:val="0"/>
              <w:jc w:val="center"/>
              <w:rPr>
                <w:rFonts w:cstheme="minorHAnsi"/>
                <w:color w:val="1111FB"/>
              </w:rPr>
            </w:pPr>
          </w:p>
        </w:tc>
      </w:tr>
      <w:tr w:rsidR="00F61EF8" w:rsidRPr="008325E1" w14:paraId="19A6A39E" w14:textId="7A9B17DB" w:rsidTr="00F61EF8">
        <w:tc>
          <w:tcPr>
            <w:tcW w:w="1433" w:type="dxa"/>
            <w:vAlign w:val="center"/>
          </w:tcPr>
          <w:p w14:paraId="1256D9AC" w14:textId="77777777" w:rsidR="00F61EF8" w:rsidRPr="008325E1" w:rsidRDefault="00F61EF8" w:rsidP="00F61EF8">
            <w:pPr>
              <w:autoSpaceDE w:val="0"/>
              <w:autoSpaceDN w:val="0"/>
              <w:adjustRightInd w:val="0"/>
              <w:jc w:val="center"/>
              <w:rPr>
                <w:rFonts w:cstheme="minorHAnsi"/>
                <w:color w:val="1111FB"/>
              </w:rPr>
            </w:pPr>
            <w:r w:rsidRPr="008325E1">
              <w:rPr>
                <w:rFonts w:cstheme="minorHAnsi"/>
                <w:color w:val="1111FB"/>
              </w:rPr>
              <w:t>Commercial</w:t>
            </w:r>
          </w:p>
        </w:tc>
        <w:tc>
          <w:tcPr>
            <w:tcW w:w="1093" w:type="dxa"/>
            <w:vAlign w:val="center"/>
          </w:tcPr>
          <w:p w14:paraId="2BA4CE1B" w14:textId="04678A87" w:rsidR="00F61EF8" w:rsidRPr="002A56EE" w:rsidRDefault="00F61EF8" w:rsidP="00F61EF8">
            <w:pPr>
              <w:autoSpaceDE w:val="0"/>
              <w:autoSpaceDN w:val="0"/>
              <w:adjustRightInd w:val="0"/>
              <w:jc w:val="center"/>
              <w:rPr>
                <w:color w:val="0000FF"/>
              </w:rPr>
            </w:pPr>
            <w:r w:rsidRPr="008325E1">
              <w:rPr>
                <w:rFonts w:cstheme="minorHAnsi"/>
                <w:color w:val="1111FB"/>
              </w:rPr>
              <w:t>0.757</w:t>
            </w:r>
          </w:p>
        </w:tc>
        <w:tc>
          <w:tcPr>
            <w:tcW w:w="986" w:type="dxa"/>
            <w:vAlign w:val="center"/>
          </w:tcPr>
          <w:p w14:paraId="28E94FC9" w14:textId="0D811239" w:rsidR="00F61EF8" w:rsidRPr="002A56EE" w:rsidRDefault="00F61EF8" w:rsidP="00F61EF8">
            <w:pPr>
              <w:autoSpaceDE w:val="0"/>
              <w:autoSpaceDN w:val="0"/>
              <w:adjustRightInd w:val="0"/>
              <w:jc w:val="center"/>
              <w:rPr>
                <w:rFonts w:cstheme="minorHAnsi"/>
                <w:color w:val="0000FF"/>
              </w:rPr>
            </w:pPr>
            <w:r w:rsidRPr="002A56EE">
              <w:rPr>
                <w:color w:val="0000FF"/>
              </w:rPr>
              <w:t>0.247</w:t>
            </w:r>
          </w:p>
        </w:tc>
        <w:tc>
          <w:tcPr>
            <w:tcW w:w="973" w:type="dxa"/>
            <w:vAlign w:val="center"/>
          </w:tcPr>
          <w:p w14:paraId="6DEDC284" w14:textId="0CE8BFBB" w:rsidR="00F61EF8" w:rsidRPr="002A56EE" w:rsidRDefault="00F61EF8" w:rsidP="00F61EF8">
            <w:pPr>
              <w:autoSpaceDE w:val="0"/>
              <w:autoSpaceDN w:val="0"/>
              <w:adjustRightInd w:val="0"/>
              <w:jc w:val="center"/>
              <w:rPr>
                <w:rFonts w:cstheme="minorHAnsi"/>
                <w:color w:val="0000FF"/>
              </w:rPr>
            </w:pPr>
            <w:r w:rsidRPr="002A56EE">
              <w:rPr>
                <w:color w:val="0000FF"/>
              </w:rPr>
              <w:t>0.396</w:t>
            </w:r>
          </w:p>
        </w:tc>
        <w:tc>
          <w:tcPr>
            <w:tcW w:w="973" w:type="dxa"/>
            <w:vAlign w:val="center"/>
          </w:tcPr>
          <w:p w14:paraId="155DEE9D" w14:textId="5810324A" w:rsidR="00F61EF8" w:rsidRPr="002A56EE" w:rsidRDefault="00F61EF8" w:rsidP="00F61EF8">
            <w:pPr>
              <w:autoSpaceDE w:val="0"/>
              <w:autoSpaceDN w:val="0"/>
              <w:adjustRightInd w:val="0"/>
              <w:jc w:val="center"/>
              <w:rPr>
                <w:rFonts w:cstheme="minorHAnsi"/>
                <w:color w:val="0000FF"/>
              </w:rPr>
            </w:pPr>
            <w:r w:rsidRPr="002A56EE">
              <w:rPr>
                <w:color w:val="0000FF"/>
              </w:rPr>
              <w:t>0.521</w:t>
            </w:r>
          </w:p>
        </w:tc>
        <w:tc>
          <w:tcPr>
            <w:tcW w:w="973" w:type="dxa"/>
            <w:vAlign w:val="center"/>
          </w:tcPr>
          <w:p w14:paraId="49812F65" w14:textId="0066140F" w:rsidR="00F61EF8" w:rsidRPr="002A56EE" w:rsidRDefault="00F61EF8" w:rsidP="00F61EF8">
            <w:pPr>
              <w:autoSpaceDE w:val="0"/>
              <w:autoSpaceDN w:val="0"/>
              <w:adjustRightInd w:val="0"/>
              <w:jc w:val="center"/>
              <w:rPr>
                <w:rFonts w:cstheme="minorHAnsi"/>
                <w:color w:val="0000FF"/>
              </w:rPr>
            </w:pPr>
            <w:r w:rsidRPr="002A56EE">
              <w:rPr>
                <w:color w:val="0000FF"/>
              </w:rPr>
              <w:t>0.672</w:t>
            </w:r>
          </w:p>
        </w:tc>
        <w:tc>
          <w:tcPr>
            <w:tcW w:w="973" w:type="dxa"/>
            <w:vAlign w:val="center"/>
          </w:tcPr>
          <w:p w14:paraId="0E1325B2" w14:textId="671C2863" w:rsidR="00F61EF8" w:rsidRPr="002A56EE" w:rsidRDefault="00F61EF8" w:rsidP="00F61EF8">
            <w:pPr>
              <w:autoSpaceDE w:val="0"/>
              <w:autoSpaceDN w:val="0"/>
              <w:adjustRightInd w:val="0"/>
              <w:jc w:val="center"/>
              <w:rPr>
                <w:rFonts w:cstheme="minorHAnsi"/>
                <w:color w:val="0000FF"/>
              </w:rPr>
            </w:pPr>
            <w:r w:rsidRPr="002A56EE">
              <w:rPr>
                <w:color w:val="0000FF"/>
              </w:rPr>
              <w:t>0.808</w:t>
            </w:r>
          </w:p>
        </w:tc>
        <w:tc>
          <w:tcPr>
            <w:tcW w:w="973" w:type="dxa"/>
            <w:vAlign w:val="center"/>
          </w:tcPr>
          <w:p w14:paraId="24EFD50C" w14:textId="3E464CDC" w:rsidR="00F61EF8" w:rsidRPr="002A56EE" w:rsidRDefault="00F61EF8" w:rsidP="00F61EF8">
            <w:pPr>
              <w:autoSpaceDE w:val="0"/>
              <w:autoSpaceDN w:val="0"/>
              <w:adjustRightInd w:val="0"/>
              <w:jc w:val="center"/>
              <w:rPr>
                <w:rFonts w:cstheme="minorHAnsi"/>
                <w:color w:val="0000FF"/>
              </w:rPr>
            </w:pPr>
            <w:r w:rsidRPr="002A56EE">
              <w:rPr>
                <w:color w:val="0000FF"/>
              </w:rPr>
              <w:t>0.876</w:t>
            </w:r>
          </w:p>
        </w:tc>
        <w:tc>
          <w:tcPr>
            <w:tcW w:w="973" w:type="dxa"/>
            <w:vAlign w:val="center"/>
          </w:tcPr>
          <w:p w14:paraId="2AEF3621" w14:textId="29FF758E" w:rsidR="00F61EF8" w:rsidRPr="002A56EE" w:rsidRDefault="00F61EF8" w:rsidP="00F61EF8">
            <w:pPr>
              <w:autoSpaceDE w:val="0"/>
              <w:autoSpaceDN w:val="0"/>
              <w:adjustRightInd w:val="0"/>
              <w:jc w:val="center"/>
              <w:rPr>
                <w:rFonts w:cstheme="minorHAnsi"/>
                <w:color w:val="0000FF"/>
              </w:rPr>
            </w:pPr>
            <w:r w:rsidRPr="002A56EE">
              <w:rPr>
                <w:color w:val="0000FF"/>
              </w:rPr>
              <w:t>1.000</w:t>
            </w:r>
          </w:p>
        </w:tc>
      </w:tr>
      <w:tr w:rsidR="00F61EF8" w:rsidRPr="008325E1" w14:paraId="183C0098" w14:textId="2CCD9CC2" w:rsidTr="00F61EF8">
        <w:tc>
          <w:tcPr>
            <w:tcW w:w="1433" w:type="dxa"/>
            <w:vAlign w:val="center"/>
          </w:tcPr>
          <w:p w14:paraId="28DFB6D2" w14:textId="77777777" w:rsidR="00F61EF8" w:rsidRPr="008325E1" w:rsidRDefault="00F61EF8" w:rsidP="00F61EF8">
            <w:pPr>
              <w:autoSpaceDE w:val="0"/>
              <w:autoSpaceDN w:val="0"/>
              <w:adjustRightInd w:val="0"/>
              <w:jc w:val="center"/>
              <w:rPr>
                <w:rFonts w:cstheme="minorHAnsi"/>
                <w:color w:val="1111FB"/>
              </w:rPr>
            </w:pPr>
            <w:r w:rsidRPr="008325E1">
              <w:rPr>
                <w:rFonts w:cstheme="minorHAnsi"/>
                <w:color w:val="1111FB"/>
              </w:rPr>
              <w:t>Medicaid</w:t>
            </w:r>
          </w:p>
        </w:tc>
        <w:tc>
          <w:tcPr>
            <w:tcW w:w="1093" w:type="dxa"/>
            <w:vAlign w:val="center"/>
          </w:tcPr>
          <w:p w14:paraId="1F691C39" w14:textId="133A2248" w:rsidR="00F61EF8" w:rsidRPr="002A56EE" w:rsidRDefault="00F61EF8" w:rsidP="00F61EF8">
            <w:pPr>
              <w:autoSpaceDE w:val="0"/>
              <w:autoSpaceDN w:val="0"/>
              <w:adjustRightInd w:val="0"/>
              <w:jc w:val="center"/>
              <w:rPr>
                <w:color w:val="0000FF"/>
              </w:rPr>
            </w:pPr>
            <w:r w:rsidRPr="008325E1">
              <w:rPr>
                <w:rFonts w:cstheme="minorHAnsi"/>
                <w:color w:val="1111FB"/>
              </w:rPr>
              <w:t>0.818</w:t>
            </w:r>
          </w:p>
        </w:tc>
        <w:tc>
          <w:tcPr>
            <w:tcW w:w="986" w:type="dxa"/>
            <w:vAlign w:val="center"/>
          </w:tcPr>
          <w:p w14:paraId="297568A3" w14:textId="24139C8A" w:rsidR="00F61EF8" w:rsidRPr="002A56EE" w:rsidRDefault="00F61EF8" w:rsidP="00F61EF8">
            <w:pPr>
              <w:autoSpaceDE w:val="0"/>
              <w:autoSpaceDN w:val="0"/>
              <w:adjustRightInd w:val="0"/>
              <w:jc w:val="center"/>
              <w:rPr>
                <w:rFonts w:cstheme="minorHAnsi"/>
                <w:color w:val="0000FF"/>
              </w:rPr>
            </w:pPr>
            <w:r w:rsidRPr="002A56EE">
              <w:rPr>
                <w:color w:val="0000FF"/>
              </w:rPr>
              <w:t>0.149</w:t>
            </w:r>
          </w:p>
        </w:tc>
        <w:tc>
          <w:tcPr>
            <w:tcW w:w="973" w:type="dxa"/>
            <w:vAlign w:val="center"/>
          </w:tcPr>
          <w:p w14:paraId="2249BBA1" w14:textId="6382B69B" w:rsidR="00F61EF8" w:rsidRPr="002A56EE" w:rsidRDefault="00F61EF8" w:rsidP="00F61EF8">
            <w:pPr>
              <w:autoSpaceDE w:val="0"/>
              <w:autoSpaceDN w:val="0"/>
              <w:adjustRightInd w:val="0"/>
              <w:jc w:val="center"/>
              <w:rPr>
                <w:rFonts w:cstheme="minorHAnsi"/>
                <w:color w:val="0000FF"/>
              </w:rPr>
            </w:pPr>
            <w:r w:rsidRPr="002A56EE">
              <w:rPr>
                <w:color w:val="0000FF"/>
              </w:rPr>
              <w:t>0.264</w:t>
            </w:r>
          </w:p>
        </w:tc>
        <w:tc>
          <w:tcPr>
            <w:tcW w:w="973" w:type="dxa"/>
            <w:vAlign w:val="center"/>
          </w:tcPr>
          <w:p w14:paraId="2953CF28" w14:textId="28A44D80" w:rsidR="00F61EF8" w:rsidRPr="002A56EE" w:rsidRDefault="00F61EF8" w:rsidP="00F61EF8">
            <w:pPr>
              <w:autoSpaceDE w:val="0"/>
              <w:autoSpaceDN w:val="0"/>
              <w:adjustRightInd w:val="0"/>
              <w:jc w:val="center"/>
              <w:rPr>
                <w:rFonts w:cstheme="minorHAnsi"/>
                <w:color w:val="0000FF"/>
              </w:rPr>
            </w:pPr>
            <w:r w:rsidRPr="002A56EE">
              <w:rPr>
                <w:color w:val="0000FF"/>
              </w:rPr>
              <w:t>0.389</w:t>
            </w:r>
          </w:p>
        </w:tc>
        <w:tc>
          <w:tcPr>
            <w:tcW w:w="973" w:type="dxa"/>
            <w:vAlign w:val="center"/>
          </w:tcPr>
          <w:p w14:paraId="56B3F3FC" w14:textId="423DDE46" w:rsidR="00F61EF8" w:rsidRPr="002A56EE" w:rsidRDefault="00F61EF8" w:rsidP="00F61EF8">
            <w:pPr>
              <w:autoSpaceDE w:val="0"/>
              <w:autoSpaceDN w:val="0"/>
              <w:adjustRightInd w:val="0"/>
              <w:jc w:val="center"/>
              <w:rPr>
                <w:rFonts w:cstheme="minorHAnsi"/>
                <w:color w:val="0000FF"/>
              </w:rPr>
            </w:pPr>
            <w:r w:rsidRPr="002A56EE">
              <w:rPr>
                <w:color w:val="0000FF"/>
              </w:rPr>
              <w:t>0.621</w:t>
            </w:r>
          </w:p>
        </w:tc>
        <w:tc>
          <w:tcPr>
            <w:tcW w:w="973" w:type="dxa"/>
            <w:vAlign w:val="center"/>
          </w:tcPr>
          <w:p w14:paraId="216944CA" w14:textId="5A84F4CD" w:rsidR="00F61EF8" w:rsidRPr="002A56EE" w:rsidRDefault="00F61EF8" w:rsidP="00F61EF8">
            <w:pPr>
              <w:autoSpaceDE w:val="0"/>
              <w:autoSpaceDN w:val="0"/>
              <w:adjustRightInd w:val="0"/>
              <w:jc w:val="center"/>
              <w:rPr>
                <w:rFonts w:cstheme="minorHAnsi"/>
                <w:color w:val="0000FF"/>
              </w:rPr>
            </w:pPr>
            <w:r w:rsidRPr="002A56EE">
              <w:rPr>
                <w:color w:val="0000FF"/>
              </w:rPr>
              <w:t>0.800</w:t>
            </w:r>
          </w:p>
        </w:tc>
        <w:tc>
          <w:tcPr>
            <w:tcW w:w="973" w:type="dxa"/>
            <w:vAlign w:val="center"/>
          </w:tcPr>
          <w:p w14:paraId="539BA5C0" w14:textId="39B0405A" w:rsidR="00F61EF8" w:rsidRPr="002A56EE" w:rsidRDefault="00F61EF8" w:rsidP="00F61EF8">
            <w:pPr>
              <w:autoSpaceDE w:val="0"/>
              <w:autoSpaceDN w:val="0"/>
              <w:adjustRightInd w:val="0"/>
              <w:jc w:val="center"/>
              <w:rPr>
                <w:rFonts w:cstheme="minorHAnsi"/>
                <w:color w:val="0000FF"/>
              </w:rPr>
            </w:pPr>
            <w:r w:rsidRPr="002A56EE">
              <w:rPr>
                <w:color w:val="0000FF"/>
              </w:rPr>
              <w:t>0.889</w:t>
            </w:r>
          </w:p>
        </w:tc>
        <w:tc>
          <w:tcPr>
            <w:tcW w:w="973" w:type="dxa"/>
            <w:vAlign w:val="center"/>
          </w:tcPr>
          <w:p w14:paraId="67037805" w14:textId="39A19B68" w:rsidR="00F61EF8" w:rsidRPr="002A56EE" w:rsidRDefault="00F61EF8" w:rsidP="00F61EF8">
            <w:pPr>
              <w:autoSpaceDE w:val="0"/>
              <w:autoSpaceDN w:val="0"/>
              <w:adjustRightInd w:val="0"/>
              <w:jc w:val="center"/>
              <w:rPr>
                <w:rFonts w:cstheme="minorHAnsi"/>
                <w:color w:val="0000FF"/>
              </w:rPr>
            </w:pPr>
            <w:r w:rsidRPr="002A56EE">
              <w:rPr>
                <w:color w:val="0000FF"/>
              </w:rPr>
              <w:t>1.000</w:t>
            </w:r>
          </w:p>
        </w:tc>
      </w:tr>
      <w:tr w:rsidR="00F61EF8" w:rsidRPr="008325E1" w14:paraId="4F1DFFBD" w14:textId="718675CA" w:rsidTr="00F61EF8">
        <w:tc>
          <w:tcPr>
            <w:tcW w:w="1433" w:type="dxa"/>
            <w:vAlign w:val="center"/>
          </w:tcPr>
          <w:p w14:paraId="50EF96B8" w14:textId="77777777" w:rsidR="00F61EF8" w:rsidRPr="008325E1" w:rsidRDefault="00F61EF8" w:rsidP="00F61EF8">
            <w:pPr>
              <w:autoSpaceDE w:val="0"/>
              <w:autoSpaceDN w:val="0"/>
              <w:adjustRightInd w:val="0"/>
              <w:jc w:val="center"/>
              <w:rPr>
                <w:rFonts w:cstheme="minorHAnsi"/>
                <w:color w:val="1111FB"/>
              </w:rPr>
            </w:pPr>
            <w:r w:rsidRPr="008325E1">
              <w:rPr>
                <w:rFonts w:cstheme="minorHAnsi"/>
                <w:color w:val="1111FB"/>
              </w:rPr>
              <w:t>Medicare</w:t>
            </w:r>
          </w:p>
        </w:tc>
        <w:tc>
          <w:tcPr>
            <w:tcW w:w="1093" w:type="dxa"/>
            <w:vAlign w:val="center"/>
          </w:tcPr>
          <w:p w14:paraId="37963C03" w14:textId="3841D157" w:rsidR="00F61EF8" w:rsidRPr="002A56EE" w:rsidRDefault="00F61EF8" w:rsidP="00F61EF8">
            <w:pPr>
              <w:autoSpaceDE w:val="0"/>
              <w:autoSpaceDN w:val="0"/>
              <w:adjustRightInd w:val="0"/>
              <w:jc w:val="center"/>
              <w:rPr>
                <w:color w:val="0000FF"/>
              </w:rPr>
            </w:pPr>
            <w:r w:rsidRPr="008325E1">
              <w:rPr>
                <w:rFonts w:cstheme="minorHAnsi"/>
                <w:color w:val="1111FB"/>
              </w:rPr>
              <w:t>0.739</w:t>
            </w:r>
          </w:p>
        </w:tc>
        <w:tc>
          <w:tcPr>
            <w:tcW w:w="986" w:type="dxa"/>
            <w:vAlign w:val="center"/>
          </w:tcPr>
          <w:p w14:paraId="1275DFF9" w14:textId="10917731" w:rsidR="00F61EF8" w:rsidRPr="002A56EE" w:rsidRDefault="00F61EF8" w:rsidP="00F61EF8">
            <w:pPr>
              <w:autoSpaceDE w:val="0"/>
              <w:autoSpaceDN w:val="0"/>
              <w:adjustRightInd w:val="0"/>
              <w:jc w:val="center"/>
              <w:rPr>
                <w:rFonts w:cstheme="minorHAnsi"/>
                <w:color w:val="0000FF"/>
              </w:rPr>
            </w:pPr>
            <w:r w:rsidRPr="002A56EE">
              <w:rPr>
                <w:color w:val="0000FF"/>
              </w:rPr>
              <w:t>0.402</w:t>
            </w:r>
          </w:p>
        </w:tc>
        <w:tc>
          <w:tcPr>
            <w:tcW w:w="973" w:type="dxa"/>
            <w:vAlign w:val="center"/>
          </w:tcPr>
          <w:p w14:paraId="441E9D8A" w14:textId="5EEEC655" w:rsidR="00F61EF8" w:rsidRPr="002A56EE" w:rsidRDefault="00F61EF8" w:rsidP="00F61EF8">
            <w:pPr>
              <w:autoSpaceDE w:val="0"/>
              <w:autoSpaceDN w:val="0"/>
              <w:adjustRightInd w:val="0"/>
              <w:jc w:val="center"/>
              <w:rPr>
                <w:rFonts w:cstheme="minorHAnsi"/>
                <w:color w:val="0000FF"/>
              </w:rPr>
            </w:pPr>
            <w:r w:rsidRPr="002A56EE">
              <w:rPr>
                <w:color w:val="0000FF"/>
              </w:rPr>
              <w:t>0.554</w:t>
            </w:r>
          </w:p>
        </w:tc>
        <w:tc>
          <w:tcPr>
            <w:tcW w:w="973" w:type="dxa"/>
            <w:vAlign w:val="center"/>
          </w:tcPr>
          <w:p w14:paraId="7B65418A" w14:textId="093B9176" w:rsidR="00F61EF8" w:rsidRPr="002A56EE" w:rsidRDefault="00F61EF8" w:rsidP="00F61EF8">
            <w:pPr>
              <w:autoSpaceDE w:val="0"/>
              <w:autoSpaceDN w:val="0"/>
              <w:adjustRightInd w:val="0"/>
              <w:jc w:val="center"/>
              <w:rPr>
                <w:rFonts w:cstheme="minorHAnsi"/>
                <w:color w:val="0000FF"/>
              </w:rPr>
            </w:pPr>
            <w:r w:rsidRPr="002A56EE">
              <w:rPr>
                <w:color w:val="0000FF"/>
              </w:rPr>
              <w:t>0.670</w:t>
            </w:r>
          </w:p>
        </w:tc>
        <w:tc>
          <w:tcPr>
            <w:tcW w:w="973" w:type="dxa"/>
            <w:vAlign w:val="center"/>
          </w:tcPr>
          <w:p w14:paraId="0CD82514" w14:textId="4D480288" w:rsidR="00F61EF8" w:rsidRPr="002A56EE" w:rsidRDefault="00F61EF8" w:rsidP="00F61EF8">
            <w:pPr>
              <w:autoSpaceDE w:val="0"/>
              <w:autoSpaceDN w:val="0"/>
              <w:adjustRightInd w:val="0"/>
              <w:jc w:val="center"/>
              <w:rPr>
                <w:rFonts w:cstheme="minorHAnsi"/>
                <w:color w:val="0000FF"/>
              </w:rPr>
            </w:pPr>
            <w:r w:rsidRPr="002A56EE">
              <w:rPr>
                <w:color w:val="0000FF"/>
              </w:rPr>
              <w:t>0.772</w:t>
            </w:r>
          </w:p>
        </w:tc>
        <w:tc>
          <w:tcPr>
            <w:tcW w:w="973" w:type="dxa"/>
            <w:vAlign w:val="center"/>
          </w:tcPr>
          <w:p w14:paraId="3ECFA6E7" w14:textId="5E95EAC1" w:rsidR="00F61EF8" w:rsidRPr="002A56EE" w:rsidRDefault="00F61EF8" w:rsidP="00F61EF8">
            <w:pPr>
              <w:autoSpaceDE w:val="0"/>
              <w:autoSpaceDN w:val="0"/>
              <w:adjustRightInd w:val="0"/>
              <w:jc w:val="center"/>
              <w:rPr>
                <w:rFonts w:cstheme="minorHAnsi"/>
                <w:color w:val="0000FF"/>
              </w:rPr>
            </w:pPr>
            <w:r w:rsidRPr="002A56EE">
              <w:rPr>
                <w:color w:val="0000FF"/>
              </w:rPr>
              <w:t>0.861</w:t>
            </w:r>
          </w:p>
        </w:tc>
        <w:tc>
          <w:tcPr>
            <w:tcW w:w="973" w:type="dxa"/>
            <w:vAlign w:val="center"/>
          </w:tcPr>
          <w:p w14:paraId="3217105C" w14:textId="385BD5AA" w:rsidR="00F61EF8" w:rsidRPr="002A56EE" w:rsidRDefault="00F61EF8" w:rsidP="00F61EF8">
            <w:pPr>
              <w:autoSpaceDE w:val="0"/>
              <w:autoSpaceDN w:val="0"/>
              <w:adjustRightInd w:val="0"/>
              <w:jc w:val="center"/>
              <w:rPr>
                <w:rFonts w:cstheme="minorHAnsi"/>
                <w:color w:val="0000FF"/>
              </w:rPr>
            </w:pPr>
            <w:r w:rsidRPr="002A56EE">
              <w:rPr>
                <w:color w:val="0000FF"/>
              </w:rPr>
              <w:t>0.919</w:t>
            </w:r>
          </w:p>
        </w:tc>
        <w:tc>
          <w:tcPr>
            <w:tcW w:w="973" w:type="dxa"/>
            <w:vAlign w:val="center"/>
          </w:tcPr>
          <w:p w14:paraId="4E61A7DD" w14:textId="3620B5A6" w:rsidR="00F61EF8" w:rsidRPr="002A56EE" w:rsidRDefault="00F61EF8" w:rsidP="00F61EF8">
            <w:pPr>
              <w:autoSpaceDE w:val="0"/>
              <w:autoSpaceDN w:val="0"/>
              <w:adjustRightInd w:val="0"/>
              <w:jc w:val="center"/>
              <w:rPr>
                <w:rFonts w:cstheme="minorHAnsi"/>
                <w:color w:val="0000FF"/>
              </w:rPr>
            </w:pPr>
            <w:r w:rsidRPr="002A56EE">
              <w:rPr>
                <w:color w:val="0000FF"/>
              </w:rPr>
              <w:t>0.976</w:t>
            </w:r>
          </w:p>
        </w:tc>
      </w:tr>
    </w:tbl>
    <w:p w14:paraId="74EB2D17" w14:textId="77777777" w:rsidR="00CB15CD" w:rsidRPr="00A55126" w:rsidRDefault="00CB15CD" w:rsidP="008C54A9">
      <w:pPr>
        <w:autoSpaceDE w:val="0"/>
        <w:autoSpaceDN w:val="0"/>
        <w:adjustRightInd w:val="0"/>
        <w:spacing w:after="0" w:line="240" w:lineRule="auto"/>
        <w:rPr>
          <w:rFonts w:cstheme="minorHAnsi"/>
          <w:bCs/>
          <w:color w:val="4F81BD" w:themeColor="accent1"/>
        </w:rPr>
      </w:pPr>
    </w:p>
    <w:p w14:paraId="70A78450" w14:textId="77777777" w:rsidR="00EC62CC"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604391F8" w14:textId="503AC811" w:rsidR="00BB55EC" w:rsidRDefault="007D105B" w:rsidP="00DB3627">
      <w:pPr>
        <w:autoSpaceDE w:val="0"/>
        <w:autoSpaceDN w:val="0"/>
        <w:adjustRightInd w:val="0"/>
        <w:spacing w:after="0" w:line="240" w:lineRule="auto"/>
        <w:rPr>
          <w:rFonts w:cstheme="minorHAnsi"/>
          <w:color w:val="1111FB"/>
        </w:rPr>
      </w:pPr>
      <w:r w:rsidRPr="00EC62CC">
        <w:rPr>
          <w:rFonts w:cstheme="minorHAnsi"/>
          <w:color w:val="1111FB"/>
        </w:rPr>
        <w:t xml:space="preserve">The values for the </w:t>
      </w:r>
      <w:r w:rsidR="00341B60">
        <w:rPr>
          <w:rFonts w:cstheme="minorHAnsi"/>
          <w:color w:val="1111FB"/>
        </w:rPr>
        <w:t xml:space="preserve">overall </w:t>
      </w:r>
      <w:r w:rsidRPr="00EC62CC">
        <w:rPr>
          <w:rFonts w:cstheme="minorHAnsi"/>
          <w:color w:val="1111FB"/>
        </w:rPr>
        <w:t xml:space="preserve">beta-binomial statistic across all product lines for the measure </w:t>
      </w:r>
      <w:r w:rsidR="00EC62CC">
        <w:rPr>
          <w:rFonts w:cstheme="minorHAnsi"/>
          <w:bCs/>
          <w:color w:val="1111FB"/>
        </w:rPr>
        <w:t xml:space="preserve">are all greater </w:t>
      </w:r>
      <w:r w:rsidR="00694176">
        <w:rPr>
          <w:rFonts w:cstheme="minorHAnsi"/>
          <w:bCs/>
          <w:color w:val="1111FB"/>
        </w:rPr>
        <w:t xml:space="preserve">than </w:t>
      </w:r>
      <w:r w:rsidR="00EC62CC">
        <w:rPr>
          <w:rFonts w:cstheme="minorHAnsi"/>
          <w:bCs/>
          <w:color w:val="1111FB"/>
        </w:rPr>
        <w:t>0.7, indicating</w:t>
      </w:r>
      <w:r>
        <w:rPr>
          <w:rFonts w:cstheme="minorHAnsi"/>
          <w:color w:val="1111FB"/>
        </w:rPr>
        <w:t xml:space="preserve"> the</w:t>
      </w:r>
      <w:r w:rsidRPr="00EC62CC">
        <w:rPr>
          <w:rFonts w:cstheme="minorHAnsi"/>
          <w:color w:val="1111FB"/>
        </w:rPr>
        <w:t xml:space="preserve"> measure has </w:t>
      </w:r>
      <w:r w:rsidR="00EC62CC">
        <w:rPr>
          <w:rFonts w:cstheme="minorHAnsi"/>
          <w:bCs/>
          <w:color w:val="1111FB"/>
        </w:rPr>
        <w:t>very good</w:t>
      </w:r>
      <w:r w:rsidRPr="00EC62CC">
        <w:rPr>
          <w:rFonts w:cstheme="minorHAnsi"/>
          <w:color w:val="1111FB"/>
        </w:rPr>
        <w:t xml:space="preserve"> reliability.</w:t>
      </w:r>
      <w:r w:rsidR="006B4C98">
        <w:rPr>
          <w:rFonts w:cstheme="minorHAnsi"/>
          <w:color w:val="1111FB"/>
        </w:rPr>
        <w:t xml:space="preserve"> </w:t>
      </w:r>
      <w:r w:rsidR="006B4C98" w:rsidRPr="006B4C98">
        <w:rPr>
          <w:rFonts w:cstheme="minorHAnsi"/>
          <w:color w:val="1111FB"/>
        </w:rPr>
        <w:t>The distribution of health plan level-reliability on this measure show</w:t>
      </w:r>
      <w:r w:rsidR="00AC25C7">
        <w:rPr>
          <w:rFonts w:cstheme="minorHAnsi"/>
          <w:color w:val="1111FB"/>
        </w:rPr>
        <w:t>s</w:t>
      </w:r>
      <w:r w:rsidR="006B4C98" w:rsidRPr="006B4C98">
        <w:rPr>
          <w:rFonts w:cstheme="minorHAnsi"/>
          <w:color w:val="1111FB"/>
        </w:rPr>
        <w:t xml:space="preserve"> </w:t>
      </w:r>
      <w:r w:rsidR="00DB060C">
        <w:rPr>
          <w:rFonts w:cstheme="minorHAnsi"/>
          <w:color w:val="1111FB"/>
        </w:rPr>
        <w:t xml:space="preserve">that </w:t>
      </w:r>
      <w:r w:rsidR="007539E1">
        <w:rPr>
          <w:rFonts w:cstheme="minorHAnsi"/>
          <w:color w:val="1111FB"/>
        </w:rPr>
        <w:t>approximately half</w:t>
      </w:r>
      <w:r w:rsidR="006B4C98" w:rsidRPr="006B4C98">
        <w:rPr>
          <w:rFonts w:cstheme="minorHAnsi"/>
          <w:color w:val="1111FB"/>
        </w:rPr>
        <w:t xml:space="preserve"> of health plans </w:t>
      </w:r>
      <w:r w:rsidR="00D77DA4">
        <w:rPr>
          <w:rFonts w:cstheme="minorHAnsi"/>
          <w:color w:val="1111FB"/>
        </w:rPr>
        <w:t>(across all product lines)</w:t>
      </w:r>
      <w:r w:rsidR="00041758">
        <w:rPr>
          <w:rFonts w:cstheme="minorHAnsi"/>
          <w:color w:val="1111FB"/>
        </w:rPr>
        <w:t xml:space="preserve"> </w:t>
      </w:r>
      <w:r w:rsidR="00A72B87">
        <w:rPr>
          <w:rFonts w:cstheme="minorHAnsi"/>
          <w:color w:val="1111FB"/>
        </w:rPr>
        <w:t xml:space="preserve">are </w:t>
      </w:r>
      <w:r w:rsidR="00041758">
        <w:rPr>
          <w:rFonts w:cstheme="minorHAnsi"/>
          <w:color w:val="1111FB"/>
        </w:rPr>
        <w:t xml:space="preserve">either </w:t>
      </w:r>
      <w:r w:rsidR="007539E1">
        <w:rPr>
          <w:rFonts w:cstheme="minorHAnsi"/>
          <w:color w:val="1111FB"/>
        </w:rPr>
        <w:t xml:space="preserve">right at the </w:t>
      </w:r>
      <w:r w:rsidR="006B4C98" w:rsidRPr="006B4C98">
        <w:rPr>
          <w:rFonts w:cstheme="minorHAnsi"/>
          <w:color w:val="1111FB"/>
        </w:rPr>
        <w:t>threshold of 0.</w:t>
      </w:r>
      <w:r w:rsidR="007539E1">
        <w:rPr>
          <w:rFonts w:cstheme="minorHAnsi"/>
          <w:color w:val="1111FB"/>
        </w:rPr>
        <w:t>7 or exceed it</w:t>
      </w:r>
      <w:r w:rsidR="006B4C98" w:rsidRPr="006B4C98">
        <w:rPr>
          <w:rFonts w:cstheme="minorHAnsi"/>
          <w:color w:val="1111FB"/>
        </w:rPr>
        <w:t xml:space="preserve">. </w:t>
      </w:r>
      <w:r w:rsidR="00AF4CE2">
        <w:rPr>
          <w:rFonts w:cstheme="minorHAnsi"/>
          <w:color w:val="1111FB"/>
        </w:rPr>
        <w:t>Good</w:t>
      </w:r>
      <w:r w:rsidR="006B4C98" w:rsidRPr="006B4C98">
        <w:rPr>
          <w:rFonts w:cstheme="minorHAnsi"/>
          <w:color w:val="1111FB"/>
        </w:rPr>
        <w:t xml:space="preserve"> reliability is demonstrated since </w:t>
      </w:r>
      <w:r w:rsidR="00C05BC1">
        <w:rPr>
          <w:rFonts w:cstheme="minorHAnsi"/>
          <w:color w:val="1111FB"/>
        </w:rPr>
        <w:t>most</w:t>
      </w:r>
      <w:r w:rsidR="006B4C98" w:rsidRPr="006B4C98">
        <w:rPr>
          <w:rFonts w:cstheme="minorHAnsi"/>
          <w:color w:val="1111FB"/>
        </w:rPr>
        <w:t xml:space="preserve"> variance is due to signal and not to noise. </w:t>
      </w:r>
    </w:p>
    <w:p w14:paraId="12122E07" w14:textId="77777777" w:rsidR="00BB55EC" w:rsidRDefault="00BB55EC" w:rsidP="00DB3627">
      <w:pPr>
        <w:autoSpaceDE w:val="0"/>
        <w:autoSpaceDN w:val="0"/>
        <w:adjustRightInd w:val="0"/>
        <w:spacing w:after="0" w:line="240" w:lineRule="auto"/>
        <w:rPr>
          <w:rFonts w:cstheme="minorHAnsi"/>
          <w:bCs/>
          <w:color w:val="4F81BD" w:themeColor="accent1"/>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7BD5F660" w:rsidR="00696262" w:rsidRPr="00A25024" w:rsidRDefault="008A27A9"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78333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5CE2FCD5" w:rsidR="000574AB" w:rsidRPr="00A25024" w:rsidRDefault="008A27A9"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78333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E03B5B">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4808592E" w14:textId="2DC49891" w:rsidR="00DE7003" w:rsidRPr="00F6688C" w:rsidRDefault="3EB13858" w:rsidP="3EB13858">
      <w:pPr>
        <w:autoSpaceDE w:val="0"/>
        <w:autoSpaceDN w:val="0"/>
        <w:adjustRightInd w:val="0"/>
        <w:spacing w:after="0" w:line="240" w:lineRule="auto"/>
        <w:rPr>
          <w:color w:val="1111FB"/>
        </w:rPr>
      </w:pPr>
      <w:r w:rsidRPr="3EB13858">
        <w:rPr>
          <w:b/>
          <w:bCs/>
        </w:rPr>
        <w:t>2b1.2. For each level of testing checked above, describe the method of validity testing and what it tests</w:t>
      </w:r>
      <w:r w:rsidRPr="3EB13858">
        <w:t xml:space="preserve"> (</w:t>
      </w:r>
      <w:r w:rsidRPr="3EB13858">
        <w:rPr>
          <w:i/>
          <w:iCs/>
        </w:rPr>
        <w:t>describe the steps―do not just name a method; what was tested, e.g., accuracy of data elements compared to authoritative source, relationship to another measure as expected; what statistical analysis was used)</w:t>
      </w:r>
      <w:r w:rsidR="009C7513">
        <w:br/>
      </w:r>
      <w:r w:rsidRPr="3EB13858">
        <w:rPr>
          <w:color w:val="1111FB"/>
        </w:rPr>
        <w:t>We tested for construct validity of the Persistence of Beta-Blocker Treatment After a Heart Attack (PBH) measure by exploring whether it was correlated with another similar measure of quality which is described below.</w:t>
      </w:r>
    </w:p>
    <w:p w14:paraId="549EA3E7" w14:textId="420FB6CB" w:rsidR="0092322C" w:rsidRPr="00900DC2" w:rsidRDefault="0092322C" w:rsidP="00900DC2">
      <w:pPr>
        <w:autoSpaceDE w:val="0"/>
        <w:autoSpaceDN w:val="0"/>
        <w:adjustRightInd w:val="0"/>
        <w:spacing w:after="0" w:line="240" w:lineRule="auto"/>
        <w:ind w:left="720"/>
        <w:rPr>
          <w:rFonts w:cstheme="minorHAnsi"/>
          <w:color w:val="1111FB"/>
        </w:rPr>
      </w:pPr>
      <w:r w:rsidRPr="00900DC2">
        <w:rPr>
          <w:rFonts w:cstheme="minorHAnsi"/>
          <w:color w:val="1111FB"/>
          <w:u w:val="single"/>
        </w:rPr>
        <w:t xml:space="preserve">Statin Therapy for Patients </w:t>
      </w:r>
      <w:r w:rsidR="00182DF0" w:rsidRPr="00900DC2">
        <w:rPr>
          <w:rFonts w:cstheme="minorHAnsi"/>
          <w:color w:val="1111FB"/>
          <w:u w:val="single"/>
        </w:rPr>
        <w:t>with</w:t>
      </w:r>
      <w:r w:rsidRPr="00900DC2">
        <w:rPr>
          <w:rFonts w:cstheme="minorHAnsi"/>
          <w:color w:val="1111FB"/>
          <w:u w:val="single"/>
        </w:rPr>
        <w:t xml:space="preserve"> Cardiovascular Disease (SPC</w:t>
      </w:r>
      <w:r w:rsidRPr="00900DC2">
        <w:rPr>
          <w:rFonts w:cstheme="minorHAnsi"/>
          <w:bCs/>
          <w:color w:val="1111FB"/>
          <w:u w:val="single"/>
        </w:rPr>
        <w:t>)</w:t>
      </w:r>
      <w:r w:rsidR="00BB4676" w:rsidRPr="00900DC2">
        <w:rPr>
          <w:rFonts w:cstheme="minorHAnsi"/>
          <w:bCs/>
          <w:color w:val="1111FB"/>
          <w:u w:val="single"/>
        </w:rPr>
        <w:t xml:space="preserve"> - Adherence 80%</w:t>
      </w:r>
      <w:r w:rsidRPr="00900DC2">
        <w:rPr>
          <w:rFonts w:cstheme="minorHAnsi"/>
          <w:bCs/>
          <w:color w:val="1111FB"/>
        </w:rPr>
        <w:t xml:space="preserve">: </w:t>
      </w:r>
      <w:r w:rsidRPr="00900DC2">
        <w:rPr>
          <w:rFonts w:cstheme="minorHAnsi"/>
          <w:color w:val="1111FB"/>
        </w:rPr>
        <w:t xml:space="preserve">The percentage of </w:t>
      </w:r>
      <w:r w:rsidR="001F2F6B" w:rsidRPr="00900DC2">
        <w:rPr>
          <w:rFonts w:cstheme="minorHAnsi"/>
          <w:bCs/>
          <w:color w:val="1111FB"/>
        </w:rPr>
        <w:t>adults</w:t>
      </w:r>
      <w:r w:rsidRPr="00900DC2">
        <w:rPr>
          <w:rFonts w:cstheme="minorHAnsi"/>
          <w:bCs/>
          <w:color w:val="1111FB"/>
        </w:rPr>
        <w:t xml:space="preserve"> </w:t>
      </w:r>
      <w:r w:rsidR="001F2F6B" w:rsidRPr="00900DC2">
        <w:rPr>
          <w:rFonts w:cstheme="minorHAnsi"/>
          <w:bCs/>
          <w:color w:val="1111FB"/>
        </w:rPr>
        <w:t>with</w:t>
      </w:r>
      <w:r w:rsidRPr="00900DC2">
        <w:rPr>
          <w:rFonts w:cstheme="minorHAnsi"/>
          <w:color w:val="1111FB"/>
        </w:rPr>
        <w:t xml:space="preserve"> clinical atherosclerotic cardiovascular disease </w:t>
      </w:r>
      <w:r w:rsidRPr="00900DC2">
        <w:rPr>
          <w:rFonts w:cstheme="minorHAnsi"/>
          <w:bCs/>
          <w:color w:val="1111FB"/>
        </w:rPr>
        <w:t xml:space="preserve">who </w:t>
      </w:r>
      <w:r w:rsidR="001F2F6B" w:rsidRPr="00900DC2">
        <w:rPr>
          <w:rFonts w:cstheme="minorHAnsi"/>
          <w:bCs/>
          <w:color w:val="1111FB"/>
        </w:rPr>
        <w:t>received</w:t>
      </w:r>
      <w:r w:rsidRPr="00900DC2">
        <w:rPr>
          <w:rFonts w:cstheme="minorHAnsi"/>
          <w:color w:val="1111FB"/>
        </w:rPr>
        <w:t xml:space="preserve"> a statin medication </w:t>
      </w:r>
      <w:r w:rsidR="001F2F6B" w:rsidRPr="00900DC2">
        <w:rPr>
          <w:rFonts w:cstheme="minorHAnsi"/>
          <w:bCs/>
          <w:color w:val="1111FB"/>
        </w:rPr>
        <w:t xml:space="preserve">and </w:t>
      </w:r>
      <w:r w:rsidR="00FA169F" w:rsidRPr="00900DC2">
        <w:rPr>
          <w:rFonts w:cstheme="minorHAnsi"/>
          <w:bCs/>
          <w:color w:val="1111FB"/>
        </w:rPr>
        <w:t>achieved an</w:t>
      </w:r>
      <w:r w:rsidRPr="00900DC2">
        <w:rPr>
          <w:rFonts w:cstheme="minorHAnsi"/>
          <w:color w:val="1111FB"/>
        </w:rPr>
        <w:t xml:space="preserve"> 80% </w:t>
      </w:r>
      <w:r w:rsidR="00FA169F" w:rsidRPr="00900DC2">
        <w:rPr>
          <w:rFonts w:cstheme="minorHAnsi"/>
          <w:bCs/>
          <w:color w:val="1111FB"/>
        </w:rPr>
        <w:t>adherence threshold during t</w:t>
      </w:r>
      <w:r w:rsidRPr="00900DC2">
        <w:rPr>
          <w:rFonts w:cstheme="minorHAnsi"/>
          <w:bCs/>
          <w:color w:val="1111FB"/>
        </w:rPr>
        <w:t xml:space="preserve">he </w:t>
      </w:r>
      <w:r w:rsidRPr="00900DC2">
        <w:rPr>
          <w:rFonts w:cstheme="minorHAnsi"/>
          <w:color w:val="1111FB"/>
        </w:rPr>
        <w:t>treatment period.</w:t>
      </w:r>
    </w:p>
    <w:p w14:paraId="2FA1A9DF" w14:textId="77777777" w:rsidR="00703F05" w:rsidRPr="00F6688C" w:rsidRDefault="00703F05" w:rsidP="00703F05">
      <w:pPr>
        <w:autoSpaceDE w:val="0"/>
        <w:autoSpaceDN w:val="0"/>
        <w:adjustRightInd w:val="0"/>
        <w:spacing w:after="0" w:line="240" w:lineRule="auto"/>
        <w:ind w:left="1080"/>
        <w:rPr>
          <w:rFonts w:cstheme="minorHAnsi"/>
          <w:bCs/>
          <w:color w:val="1111FB"/>
        </w:rPr>
      </w:pPr>
    </w:p>
    <w:p w14:paraId="7B5AD215" w14:textId="384ACE8D" w:rsidR="00191F78" w:rsidRPr="00F6688C" w:rsidRDefault="00191F78" w:rsidP="00191F78">
      <w:pPr>
        <w:autoSpaceDE w:val="0"/>
        <w:autoSpaceDN w:val="0"/>
        <w:adjustRightInd w:val="0"/>
        <w:spacing w:after="0" w:line="240" w:lineRule="auto"/>
        <w:rPr>
          <w:rFonts w:cstheme="minorHAnsi"/>
          <w:color w:val="1111FB"/>
        </w:rPr>
      </w:pPr>
      <w:r w:rsidRPr="00F6688C">
        <w:rPr>
          <w:rFonts w:cstheme="minorHAnsi"/>
          <w:color w:val="1111FB"/>
        </w:rPr>
        <w:t xml:space="preserve">This measure was chosen for construct validity testing because </w:t>
      </w:r>
      <w:r w:rsidR="009A346D" w:rsidRPr="00F6688C">
        <w:rPr>
          <w:rFonts w:cstheme="minorHAnsi"/>
          <w:bCs/>
          <w:color w:val="1111FB"/>
        </w:rPr>
        <w:t>it is similarly focused on a population with cardiovascular disease and includes an assessment of</w:t>
      </w:r>
      <w:r w:rsidR="00261F22" w:rsidRPr="00F6688C">
        <w:rPr>
          <w:rFonts w:cstheme="minorHAnsi"/>
          <w:bCs/>
          <w:color w:val="1111FB"/>
        </w:rPr>
        <w:t xml:space="preserve"> </w:t>
      </w:r>
      <w:r w:rsidR="00520F05" w:rsidRPr="00F6688C">
        <w:rPr>
          <w:rFonts w:cstheme="minorHAnsi"/>
          <w:color w:val="1111FB"/>
        </w:rPr>
        <w:t xml:space="preserve">medication adherence </w:t>
      </w:r>
      <w:r w:rsidR="006860E5" w:rsidRPr="00F6688C">
        <w:rPr>
          <w:rFonts w:cstheme="minorHAnsi"/>
          <w:bCs/>
          <w:color w:val="1111FB"/>
        </w:rPr>
        <w:t>during a specified timeframe</w:t>
      </w:r>
      <w:r w:rsidR="00520F05" w:rsidRPr="00F6688C">
        <w:rPr>
          <w:rFonts w:cstheme="minorHAnsi"/>
          <w:bCs/>
          <w:color w:val="1111FB"/>
        </w:rPr>
        <w:t>. We</w:t>
      </w:r>
      <w:r w:rsidR="00520F05" w:rsidRPr="00F6688C">
        <w:rPr>
          <w:rFonts w:cstheme="minorHAnsi"/>
          <w:color w:val="1111FB"/>
        </w:rPr>
        <w:t xml:space="preserve"> hypothesized </w:t>
      </w:r>
      <w:r w:rsidR="00520F05" w:rsidRPr="008A27A9">
        <w:rPr>
          <w:rFonts w:cstheme="minorHAnsi"/>
          <w:color w:val="1111FB"/>
        </w:rPr>
        <w:t>that</w:t>
      </w:r>
      <w:r w:rsidR="00647FF2" w:rsidRPr="008A27A9">
        <w:rPr>
          <w:rFonts w:cstheme="minorHAnsi"/>
          <w:color w:val="1111FB"/>
        </w:rPr>
        <w:t xml:space="preserve">, irrespective of an event-based or diagnosis-based measure, </w:t>
      </w:r>
      <w:r w:rsidR="00520F05" w:rsidRPr="008A27A9">
        <w:rPr>
          <w:rFonts w:cstheme="minorHAnsi"/>
          <w:color w:val="1111FB"/>
        </w:rPr>
        <w:t xml:space="preserve">a </w:t>
      </w:r>
      <w:r w:rsidR="00647FF2" w:rsidRPr="008A27A9">
        <w:rPr>
          <w:rFonts w:cstheme="minorHAnsi"/>
          <w:color w:val="1111FB"/>
        </w:rPr>
        <w:t xml:space="preserve">health </w:t>
      </w:r>
      <w:r w:rsidR="00520F05" w:rsidRPr="008A27A9">
        <w:rPr>
          <w:rFonts w:cstheme="minorHAnsi"/>
          <w:color w:val="1111FB"/>
        </w:rPr>
        <w:t xml:space="preserve">plan that does well on </w:t>
      </w:r>
      <w:r w:rsidR="00FF1135" w:rsidRPr="008A27A9">
        <w:rPr>
          <w:rFonts w:cstheme="minorHAnsi"/>
          <w:bCs/>
          <w:color w:val="1111FB"/>
        </w:rPr>
        <w:t>the</w:t>
      </w:r>
      <w:r w:rsidR="00520F05" w:rsidRPr="008A27A9">
        <w:rPr>
          <w:rFonts w:cstheme="minorHAnsi"/>
          <w:bCs/>
          <w:color w:val="1111FB"/>
        </w:rPr>
        <w:t xml:space="preserve"> </w:t>
      </w:r>
      <w:r w:rsidR="00261F22" w:rsidRPr="008A27A9">
        <w:rPr>
          <w:rFonts w:cstheme="minorHAnsi"/>
          <w:bCs/>
          <w:color w:val="1111FB"/>
        </w:rPr>
        <w:t>s</w:t>
      </w:r>
      <w:r w:rsidR="00520F05" w:rsidRPr="008A27A9">
        <w:rPr>
          <w:rFonts w:cstheme="minorHAnsi"/>
          <w:bCs/>
          <w:color w:val="1111FB"/>
        </w:rPr>
        <w:t>tatin</w:t>
      </w:r>
      <w:r w:rsidR="00520F05" w:rsidRPr="008A27A9">
        <w:rPr>
          <w:rFonts w:cstheme="minorHAnsi"/>
          <w:color w:val="1111FB"/>
        </w:rPr>
        <w:t xml:space="preserve"> adherence measure for cardiovascular disease would also do well on a</w:t>
      </w:r>
      <w:bookmarkStart w:id="11" w:name="_GoBack"/>
      <w:bookmarkEnd w:id="11"/>
      <w:r w:rsidR="00520F05" w:rsidRPr="00F6688C">
        <w:rPr>
          <w:rFonts w:cstheme="minorHAnsi"/>
          <w:color w:val="1111FB"/>
        </w:rPr>
        <w:t xml:space="preserve"> </w:t>
      </w:r>
      <w:r w:rsidR="00F6688C" w:rsidRPr="00F6688C">
        <w:rPr>
          <w:rFonts w:cstheme="minorHAnsi"/>
          <w:bCs/>
          <w:color w:val="1111FB"/>
        </w:rPr>
        <w:t xml:space="preserve">measure </w:t>
      </w:r>
      <w:r w:rsidR="00520F05" w:rsidRPr="00F6688C">
        <w:rPr>
          <w:rFonts w:cstheme="minorHAnsi"/>
          <w:color w:val="1111FB"/>
        </w:rPr>
        <w:t>of beta</w:t>
      </w:r>
      <w:r w:rsidR="00F6688C" w:rsidRPr="00F6688C">
        <w:rPr>
          <w:rFonts w:cstheme="minorHAnsi"/>
          <w:bCs/>
          <w:color w:val="1111FB"/>
        </w:rPr>
        <w:t xml:space="preserve"> </w:t>
      </w:r>
      <w:r w:rsidR="00520F05" w:rsidRPr="00F6688C">
        <w:rPr>
          <w:rFonts w:cstheme="minorHAnsi"/>
          <w:color w:val="1111FB"/>
        </w:rPr>
        <w:t xml:space="preserve">blocker </w:t>
      </w:r>
      <w:r w:rsidR="00520F05" w:rsidRPr="00F6688C">
        <w:rPr>
          <w:rFonts w:cstheme="minorHAnsi"/>
          <w:bCs/>
          <w:color w:val="1111FB"/>
        </w:rPr>
        <w:t>persistence</w:t>
      </w:r>
      <w:r w:rsidR="00FF1135">
        <w:rPr>
          <w:rFonts w:cstheme="minorHAnsi"/>
          <w:bCs/>
          <w:color w:val="1111FB"/>
        </w:rPr>
        <w:t xml:space="preserve"> for patients who have had a heart attack</w:t>
      </w:r>
      <w:r w:rsidR="0078036F" w:rsidRPr="00F6688C">
        <w:rPr>
          <w:rFonts w:cstheme="minorHAnsi"/>
          <w:color w:val="1111FB"/>
        </w:rPr>
        <w:t>.</w:t>
      </w:r>
    </w:p>
    <w:p w14:paraId="09C93F64" w14:textId="2F7B2B2E" w:rsidR="009E6AFC" w:rsidRPr="00F6688C" w:rsidRDefault="009E6AFC" w:rsidP="009E6AFC">
      <w:pPr>
        <w:autoSpaceDE w:val="0"/>
        <w:autoSpaceDN w:val="0"/>
        <w:adjustRightInd w:val="0"/>
        <w:spacing w:after="0" w:line="240" w:lineRule="auto"/>
        <w:rPr>
          <w:rFonts w:cstheme="minorHAnsi"/>
          <w:color w:val="1111FB"/>
        </w:rPr>
      </w:pPr>
    </w:p>
    <w:p w14:paraId="23345310" w14:textId="33D9D9C5" w:rsidR="009E6AFC" w:rsidRPr="00FB30E6" w:rsidRDefault="001151DB" w:rsidP="009E6AFC">
      <w:pPr>
        <w:autoSpaceDE w:val="0"/>
        <w:autoSpaceDN w:val="0"/>
        <w:adjustRightInd w:val="0"/>
        <w:spacing w:after="0" w:line="240" w:lineRule="auto"/>
        <w:rPr>
          <w:rFonts w:cstheme="minorHAnsi"/>
          <w:color w:val="1111FB"/>
        </w:rPr>
      </w:pPr>
      <w:r w:rsidRPr="00F6688C">
        <w:rPr>
          <w:rFonts w:cstheme="minorHAnsi"/>
          <w:color w:val="1111FB"/>
        </w:rPr>
        <w:t xml:space="preserve">To test </w:t>
      </w:r>
      <w:r w:rsidRPr="00F6688C">
        <w:rPr>
          <w:rFonts w:cstheme="minorHAnsi"/>
          <w:bCs/>
          <w:color w:val="1111FB"/>
        </w:rPr>
        <w:t>th</w:t>
      </w:r>
      <w:r w:rsidR="00261F22" w:rsidRPr="00F6688C">
        <w:rPr>
          <w:rFonts w:cstheme="minorHAnsi"/>
          <w:bCs/>
          <w:color w:val="1111FB"/>
        </w:rPr>
        <w:t>is</w:t>
      </w:r>
      <w:r w:rsidRPr="00F6688C">
        <w:rPr>
          <w:rFonts w:cstheme="minorHAnsi"/>
          <w:color w:val="1111FB"/>
        </w:rPr>
        <w:t xml:space="preserve"> correlation, we used a Pearson correlation test. This test estimates the strength of the linear association between two continuous variables; the magnitude of correlation ranges from -1 </w:t>
      </w:r>
      <w:r w:rsidR="000B0E87" w:rsidRPr="00F6688C">
        <w:rPr>
          <w:rFonts w:cstheme="minorHAnsi"/>
          <w:color w:val="1111FB"/>
        </w:rPr>
        <w:t xml:space="preserve">to </w:t>
      </w:r>
      <w:r w:rsidRPr="00F6688C">
        <w:rPr>
          <w:rFonts w:cstheme="minorHAnsi"/>
          <w:color w:val="1111FB"/>
        </w:rPr>
        <w:t xml:space="preserve">+1. A value of 1 indicates a perfect linear dependence in which increasing values on one variable is associated </w:t>
      </w:r>
      <w:r w:rsidRPr="00FB30E6">
        <w:rPr>
          <w:rFonts w:cstheme="minorHAnsi"/>
          <w:color w:val="1111FB"/>
        </w:rPr>
        <w:t>with increasing values of the second variable. A value of 0 indicates no linear association. A value of -1 indicates a perfect linear relationship in which increasing values of the first variable is associated with decreasing values of the second variable.</w:t>
      </w:r>
      <w:r w:rsidR="007365F1" w:rsidRPr="00FB30E6">
        <w:rPr>
          <w:rFonts w:cstheme="minorHAnsi"/>
          <w:color w:val="1111FB"/>
        </w:rPr>
        <w:t xml:space="preserve"> Coefficients with absolute value</w:t>
      </w:r>
      <w:r w:rsidR="0070282B" w:rsidRPr="00FB30E6">
        <w:rPr>
          <w:rFonts w:cstheme="minorHAnsi"/>
          <w:color w:val="1111FB"/>
        </w:rPr>
        <w:t xml:space="preserve"> of less than 0.3 are generally considered indicative of weak associations whereas absolute values of 0.3 or higher denote moderate to strong associations. The significance of a correlation coefficient is evaluated by testing the hypothesis that an observed coefficient calculated for the sample is different from zero. The resulting p-value indicates </w:t>
      </w:r>
      <w:r w:rsidR="001B5F90" w:rsidRPr="00FB30E6">
        <w:rPr>
          <w:rFonts w:cstheme="minorHAnsi"/>
          <w:color w:val="1111FB"/>
        </w:rPr>
        <w:t>the probability of obtaining a difference at least as large as the one observed due to chance alone. We used a threshold of 0.05 to evaluate the test results. P-values less than this threshold imply that it is unlikely that a non-zero coefficient was observed due to chance alone.</w:t>
      </w:r>
    </w:p>
    <w:p w14:paraId="7E099FDB" w14:textId="52468BEB" w:rsidR="00C84691" w:rsidRPr="00FB30E6" w:rsidRDefault="00C84691" w:rsidP="009E6AFC">
      <w:pPr>
        <w:autoSpaceDE w:val="0"/>
        <w:autoSpaceDN w:val="0"/>
        <w:adjustRightInd w:val="0"/>
        <w:spacing w:after="0" w:line="240" w:lineRule="auto"/>
        <w:rPr>
          <w:rFonts w:cstheme="minorHAnsi"/>
          <w:color w:val="1111FB"/>
        </w:rPr>
      </w:pPr>
    </w:p>
    <w:p w14:paraId="60BB3CCF" w14:textId="714331AA" w:rsidR="009B7AC3" w:rsidRPr="00FB30E6" w:rsidRDefault="009B7AC3" w:rsidP="00A93EC6">
      <w:pPr>
        <w:pStyle w:val="paragraph"/>
        <w:spacing w:before="0" w:beforeAutospacing="0" w:after="0" w:afterAutospacing="0"/>
        <w:textAlignment w:val="baseline"/>
        <w:rPr>
          <w:rStyle w:val="normaltextrun"/>
          <w:rFonts w:asciiTheme="minorHAnsi" w:hAnsiTheme="minorHAnsi" w:cs="Segoe UI"/>
          <w:i/>
          <w:color w:val="1111FB"/>
          <w:sz w:val="22"/>
          <w:szCs w:val="22"/>
        </w:rPr>
      </w:pPr>
      <w:r w:rsidRPr="00FB30E6">
        <w:rPr>
          <w:rStyle w:val="normaltextrun"/>
          <w:rFonts w:asciiTheme="minorHAnsi" w:hAnsiTheme="minorHAnsi" w:cs="Segoe UI"/>
          <w:i/>
          <w:color w:val="1111FB"/>
          <w:sz w:val="22"/>
          <w:szCs w:val="22"/>
        </w:rPr>
        <w:t>*</w:t>
      </w:r>
      <w:r w:rsidR="007F39C9" w:rsidRPr="00FB30E6">
        <w:rPr>
          <w:rStyle w:val="normaltextrun"/>
          <w:rFonts w:asciiTheme="minorHAnsi" w:hAnsiTheme="minorHAnsi" w:cs="Segoe UI"/>
          <w:i/>
          <w:color w:val="1111FB"/>
          <w:sz w:val="22"/>
          <w:szCs w:val="22"/>
        </w:rPr>
        <w:t xml:space="preserve"> </w:t>
      </w:r>
      <w:r w:rsidRPr="00FB30E6">
        <w:rPr>
          <w:rStyle w:val="normaltextrun"/>
          <w:rFonts w:asciiTheme="minorHAnsi" w:hAnsiTheme="minorHAnsi" w:cs="Segoe UI"/>
          <w:i/>
          <w:color w:val="1111FB"/>
          <w:sz w:val="22"/>
          <w:szCs w:val="22"/>
        </w:rPr>
        <w:t>Note: All HEDIS value sets are updated annually</w:t>
      </w:r>
      <w:r w:rsidR="003F7F6E" w:rsidRPr="00FB30E6">
        <w:rPr>
          <w:rStyle w:val="normaltextrun"/>
          <w:rFonts w:asciiTheme="minorHAnsi" w:hAnsiTheme="minorHAnsi" w:cs="Segoe UI"/>
          <w:i/>
          <w:color w:val="1111FB"/>
          <w:sz w:val="22"/>
          <w:szCs w:val="22"/>
        </w:rPr>
        <w:t xml:space="preserve"> with the most current cod</w:t>
      </w:r>
      <w:r w:rsidR="007F39C9" w:rsidRPr="00FB30E6">
        <w:rPr>
          <w:rStyle w:val="normaltextrun"/>
          <w:rFonts w:asciiTheme="minorHAnsi" w:hAnsiTheme="minorHAnsi" w:cs="Segoe UI"/>
          <w:i/>
          <w:color w:val="1111FB"/>
          <w:sz w:val="22"/>
          <w:szCs w:val="22"/>
        </w:rPr>
        <w:t>es available</w:t>
      </w:r>
      <w:r w:rsidR="003F7F6E" w:rsidRPr="00FB30E6">
        <w:rPr>
          <w:rStyle w:val="normaltextrun"/>
          <w:rFonts w:asciiTheme="minorHAnsi" w:hAnsiTheme="minorHAnsi" w:cs="Segoe UI"/>
          <w:i/>
          <w:color w:val="1111FB"/>
          <w:sz w:val="22"/>
          <w:szCs w:val="22"/>
        </w:rPr>
        <w:t>. The information below details the process we used to convert value sets that used ICD-9 codes to ICD-10 codes in 2015. *</w:t>
      </w:r>
    </w:p>
    <w:p w14:paraId="7374219D" w14:textId="77777777" w:rsidR="009B7AC3" w:rsidRPr="00FB30E6" w:rsidRDefault="009B7AC3" w:rsidP="00A93EC6">
      <w:pPr>
        <w:pStyle w:val="paragraph"/>
        <w:spacing w:before="0" w:beforeAutospacing="0" w:after="0" w:afterAutospacing="0"/>
        <w:textAlignment w:val="baseline"/>
        <w:rPr>
          <w:rStyle w:val="normaltextrun"/>
          <w:rFonts w:asciiTheme="minorHAnsi" w:hAnsiTheme="minorHAnsi" w:cs="Segoe UI"/>
          <w:color w:val="1111FB"/>
          <w:sz w:val="22"/>
          <w:szCs w:val="22"/>
          <w:u w:val="single"/>
        </w:rPr>
      </w:pPr>
    </w:p>
    <w:p w14:paraId="17FA0605" w14:textId="5DC6FED9" w:rsidR="00A93EC6" w:rsidRPr="00FB30E6" w:rsidRDefault="00A93EC6" w:rsidP="00A93EC6">
      <w:pPr>
        <w:pStyle w:val="paragraph"/>
        <w:spacing w:before="0" w:beforeAutospacing="0" w:after="0" w:afterAutospacing="0"/>
        <w:textAlignment w:val="baseline"/>
        <w:rPr>
          <w:rFonts w:asciiTheme="minorHAnsi" w:hAnsiTheme="minorHAnsi" w:cs="Segoe UI"/>
          <w:color w:val="1111FB"/>
          <w:sz w:val="22"/>
          <w:szCs w:val="22"/>
        </w:rPr>
      </w:pPr>
      <w:r w:rsidRPr="00FB30E6">
        <w:rPr>
          <w:rStyle w:val="normaltextrun"/>
          <w:rFonts w:asciiTheme="minorHAnsi" w:hAnsiTheme="minorHAnsi" w:cs="Segoe UI"/>
          <w:color w:val="1111FB"/>
          <w:sz w:val="22"/>
          <w:szCs w:val="22"/>
          <w:u w:val="single"/>
        </w:rPr>
        <w:t xml:space="preserve">ICD-10 </w:t>
      </w:r>
      <w:r w:rsidR="009B26EE">
        <w:rPr>
          <w:rStyle w:val="normaltextrun"/>
          <w:rFonts w:asciiTheme="minorHAnsi" w:hAnsiTheme="minorHAnsi" w:cs="Segoe UI"/>
          <w:color w:val="1111FB"/>
          <w:sz w:val="22"/>
          <w:szCs w:val="22"/>
          <w:u w:val="single"/>
        </w:rPr>
        <w:t>Conversion</w:t>
      </w:r>
      <w:r w:rsidRPr="00FB30E6">
        <w:rPr>
          <w:rStyle w:val="normaltextrun"/>
          <w:rFonts w:asciiTheme="minorHAnsi" w:hAnsiTheme="minorHAnsi" w:cs="Segoe UI"/>
          <w:color w:val="1111FB"/>
          <w:sz w:val="22"/>
          <w:szCs w:val="22"/>
          <w:u w:val="single"/>
        </w:rPr>
        <w:t>:</w:t>
      </w:r>
      <w:r w:rsidRPr="00FB30E6">
        <w:rPr>
          <w:rStyle w:val="normaltextrun"/>
          <w:rFonts w:asciiTheme="minorHAnsi" w:hAnsiTheme="minorHAnsi" w:cs="Arial"/>
          <w:color w:val="1111FB"/>
          <w:sz w:val="22"/>
          <w:szCs w:val="22"/>
        </w:rPr>
        <w:t> </w:t>
      </w:r>
      <w:r w:rsidRPr="00FB30E6">
        <w:rPr>
          <w:rStyle w:val="eop"/>
          <w:rFonts w:asciiTheme="minorHAnsi" w:hAnsiTheme="minorHAnsi" w:cs="Segoe UI"/>
          <w:color w:val="1111FB"/>
          <w:sz w:val="22"/>
          <w:szCs w:val="22"/>
        </w:rPr>
        <w:t> </w:t>
      </w:r>
    </w:p>
    <w:p w14:paraId="6DC5A436" w14:textId="77777777" w:rsidR="00A93EC6" w:rsidRPr="00FB30E6" w:rsidRDefault="00A93EC6" w:rsidP="00A93EC6">
      <w:pPr>
        <w:pStyle w:val="paragraph"/>
        <w:spacing w:before="0" w:beforeAutospacing="0" w:after="0" w:afterAutospacing="0"/>
        <w:textAlignment w:val="baseline"/>
        <w:rPr>
          <w:rFonts w:asciiTheme="minorHAnsi" w:hAnsiTheme="minorHAnsi" w:cs="Segoe UI"/>
          <w:color w:val="1111FB"/>
          <w:sz w:val="22"/>
          <w:szCs w:val="22"/>
        </w:rPr>
      </w:pPr>
      <w:r w:rsidRPr="00FB30E6">
        <w:rPr>
          <w:rStyle w:val="normaltextrun"/>
          <w:rFonts w:asciiTheme="minorHAnsi" w:hAnsiTheme="minorHAnsi" w:cs="Segoe UI"/>
          <w:color w:val="1111FB"/>
          <w:sz w:val="22"/>
          <w:szCs w:val="22"/>
        </w:rPr>
        <w:t>In preparation for the national implementation of ICD-10 in 2015, NCQA conducted a systematic mapping of all value sets maintained by the organization to ensure the new values used for reporting maintained the reliability, validity and intent of the original specification.</w:t>
      </w:r>
      <w:r w:rsidRPr="00FB30E6">
        <w:rPr>
          <w:rStyle w:val="normaltextrun"/>
          <w:rFonts w:asciiTheme="minorHAnsi" w:hAnsiTheme="minorHAnsi" w:cs="Arial"/>
          <w:color w:val="1111FB"/>
          <w:sz w:val="22"/>
          <w:szCs w:val="22"/>
        </w:rPr>
        <w:t>  </w:t>
      </w:r>
      <w:r w:rsidRPr="00FB30E6">
        <w:rPr>
          <w:rStyle w:val="eop"/>
          <w:rFonts w:asciiTheme="minorHAnsi" w:hAnsiTheme="minorHAnsi" w:cs="Segoe UI"/>
          <w:color w:val="1111FB"/>
          <w:sz w:val="22"/>
          <w:szCs w:val="22"/>
        </w:rPr>
        <w:t> </w:t>
      </w:r>
    </w:p>
    <w:p w14:paraId="5239A6E0" w14:textId="77777777" w:rsidR="00A93EC6" w:rsidRPr="00FB30E6" w:rsidRDefault="00A93EC6" w:rsidP="00A93EC6">
      <w:pPr>
        <w:pStyle w:val="paragraph"/>
        <w:spacing w:before="0" w:beforeAutospacing="0" w:after="0" w:afterAutospacing="0"/>
        <w:textAlignment w:val="baseline"/>
        <w:rPr>
          <w:rFonts w:asciiTheme="minorHAnsi" w:hAnsiTheme="minorHAnsi" w:cs="Segoe UI"/>
          <w:color w:val="1111FB"/>
          <w:sz w:val="22"/>
          <w:szCs w:val="22"/>
        </w:rPr>
      </w:pPr>
      <w:r w:rsidRPr="00FB30E6">
        <w:rPr>
          <w:rStyle w:val="normaltextrun"/>
          <w:rFonts w:asciiTheme="minorHAnsi" w:hAnsiTheme="minorHAnsi" w:cs="Arial"/>
          <w:color w:val="1111FB"/>
          <w:sz w:val="22"/>
          <w:szCs w:val="22"/>
        </w:rPr>
        <w:t> </w:t>
      </w:r>
      <w:r w:rsidRPr="00FB30E6">
        <w:rPr>
          <w:rStyle w:val="eop"/>
          <w:rFonts w:asciiTheme="minorHAnsi" w:hAnsiTheme="minorHAnsi" w:cs="Segoe UI"/>
          <w:color w:val="1111FB"/>
          <w:sz w:val="22"/>
          <w:szCs w:val="22"/>
        </w:rPr>
        <w:t> </w:t>
      </w:r>
    </w:p>
    <w:p w14:paraId="08C3B193" w14:textId="0FF133AB" w:rsidR="00A93EC6" w:rsidRPr="00FB30E6" w:rsidRDefault="00A93EC6" w:rsidP="00A93EC6">
      <w:pPr>
        <w:pStyle w:val="paragraph"/>
        <w:spacing w:before="0" w:beforeAutospacing="0" w:after="0" w:afterAutospacing="0"/>
        <w:textAlignment w:val="baseline"/>
        <w:rPr>
          <w:rStyle w:val="normaltextrun"/>
          <w:rFonts w:asciiTheme="minorHAnsi" w:hAnsiTheme="minorHAnsi" w:cs="Arial"/>
          <w:color w:val="1111FB"/>
          <w:sz w:val="22"/>
          <w:szCs w:val="22"/>
        </w:rPr>
      </w:pPr>
      <w:r w:rsidRPr="00FB30E6">
        <w:rPr>
          <w:rStyle w:val="normaltextrun"/>
          <w:rFonts w:asciiTheme="minorHAnsi" w:hAnsiTheme="minorHAnsi" w:cs="Segoe UI"/>
          <w:color w:val="1111FB"/>
          <w:sz w:val="22"/>
          <w:szCs w:val="22"/>
        </w:rPr>
        <w:t>Steps in ICD-9 to ICD-10 Conversion Process</w:t>
      </w:r>
    </w:p>
    <w:p w14:paraId="0D998854" w14:textId="77777777" w:rsidR="00FB30E6" w:rsidRPr="00FB30E6" w:rsidRDefault="00A93EC6" w:rsidP="00A93EC6">
      <w:pPr>
        <w:pStyle w:val="paragraph"/>
        <w:numPr>
          <w:ilvl w:val="0"/>
          <w:numId w:val="44"/>
        </w:numPr>
        <w:spacing w:before="0" w:beforeAutospacing="0" w:after="0" w:afterAutospacing="0"/>
        <w:textAlignment w:val="baseline"/>
        <w:rPr>
          <w:rFonts w:asciiTheme="minorHAnsi" w:hAnsiTheme="minorHAnsi" w:cs="Segoe UI"/>
          <w:color w:val="1111FB"/>
          <w:sz w:val="22"/>
          <w:szCs w:val="22"/>
        </w:rPr>
      </w:pPr>
      <w:r w:rsidRPr="00FB30E6">
        <w:rPr>
          <w:rStyle w:val="normaltextrun"/>
          <w:rFonts w:asciiTheme="minorHAnsi" w:hAnsiTheme="minorHAnsi" w:cs="Segoe UI"/>
          <w:color w:val="1111FB"/>
          <w:sz w:val="22"/>
          <w:szCs w:val="22"/>
        </w:rPr>
        <w:t>NCQA first identified value sets within the measure that included ICD-9 codes. We used General Equivalence Mapping (GEM)</w:t>
      </w:r>
      <w:r w:rsidR="00212A36" w:rsidRPr="00FB30E6">
        <w:rPr>
          <w:rStyle w:val="normaltextrun"/>
          <w:rFonts w:asciiTheme="minorHAnsi" w:hAnsiTheme="minorHAnsi" w:cs="Segoe UI"/>
          <w:color w:val="1111FB"/>
          <w:sz w:val="22"/>
          <w:szCs w:val="22"/>
        </w:rPr>
        <w:t xml:space="preserve"> </w:t>
      </w:r>
      <w:r w:rsidRPr="00FB30E6">
        <w:rPr>
          <w:rStyle w:val="normaltextrun"/>
          <w:rFonts w:asciiTheme="minorHAnsi" w:hAnsiTheme="minorHAnsi" w:cs="Segoe UI"/>
          <w:color w:val="1111FB"/>
          <w:sz w:val="22"/>
          <w:szCs w:val="22"/>
        </w:rPr>
        <w:t xml:space="preserve">to identify ICD-10 codes that map to ICD-9 codes and reviewed </w:t>
      </w:r>
      <w:r w:rsidRPr="00FB30E6">
        <w:rPr>
          <w:rStyle w:val="normaltextrun"/>
          <w:rFonts w:asciiTheme="minorHAnsi" w:hAnsiTheme="minorHAnsi" w:cs="Segoe UI"/>
          <w:color w:val="1111FB"/>
          <w:sz w:val="22"/>
          <w:szCs w:val="22"/>
        </w:rPr>
        <w:lastRenderedPageBreak/>
        <w:t>GEM mapping in both directions (ICD-9 to ICD-10 and ICD-10 to ICD-9) to identify potential trending issues.</w:t>
      </w:r>
      <w:r w:rsidRPr="00FB30E6">
        <w:rPr>
          <w:rStyle w:val="normaltextrun"/>
          <w:rFonts w:asciiTheme="minorHAnsi" w:hAnsiTheme="minorHAnsi" w:cs="Arial"/>
          <w:color w:val="1111FB"/>
          <w:sz w:val="22"/>
          <w:szCs w:val="22"/>
        </w:rPr>
        <w:t> </w:t>
      </w:r>
      <w:r w:rsidRPr="00FB30E6">
        <w:rPr>
          <w:rStyle w:val="eop"/>
          <w:rFonts w:asciiTheme="minorHAnsi" w:hAnsiTheme="minorHAnsi" w:cs="Segoe UI"/>
          <w:color w:val="1111FB"/>
          <w:sz w:val="22"/>
          <w:szCs w:val="22"/>
        </w:rPr>
        <w:t> </w:t>
      </w:r>
    </w:p>
    <w:p w14:paraId="4A90046D" w14:textId="77777777" w:rsidR="00FB30E6" w:rsidRPr="00FB30E6" w:rsidRDefault="00A93EC6" w:rsidP="00A93EC6">
      <w:pPr>
        <w:pStyle w:val="paragraph"/>
        <w:numPr>
          <w:ilvl w:val="0"/>
          <w:numId w:val="44"/>
        </w:numPr>
        <w:spacing w:before="0" w:beforeAutospacing="0" w:after="0" w:afterAutospacing="0"/>
        <w:textAlignment w:val="baseline"/>
        <w:rPr>
          <w:rFonts w:asciiTheme="minorHAnsi" w:hAnsiTheme="minorHAnsi" w:cs="Segoe UI"/>
          <w:color w:val="1111FB"/>
          <w:sz w:val="22"/>
          <w:szCs w:val="22"/>
        </w:rPr>
      </w:pPr>
      <w:r w:rsidRPr="00FB30E6">
        <w:rPr>
          <w:rStyle w:val="normaltextrun"/>
          <w:rFonts w:asciiTheme="minorHAnsi" w:hAnsiTheme="minorHAnsi" w:cs="Segoe UI"/>
          <w:color w:val="1111FB"/>
          <w:sz w:val="22"/>
          <w:szCs w:val="22"/>
        </w:rPr>
        <w:t>NCQA then searched for additional codes (not identified by GEM mapping step) that should be considered due to the expansion of concepts in ICD-10. Using ICD-10 tabular list and ICD-10 Index, searches by diagnosis or procedure name were conducted to identify appropriate codes.</w:t>
      </w:r>
      <w:r w:rsidRPr="00FB30E6">
        <w:rPr>
          <w:rStyle w:val="normaltextrun"/>
          <w:rFonts w:asciiTheme="minorHAnsi" w:hAnsiTheme="minorHAnsi" w:cs="Arial"/>
          <w:color w:val="1111FB"/>
          <w:sz w:val="22"/>
          <w:szCs w:val="22"/>
        </w:rPr>
        <w:t> </w:t>
      </w:r>
      <w:r w:rsidRPr="00FB30E6">
        <w:rPr>
          <w:rStyle w:val="eop"/>
          <w:rFonts w:asciiTheme="minorHAnsi" w:hAnsiTheme="minorHAnsi" w:cs="Segoe UI"/>
          <w:color w:val="1111FB"/>
          <w:sz w:val="22"/>
          <w:szCs w:val="22"/>
        </w:rPr>
        <w:t> </w:t>
      </w:r>
    </w:p>
    <w:p w14:paraId="7ECFBA53" w14:textId="7827178F" w:rsidR="00FB30E6" w:rsidRPr="00FB30E6" w:rsidRDefault="00A93EC6" w:rsidP="00A93EC6">
      <w:pPr>
        <w:pStyle w:val="paragraph"/>
        <w:numPr>
          <w:ilvl w:val="0"/>
          <w:numId w:val="44"/>
        </w:numPr>
        <w:spacing w:before="0" w:beforeAutospacing="0" w:after="0" w:afterAutospacing="0"/>
        <w:textAlignment w:val="baseline"/>
        <w:rPr>
          <w:rFonts w:asciiTheme="minorHAnsi" w:hAnsiTheme="minorHAnsi" w:cs="Segoe UI"/>
          <w:color w:val="1111FB"/>
          <w:sz w:val="22"/>
          <w:szCs w:val="22"/>
        </w:rPr>
      </w:pPr>
      <w:r w:rsidRPr="00FB30E6">
        <w:rPr>
          <w:rStyle w:val="normaltextrun"/>
          <w:rFonts w:asciiTheme="minorHAnsi" w:hAnsiTheme="minorHAnsi" w:cs="Segoe UI"/>
          <w:color w:val="1111FB"/>
          <w:sz w:val="22"/>
          <w:szCs w:val="22"/>
        </w:rPr>
        <w:t>NCQA HEDIS Expert Coding Panel review: Updated value set recommendations were presented</w:t>
      </w:r>
      <w:r w:rsidR="00E379B9">
        <w:rPr>
          <w:rStyle w:val="normaltextrun"/>
          <w:rFonts w:asciiTheme="minorHAnsi" w:hAnsiTheme="minorHAnsi" w:cs="Segoe UI"/>
          <w:color w:val="1111FB"/>
          <w:sz w:val="22"/>
          <w:szCs w:val="22"/>
        </w:rPr>
        <w:t xml:space="preserve"> </w:t>
      </w:r>
      <w:r w:rsidRPr="00FB30E6">
        <w:rPr>
          <w:rStyle w:val="normaltextrun"/>
          <w:rFonts w:asciiTheme="minorHAnsi" w:hAnsiTheme="minorHAnsi" w:cs="Segoe UI"/>
          <w:color w:val="1111FB"/>
          <w:sz w:val="22"/>
          <w:szCs w:val="22"/>
        </w:rPr>
        <w:t>for expert review and feedback.</w:t>
      </w:r>
      <w:r w:rsidRPr="00FB30E6">
        <w:rPr>
          <w:rStyle w:val="normaltextrun"/>
          <w:rFonts w:asciiTheme="minorHAnsi" w:hAnsiTheme="minorHAnsi" w:cs="Arial"/>
          <w:color w:val="1111FB"/>
          <w:sz w:val="22"/>
          <w:szCs w:val="22"/>
        </w:rPr>
        <w:t>  </w:t>
      </w:r>
      <w:r w:rsidRPr="00FB30E6">
        <w:rPr>
          <w:rStyle w:val="eop"/>
          <w:rFonts w:asciiTheme="minorHAnsi" w:hAnsiTheme="minorHAnsi" w:cs="Segoe UI"/>
          <w:color w:val="1111FB"/>
          <w:sz w:val="22"/>
          <w:szCs w:val="22"/>
        </w:rPr>
        <w:t> </w:t>
      </w:r>
    </w:p>
    <w:p w14:paraId="620411AA" w14:textId="77777777" w:rsidR="00FB30E6" w:rsidRPr="00FB30E6" w:rsidRDefault="00A93EC6" w:rsidP="00A93EC6">
      <w:pPr>
        <w:pStyle w:val="paragraph"/>
        <w:numPr>
          <w:ilvl w:val="0"/>
          <w:numId w:val="44"/>
        </w:numPr>
        <w:spacing w:before="0" w:beforeAutospacing="0" w:after="0" w:afterAutospacing="0"/>
        <w:textAlignment w:val="baseline"/>
        <w:rPr>
          <w:rFonts w:asciiTheme="minorHAnsi" w:hAnsiTheme="minorHAnsi" w:cs="Segoe UI"/>
          <w:color w:val="1111FB"/>
          <w:sz w:val="22"/>
          <w:szCs w:val="22"/>
        </w:rPr>
      </w:pPr>
      <w:r w:rsidRPr="00FB30E6">
        <w:rPr>
          <w:rStyle w:val="normaltextrun"/>
          <w:rFonts w:asciiTheme="minorHAnsi" w:hAnsiTheme="minorHAnsi" w:cs="Segoe UI"/>
          <w:color w:val="1111FB"/>
          <w:sz w:val="22"/>
          <w:szCs w:val="22"/>
        </w:rPr>
        <w:t>NCQA RMAP clinical review: Due to increased specificity in ICD-10, new codes and definitions require review to confirm the diagnosis or procedure is consistent and appropriate given the scope of the measure.</w:t>
      </w:r>
      <w:r w:rsidRPr="00FB30E6">
        <w:rPr>
          <w:rStyle w:val="normaltextrun"/>
          <w:rFonts w:asciiTheme="minorHAnsi" w:hAnsiTheme="minorHAnsi" w:cs="Arial"/>
          <w:color w:val="1111FB"/>
          <w:sz w:val="22"/>
          <w:szCs w:val="22"/>
        </w:rPr>
        <w:t>  </w:t>
      </w:r>
      <w:r w:rsidRPr="00FB30E6">
        <w:rPr>
          <w:rStyle w:val="eop"/>
          <w:rFonts w:asciiTheme="minorHAnsi" w:hAnsiTheme="minorHAnsi" w:cs="Segoe UI"/>
          <w:color w:val="1111FB"/>
          <w:sz w:val="22"/>
          <w:szCs w:val="22"/>
        </w:rPr>
        <w:t> </w:t>
      </w:r>
    </w:p>
    <w:p w14:paraId="57F0E3F4" w14:textId="77777777" w:rsidR="00FB30E6" w:rsidRPr="00FB30E6" w:rsidRDefault="00A93EC6" w:rsidP="00A93EC6">
      <w:pPr>
        <w:pStyle w:val="paragraph"/>
        <w:numPr>
          <w:ilvl w:val="0"/>
          <w:numId w:val="44"/>
        </w:numPr>
        <w:spacing w:before="0" w:beforeAutospacing="0" w:after="0" w:afterAutospacing="0"/>
        <w:textAlignment w:val="baseline"/>
        <w:rPr>
          <w:rFonts w:asciiTheme="minorHAnsi" w:hAnsiTheme="minorHAnsi" w:cs="Segoe UI"/>
          <w:color w:val="1111FB"/>
          <w:sz w:val="22"/>
          <w:szCs w:val="22"/>
        </w:rPr>
      </w:pPr>
      <w:r w:rsidRPr="00FB30E6">
        <w:rPr>
          <w:rStyle w:val="normaltextrun"/>
          <w:rFonts w:asciiTheme="minorHAnsi" w:hAnsiTheme="minorHAnsi" w:cs="Segoe UI"/>
          <w:color w:val="1111FB"/>
          <w:sz w:val="22"/>
          <w:szCs w:val="22"/>
        </w:rPr>
        <w:t xml:space="preserve">New value sets containing ICD-10 code recommendations were </w:t>
      </w:r>
      <w:r w:rsidR="00212A36" w:rsidRPr="00FB30E6">
        <w:rPr>
          <w:rStyle w:val="normaltextrun"/>
          <w:rFonts w:asciiTheme="minorHAnsi" w:hAnsiTheme="minorHAnsi" w:cs="Segoe UI"/>
          <w:color w:val="1111FB"/>
          <w:sz w:val="22"/>
          <w:szCs w:val="22"/>
        </w:rPr>
        <w:t xml:space="preserve">posted </w:t>
      </w:r>
      <w:r w:rsidRPr="00FB30E6">
        <w:rPr>
          <w:rStyle w:val="normaltextrun"/>
          <w:rFonts w:asciiTheme="minorHAnsi" w:hAnsiTheme="minorHAnsi" w:cs="Segoe UI"/>
          <w:color w:val="1111FB"/>
          <w:sz w:val="22"/>
          <w:szCs w:val="22"/>
        </w:rPr>
        <w:t>for public review and comment in 2014 and updated in 2015. Comments received were reconciled with additional feedback from HEDIS Expert Coding Panel and MAPs as needed.</w:t>
      </w:r>
      <w:r w:rsidRPr="00FB30E6">
        <w:rPr>
          <w:rStyle w:val="normaltextrun"/>
          <w:rFonts w:asciiTheme="minorHAnsi" w:hAnsiTheme="minorHAnsi" w:cs="Arial"/>
          <w:color w:val="1111FB"/>
          <w:sz w:val="22"/>
          <w:szCs w:val="22"/>
        </w:rPr>
        <w:t> </w:t>
      </w:r>
      <w:r w:rsidRPr="00FB30E6">
        <w:rPr>
          <w:rStyle w:val="eop"/>
          <w:rFonts w:asciiTheme="minorHAnsi" w:hAnsiTheme="minorHAnsi" w:cs="Segoe UI"/>
          <w:color w:val="1111FB"/>
          <w:sz w:val="22"/>
          <w:szCs w:val="22"/>
        </w:rPr>
        <w:t> </w:t>
      </w:r>
    </w:p>
    <w:p w14:paraId="10BB3EDE" w14:textId="3696F2E4" w:rsidR="00A93EC6" w:rsidRPr="00FB30E6" w:rsidRDefault="00A93EC6" w:rsidP="00A93EC6">
      <w:pPr>
        <w:pStyle w:val="paragraph"/>
        <w:numPr>
          <w:ilvl w:val="0"/>
          <w:numId w:val="44"/>
        </w:numPr>
        <w:spacing w:before="0" w:beforeAutospacing="0" w:after="0" w:afterAutospacing="0"/>
        <w:textAlignment w:val="baseline"/>
        <w:rPr>
          <w:rStyle w:val="eop"/>
          <w:rFonts w:asciiTheme="minorHAnsi" w:hAnsiTheme="minorHAnsi" w:cs="Segoe UI"/>
          <w:color w:val="1111FB"/>
          <w:sz w:val="22"/>
          <w:szCs w:val="22"/>
        </w:rPr>
      </w:pPr>
      <w:r w:rsidRPr="00FB30E6">
        <w:rPr>
          <w:rStyle w:val="normaltextrun"/>
          <w:rFonts w:asciiTheme="minorHAnsi" w:hAnsiTheme="minorHAnsi" w:cs="Segoe UI"/>
          <w:color w:val="1111FB"/>
          <w:sz w:val="22"/>
          <w:szCs w:val="22"/>
        </w:rPr>
        <w:t>NCQA staff finalized value sets containing ICD-10 codes for publication in 2015.</w:t>
      </w:r>
      <w:r w:rsidRPr="00FB30E6">
        <w:rPr>
          <w:rStyle w:val="normaltextrun"/>
          <w:rFonts w:asciiTheme="minorHAnsi" w:hAnsiTheme="minorHAnsi" w:cs="Arial"/>
          <w:color w:val="1111FB"/>
          <w:sz w:val="22"/>
          <w:szCs w:val="22"/>
        </w:rPr>
        <w:t> </w:t>
      </w:r>
      <w:r w:rsidRPr="00FB30E6">
        <w:rPr>
          <w:rStyle w:val="eop"/>
          <w:rFonts w:asciiTheme="minorHAnsi" w:hAnsiTheme="minorHAnsi" w:cs="Segoe UI"/>
          <w:color w:val="1111FB"/>
          <w:sz w:val="22"/>
          <w:szCs w:val="22"/>
        </w:rPr>
        <w:t> </w:t>
      </w:r>
    </w:p>
    <w:p w14:paraId="100068BA" w14:textId="7ABE59C5" w:rsidR="000772F0" w:rsidRPr="00FB30E6" w:rsidRDefault="000772F0" w:rsidP="00A93EC6">
      <w:pPr>
        <w:pStyle w:val="paragraph"/>
        <w:spacing w:before="0" w:beforeAutospacing="0" w:after="0" w:afterAutospacing="0"/>
        <w:textAlignment w:val="baseline"/>
        <w:rPr>
          <w:rStyle w:val="eop"/>
          <w:rFonts w:asciiTheme="minorHAnsi" w:hAnsiTheme="minorHAnsi" w:cs="Segoe UI"/>
          <w:color w:val="1111FB"/>
          <w:sz w:val="22"/>
          <w:szCs w:val="22"/>
        </w:rPr>
      </w:pPr>
    </w:p>
    <w:p w14:paraId="6D8418A2" w14:textId="77777777" w:rsidR="00A93EC6" w:rsidRPr="00FB30E6" w:rsidRDefault="00A93EC6" w:rsidP="00A93EC6">
      <w:pPr>
        <w:pStyle w:val="paragraph"/>
        <w:spacing w:before="0" w:beforeAutospacing="0" w:after="0" w:afterAutospacing="0"/>
        <w:textAlignment w:val="baseline"/>
        <w:rPr>
          <w:rFonts w:asciiTheme="minorHAnsi" w:hAnsiTheme="minorHAnsi" w:cs="Segoe UI"/>
          <w:color w:val="1111FB"/>
          <w:sz w:val="22"/>
          <w:szCs w:val="22"/>
        </w:rPr>
      </w:pPr>
      <w:r w:rsidRPr="00FB30E6">
        <w:rPr>
          <w:rStyle w:val="normaltextrun"/>
          <w:rFonts w:asciiTheme="minorHAnsi" w:hAnsiTheme="minorHAnsi" w:cs="Segoe UI"/>
          <w:color w:val="1111FB"/>
          <w:sz w:val="22"/>
          <w:szCs w:val="22"/>
        </w:rPr>
        <w:t>Tools Used to Identify/Map to ICD-10</w:t>
      </w:r>
      <w:r w:rsidRPr="00FB30E6">
        <w:rPr>
          <w:rStyle w:val="normaltextrun"/>
          <w:rFonts w:asciiTheme="minorHAnsi" w:hAnsiTheme="minorHAnsi" w:cs="Arial"/>
          <w:color w:val="1111FB"/>
          <w:sz w:val="22"/>
          <w:szCs w:val="22"/>
        </w:rPr>
        <w:t>  </w:t>
      </w:r>
      <w:r w:rsidRPr="00FB30E6">
        <w:rPr>
          <w:rStyle w:val="eop"/>
          <w:rFonts w:asciiTheme="minorHAnsi" w:hAnsiTheme="minorHAnsi" w:cs="Segoe UI"/>
          <w:color w:val="1111FB"/>
          <w:sz w:val="22"/>
          <w:szCs w:val="22"/>
        </w:rPr>
        <w:t> </w:t>
      </w:r>
    </w:p>
    <w:p w14:paraId="7FB1F41C" w14:textId="77777777" w:rsidR="00A93EC6" w:rsidRPr="00FB30E6" w:rsidRDefault="00A93EC6" w:rsidP="00A93EC6">
      <w:pPr>
        <w:pStyle w:val="paragraph"/>
        <w:spacing w:before="0" w:beforeAutospacing="0" w:after="0" w:afterAutospacing="0"/>
        <w:textAlignment w:val="baseline"/>
        <w:rPr>
          <w:rFonts w:asciiTheme="minorHAnsi" w:hAnsiTheme="minorHAnsi" w:cs="Segoe UI"/>
          <w:color w:val="1111FB"/>
          <w:sz w:val="22"/>
          <w:szCs w:val="22"/>
        </w:rPr>
      </w:pPr>
      <w:r w:rsidRPr="00FB30E6">
        <w:rPr>
          <w:rStyle w:val="normaltextrun"/>
          <w:rFonts w:asciiTheme="minorHAnsi" w:hAnsiTheme="minorHAnsi" w:cs="Segoe UI"/>
          <w:color w:val="1111FB"/>
          <w:sz w:val="22"/>
          <w:szCs w:val="22"/>
        </w:rPr>
        <w:t>All tools used for mapping/code identification from CMS ICD-10 website (</w:t>
      </w:r>
      <w:hyperlink r:id="rId12" w:tgtFrame="_blank" w:history="1">
        <w:r w:rsidRPr="00FB30E6">
          <w:rPr>
            <w:rStyle w:val="normaltextrun"/>
            <w:rFonts w:asciiTheme="minorHAnsi" w:hAnsiTheme="minorHAnsi" w:cs="Segoe UI"/>
            <w:color w:val="1111FB"/>
            <w:sz w:val="22"/>
            <w:szCs w:val="22"/>
            <w:u w:val="single"/>
          </w:rPr>
          <w:t>http://www.cms.gov/Medicare/Coding/ICD10/2012-ICD-10-CM-and-GEMs.html</w:t>
        </w:r>
      </w:hyperlink>
      <w:r w:rsidRPr="00FB30E6">
        <w:rPr>
          <w:rStyle w:val="normaltextrun"/>
          <w:rFonts w:asciiTheme="minorHAnsi" w:hAnsiTheme="minorHAnsi" w:cs="Segoe UI"/>
          <w:color w:val="1111FB"/>
          <w:sz w:val="22"/>
          <w:szCs w:val="22"/>
        </w:rPr>
        <w:t>).</w:t>
      </w:r>
      <w:r w:rsidRPr="00FB30E6">
        <w:rPr>
          <w:rStyle w:val="normaltextrun"/>
          <w:rFonts w:asciiTheme="minorHAnsi" w:hAnsiTheme="minorHAnsi" w:cs="Arial"/>
          <w:color w:val="1111FB"/>
          <w:sz w:val="22"/>
          <w:szCs w:val="22"/>
        </w:rPr>
        <w:t>  </w:t>
      </w:r>
      <w:r w:rsidRPr="00FB30E6">
        <w:rPr>
          <w:rStyle w:val="eop"/>
          <w:rFonts w:asciiTheme="minorHAnsi" w:hAnsiTheme="minorHAnsi" w:cs="Segoe UI"/>
          <w:color w:val="1111FB"/>
          <w:sz w:val="22"/>
          <w:szCs w:val="22"/>
        </w:rPr>
        <w:t> </w:t>
      </w:r>
    </w:p>
    <w:p w14:paraId="68EEE0B6" w14:textId="77777777" w:rsidR="00A93EC6" w:rsidRPr="00FB30E6" w:rsidRDefault="00A93EC6" w:rsidP="00A93EC6">
      <w:pPr>
        <w:pStyle w:val="paragraph"/>
        <w:spacing w:before="0" w:beforeAutospacing="0" w:after="0" w:afterAutospacing="0"/>
        <w:textAlignment w:val="baseline"/>
        <w:rPr>
          <w:rFonts w:asciiTheme="minorHAnsi" w:hAnsiTheme="minorHAnsi" w:cs="Segoe UI"/>
          <w:color w:val="1111FB"/>
          <w:sz w:val="22"/>
          <w:szCs w:val="22"/>
        </w:rPr>
      </w:pPr>
      <w:r w:rsidRPr="00FB30E6">
        <w:rPr>
          <w:rStyle w:val="normaltextrun"/>
          <w:rFonts w:asciiTheme="minorHAnsi" w:hAnsiTheme="minorHAnsi" w:cs="Segoe UI"/>
          <w:color w:val="1111FB"/>
          <w:sz w:val="22"/>
          <w:szCs w:val="22"/>
        </w:rPr>
        <w:t>GEM, ICD-10 Guidelines, ICD-10-CM Tabular List of Diseases and Injuries, ICD-10-PCS Tabular List.</w:t>
      </w:r>
      <w:r w:rsidRPr="00FB30E6">
        <w:rPr>
          <w:rStyle w:val="normaltextrun"/>
          <w:rFonts w:asciiTheme="minorHAnsi" w:hAnsiTheme="minorHAnsi" w:cs="Arial"/>
          <w:color w:val="1111FB"/>
          <w:sz w:val="22"/>
          <w:szCs w:val="22"/>
        </w:rPr>
        <w:t> </w:t>
      </w:r>
      <w:r w:rsidRPr="00FB30E6">
        <w:rPr>
          <w:rStyle w:val="eop"/>
          <w:rFonts w:asciiTheme="minorHAnsi" w:hAnsiTheme="minorHAnsi" w:cs="Segoe UI"/>
          <w:color w:val="1111FB"/>
          <w:sz w:val="22"/>
          <w:szCs w:val="22"/>
        </w:rPr>
        <w:t> </w:t>
      </w:r>
    </w:p>
    <w:p w14:paraId="2F2FA0C7" w14:textId="77777777" w:rsidR="00A93EC6" w:rsidRPr="00FB30E6" w:rsidRDefault="00A93EC6" w:rsidP="00A93EC6">
      <w:pPr>
        <w:pStyle w:val="paragraph"/>
        <w:spacing w:before="0" w:beforeAutospacing="0" w:after="0" w:afterAutospacing="0"/>
        <w:textAlignment w:val="baseline"/>
        <w:rPr>
          <w:rFonts w:asciiTheme="minorHAnsi" w:hAnsiTheme="minorHAnsi" w:cs="Segoe UI"/>
          <w:color w:val="1111FB"/>
          <w:sz w:val="22"/>
          <w:szCs w:val="22"/>
        </w:rPr>
      </w:pPr>
      <w:r w:rsidRPr="00FB30E6">
        <w:rPr>
          <w:rStyle w:val="normaltextrun"/>
          <w:rFonts w:asciiTheme="minorHAnsi" w:hAnsiTheme="minorHAnsi" w:cs="Arial"/>
          <w:color w:val="1111FB"/>
          <w:sz w:val="22"/>
          <w:szCs w:val="22"/>
        </w:rPr>
        <w:t> </w:t>
      </w:r>
      <w:r w:rsidRPr="00FB30E6">
        <w:rPr>
          <w:rStyle w:val="eop"/>
          <w:rFonts w:asciiTheme="minorHAnsi" w:hAnsiTheme="minorHAnsi" w:cs="Segoe UI"/>
          <w:color w:val="1111FB"/>
          <w:sz w:val="22"/>
          <w:szCs w:val="22"/>
        </w:rPr>
        <w:t> </w:t>
      </w:r>
    </w:p>
    <w:p w14:paraId="5137B308" w14:textId="77777777" w:rsidR="00A93EC6" w:rsidRPr="009B26EE" w:rsidRDefault="00A93EC6" w:rsidP="00A93EC6">
      <w:pPr>
        <w:pStyle w:val="paragraph"/>
        <w:spacing w:before="0" w:beforeAutospacing="0" w:after="0" w:afterAutospacing="0"/>
        <w:textAlignment w:val="baseline"/>
        <w:rPr>
          <w:rFonts w:asciiTheme="minorHAnsi" w:hAnsiTheme="minorHAnsi" w:cs="Segoe UI"/>
          <w:i/>
          <w:color w:val="1111FB"/>
          <w:sz w:val="22"/>
          <w:szCs w:val="22"/>
        </w:rPr>
      </w:pPr>
      <w:r w:rsidRPr="009B26EE">
        <w:rPr>
          <w:rStyle w:val="normaltextrun"/>
          <w:rFonts w:asciiTheme="minorHAnsi" w:hAnsiTheme="minorHAnsi" w:cs="Segoe UI"/>
          <w:bCs/>
          <w:i/>
          <w:iCs/>
          <w:color w:val="1111FB"/>
          <w:sz w:val="22"/>
          <w:szCs w:val="22"/>
        </w:rPr>
        <w:t>Expert Participation</w:t>
      </w:r>
      <w:r w:rsidRPr="009B26EE">
        <w:rPr>
          <w:rStyle w:val="normaltextrun"/>
          <w:rFonts w:asciiTheme="minorHAnsi" w:hAnsiTheme="minorHAnsi" w:cs="Arial"/>
          <w:i/>
          <w:color w:val="1111FB"/>
          <w:sz w:val="22"/>
          <w:szCs w:val="22"/>
        </w:rPr>
        <w:t> </w:t>
      </w:r>
      <w:r w:rsidRPr="009B26EE">
        <w:rPr>
          <w:rStyle w:val="eop"/>
          <w:rFonts w:asciiTheme="minorHAnsi" w:hAnsiTheme="minorHAnsi" w:cs="Segoe UI"/>
          <w:i/>
          <w:color w:val="1111FB"/>
          <w:sz w:val="22"/>
          <w:szCs w:val="22"/>
        </w:rPr>
        <w:t> </w:t>
      </w:r>
    </w:p>
    <w:p w14:paraId="60DC1159" w14:textId="77777777" w:rsidR="00A93EC6" w:rsidRPr="00FB30E6" w:rsidRDefault="00A93EC6" w:rsidP="00A93EC6">
      <w:pPr>
        <w:pStyle w:val="paragraph"/>
        <w:spacing w:before="0" w:beforeAutospacing="0" w:after="0" w:afterAutospacing="0"/>
        <w:textAlignment w:val="baseline"/>
        <w:rPr>
          <w:rFonts w:asciiTheme="minorHAnsi" w:hAnsiTheme="minorHAnsi" w:cs="Segoe UI"/>
          <w:color w:val="1111FB"/>
          <w:sz w:val="22"/>
          <w:szCs w:val="22"/>
        </w:rPr>
      </w:pPr>
      <w:r w:rsidRPr="00FB30E6">
        <w:rPr>
          <w:rStyle w:val="normaltextrun"/>
          <w:rFonts w:asciiTheme="minorHAnsi" w:hAnsiTheme="minorHAnsi" w:cs="Segoe UI"/>
          <w:color w:val="1111FB"/>
          <w:sz w:val="22"/>
          <w:szCs w:val="22"/>
        </w:rPr>
        <w:t>The</w:t>
      </w:r>
      <w:r w:rsidRPr="00FB30E6">
        <w:rPr>
          <w:rStyle w:val="normaltextrun"/>
          <w:rFonts w:asciiTheme="minorHAnsi" w:hAnsiTheme="minorHAnsi" w:cs="Arial"/>
          <w:color w:val="1111FB"/>
          <w:sz w:val="22"/>
          <w:szCs w:val="22"/>
        </w:rPr>
        <w:t> </w:t>
      </w:r>
      <w:r w:rsidRPr="00FB30E6">
        <w:rPr>
          <w:rStyle w:val="normaltextrun"/>
          <w:rFonts w:asciiTheme="minorHAnsi" w:hAnsiTheme="minorHAnsi" w:cs="Segoe UI"/>
          <w:color w:val="1111FB"/>
          <w:sz w:val="22"/>
          <w:szCs w:val="22"/>
        </w:rPr>
        <w:t>NCQA HEDIS Expert Coding Panel reviewed and provided feedback on staff recommendations.</w:t>
      </w:r>
      <w:r w:rsidRPr="00FB30E6">
        <w:rPr>
          <w:rStyle w:val="normaltextrun"/>
          <w:rFonts w:asciiTheme="minorHAnsi" w:hAnsiTheme="minorHAnsi" w:cs="Arial"/>
          <w:color w:val="1111FB"/>
          <w:sz w:val="22"/>
          <w:szCs w:val="22"/>
        </w:rPr>
        <w:t> </w:t>
      </w:r>
      <w:r w:rsidRPr="00FB30E6">
        <w:rPr>
          <w:rStyle w:val="normaltextrun"/>
          <w:rFonts w:asciiTheme="minorHAnsi" w:hAnsiTheme="minorHAnsi" w:cs="Segoe UI"/>
          <w:color w:val="1111FB"/>
          <w:sz w:val="22"/>
          <w:szCs w:val="22"/>
        </w:rPr>
        <w:t xml:space="preserve"> Names and credentials of the experts who served on these panels are listed und</w:t>
      </w:r>
      <w:r w:rsidRPr="009B26EE">
        <w:rPr>
          <w:rStyle w:val="normaltextrun"/>
          <w:rFonts w:asciiTheme="minorHAnsi" w:hAnsiTheme="minorHAnsi" w:cs="Segoe UI"/>
          <w:color w:val="1111FB"/>
          <w:sz w:val="22"/>
          <w:szCs w:val="22"/>
        </w:rPr>
        <w:t>er</w:t>
      </w:r>
      <w:r w:rsidRPr="009B26EE">
        <w:rPr>
          <w:rStyle w:val="normaltextrun"/>
          <w:rFonts w:asciiTheme="minorHAnsi" w:hAnsiTheme="minorHAnsi" w:cs="Arial"/>
          <w:color w:val="1111FB"/>
          <w:sz w:val="22"/>
          <w:szCs w:val="22"/>
        </w:rPr>
        <w:t> </w:t>
      </w:r>
      <w:r w:rsidRPr="009B26EE">
        <w:rPr>
          <w:rStyle w:val="normaltextrun"/>
          <w:rFonts w:asciiTheme="minorHAnsi" w:hAnsiTheme="minorHAnsi" w:cs="Segoe UI"/>
          <w:bCs/>
          <w:color w:val="1111FB"/>
          <w:sz w:val="22"/>
          <w:szCs w:val="22"/>
        </w:rPr>
        <w:t>Additional Information, Ad. 1. Workgroup/Expert Panel Involved in Measure Development</w:t>
      </w:r>
      <w:r w:rsidRPr="00FB30E6">
        <w:rPr>
          <w:rStyle w:val="normaltextrun"/>
          <w:rFonts w:asciiTheme="minorHAnsi" w:hAnsiTheme="minorHAnsi" w:cs="Segoe UI"/>
          <w:color w:val="1111FB"/>
          <w:sz w:val="22"/>
          <w:szCs w:val="22"/>
        </w:rPr>
        <w:t>.</w:t>
      </w:r>
      <w:r w:rsidRPr="00FB30E6">
        <w:rPr>
          <w:rStyle w:val="normaltextrun"/>
          <w:rFonts w:asciiTheme="minorHAnsi" w:hAnsiTheme="minorHAnsi" w:cs="Arial"/>
          <w:color w:val="1111FB"/>
          <w:sz w:val="22"/>
          <w:szCs w:val="22"/>
        </w:rPr>
        <w:t>  </w:t>
      </w:r>
      <w:r w:rsidRPr="00FB30E6">
        <w:rPr>
          <w:rStyle w:val="eop"/>
          <w:rFonts w:asciiTheme="minorHAnsi" w:hAnsiTheme="minorHAnsi" w:cs="Segoe UI"/>
          <w:color w:val="1111FB"/>
          <w:sz w:val="22"/>
          <w:szCs w:val="22"/>
        </w:rPr>
        <w:t> </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7670AF92" w14:textId="500D9FA1" w:rsidR="2A8FC9A5" w:rsidRPr="00933C75" w:rsidRDefault="009C7513" w:rsidP="00933C75">
      <w:pPr>
        <w:autoSpaceDE w:val="0"/>
        <w:autoSpaceDN w:val="0"/>
        <w:adjustRightInd w:val="0"/>
        <w:spacing w:after="0" w:line="240" w:lineRule="auto"/>
        <w:rPr>
          <w:b/>
          <w:i/>
          <w:color w:val="1111FB"/>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CC11AC" w:rsidRPr="00933C75">
        <w:rPr>
          <w:color w:val="1111FB"/>
        </w:rPr>
        <w:t>T</w:t>
      </w:r>
      <w:r w:rsidR="2A8FC9A5" w:rsidRPr="00933C75">
        <w:rPr>
          <w:color w:val="1111FB"/>
        </w:rPr>
        <w:t xml:space="preserve">he results </w:t>
      </w:r>
      <w:r w:rsidR="00CC11AC" w:rsidRPr="00933C75">
        <w:rPr>
          <w:color w:val="1111FB"/>
        </w:rPr>
        <w:t xml:space="preserve">from construct validity testing of the health plan </w:t>
      </w:r>
      <w:r w:rsidR="00335F01" w:rsidRPr="00933C75">
        <w:rPr>
          <w:color w:val="1111FB"/>
        </w:rPr>
        <w:t xml:space="preserve">level </w:t>
      </w:r>
      <w:r w:rsidR="00CC11AC" w:rsidRPr="00933C75">
        <w:rPr>
          <w:color w:val="1111FB"/>
        </w:rPr>
        <w:t xml:space="preserve">measure are presented by product line in Tables </w:t>
      </w:r>
      <w:r w:rsidR="00E17872">
        <w:rPr>
          <w:color w:val="1111FB"/>
        </w:rPr>
        <w:t>3</w:t>
      </w:r>
      <w:r w:rsidR="00CC11AC" w:rsidRPr="00933C75">
        <w:rPr>
          <w:color w:val="1111FB"/>
        </w:rPr>
        <w:t xml:space="preserve">a, </w:t>
      </w:r>
      <w:r w:rsidR="00E17872">
        <w:rPr>
          <w:color w:val="1111FB"/>
        </w:rPr>
        <w:t>3</w:t>
      </w:r>
      <w:r w:rsidR="00CC11AC" w:rsidRPr="00933C75">
        <w:rPr>
          <w:color w:val="1111FB"/>
        </w:rPr>
        <w:t xml:space="preserve">b, and </w:t>
      </w:r>
      <w:r w:rsidR="00E17872">
        <w:rPr>
          <w:color w:val="1111FB"/>
        </w:rPr>
        <w:t>3</w:t>
      </w:r>
      <w:r w:rsidR="00CC11AC" w:rsidRPr="00933C75">
        <w:rPr>
          <w:color w:val="1111FB"/>
        </w:rPr>
        <w:t>c below.</w:t>
      </w:r>
    </w:p>
    <w:p w14:paraId="3E578B7F" w14:textId="3F8F5630" w:rsidR="00B926D9" w:rsidRPr="00933C75" w:rsidRDefault="00B926D9" w:rsidP="00092566">
      <w:pPr>
        <w:autoSpaceDE w:val="0"/>
        <w:autoSpaceDN w:val="0"/>
        <w:adjustRightInd w:val="0"/>
        <w:spacing w:after="0" w:line="240" w:lineRule="auto"/>
        <w:rPr>
          <w:rFonts w:cstheme="minorHAnsi"/>
          <w:color w:val="1111FB"/>
        </w:rPr>
      </w:pPr>
    </w:p>
    <w:p w14:paraId="7EEC2E56" w14:textId="0267E6C6" w:rsidR="00AF4EBD" w:rsidRPr="00933C75" w:rsidRDefault="00AF4EBD" w:rsidP="00AF4EBD">
      <w:pPr>
        <w:autoSpaceDE w:val="0"/>
        <w:autoSpaceDN w:val="0"/>
        <w:adjustRightInd w:val="0"/>
        <w:spacing w:after="0" w:line="240" w:lineRule="auto"/>
        <w:rPr>
          <w:rFonts w:cstheme="minorHAnsi"/>
          <w:color w:val="1111FB"/>
        </w:rPr>
      </w:pPr>
      <w:r w:rsidRPr="00933C75">
        <w:rPr>
          <w:rFonts w:cstheme="minorHAnsi"/>
          <w:color w:val="1111FB"/>
        </w:rPr>
        <w:t xml:space="preserve">Table </w:t>
      </w:r>
      <w:r w:rsidR="00E17872">
        <w:rPr>
          <w:rFonts w:cstheme="minorHAnsi"/>
          <w:color w:val="1111FB"/>
        </w:rPr>
        <w:t>3</w:t>
      </w:r>
      <w:r w:rsidRPr="00933C75">
        <w:rPr>
          <w:rFonts w:cstheme="minorHAnsi"/>
          <w:color w:val="1111FB"/>
        </w:rPr>
        <w:t xml:space="preserve">a. Correlations </w:t>
      </w:r>
      <w:r w:rsidR="000E2EAA">
        <w:rPr>
          <w:rFonts w:cstheme="minorHAnsi"/>
          <w:color w:val="1111FB"/>
        </w:rPr>
        <w:t>between</w:t>
      </w:r>
      <w:r w:rsidR="002C5300">
        <w:rPr>
          <w:rFonts w:cstheme="minorHAnsi"/>
          <w:color w:val="1111FB"/>
        </w:rPr>
        <w:t xml:space="preserve"> </w:t>
      </w:r>
      <w:r w:rsidR="0005582E">
        <w:rPr>
          <w:rFonts w:cstheme="minorHAnsi"/>
          <w:bCs/>
          <w:color w:val="1111FB"/>
        </w:rPr>
        <w:t>PBH and SPC-</w:t>
      </w:r>
      <w:r w:rsidR="002C5300">
        <w:rPr>
          <w:rFonts w:cstheme="minorHAnsi"/>
          <w:color w:val="1111FB"/>
        </w:rPr>
        <w:t>Adherence</w:t>
      </w:r>
      <w:r w:rsidR="00C16B04">
        <w:rPr>
          <w:rFonts w:cstheme="minorHAnsi"/>
          <w:color w:val="1111FB"/>
        </w:rPr>
        <w:t xml:space="preserve"> </w:t>
      </w:r>
      <w:r w:rsidR="0005582E">
        <w:rPr>
          <w:rFonts w:cstheme="minorHAnsi"/>
          <w:bCs/>
          <w:color w:val="1111FB"/>
        </w:rPr>
        <w:t>measures</w:t>
      </w:r>
      <w:r w:rsidRPr="00933C75">
        <w:rPr>
          <w:rFonts w:cstheme="minorHAnsi"/>
          <w:color w:val="1111FB"/>
        </w:rPr>
        <w:t xml:space="preserve"> in Commercial Health Plans, 2017.</w:t>
      </w:r>
    </w:p>
    <w:tbl>
      <w:tblPr>
        <w:tblW w:w="5197" w:type="dxa"/>
        <w:tblInd w:w="-90" w:type="dxa"/>
        <w:tblLayout w:type="fixed"/>
        <w:tblLook w:val="04A0" w:firstRow="1" w:lastRow="0" w:firstColumn="1" w:lastColumn="0" w:noHBand="0" w:noVBand="1"/>
      </w:tblPr>
      <w:tblGrid>
        <w:gridCol w:w="2941"/>
        <w:gridCol w:w="2256"/>
      </w:tblGrid>
      <w:tr w:rsidR="00AF4EBD" w:rsidRPr="00346B27" w14:paraId="57FAC22E" w14:textId="77777777" w:rsidTr="00AF4EBD">
        <w:trPr>
          <w:trHeight w:val="334"/>
        </w:trPr>
        <w:tc>
          <w:tcPr>
            <w:tcW w:w="2941" w:type="dxa"/>
            <w:vMerge w:val="restart"/>
            <w:tcBorders>
              <w:top w:val="single" w:sz="8" w:space="0" w:color="auto"/>
              <w:left w:val="single" w:sz="8" w:space="0" w:color="auto"/>
              <w:bottom w:val="single" w:sz="8" w:space="0" w:color="000000" w:themeColor="text1"/>
              <w:right w:val="single" w:sz="4" w:space="0" w:color="auto"/>
            </w:tcBorders>
            <w:shd w:val="clear" w:color="auto" w:fill="BFBFBF" w:themeFill="background1" w:themeFillShade="BF"/>
            <w:vAlign w:val="center"/>
            <w:hideMark/>
          </w:tcPr>
          <w:p w14:paraId="45BA885C" w14:textId="77777777" w:rsidR="00AF4EBD" w:rsidRPr="00933C75" w:rsidRDefault="00AF4EBD" w:rsidP="00A90EFE">
            <w:pPr>
              <w:spacing w:after="0" w:line="240" w:lineRule="auto"/>
              <w:jc w:val="center"/>
              <w:rPr>
                <w:rFonts w:ascii="Calibri" w:eastAsia="Times New Roman" w:hAnsi="Calibri" w:cs="Calibri"/>
                <w:b/>
                <w:color w:val="1111FB"/>
              </w:rPr>
            </w:pPr>
          </w:p>
        </w:tc>
        <w:tc>
          <w:tcPr>
            <w:tcW w:w="2256" w:type="dxa"/>
            <w:tcBorders>
              <w:top w:val="single" w:sz="8" w:space="0" w:color="auto"/>
              <w:left w:val="nil"/>
              <w:bottom w:val="single" w:sz="4" w:space="0" w:color="auto"/>
              <w:right w:val="single" w:sz="4" w:space="0" w:color="auto"/>
            </w:tcBorders>
            <w:shd w:val="clear" w:color="auto" w:fill="BFBFBF" w:themeFill="background1" w:themeFillShade="BF"/>
            <w:vAlign w:val="center"/>
          </w:tcPr>
          <w:p w14:paraId="200E19A6" w14:textId="77777777" w:rsidR="00AF4EBD" w:rsidRPr="00933C75" w:rsidRDefault="00AF4EBD" w:rsidP="00A90EFE">
            <w:pPr>
              <w:spacing w:after="0" w:line="240" w:lineRule="auto"/>
              <w:jc w:val="center"/>
              <w:rPr>
                <w:rFonts w:ascii="Calibri" w:eastAsia="Times New Roman" w:hAnsi="Calibri" w:cs="Calibri"/>
                <w:b/>
                <w:color w:val="1111FB"/>
              </w:rPr>
            </w:pPr>
            <w:r w:rsidRPr="00933C75">
              <w:rPr>
                <w:rFonts w:ascii="Calibri" w:eastAsia="Times New Roman" w:hAnsi="Calibri" w:cs="Calibri"/>
                <w:b/>
                <w:color w:val="1111FB"/>
              </w:rPr>
              <w:t>Pearson Correlation Coefficients</w:t>
            </w:r>
          </w:p>
        </w:tc>
      </w:tr>
      <w:tr w:rsidR="00AF4EBD" w:rsidRPr="00346B27" w14:paraId="69A3F7BE" w14:textId="77777777" w:rsidTr="00AF4EBD">
        <w:trPr>
          <w:trHeight w:val="334"/>
        </w:trPr>
        <w:tc>
          <w:tcPr>
            <w:tcW w:w="2941" w:type="dxa"/>
            <w:vMerge/>
            <w:tcBorders>
              <w:top w:val="single" w:sz="8" w:space="0" w:color="auto"/>
              <w:left w:val="single" w:sz="8" w:space="0" w:color="auto"/>
              <w:bottom w:val="single" w:sz="8" w:space="0" w:color="000000"/>
              <w:right w:val="single" w:sz="4" w:space="0" w:color="auto"/>
            </w:tcBorders>
            <w:vAlign w:val="center"/>
            <w:hideMark/>
          </w:tcPr>
          <w:p w14:paraId="49F8467D" w14:textId="77777777" w:rsidR="00AF4EBD" w:rsidRPr="00933C75" w:rsidRDefault="00AF4EBD" w:rsidP="00A90EFE">
            <w:pPr>
              <w:spacing w:after="0" w:line="240" w:lineRule="auto"/>
              <w:rPr>
                <w:rFonts w:ascii="Calibri" w:eastAsia="Times New Roman" w:hAnsi="Calibri" w:cs="Calibri"/>
                <w:b/>
                <w:color w:val="1111FB"/>
              </w:rPr>
            </w:pPr>
          </w:p>
        </w:tc>
        <w:tc>
          <w:tcPr>
            <w:tcW w:w="225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4B4F2D7" w14:textId="54976687" w:rsidR="00AF4EBD" w:rsidRPr="00933C75" w:rsidRDefault="00AF4EBD" w:rsidP="00A90EFE">
            <w:pPr>
              <w:spacing w:after="0" w:line="240" w:lineRule="auto"/>
              <w:jc w:val="center"/>
              <w:rPr>
                <w:rFonts w:ascii="Calibri" w:eastAsia="Times New Roman" w:hAnsi="Calibri" w:cs="Calibri"/>
                <w:color w:val="1111FB"/>
              </w:rPr>
            </w:pPr>
            <w:r w:rsidRPr="00933C75">
              <w:rPr>
                <w:rFonts w:ascii="Calibri" w:eastAsia="Times New Roman" w:hAnsi="Calibri" w:cs="Calibri"/>
                <w:color w:val="1111FB"/>
              </w:rPr>
              <w:t>SPC-Adherence</w:t>
            </w:r>
          </w:p>
        </w:tc>
      </w:tr>
      <w:tr w:rsidR="00AF4EBD" w:rsidRPr="00346B27" w14:paraId="76824055" w14:textId="77777777" w:rsidTr="00AF4EBD">
        <w:trPr>
          <w:trHeight w:val="321"/>
        </w:trPr>
        <w:tc>
          <w:tcPr>
            <w:tcW w:w="2941" w:type="dxa"/>
            <w:tcBorders>
              <w:top w:val="nil"/>
              <w:left w:val="single" w:sz="8" w:space="0" w:color="auto"/>
              <w:bottom w:val="single" w:sz="4" w:space="0" w:color="auto"/>
              <w:right w:val="single" w:sz="4" w:space="0" w:color="auto"/>
            </w:tcBorders>
            <w:shd w:val="clear" w:color="auto" w:fill="auto"/>
            <w:noWrap/>
            <w:vAlign w:val="bottom"/>
            <w:hideMark/>
          </w:tcPr>
          <w:p w14:paraId="5264235E" w14:textId="51372352" w:rsidR="00AF4EBD" w:rsidRPr="00933C75" w:rsidRDefault="00AF4EBD" w:rsidP="00AF4EBD">
            <w:pPr>
              <w:spacing w:after="0" w:line="240" w:lineRule="auto"/>
              <w:jc w:val="center"/>
              <w:rPr>
                <w:rFonts w:ascii="Calibri" w:eastAsia="Times New Roman" w:hAnsi="Calibri" w:cs="Calibri"/>
                <w:color w:val="1111FB"/>
              </w:rPr>
            </w:pPr>
            <w:r w:rsidRPr="00933C75">
              <w:rPr>
                <w:rFonts w:ascii="Calibri" w:eastAsia="Times New Roman" w:hAnsi="Calibri" w:cs="Calibri"/>
                <w:color w:val="1111FB"/>
              </w:rPr>
              <w:t>PBH</w:t>
            </w:r>
          </w:p>
        </w:tc>
        <w:tc>
          <w:tcPr>
            <w:tcW w:w="2256" w:type="dxa"/>
            <w:tcBorders>
              <w:top w:val="nil"/>
              <w:left w:val="nil"/>
              <w:bottom w:val="single" w:sz="4" w:space="0" w:color="auto"/>
              <w:right w:val="single" w:sz="4" w:space="0" w:color="auto"/>
            </w:tcBorders>
            <w:shd w:val="clear" w:color="auto" w:fill="auto"/>
            <w:noWrap/>
            <w:vAlign w:val="center"/>
            <w:hideMark/>
          </w:tcPr>
          <w:p w14:paraId="66ADA3D7" w14:textId="27A79759" w:rsidR="00AF4EBD" w:rsidRPr="00933C75" w:rsidRDefault="00AF4EBD" w:rsidP="00A90EFE">
            <w:pPr>
              <w:spacing w:after="0" w:line="240" w:lineRule="auto"/>
              <w:jc w:val="center"/>
              <w:rPr>
                <w:rFonts w:ascii="Calibri" w:eastAsia="Times New Roman" w:hAnsi="Calibri" w:cs="Calibri"/>
                <w:color w:val="1111FB"/>
              </w:rPr>
            </w:pPr>
            <w:r w:rsidRPr="00933C75">
              <w:rPr>
                <w:rFonts w:ascii="Calibri" w:eastAsia="Times New Roman" w:hAnsi="Calibri" w:cs="Calibri"/>
                <w:color w:val="1111FB"/>
              </w:rPr>
              <w:t>0.</w:t>
            </w:r>
            <w:r w:rsidR="00F05E5E" w:rsidRPr="00933C75">
              <w:rPr>
                <w:rFonts w:ascii="Calibri" w:eastAsia="Times New Roman" w:hAnsi="Calibri" w:cs="Calibri"/>
                <w:color w:val="1111FB"/>
              </w:rPr>
              <w:t>51</w:t>
            </w:r>
          </w:p>
        </w:tc>
      </w:tr>
    </w:tbl>
    <w:p w14:paraId="7DEAFE47" w14:textId="77777777" w:rsidR="00AF4EBD" w:rsidRPr="00933C75" w:rsidRDefault="00AF4EBD" w:rsidP="00AF4EBD">
      <w:pPr>
        <w:autoSpaceDE w:val="0"/>
        <w:autoSpaceDN w:val="0"/>
        <w:adjustRightInd w:val="0"/>
        <w:spacing w:after="0" w:line="240" w:lineRule="auto"/>
        <w:rPr>
          <w:color w:val="1111FB"/>
        </w:rPr>
      </w:pPr>
      <w:r w:rsidRPr="00933C75">
        <w:rPr>
          <w:rFonts w:ascii="Calibri" w:eastAsia="Times New Roman" w:hAnsi="Calibri" w:cs="Calibri"/>
          <w:color w:val="1111FB"/>
        </w:rPr>
        <w:t xml:space="preserve">Note: All correlations are significant at </w:t>
      </w:r>
      <w:r w:rsidRPr="00933C75">
        <w:rPr>
          <w:color w:val="1111FB"/>
        </w:rPr>
        <w:t>p&lt;0.0001</w:t>
      </w:r>
    </w:p>
    <w:p w14:paraId="159A1340" w14:textId="77777777" w:rsidR="000E2EAA" w:rsidRPr="00933C75" w:rsidRDefault="000E2EAA" w:rsidP="00AF4EBD">
      <w:pPr>
        <w:autoSpaceDE w:val="0"/>
        <w:autoSpaceDN w:val="0"/>
        <w:adjustRightInd w:val="0"/>
        <w:spacing w:after="0" w:line="240" w:lineRule="auto"/>
        <w:rPr>
          <w:color w:val="1111FB"/>
        </w:rPr>
      </w:pPr>
    </w:p>
    <w:p w14:paraId="402B4819" w14:textId="749250BF" w:rsidR="000E2EAA" w:rsidRPr="00933C75" w:rsidRDefault="000E2EAA" w:rsidP="000E2EAA">
      <w:pPr>
        <w:autoSpaceDE w:val="0"/>
        <w:autoSpaceDN w:val="0"/>
        <w:adjustRightInd w:val="0"/>
        <w:spacing w:after="0" w:line="240" w:lineRule="auto"/>
        <w:rPr>
          <w:rFonts w:cstheme="minorHAnsi"/>
          <w:color w:val="1111FB"/>
        </w:rPr>
      </w:pPr>
      <w:r w:rsidRPr="00933C75">
        <w:rPr>
          <w:rFonts w:cstheme="minorHAnsi"/>
          <w:color w:val="1111FB"/>
        </w:rPr>
        <w:t xml:space="preserve">Table </w:t>
      </w:r>
      <w:r w:rsidR="00E17872">
        <w:rPr>
          <w:rFonts w:cstheme="minorHAnsi"/>
          <w:color w:val="1111FB"/>
        </w:rPr>
        <w:t>3</w:t>
      </w:r>
      <w:r w:rsidR="00F05E5E" w:rsidRPr="00933C75">
        <w:rPr>
          <w:rFonts w:cstheme="minorHAnsi"/>
          <w:color w:val="1111FB"/>
        </w:rPr>
        <w:t>b</w:t>
      </w:r>
      <w:r w:rsidRPr="00933C75">
        <w:rPr>
          <w:rFonts w:cstheme="minorHAnsi"/>
          <w:color w:val="1111FB"/>
        </w:rPr>
        <w:t xml:space="preserve">. Correlations between </w:t>
      </w:r>
      <w:r w:rsidR="0005582E">
        <w:rPr>
          <w:rFonts w:cstheme="minorHAnsi"/>
          <w:bCs/>
          <w:color w:val="1111FB"/>
        </w:rPr>
        <w:t>PBH and SPC-</w:t>
      </w:r>
      <w:r>
        <w:rPr>
          <w:rFonts w:cstheme="minorHAnsi"/>
          <w:color w:val="1111FB"/>
        </w:rPr>
        <w:t xml:space="preserve">Adherence </w:t>
      </w:r>
      <w:r w:rsidR="0005582E">
        <w:rPr>
          <w:rFonts w:cstheme="minorHAnsi"/>
          <w:bCs/>
          <w:color w:val="1111FB"/>
        </w:rPr>
        <w:t>measures</w:t>
      </w:r>
      <w:r w:rsidRPr="00933C75">
        <w:rPr>
          <w:rFonts w:cstheme="minorHAnsi"/>
          <w:color w:val="1111FB"/>
        </w:rPr>
        <w:t xml:space="preserve"> in </w:t>
      </w:r>
      <w:r w:rsidR="000A6905">
        <w:rPr>
          <w:rFonts w:cstheme="minorHAnsi"/>
          <w:bCs/>
          <w:color w:val="1111FB"/>
        </w:rPr>
        <w:t>Medicaid</w:t>
      </w:r>
      <w:r w:rsidRPr="00933C75">
        <w:rPr>
          <w:rFonts w:cstheme="minorHAnsi"/>
          <w:color w:val="1111FB"/>
        </w:rPr>
        <w:t xml:space="preserve"> Health Plans, 2017.</w:t>
      </w:r>
    </w:p>
    <w:tbl>
      <w:tblPr>
        <w:tblW w:w="5197" w:type="dxa"/>
        <w:tblInd w:w="-90" w:type="dxa"/>
        <w:tblLayout w:type="fixed"/>
        <w:tblLook w:val="04A0" w:firstRow="1" w:lastRow="0" w:firstColumn="1" w:lastColumn="0" w:noHBand="0" w:noVBand="1"/>
      </w:tblPr>
      <w:tblGrid>
        <w:gridCol w:w="2941"/>
        <w:gridCol w:w="2256"/>
      </w:tblGrid>
      <w:tr w:rsidR="000E2EAA" w:rsidRPr="00346B27" w14:paraId="4B05A3F9" w14:textId="77777777" w:rsidTr="00A90EFE">
        <w:trPr>
          <w:trHeight w:val="334"/>
        </w:trPr>
        <w:tc>
          <w:tcPr>
            <w:tcW w:w="2941" w:type="dxa"/>
            <w:vMerge w:val="restart"/>
            <w:tcBorders>
              <w:top w:val="single" w:sz="8" w:space="0" w:color="auto"/>
              <w:left w:val="single" w:sz="8" w:space="0" w:color="auto"/>
              <w:bottom w:val="single" w:sz="8" w:space="0" w:color="000000" w:themeColor="text1"/>
              <w:right w:val="single" w:sz="4" w:space="0" w:color="auto"/>
            </w:tcBorders>
            <w:shd w:val="clear" w:color="auto" w:fill="BFBFBF" w:themeFill="background1" w:themeFillShade="BF"/>
            <w:vAlign w:val="center"/>
            <w:hideMark/>
          </w:tcPr>
          <w:p w14:paraId="5779AF3D" w14:textId="77777777" w:rsidR="000E2EAA" w:rsidRPr="00933C75" w:rsidRDefault="000E2EAA" w:rsidP="00A90EFE">
            <w:pPr>
              <w:spacing w:after="0" w:line="240" w:lineRule="auto"/>
              <w:jc w:val="center"/>
              <w:rPr>
                <w:rFonts w:ascii="Calibri" w:eastAsia="Times New Roman" w:hAnsi="Calibri" w:cs="Calibri"/>
                <w:b/>
                <w:color w:val="1111FB"/>
              </w:rPr>
            </w:pPr>
          </w:p>
        </w:tc>
        <w:tc>
          <w:tcPr>
            <w:tcW w:w="2256" w:type="dxa"/>
            <w:tcBorders>
              <w:top w:val="single" w:sz="8" w:space="0" w:color="auto"/>
              <w:left w:val="nil"/>
              <w:bottom w:val="single" w:sz="4" w:space="0" w:color="auto"/>
              <w:right w:val="single" w:sz="4" w:space="0" w:color="auto"/>
            </w:tcBorders>
            <w:shd w:val="clear" w:color="auto" w:fill="BFBFBF" w:themeFill="background1" w:themeFillShade="BF"/>
            <w:vAlign w:val="center"/>
          </w:tcPr>
          <w:p w14:paraId="72448DED" w14:textId="77777777" w:rsidR="000E2EAA" w:rsidRPr="00933C75" w:rsidRDefault="000E2EAA" w:rsidP="00A90EFE">
            <w:pPr>
              <w:spacing w:after="0" w:line="240" w:lineRule="auto"/>
              <w:jc w:val="center"/>
              <w:rPr>
                <w:rFonts w:ascii="Calibri" w:eastAsia="Times New Roman" w:hAnsi="Calibri" w:cs="Calibri"/>
                <w:b/>
                <w:color w:val="1111FB"/>
              </w:rPr>
            </w:pPr>
            <w:r w:rsidRPr="00933C75">
              <w:rPr>
                <w:rFonts w:ascii="Calibri" w:eastAsia="Times New Roman" w:hAnsi="Calibri" w:cs="Calibri"/>
                <w:b/>
                <w:color w:val="1111FB"/>
              </w:rPr>
              <w:t>Pearson Correlation Coefficients</w:t>
            </w:r>
          </w:p>
        </w:tc>
      </w:tr>
      <w:tr w:rsidR="000E2EAA" w:rsidRPr="00346B27" w14:paraId="7F299B75" w14:textId="77777777" w:rsidTr="00A90EFE">
        <w:trPr>
          <w:trHeight w:val="334"/>
        </w:trPr>
        <w:tc>
          <w:tcPr>
            <w:tcW w:w="2941" w:type="dxa"/>
            <w:vMerge/>
            <w:tcBorders>
              <w:top w:val="single" w:sz="8" w:space="0" w:color="auto"/>
              <w:left w:val="single" w:sz="8" w:space="0" w:color="auto"/>
              <w:bottom w:val="single" w:sz="8" w:space="0" w:color="000000"/>
              <w:right w:val="single" w:sz="4" w:space="0" w:color="auto"/>
            </w:tcBorders>
            <w:vAlign w:val="center"/>
            <w:hideMark/>
          </w:tcPr>
          <w:p w14:paraId="3270706F" w14:textId="77777777" w:rsidR="000E2EAA" w:rsidRPr="00933C75" w:rsidRDefault="000E2EAA" w:rsidP="00A90EFE">
            <w:pPr>
              <w:spacing w:after="0" w:line="240" w:lineRule="auto"/>
              <w:rPr>
                <w:rFonts w:ascii="Calibri" w:eastAsia="Times New Roman" w:hAnsi="Calibri" w:cs="Calibri"/>
                <w:b/>
                <w:color w:val="1111FB"/>
              </w:rPr>
            </w:pPr>
          </w:p>
        </w:tc>
        <w:tc>
          <w:tcPr>
            <w:tcW w:w="225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E961829" w14:textId="77777777" w:rsidR="000E2EAA" w:rsidRPr="00933C75" w:rsidRDefault="000E2EAA" w:rsidP="00A90EFE">
            <w:pPr>
              <w:spacing w:after="0" w:line="240" w:lineRule="auto"/>
              <w:jc w:val="center"/>
              <w:rPr>
                <w:rFonts w:ascii="Calibri" w:eastAsia="Times New Roman" w:hAnsi="Calibri" w:cs="Calibri"/>
                <w:color w:val="1111FB"/>
              </w:rPr>
            </w:pPr>
            <w:r w:rsidRPr="00933C75">
              <w:rPr>
                <w:rFonts w:ascii="Calibri" w:eastAsia="Times New Roman" w:hAnsi="Calibri" w:cs="Calibri"/>
                <w:color w:val="1111FB"/>
              </w:rPr>
              <w:t>SPC-Adherence</w:t>
            </w:r>
          </w:p>
        </w:tc>
      </w:tr>
      <w:tr w:rsidR="000E2EAA" w:rsidRPr="00346B27" w14:paraId="25386349" w14:textId="77777777" w:rsidTr="00A90EFE">
        <w:trPr>
          <w:trHeight w:val="321"/>
        </w:trPr>
        <w:tc>
          <w:tcPr>
            <w:tcW w:w="2941" w:type="dxa"/>
            <w:tcBorders>
              <w:top w:val="nil"/>
              <w:left w:val="single" w:sz="8" w:space="0" w:color="auto"/>
              <w:bottom w:val="single" w:sz="4" w:space="0" w:color="auto"/>
              <w:right w:val="single" w:sz="4" w:space="0" w:color="auto"/>
            </w:tcBorders>
            <w:shd w:val="clear" w:color="auto" w:fill="auto"/>
            <w:noWrap/>
            <w:vAlign w:val="bottom"/>
            <w:hideMark/>
          </w:tcPr>
          <w:p w14:paraId="7A3DCB0A" w14:textId="77777777" w:rsidR="000E2EAA" w:rsidRPr="00933C75" w:rsidRDefault="000E2EAA" w:rsidP="00A90EFE">
            <w:pPr>
              <w:spacing w:after="0" w:line="240" w:lineRule="auto"/>
              <w:jc w:val="center"/>
              <w:rPr>
                <w:rFonts w:ascii="Calibri" w:eastAsia="Times New Roman" w:hAnsi="Calibri" w:cs="Calibri"/>
                <w:color w:val="1111FB"/>
              </w:rPr>
            </w:pPr>
            <w:r w:rsidRPr="00933C75">
              <w:rPr>
                <w:rFonts w:ascii="Calibri" w:eastAsia="Times New Roman" w:hAnsi="Calibri" w:cs="Calibri"/>
                <w:color w:val="1111FB"/>
              </w:rPr>
              <w:t>PBH</w:t>
            </w:r>
          </w:p>
        </w:tc>
        <w:tc>
          <w:tcPr>
            <w:tcW w:w="2256" w:type="dxa"/>
            <w:tcBorders>
              <w:top w:val="nil"/>
              <w:left w:val="nil"/>
              <w:bottom w:val="single" w:sz="4" w:space="0" w:color="auto"/>
              <w:right w:val="single" w:sz="4" w:space="0" w:color="auto"/>
            </w:tcBorders>
            <w:shd w:val="clear" w:color="auto" w:fill="auto"/>
            <w:noWrap/>
            <w:vAlign w:val="center"/>
            <w:hideMark/>
          </w:tcPr>
          <w:p w14:paraId="2FA3426F" w14:textId="5CDB87C0" w:rsidR="000E2EAA" w:rsidRPr="00933C75" w:rsidRDefault="000E2EAA" w:rsidP="00A90EFE">
            <w:pPr>
              <w:spacing w:after="0" w:line="240" w:lineRule="auto"/>
              <w:jc w:val="center"/>
              <w:rPr>
                <w:rFonts w:ascii="Calibri" w:eastAsia="Times New Roman" w:hAnsi="Calibri" w:cs="Calibri"/>
                <w:color w:val="1111FB"/>
              </w:rPr>
            </w:pPr>
            <w:r w:rsidRPr="00933C75">
              <w:rPr>
                <w:rFonts w:ascii="Calibri" w:eastAsia="Times New Roman" w:hAnsi="Calibri" w:cs="Calibri"/>
                <w:color w:val="1111FB"/>
              </w:rPr>
              <w:t>0.</w:t>
            </w:r>
            <w:r w:rsidR="00F05E5E" w:rsidRPr="00933C75">
              <w:rPr>
                <w:rFonts w:ascii="Calibri" w:eastAsia="Times New Roman" w:hAnsi="Calibri" w:cs="Calibri"/>
                <w:color w:val="1111FB"/>
              </w:rPr>
              <w:t>60</w:t>
            </w:r>
          </w:p>
        </w:tc>
      </w:tr>
    </w:tbl>
    <w:p w14:paraId="7F459B84" w14:textId="77777777" w:rsidR="000E2EAA" w:rsidRPr="00933C75" w:rsidRDefault="000E2EAA" w:rsidP="000E2EAA">
      <w:pPr>
        <w:autoSpaceDE w:val="0"/>
        <w:autoSpaceDN w:val="0"/>
        <w:adjustRightInd w:val="0"/>
        <w:spacing w:after="0" w:line="240" w:lineRule="auto"/>
        <w:rPr>
          <w:rFonts w:ascii="Calibri" w:eastAsia="Times New Roman" w:hAnsi="Calibri" w:cs="Calibri"/>
          <w:color w:val="1111FB"/>
        </w:rPr>
      </w:pPr>
      <w:r w:rsidRPr="00933C75">
        <w:rPr>
          <w:rFonts w:ascii="Calibri" w:eastAsia="Times New Roman" w:hAnsi="Calibri" w:cs="Calibri"/>
          <w:color w:val="1111FB"/>
        </w:rPr>
        <w:t xml:space="preserve">Note: All correlations are significant at </w:t>
      </w:r>
      <w:r w:rsidRPr="00933C75">
        <w:rPr>
          <w:color w:val="1111FB"/>
        </w:rPr>
        <w:t>p&lt;0.0001</w:t>
      </w:r>
    </w:p>
    <w:p w14:paraId="2781F89C" w14:textId="77777777" w:rsidR="000E2EAA" w:rsidRPr="00933C75" w:rsidRDefault="000E2EAA" w:rsidP="00AF4EBD">
      <w:pPr>
        <w:autoSpaceDE w:val="0"/>
        <w:autoSpaceDN w:val="0"/>
        <w:adjustRightInd w:val="0"/>
        <w:spacing w:after="0" w:line="240" w:lineRule="auto"/>
        <w:rPr>
          <w:rFonts w:ascii="Calibri" w:eastAsia="Times New Roman" w:hAnsi="Calibri" w:cs="Calibri"/>
          <w:color w:val="1111FB"/>
        </w:rPr>
      </w:pPr>
    </w:p>
    <w:p w14:paraId="7EE68BDE" w14:textId="63821D87" w:rsidR="000E2EAA" w:rsidRPr="00933C75" w:rsidRDefault="000E2EAA" w:rsidP="000E2EAA">
      <w:pPr>
        <w:autoSpaceDE w:val="0"/>
        <w:autoSpaceDN w:val="0"/>
        <w:adjustRightInd w:val="0"/>
        <w:spacing w:after="0" w:line="240" w:lineRule="auto"/>
        <w:rPr>
          <w:rFonts w:cstheme="minorHAnsi"/>
          <w:color w:val="1111FB"/>
        </w:rPr>
      </w:pPr>
      <w:r w:rsidRPr="00933C75">
        <w:rPr>
          <w:rFonts w:cstheme="minorHAnsi"/>
          <w:color w:val="1111FB"/>
        </w:rPr>
        <w:t xml:space="preserve">Table </w:t>
      </w:r>
      <w:r w:rsidR="00E17872">
        <w:rPr>
          <w:rFonts w:cstheme="minorHAnsi"/>
          <w:color w:val="1111FB"/>
        </w:rPr>
        <w:t>3</w:t>
      </w:r>
      <w:r w:rsidR="00F05E5E" w:rsidRPr="00933C75">
        <w:rPr>
          <w:rFonts w:cstheme="minorHAnsi"/>
          <w:color w:val="1111FB"/>
        </w:rPr>
        <w:t>c</w:t>
      </w:r>
      <w:r w:rsidRPr="00933C75">
        <w:rPr>
          <w:rFonts w:cstheme="minorHAnsi"/>
          <w:color w:val="1111FB"/>
        </w:rPr>
        <w:t xml:space="preserve">. Correlations between </w:t>
      </w:r>
      <w:r w:rsidR="0005582E">
        <w:rPr>
          <w:rFonts w:cstheme="minorHAnsi"/>
          <w:bCs/>
          <w:color w:val="1111FB"/>
        </w:rPr>
        <w:t>PBH and SPC-</w:t>
      </w:r>
      <w:r>
        <w:rPr>
          <w:rFonts w:cstheme="minorHAnsi"/>
          <w:color w:val="1111FB"/>
        </w:rPr>
        <w:t xml:space="preserve">Adherence </w:t>
      </w:r>
      <w:r w:rsidR="0005582E">
        <w:rPr>
          <w:rFonts w:cstheme="minorHAnsi"/>
          <w:bCs/>
          <w:color w:val="1111FB"/>
        </w:rPr>
        <w:t>measures</w:t>
      </w:r>
      <w:r w:rsidRPr="00933C75">
        <w:rPr>
          <w:rFonts w:cstheme="minorHAnsi"/>
          <w:color w:val="1111FB"/>
        </w:rPr>
        <w:t xml:space="preserve"> in </w:t>
      </w:r>
      <w:r w:rsidR="00E76BAF">
        <w:rPr>
          <w:rFonts w:cstheme="minorHAnsi"/>
          <w:color w:val="1111FB"/>
        </w:rPr>
        <w:t>Medicare</w:t>
      </w:r>
      <w:r w:rsidRPr="00933C75">
        <w:rPr>
          <w:rFonts w:cstheme="minorHAnsi"/>
          <w:color w:val="1111FB"/>
        </w:rPr>
        <w:t xml:space="preserve"> Health Plans, 2017.</w:t>
      </w:r>
    </w:p>
    <w:tbl>
      <w:tblPr>
        <w:tblW w:w="5197" w:type="dxa"/>
        <w:tblInd w:w="-90" w:type="dxa"/>
        <w:tblLayout w:type="fixed"/>
        <w:tblLook w:val="04A0" w:firstRow="1" w:lastRow="0" w:firstColumn="1" w:lastColumn="0" w:noHBand="0" w:noVBand="1"/>
      </w:tblPr>
      <w:tblGrid>
        <w:gridCol w:w="2941"/>
        <w:gridCol w:w="2256"/>
      </w:tblGrid>
      <w:tr w:rsidR="000E2EAA" w:rsidRPr="00346B27" w14:paraId="463E538B" w14:textId="77777777" w:rsidTr="00A90EFE">
        <w:trPr>
          <w:trHeight w:val="334"/>
        </w:trPr>
        <w:tc>
          <w:tcPr>
            <w:tcW w:w="2941" w:type="dxa"/>
            <w:vMerge w:val="restart"/>
            <w:tcBorders>
              <w:top w:val="single" w:sz="8" w:space="0" w:color="auto"/>
              <w:left w:val="single" w:sz="8" w:space="0" w:color="auto"/>
              <w:bottom w:val="single" w:sz="8" w:space="0" w:color="000000" w:themeColor="text1"/>
              <w:right w:val="single" w:sz="4" w:space="0" w:color="auto"/>
            </w:tcBorders>
            <w:shd w:val="clear" w:color="auto" w:fill="BFBFBF" w:themeFill="background1" w:themeFillShade="BF"/>
            <w:vAlign w:val="center"/>
            <w:hideMark/>
          </w:tcPr>
          <w:p w14:paraId="6D90BF5A" w14:textId="77777777" w:rsidR="000E2EAA" w:rsidRPr="00933C75" w:rsidRDefault="000E2EAA" w:rsidP="00A90EFE">
            <w:pPr>
              <w:spacing w:after="0" w:line="240" w:lineRule="auto"/>
              <w:jc w:val="center"/>
              <w:rPr>
                <w:rFonts w:ascii="Calibri" w:eastAsia="Times New Roman" w:hAnsi="Calibri" w:cs="Calibri"/>
                <w:b/>
                <w:color w:val="1111FB"/>
              </w:rPr>
            </w:pPr>
          </w:p>
        </w:tc>
        <w:tc>
          <w:tcPr>
            <w:tcW w:w="2256" w:type="dxa"/>
            <w:tcBorders>
              <w:top w:val="single" w:sz="8" w:space="0" w:color="auto"/>
              <w:left w:val="nil"/>
              <w:bottom w:val="single" w:sz="4" w:space="0" w:color="auto"/>
              <w:right w:val="single" w:sz="4" w:space="0" w:color="auto"/>
            </w:tcBorders>
            <w:shd w:val="clear" w:color="auto" w:fill="BFBFBF" w:themeFill="background1" w:themeFillShade="BF"/>
            <w:vAlign w:val="center"/>
          </w:tcPr>
          <w:p w14:paraId="6509DBB3" w14:textId="77777777" w:rsidR="000E2EAA" w:rsidRPr="00933C75" w:rsidRDefault="000E2EAA" w:rsidP="00A90EFE">
            <w:pPr>
              <w:spacing w:after="0" w:line="240" w:lineRule="auto"/>
              <w:jc w:val="center"/>
              <w:rPr>
                <w:rFonts w:ascii="Calibri" w:eastAsia="Times New Roman" w:hAnsi="Calibri" w:cs="Calibri"/>
                <w:b/>
                <w:color w:val="1111FB"/>
              </w:rPr>
            </w:pPr>
            <w:r w:rsidRPr="00933C75">
              <w:rPr>
                <w:rFonts w:ascii="Calibri" w:eastAsia="Times New Roman" w:hAnsi="Calibri" w:cs="Calibri"/>
                <w:b/>
                <w:color w:val="1111FB"/>
              </w:rPr>
              <w:t>Pearson Correlation Coefficients</w:t>
            </w:r>
          </w:p>
        </w:tc>
      </w:tr>
      <w:tr w:rsidR="000E2EAA" w:rsidRPr="00346B27" w14:paraId="2656D703" w14:textId="77777777" w:rsidTr="00A90EFE">
        <w:trPr>
          <w:trHeight w:val="334"/>
        </w:trPr>
        <w:tc>
          <w:tcPr>
            <w:tcW w:w="2941" w:type="dxa"/>
            <w:vMerge/>
            <w:tcBorders>
              <w:top w:val="single" w:sz="8" w:space="0" w:color="auto"/>
              <w:left w:val="single" w:sz="8" w:space="0" w:color="auto"/>
              <w:bottom w:val="single" w:sz="8" w:space="0" w:color="000000"/>
              <w:right w:val="single" w:sz="4" w:space="0" w:color="auto"/>
            </w:tcBorders>
            <w:vAlign w:val="center"/>
            <w:hideMark/>
          </w:tcPr>
          <w:p w14:paraId="6017DC74" w14:textId="77777777" w:rsidR="000E2EAA" w:rsidRPr="00933C75" w:rsidRDefault="000E2EAA" w:rsidP="00A90EFE">
            <w:pPr>
              <w:spacing w:after="0" w:line="240" w:lineRule="auto"/>
              <w:rPr>
                <w:rFonts w:ascii="Calibri" w:eastAsia="Times New Roman" w:hAnsi="Calibri" w:cs="Calibri"/>
                <w:b/>
                <w:color w:val="1111FB"/>
              </w:rPr>
            </w:pPr>
          </w:p>
        </w:tc>
        <w:tc>
          <w:tcPr>
            <w:tcW w:w="225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E7129A2" w14:textId="77777777" w:rsidR="000E2EAA" w:rsidRPr="00933C75" w:rsidRDefault="000E2EAA" w:rsidP="00A90EFE">
            <w:pPr>
              <w:spacing w:after="0" w:line="240" w:lineRule="auto"/>
              <w:jc w:val="center"/>
              <w:rPr>
                <w:rFonts w:ascii="Calibri" w:eastAsia="Times New Roman" w:hAnsi="Calibri" w:cs="Calibri"/>
                <w:color w:val="1111FB"/>
              </w:rPr>
            </w:pPr>
            <w:r w:rsidRPr="00933C75">
              <w:rPr>
                <w:rFonts w:ascii="Calibri" w:eastAsia="Times New Roman" w:hAnsi="Calibri" w:cs="Calibri"/>
                <w:color w:val="1111FB"/>
              </w:rPr>
              <w:t>SPC-Adherence</w:t>
            </w:r>
          </w:p>
        </w:tc>
      </w:tr>
      <w:tr w:rsidR="000E2EAA" w:rsidRPr="00346B27" w14:paraId="087E71E3" w14:textId="77777777" w:rsidTr="00A90EFE">
        <w:trPr>
          <w:trHeight w:val="321"/>
        </w:trPr>
        <w:tc>
          <w:tcPr>
            <w:tcW w:w="2941" w:type="dxa"/>
            <w:tcBorders>
              <w:top w:val="nil"/>
              <w:left w:val="single" w:sz="8" w:space="0" w:color="auto"/>
              <w:bottom w:val="single" w:sz="4" w:space="0" w:color="auto"/>
              <w:right w:val="single" w:sz="4" w:space="0" w:color="auto"/>
            </w:tcBorders>
            <w:shd w:val="clear" w:color="auto" w:fill="auto"/>
            <w:noWrap/>
            <w:vAlign w:val="bottom"/>
            <w:hideMark/>
          </w:tcPr>
          <w:p w14:paraId="6C83598A" w14:textId="77777777" w:rsidR="000E2EAA" w:rsidRPr="00933C75" w:rsidRDefault="000E2EAA" w:rsidP="00A90EFE">
            <w:pPr>
              <w:spacing w:after="0" w:line="240" w:lineRule="auto"/>
              <w:jc w:val="center"/>
              <w:rPr>
                <w:rFonts w:ascii="Calibri" w:eastAsia="Times New Roman" w:hAnsi="Calibri" w:cs="Calibri"/>
                <w:color w:val="1111FB"/>
              </w:rPr>
            </w:pPr>
            <w:r w:rsidRPr="00933C75">
              <w:rPr>
                <w:rFonts w:ascii="Calibri" w:eastAsia="Times New Roman" w:hAnsi="Calibri" w:cs="Calibri"/>
                <w:color w:val="1111FB"/>
              </w:rPr>
              <w:t>PBH</w:t>
            </w:r>
          </w:p>
        </w:tc>
        <w:tc>
          <w:tcPr>
            <w:tcW w:w="2256" w:type="dxa"/>
            <w:tcBorders>
              <w:top w:val="nil"/>
              <w:left w:val="nil"/>
              <w:bottom w:val="single" w:sz="4" w:space="0" w:color="auto"/>
              <w:right w:val="single" w:sz="4" w:space="0" w:color="auto"/>
            </w:tcBorders>
            <w:shd w:val="clear" w:color="auto" w:fill="auto"/>
            <w:noWrap/>
            <w:vAlign w:val="center"/>
            <w:hideMark/>
          </w:tcPr>
          <w:p w14:paraId="060EFFF8" w14:textId="11BF50F5" w:rsidR="000E2EAA" w:rsidRPr="00933C75" w:rsidRDefault="000E2EAA" w:rsidP="00A90EFE">
            <w:pPr>
              <w:spacing w:after="0" w:line="240" w:lineRule="auto"/>
              <w:jc w:val="center"/>
              <w:rPr>
                <w:rFonts w:ascii="Calibri" w:eastAsia="Times New Roman" w:hAnsi="Calibri" w:cs="Calibri"/>
                <w:color w:val="1111FB"/>
              </w:rPr>
            </w:pPr>
            <w:r w:rsidRPr="00933C75">
              <w:rPr>
                <w:rFonts w:ascii="Calibri" w:eastAsia="Times New Roman" w:hAnsi="Calibri" w:cs="Calibri"/>
                <w:color w:val="1111FB"/>
              </w:rPr>
              <w:t>0.</w:t>
            </w:r>
            <w:r w:rsidR="00F05E5E" w:rsidRPr="00933C75">
              <w:rPr>
                <w:rFonts w:ascii="Calibri" w:eastAsia="Times New Roman" w:hAnsi="Calibri" w:cs="Calibri"/>
                <w:color w:val="1111FB"/>
              </w:rPr>
              <w:t>42</w:t>
            </w:r>
          </w:p>
        </w:tc>
      </w:tr>
    </w:tbl>
    <w:p w14:paraId="4CAF5F69" w14:textId="64A7BBD6" w:rsidR="00AF4EBD" w:rsidRDefault="000E2EAA" w:rsidP="00092566">
      <w:pPr>
        <w:autoSpaceDE w:val="0"/>
        <w:autoSpaceDN w:val="0"/>
        <w:adjustRightInd w:val="0"/>
        <w:spacing w:after="0" w:line="240" w:lineRule="auto"/>
        <w:rPr>
          <w:color w:val="1111FB"/>
        </w:rPr>
      </w:pPr>
      <w:r w:rsidRPr="00933C75">
        <w:rPr>
          <w:rFonts w:ascii="Calibri" w:eastAsia="Times New Roman" w:hAnsi="Calibri" w:cs="Calibri"/>
          <w:color w:val="1111FB"/>
        </w:rPr>
        <w:t xml:space="preserve">Note: All correlations are significant at </w:t>
      </w:r>
      <w:r w:rsidRPr="00933C75">
        <w:rPr>
          <w:color w:val="1111FB"/>
        </w:rPr>
        <w:t>p&lt;0.0001</w:t>
      </w:r>
    </w:p>
    <w:p w14:paraId="11DDEA9E" w14:textId="77777777" w:rsidR="00A7535A" w:rsidRPr="00933C75" w:rsidRDefault="00A7535A" w:rsidP="00092566">
      <w:pPr>
        <w:autoSpaceDE w:val="0"/>
        <w:autoSpaceDN w:val="0"/>
        <w:adjustRightInd w:val="0"/>
        <w:spacing w:after="0" w:line="240" w:lineRule="auto"/>
        <w:rPr>
          <w:rFonts w:ascii="Calibri" w:eastAsia="Times New Roman" w:hAnsi="Calibri" w:cs="Calibri"/>
          <w:color w:val="1111FB"/>
        </w:rPr>
      </w:pPr>
    </w:p>
    <w:p w14:paraId="23A71449" w14:textId="08B02A4D" w:rsidR="001F71F5" w:rsidRPr="0075556C" w:rsidRDefault="009C7513" w:rsidP="0075556C">
      <w:pPr>
        <w:autoSpaceDE w:val="0"/>
        <w:autoSpaceDN w:val="0"/>
        <w:adjustRightInd w:val="0"/>
        <w:spacing w:after="0" w:line="240" w:lineRule="auto"/>
        <w:rPr>
          <w:rFonts w:cstheme="minorHAnsi"/>
          <w:bCs/>
          <w:color w:val="4F81BD" w:themeColor="accent1"/>
          <w:u w:val="single"/>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bookmarkStart w:id="12" w:name="_Hlk502681013"/>
      <w:r w:rsidR="001F71F5" w:rsidRPr="002613CB">
        <w:rPr>
          <w:rFonts w:ascii="Calibri" w:eastAsia="Times New Roman" w:hAnsi="Calibri" w:cs="Calibri"/>
          <w:color w:val="1111FB"/>
        </w:rPr>
        <w:t>Across all product lines, the correlations are moderate and statistically significant</w:t>
      </w:r>
      <w:r w:rsidR="00CB61FA">
        <w:rPr>
          <w:rFonts w:ascii="Calibri" w:eastAsia="Times New Roman" w:hAnsi="Calibri" w:cs="Calibri"/>
          <w:color w:val="1111FB"/>
        </w:rPr>
        <w:t>, which suggests</w:t>
      </w:r>
      <w:r w:rsidR="00487A57">
        <w:rPr>
          <w:rFonts w:ascii="Calibri" w:eastAsia="Times New Roman" w:hAnsi="Calibri" w:cs="Calibri"/>
          <w:color w:val="1111FB"/>
        </w:rPr>
        <w:t xml:space="preserve"> </w:t>
      </w:r>
      <w:r w:rsidR="00687805">
        <w:rPr>
          <w:color w:val="1111FB"/>
        </w:rPr>
        <w:t xml:space="preserve">plan performance </w:t>
      </w:r>
      <w:r w:rsidR="00815E98">
        <w:rPr>
          <w:color w:val="1111FB"/>
        </w:rPr>
        <w:t xml:space="preserve">on the </w:t>
      </w:r>
      <w:r w:rsidR="00815E98" w:rsidRPr="00815E98">
        <w:rPr>
          <w:color w:val="1111FB"/>
        </w:rPr>
        <w:t>Statin Therapy for Patients with Cardiovascular Disease - Adherence 80%</w:t>
      </w:r>
      <w:r w:rsidR="00815E98">
        <w:rPr>
          <w:color w:val="1111FB"/>
        </w:rPr>
        <w:t xml:space="preserve"> measure </w:t>
      </w:r>
      <w:r w:rsidR="00687805">
        <w:rPr>
          <w:color w:val="1111FB"/>
        </w:rPr>
        <w:t>is</w:t>
      </w:r>
      <w:r w:rsidR="001F71F5">
        <w:rPr>
          <w:color w:val="1111FB"/>
        </w:rPr>
        <w:t xml:space="preserve"> correlated </w:t>
      </w:r>
      <w:r w:rsidR="00687805">
        <w:rPr>
          <w:color w:val="1111FB"/>
        </w:rPr>
        <w:t xml:space="preserve">to performance on the </w:t>
      </w:r>
      <w:r w:rsidR="00687805" w:rsidRPr="00687805">
        <w:rPr>
          <w:color w:val="1111FB"/>
        </w:rPr>
        <w:t xml:space="preserve">Persistence of Beta-Blocker Treatment After a Heart Attack </w:t>
      </w:r>
      <w:r w:rsidR="00687805">
        <w:rPr>
          <w:color w:val="1111FB"/>
        </w:rPr>
        <w:t>measure</w:t>
      </w:r>
      <w:r w:rsidR="001F71F5" w:rsidRPr="002613CB">
        <w:rPr>
          <w:color w:val="1111FB"/>
        </w:rPr>
        <w:t xml:space="preserve">. </w:t>
      </w:r>
      <w:r w:rsidR="009A617C">
        <w:rPr>
          <w:color w:val="1111FB"/>
        </w:rPr>
        <w:t>Plans that have higher rates on one measure will have higher rates on the other.</w:t>
      </w:r>
      <w:r w:rsidR="001F71F5">
        <w:rPr>
          <w:color w:val="1111FB"/>
        </w:rPr>
        <w:t xml:space="preserve"> </w:t>
      </w:r>
      <w:r w:rsidR="001F71F5" w:rsidRPr="002613CB">
        <w:rPr>
          <w:color w:val="1111FB"/>
        </w:rPr>
        <w:t xml:space="preserve">Coefficients with absolute value of less than .3 are generally considered indicative of weak associations. Absolute values of .3 to .59 are considered moderate associations, absolute values of .6 to .69 indicate a strong positive relationship, and absolute values of .7 or higher indicate a very strong positive relationship. </w:t>
      </w:r>
      <w:bookmarkStart w:id="13" w:name="_Hlk502681560"/>
      <w:r w:rsidR="001F71F5" w:rsidRPr="002613CB">
        <w:rPr>
          <w:color w:val="1111FB"/>
        </w:rPr>
        <w:t>These correlation results suggest that at the plan level the measure has sufficient validity.</w:t>
      </w:r>
      <w:bookmarkEnd w:id="13"/>
    </w:p>
    <w:bookmarkEnd w:id="12"/>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51881220"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6E03D51B" w14:textId="77777777" w:rsidR="001E266C" w:rsidRDefault="001E266C" w:rsidP="00451150">
      <w:pPr>
        <w:autoSpaceDE w:val="0"/>
        <w:autoSpaceDN w:val="0"/>
        <w:adjustRightInd w:val="0"/>
        <w:spacing w:after="0" w:line="240" w:lineRule="auto"/>
        <w:rPr>
          <w:rFonts w:cstheme="minorHAnsi"/>
          <w:bCs/>
          <w:color w:val="1111FB"/>
        </w:rPr>
      </w:pPr>
    </w:p>
    <w:p w14:paraId="5178F46C" w14:textId="7194A17B" w:rsidR="00451150" w:rsidRDefault="00107765" w:rsidP="00451150">
      <w:pPr>
        <w:autoSpaceDE w:val="0"/>
        <w:autoSpaceDN w:val="0"/>
        <w:adjustRightInd w:val="0"/>
        <w:spacing w:after="0" w:line="240" w:lineRule="auto"/>
        <w:rPr>
          <w:rFonts w:cstheme="minorHAnsi"/>
          <w:bCs/>
          <w:color w:val="1111FB"/>
        </w:rPr>
      </w:pPr>
      <w:r>
        <w:rPr>
          <w:rFonts w:cstheme="minorHAnsi"/>
          <w:bCs/>
          <w:color w:val="1111FB"/>
        </w:rPr>
        <w:t>We did not perform t</w:t>
      </w:r>
      <w:r w:rsidR="00E54FBE">
        <w:rPr>
          <w:rFonts w:cstheme="minorHAnsi"/>
          <w:bCs/>
          <w:color w:val="1111FB"/>
        </w:rPr>
        <w:t xml:space="preserve">esting </w:t>
      </w:r>
      <w:r>
        <w:rPr>
          <w:rFonts w:cstheme="minorHAnsi"/>
          <w:bCs/>
          <w:color w:val="1111FB"/>
        </w:rPr>
        <w:t>of</w:t>
      </w:r>
      <w:r w:rsidR="00E54FBE">
        <w:rPr>
          <w:rFonts w:cstheme="minorHAnsi"/>
          <w:bCs/>
          <w:color w:val="1111FB"/>
        </w:rPr>
        <w:t xml:space="preserve"> </w:t>
      </w:r>
      <w:r w:rsidR="00451150">
        <w:rPr>
          <w:rFonts w:cstheme="minorHAnsi"/>
          <w:bCs/>
          <w:color w:val="1111FB"/>
        </w:rPr>
        <w:t xml:space="preserve">the following </w:t>
      </w:r>
      <w:r w:rsidR="00E54FBE">
        <w:rPr>
          <w:rFonts w:cstheme="minorHAnsi"/>
          <w:bCs/>
          <w:color w:val="1111FB"/>
        </w:rPr>
        <w:t xml:space="preserve">exclusions </w:t>
      </w:r>
      <w:r w:rsidR="00574404">
        <w:rPr>
          <w:rFonts w:cstheme="minorHAnsi"/>
          <w:bCs/>
          <w:color w:val="1111FB"/>
        </w:rPr>
        <w:t>for this submission</w:t>
      </w:r>
      <w:r w:rsidR="00451150">
        <w:rPr>
          <w:rFonts w:cstheme="minorHAnsi"/>
          <w:bCs/>
          <w:color w:val="1111FB"/>
        </w:rPr>
        <w:t xml:space="preserve">: </w:t>
      </w:r>
    </w:p>
    <w:p w14:paraId="33D7A32A" w14:textId="4F642F57" w:rsidR="001E3F70" w:rsidRPr="00451150" w:rsidRDefault="001E3F70" w:rsidP="00451150">
      <w:pPr>
        <w:pStyle w:val="ListParagraph"/>
        <w:numPr>
          <w:ilvl w:val="0"/>
          <w:numId w:val="45"/>
        </w:numPr>
        <w:autoSpaceDE w:val="0"/>
        <w:autoSpaceDN w:val="0"/>
        <w:adjustRightInd w:val="0"/>
        <w:spacing w:after="0" w:line="240" w:lineRule="auto"/>
        <w:rPr>
          <w:rFonts w:cstheme="minorHAnsi"/>
          <w:bCs/>
          <w:color w:val="1111FB"/>
        </w:rPr>
      </w:pPr>
      <w:r w:rsidRPr="00451150">
        <w:rPr>
          <w:rFonts w:cstheme="minorHAnsi"/>
          <w:bCs/>
          <w:color w:val="1111FB"/>
        </w:rPr>
        <w:t>Asthma</w:t>
      </w:r>
      <w:r w:rsidR="003F4EB0" w:rsidRPr="00451150">
        <w:rPr>
          <w:rFonts w:cstheme="minorHAnsi"/>
          <w:bCs/>
          <w:color w:val="1111FB"/>
        </w:rPr>
        <w:t>, as well as medication dispensing events indicative of a history of asthma</w:t>
      </w:r>
    </w:p>
    <w:p w14:paraId="729B5A12" w14:textId="1BA2202C" w:rsidR="001E3F70" w:rsidRPr="003F4EB0" w:rsidRDefault="001E3F70" w:rsidP="003F4EB0">
      <w:pPr>
        <w:pStyle w:val="ListParagraph"/>
        <w:numPr>
          <w:ilvl w:val="0"/>
          <w:numId w:val="37"/>
        </w:numPr>
        <w:autoSpaceDE w:val="0"/>
        <w:autoSpaceDN w:val="0"/>
        <w:adjustRightInd w:val="0"/>
        <w:spacing w:after="0" w:line="240" w:lineRule="auto"/>
        <w:rPr>
          <w:rFonts w:cstheme="minorHAnsi"/>
          <w:bCs/>
          <w:color w:val="1111FB"/>
        </w:rPr>
      </w:pPr>
      <w:r w:rsidRPr="003F4EB0">
        <w:rPr>
          <w:rFonts w:cstheme="minorHAnsi"/>
          <w:bCs/>
          <w:color w:val="1111FB"/>
        </w:rPr>
        <w:t xml:space="preserve">COPD </w:t>
      </w:r>
    </w:p>
    <w:p w14:paraId="4CDB603F" w14:textId="35B8F8A6" w:rsidR="001E3F70" w:rsidRPr="003F4EB0" w:rsidRDefault="001E3F70" w:rsidP="003F4EB0">
      <w:pPr>
        <w:pStyle w:val="ListParagraph"/>
        <w:numPr>
          <w:ilvl w:val="0"/>
          <w:numId w:val="37"/>
        </w:numPr>
        <w:autoSpaceDE w:val="0"/>
        <w:autoSpaceDN w:val="0"/>
        <w:adjustRightInd w:val="0"/>
        <w:spacing w:after="0" w:line="240" w:lineRule="auto"/>
        <w:rPr>
          <w:rFonts w:cstheme="minorHAnsi"/>
          <w:bCs/>
          <w:color w:val="1111FB"/>
        </w:rPr>
      </w:pPr>
      <w:r w:rsidRPr="003F4EB0">
        <w:rPr>
          <w:rFonts w:cstheme="minorHAnsi"/>
          <w:bCs/>
          <w:color w:val="1111FB"/>
        </w:rPr>
        <w:t xml:space="preserve">Obstructive chronic bronchitis </w:t>
      </w:r>
    </w:p>
    <w:p w14:paraId="17082688" w14:textId="1427C8C8" w:rsidR="001E3F70" w:rsidRPr="003F4EB0" w:rsidRDefault="001E3F70" w:rsidP="003F4EB0">
      <w:pPr>
        <w:pStyle w:val="ListParagraph"/>
        <w:numPr>
          <w:ilvl w:val="0"/>
          <w:numId w:val="37"/>
        </w:numPr>
        <w:autoSpaceDE w:val="0"/>
        <w:autoSpaceDN w:val="0"/>
        <w:adjustRightInd w:val="0"/>
        <w:spacing w:after="0" w:line="240" w:lineRule="auto"/>
        <w:rPr>
          <w:rFonts w:cstheme="minorHAnsi"/>
          <w:bCs/>
          <w:color w:val="1111FB"/>
        </w:rPr>
      </w:pPr>
      <w:r w:rsidRPr="003F4EB0">
        <w:rPr>
          <w:rFonts w:cstheme="minorHAnsi"/>
          <w:bCs/>
          <w:color w:val="1111FB"/>
        </w:rPr>
        <w:t xml:space="preserve">Chronic respiratory conditions due to fumes and vapors </w:t>
      </w:r>
    </w:p>
    <w:p w14:paraId="2EBAFA7C" w14:textId="017CEC56" w:rsidR="001E3F70" w:rsidRDefault="001E3F70" w:rsidP="003F4EB0">
      <w:pPr>
        <w:pStyle w:val="ListParagraph"/>
        <w:numPr>
          <w:ilvl w:val="0"/>
          <w:numId w:val="37"/>
        </w:numPr>
        <w:autoSpaceDE w:val="0"/>
        <w:autoSpaceDN w:val="0"/>
        <w:adjustRightInd w:val="0"/>
        <w:spacing w:after="0" w:line="240" w:lineRule="auto"/>
        <w:rPr>
          <w:rFonts w:cstheme="minorHAnsi"/>
          <w:bCs/>
          <w:color w:val="1111FB"/>
        </w:rPr>
      </w:pPr>
      <w:r w:rsidRPr="003F4EB0">
        <w:rPr>
          <w:rFonts w:cstheme="minorHAnsi"/>
          <w:bCs/>
          <w:color w:val="1111FB"/>
        </w:rPr>
        <w:t xml:space="preserve">Hypotension, heart block &gt;1 degree or sinus bradycardia </w:t>
      </w:r>
    </w:p>
    <w:p w14:paraId="30835B56" w14:textId="5F412747" w:rsidR="00451150" w:rsidRDefault="00451150" w:rsidP="003F4EB0">
      <w:pPr>
        <w:pStyle w:val="ListParagraph"/>
        <w:numPr>
          <w:ilvl w:val="0"/>
          <w:numId w:val="37"/>
        </w:numPr>
        <w:autoSpaceDE w:val="0"/>
        <w:autoSpaceDN w:val="0"/>
        <w:adjustRightInd w:val="0"/>
        <w:spacing w:after="0" w:line="240" w:lineRule="auto"/>
        <w:rPr>
          <w:rFonts w:cstheme="minorHAnsi"/>
          <w:bCs/>
          <w:color w:val="1111FB"/>
        </w:rPr>
      </w:pPr>
      <w:r>
        <w:rPr>
          <w:rFonts w:cstheme="minorHAnsi"/>
          <w:bCs/>
          <w:color w:val="1111FB"/>
        </w:rPr>
        <w:t>I</w:t>
      </w:r>
      <w:r w:rsidRPr="00451150">
        <w:rPr>
          <w:rFonts w:cstheme="minorHAnsi"/>
          <w:bCs/>
          <w:color w:val="1111FB"/>
        </w:rPr>
        <w:t>ntolerance or allergy to beta-blocker ther</w:t>
      </w:r>
      <w:r>
        <w:rPr>
          <w:rFonts w:cstheme="minorHAnsi"/>
          <w:bCs/>
          <w:color w:val="1111FB"/>
        </w:rPr>
        <w:t>apy</w:t>
      </w:r>
    </w:p>
    <w:p w14:paraId="5CA95148" w14:textId="14EF6868" w:rsidR="003F4EB0" w:rsidRDefault="003F4EB0" w:rsidP="003F4EB0">
      <w:pPr>
        <w:autoSpaceDE w:val="0"/>
        <w:autoSpaceDN w:val="0"/>
        <w:adjustRightInd w:val="0"/>
        <w:spacing w:after="0" w:line="240" w:lineRule="auto"/>
        <w:rPr>
          <w:rFonts w:cstheme="minorHAnsi"/>
          <w:bCs/>
          <w:color w:val="1111FB"/>
        </w:rPr>
      </w:pPr>
    </w:p>
    <w:p w14:paraId="3F851DD8" w14:textId="59D332B7" w:rsidR="003F4EB0" w:rsidRDefault="008C19A1" w:rsidP="003F4EB0">
      <w:pPr>
        <w:autoSpaceDE w:val="0"/>
        <w:autoSpaceDN w:val="0"/>
        <w:adjustRightInd w:val="0"/>
        <w:spacing w:after="0" w:line="240" w:lineRule="auto"/>
        <w:rPr>
          <w:rFonts w:cstheme="minorHAnsi"/>
          <w:bCs/>
          <w:color w:val="1111FB"/>
        </w:rPr>
      </w:pPr>
      <w:r>
        <w:rPr>
          <w:rFonts w:cstheme="minorHAnsi"/>
          <w:bCs/>
          <w:color w:val="1111FB"/>
        </w:rPr>
        <w:t xml:space="preserve">NCQA </w:t>
      </w:r>
      <w:r w:rsidR="00FB0353">
        <w:rPr>
          <w:rFonts w:cstheme="minorHAnsi"/>
          <w:bCs/>
          <w:color w:val="1111FB"/>
        </w:rPr>
        <w:t>engaged expert panels to inform the face validity of these</w:t>
      </w:r>
      <w:r w:rsidR="00451150">
        <w:rPr>
          <w:rFonts w:cstheme="minorHAnsi"/>
          <w:bCs/>
          <w:color w:val="1111FB"/>
        </w:rPr>
        <w:t xml:space="preserve"> </w:t>
      </w:r>
      <w:r w:rsidR="003F4EB0">
        <w:rPr>
          <w:rFonts w:cstheme="minorHAnsi"/>
          <w:bCs/>
          <w:color w:val="1111FB"/>
        </w:rPr>
        <w:t>exclusions</w:t>
      </w:r>
      <w:r w:rsidR="00FB0353">
        <w:rPr>
          <w:rFonts w:cstheme="minorHAnsi"/>
          <w:bCs/>
          <w:color w:val="1111FB"/>
        </w:rPr>
        <w:t>,</w:t>
      </w:r>
      <w:r w:rsidR="003F4EB0">
        <w:rPr>
          <w:rFonts w:cstheme="minorHAnsi"/>
          <w:bCs/>
          <w:color w:val="1111FB"/>
        </w:rPr>
        <w:t xml:space="preserve"> </w:t>
      </w:r>
      <w:r w:rsidR="00451150">
        <w:rPr>
          <w:rFonts w:cstheme="minorHAnsi"/>
          <w:bCs/>
          <w:color w:val="1111FB"/>
        </w:rPr>
        <w:t xml:space="preserve">which </w:t>
      </w:r>
      <w:r w:rsidR="003F4EB0">
        <w:rPr>
          <w:rFonts w:cstheme="minorHAnsi"/>
          <w:bCs/>
          <w:color w:val="1111FB"/>
        </w:rPr>
        <w:t xml:space="preserve">align with the evidence and guideline recommendations supporting the measure. </w:t>
      </w:r>
      <w:r w:rsidR="00FB0353">
        <w:rPr>
          <w:rFonts w:cstheme="minorHAnsi"/>
          <w:bCs/>
          <w:color w:val="1111FB"/>
        </w:rPr>
        <w:t>T</w:t>
      </w:r>
      <w:r w:rsidR="003F4EB0">
        <w:rPr>
          <w:rFonts w:cstheme="minorHAnsi"/>
          <w:bCs/>
          <w:color w:val="1111FB"/>
        </w:rPr>
        <w:t xml:space="preserve">his measure has been reviewed by </w:t>
      </w:r>
      <w:r w:rsidR="00AD782C">
        <w:rPr>
          <w:rFonts w:cstheme="minorHAnsi"/>
          <w:bCs/>
          <w:color w:val="1111FB"/>
        </w:rPr>
        <w:t>NCQA’s</w:t>
      </w:r>
      <w:r w:rsidR="00867977">
        <w:rPr>
          <w:rFonts w:cstheme="minorHAnsi"/>
          <w:bCs/>
          <w:color w:val="1111FB"/>
        </w:rPr>
        <w:t xml:space="preserve"> Cardiovascular Measurement Advisory Panel</w:t>
      </w:r>
      <w:r w:rsidR="00AD782C">
        <w:rPr>
          <w:rFonts w:cstheme="minorHAnsi"/>
          <w:bCs/>
          <w:color w:val="1111FB"/>
        </w:rPr>
        <w:t>, Technical Measurement Advisory Panel, and the Committee on Performance Measurement</w:t>
      </w:r>
      <w:r w:rsidR="00DE30C2">
        <w:rPr>
          <w:rFonts w:cstheme="minorHAnsi"/>
          <w:bCs/>
          <w:color w:val="1111FB"/>
        </w:rPr>
        <w:t xml:space="preserve">. The measure also received public comment feedback upon </w:t>
      </w:r>
      <w:r w:rsidR="00107765">
        <w:rPr>
          <w:rFonts w:cstheme="minorHAnsi"/>
          <w:bCs/>
          <w:color w:val="1111FB"/>
        </w:rPr>
        <w:t xml:space="preserve">initial </w:t>
      </w:r>
      <w:r w:rsidR="00DE30C2">
        <w:rPr>
          <w:rFonts w:cstheme="minorHAnsi"/>
          <w:bCs/>
          <w:color w:val="1111FB"/>
        </w:rPr>
        <w:t>development.</w:t>
      </w:r>
    </w:p>
    <w:p w14:paraId="18438DCB" w14:textId="28357DBB" w:rsidR="004D27BD" w:rsidRDefault="004D27BD" w:rsidP="003F4EB0">
      <w:pPr>
        <w:autoSpaceDE w:val="0"/>
        <w:autoSpaceDN w:val="0"/>
        <w:adjustRightInd w:val="0"/>
        <w:spacing w:after="0" w:line="240" w:lineRule="auto"/>
        <w:rPr>
          <w:rFonts w:cstheme="minorHAnsi"/>
          <w:bCs/>
          <w:color w:val="1111FB"/>
        </w:rPr>
      </w:pPr>
    </w:p>
    <w:p w14:paraId="107DC8DF" w14:textId="18E67D88" w:rsidR="00526EDF" w:rsidRPr="0085123A" w:rsidRDefault="00526EDF" w:rsidP="003F4EB0">
      <w:pPr>
        <w:autoSpaceDE w:val="0"/>
        <w:autoSpaceDN w:val="0"/>
        <w:adjustRightInd w:val="0"/>
        <w:spacing w:after="0" w:line="240" w:lineRule="auto"/>
        <w:rPr>
          <w:rFonts w:cstheme="minorHAnsi"/>
          <w:bCs/>
          <w:color w:val="1111FB"/>
          <w:u w:val="single"/>
        </w:rPr>
      </w:pPr>
      <w:r w:rsidRPr="0085123A">
        <w:rPr>
          <w:rFonts w:cstheme="minorHAnsi"/>
          <w:bCs/>
          <w:color w:val="1111FB"/>
          <w:u w:val="single"/>
        </w:rPr>
        <w:t>Hospice</w:t>
      </w:r>
      <w:r w:rsidR="003670CD" w:rsidRPr="0085123A">
        <w:rPr>
          <w:rFonts w:cstheme="minorHAnsi"/>
          <w:bCs/>
          <w:color w:val="1111FB"/>
          <w:u w:val="single"/>
        </w:rPr>
        <w:t>, I-SNPs and Long-Term Care Institutions</w:t>
      </w:r>
    </w:p>
    <w:p w14:paraId="307A07C0" w14:textId="2A0CDAF3" w:rsidR="0044075E" w:rsidRPr="00AD79DC" w:rsidRDefault="00332C8D" w:rsidP="0044075E">
      <w:pPr>
        <w:autoSpaceDE w:val="0"/>
        <w:autoSpaceDN w:val="0"/>
        <w:spacing w:after="0" w:line="240" w:lineRule="auto"/>
        <w:rPr>
          <w:color w:val="0000FF"/>
        </w:rPr>
      </w:pPr>
      <w:r>
        <w:rPr>
          <w:rFonts w:cstheme="minorHAnsi"/>
          <w:bCs/>
          <w:color w:val="1111FB"/>
        </w:rPr>
        <w:t xml:space="preserve">These exclusions were also not formally tested for this submission. </w:t>
      </w:r>
      <w:r w:rsidR="00C20365">
        <w:rPr>
          <w:rFonts w:cstheme="minorHAnsi"/>
          <w:bCs/>
          <w:color w:val="1111FB"/>
        </w:rPr>
        <w:t>This measure is</w:t>
      </w:r>
      <w:r w:rsidR="00675356" w:rsidRPr="00675356">
        <w:rPr>
          <w:rFonts w:cstheme="minorHAnsi"/>
          <w:bCs/>
          <w:color w:val="1111FB"/>
        </w:rPr>
        <w:t xml:space="preserve"> designed to be scientifically valid and feasible for comparing the quality of care provided to general populations, such as healthy older adults or those with a single condition.</w:t>
      </w:r>
      <w:r w:rsidR="00675356">
        <w:rPr>
          <w:rFonts w:cstheme="minorHAnsi"/>
          <w:bCs/>
          <w:color w:val="1111FB"/>
        </w:rPr>
        <w:t xml:space="preserve"> Patients receiving hospice, </w:t>
      </w:r>
      <w:r w:rsidR="00D015AF">
        <w:rPr>
          <w:rFonts w:cstheme="minorHAnsi"/>
          <w:bCs/>
          <w:color w:val="1111FB"/>
        </w:rPr>
        <w:t xml:space="preserve">enrolled in an I-SNP, or residing in a long-term care </w:t>
      </w:r>
      <w:r w:rsidR="00D015AF" w:rsidRPr="00AD79DC">
        <w:rPr>
          <w:rFonts w:cstheme="minorHAnsi"/>
          <w:bCs/>
          <w:color w:val="0000FF"/>
        </w:rPr>
        <w:t xml:space="preserve">institution </w:t>
      </w:r>
      <w:r w:rsidR="0044075E" w:rsidRPr="00AD79DC">
        <w:rPr>
          <w:rFonts w:ascii="Segoe UI" w:hAnsi="Segoe UI" w:cs="Segoe UI"/>
          <w:color w:val="0000FF"/>
          <w:sz w:val="20"/>
          <w:szCs w:val="20"/>
        </w:rPr>
        <w:t>would likely have different care needs and quality concerns, therefore they are excluded from this measure</w:t>
      </w:r>
      <w:r w:rsidR="00B65895" w:rsidRPr="00AD79DC">
        <w:rPr>
          <w:rFonts w:ascii="Segoe UI" w:hAnsi="Segoe UI" w:cs="Segoe UI"/>
          <w:color w:val="0000FF"/>
          <w:sz w:val="20"/>
          <w:szCs w:val="20"/>
        </w:rPr>
        <w:t>.</w:t>
      </w:r>
    </w:p>
    <w:p w14:paraId="6E1890C2" w14:textId="77777777" w:rsidR="0085123A" w:rsidRDefault="0085123A" w:rsidP="003F4EB0">
      <w:pPr>
        <w:autoSpaceDE w:val="0"/>
        <w:autoSpaceDN w:val="0"/>
        <w:adjustRightInd w:val="0"/>
        <w:spacing w:after="0" w:line="240" w:lineRule="auto"/>
        <w:rPr>
          <w:rFonts w:cstheme="minorHAnsi"/>
          <w:bCs/>
          <w:color w:val="1111FB"/>
          <w:u w:val="single"/>
        </w:rPr>
      </w:pPr>
    </w:p>
    <w:p w14:paraId="15D17A4B" w14:textId="1EBCD3A9" w:rsidR="001E266C" w:rsidRPr="001E266C" w:rsidRDefault="001E266C" w:rsidP="003F4EB0">
      <w:pPr>
        <w:autoSpaceDE w:val="0"/>
        <w:autoSpaceDN w:val="0"/>
        <w:adjustRightInd w:val="0"/>
        <w:spacing w:after="0" w:line="240" w:lineRule="auto"/>
        <w:rPr>
          <w:rFonts w:cstheme="minorHAnsi"/>
          <w:bCs/>
          <w:color w:val="1111FB"/>
          <w:u w:val="single"/>
        </w:rPr>
      </w:pPr>
      <w:r w:rsidRPr="001E266C">
        <w:rPr>
          <w:rFonts w:cstheme="minorHAnsi"/>
          <w:bCs/>
          <w:color w:val="1111FB"/>
          <w:u w:val="single"/>
        </w:rPr>
        <w:t>Advanced Illness and Frailty</w:t>
      </w:r>
    </w:p>
    <w:p w14:paraId="249230C8" w14:textId="16B103C7" w:rsidR="00B8407D" w:rsidRPr="00B8407D" w:rsidRDefault="004F0D2B" w:rsidP="00B8407D">
      <w:pPr>
        <w:autoSpaceDE w:val="0"/>
        <w:autoSpaceDN w:val="0"/>
        <w:adjustRightInd w:val="0"/>
        <w:spacing w:after="0" w:line="240" w:lineRule="auto"/>
        <w:rPr>
          <w:rFonts w:cstheme="minorHAnsi"/>
          <w:bCs/>
          <w:color w:val="1111FB"/>
        </w:rPr>
      </w:pPr>
      <w:r>
        <w:rPr>
          <w:rFonts w:cstheme="minorHAnsi"/>
          <w:bCs/>
          <w:color w:val="1111FB"/>
        </w:rPr>
        <w:t>For HEDIS 2019</w:t>
      </w:r>
      <w:r w:rsidR="009B2561">
        <w:rPr>
          <w:rFonts w:cstheme="minorHAnsi"/>
          <w:bCs/>
          <w:color w:val="1111FB"/>
        </w:rPr>
        <w:t xml:space="preserve"> (measurement year 2018)</w:t>
      </w:r>
      <w:r>
        <w:rPr>
          <w:rFonts w:cstheme="minorHAnsi"/>
          <w:bCs/>
          <w:color w:val="1111FB"/>
        </w:rPr>
        <w:t xml:space="preserve">, </w:t>
      </w:r>
      <w:r w:rsidR="009B2561">
        <w:rPr>
          <w:rFonts w:cstheme="minorHAnsi"/>
          <w:bCs/>
          <w:color w:val="1111FB"/>
        </w:rPr>
        <w:t xml:space="preserve">NCQA </w:t>
      </w:r>
      <w:r w:rsidR="00971197">
        <w:rPr>
          <w:rFonts w:cstheme="minorHAnsi"/>
          <w:bCs/>
          <w:color w:val="1111FB"/>
        </w:rPr>
        <w:t xml:space="preserve">added </w:t>
      </w:r>
      <w:r>
        <w:rPr>
          <w:rFonts w:cstheme="minorHAnsi"/>
          <w:bCs/>
          <w:color w:val="1111FB"/>
        </w:rPr>
        <w:t>exclusions for</w:t>
      </w:r>
      <w:r w:rsidR="00971197">
        <w:rPr>
          <w:rFonts w:cstheme="minorHAnsi"/>
          <w:bCs/>
          <w:color w:val="1111FB"/>
        </w:rPr>
        <w:t xml:space="preserve"> </w:t>
      </w:r>
      <w:r w:rsidR="00971197" w:rsidRPr="00971197">
        <w:rPr>
          <w:rFonts w:cstheme="minorHAnsi"/>
          <w:bCs/>
          <w:color w:val="1111FB"/>
        </w:rPr>
        <w:t>advanced illness and frailty</w:t>
      </w:r>
      <w:r w:rsidR="00971197">
        <w:rPr>
          <w:rFonts w:cstheme="minorHAnsi"/>
          <w:bCs/>
          <w:color w:val="1111FB"/>
        </w:rPr>
        <w:t xml:space="preserve"> to the </w:t>
      </w:r>
      <w:r w:rsidR="0016114C" w:rsidRPr="0016114C">
        <w:rPr>
          <w:rFonts w:cstheme="minorHAnsi"/>
          <w:bCs/>
          <w:color w:val="1111FB"/>
        </w:rPr>
        <w:t>Persistence of Beta-Blocker Treatment after a Heart Attac</w:t>
      </w:r>
      <w:r w:rsidR="0016114C">
        <w:rPr>
          <w:rFonts w:cstheme="minorHAnsi"/>
          <w:bCs/>
          <w:color w:val="1111FB"/>
        </w:rPr>
        <w:t>k</w:t>
      </w:r>
      <w:r w:rsidR="0016114C" w:rsidRPr="0016114C">
        <w:rPr>
          <w:rFonts w:cstheme="minorHAnsi"/>
          <w:bCs/>
          <w:color w:val="1111FB"/>
        </w:rPr>
        <w:t xml:space="preserve"> measur</w:t>
      </w:r>
      <w:r w:rsidR="00551E91">
        <w:rPr>
          <w:rFonts w:cstheme="minorHAnsi"/>
          <w:bCs/>
          <w:color w:val="1111FB"/>
        </w:rPr>
        <w:t xml:space="preserve">e. </w:t>
      </w:r>
      <w:r w:rsidR="00F6295C">
        <w:rPr>
          <w:rFonts w:cstheme="minorHAnsi"/>
          <w:bCs/>
          <w:color w:val="1111FB"/>
        </w:rPr>
        <w:t>NCQA decided to explore implementing these exclusion</w:t>
      </w:r>
      <w:r w:rsidR="009A52A1">
        <w:rPr>
          <w:rFonts w:cstheme="minorHAnsi"/>
          <w:bCs/>
          <w:color w:val="1111FB"/>
        </w:rPr>
        <w:t>s</w:t>
      </w:r>
      <w:r w:rsidR="001B6530">
        <w:rPr>
          <w:rFonts w:cstheme="minorHAnsi"/>
          <w:bCs/>
          <w:color w:val="1111FB"/>
        </w:rPr>
        <w:t>,</w:t>
      </w:r>
      <w:r w:rsidR="00F6295C">
        <w:rPr>
          <w:rFonts w:cstheme="minorHAnsi"/>
          <w:bCs/>
          <w:color w:val="1111FB"/>
        </w:rPr>
        <w:t xml:space="preserve"> recognizing</w:t>
      </w:r>
      <w:r w:rsidR="00243B54">
        <w:rPr>
          <w:rFonts w:cstheme="minorHAnsi"/>
          <w:bCs/>
          <w:color w:val="1111FB"/>
        </w:rPr>
        <w:t xml:space="preserve"> that</w:t>
      </w:r>
      <w:r w:rsidR="006B52C5">
        <w:rPr>
          <w:rFonts w:cstheme="minorHAnsi"/>
          <w:bCs/>
          <w:color w:val="1111FB"/>
        </w:rPr>
        <w:t xml:space="preserve"> for </w:t>
      </w:r>
      <w:r w:rsidR="006B52C5" w:rsidRPr="006B52C5">
        <w:rPr>
          <w:rFonts w:cstheme="minorHAnsi"/>
          <w:bCs/>
          <w:color w:val="1111FB"/>
        </w:rPr>
        <w:t xml:space="preserve">individuals with </w:t>
      </w:r>
      <w:r w:rsidR="00243B54">
        <w:rPr>
          <w:rFonts w:cstheme="minorHAnsi"/>
          <w:bCs/>
          <w:color w:val="1111FB"/>
        </w:rPr>
        <w:t xml:space="preserve">limited </w:t>
      </w:r>
      <w:r w:rsidR="006B52C5" w:rsidRPr="006B52C5">
        <w:rPr>
          <w:rFonts w:cstheme="minorHAnsi"/>
          <w:bCs/>
          <w:color w:val="1111FB"/>
        </w:rPr>
        <w:t xml:space="preserve">life expectancy, advanced </w:t>
      </w:r>
      <w:r w:rsidR="006B52C5" w:rsidRPr="006B52C5">
        <w:rPr>
          <w:rFonts w:cstheme="minorHAnsi"/>
          <w:bCs/>
          <w:color w:val="1111FB"/>
        </w:rPr>
        <w:lastRenderedPageBreak/>
        <w:t xml:space="preserve">illness or </w:t>
      </w:r>
      <w:r w:rsidR="00141C09">
        <w:rPr>
          <w:rFonts w:cstheme="minorHAnsi"/>
          <w:bCs/>
          <w:color w:val="1111FB"/>
        </w:rPr>
        <w:t>frailty,</w:t>
      </w:r>
      <w:r w:rsidR="006B52C5" w:rsidRPr="006B52C5">
        <w:rPr>
          <w:rFonts w:cstheme="minorHAnsi"/>
          <w:bCs/>
          <w:color w:val="1111FB"/>
        </w:rPr>
        <w:t xml:space="preserve"> the treatment identified in this measure may not be</w:t>
      </w:r>
      <w:r w:rsidR="00DB6EB4">
        <w:rPr>
          <w:rFonts w:cstheme="minorHAnsi"/>
          <w:bCs/>
          <w:color w:val="1111FB"/>
        </w:rPr>
        <w:t xml:space="preserve"> clinically appropriate,</w:t>
      </w:r>
      <w:r w:rsidR="006B52C5" w:rsidRPr="006B52C5">
        <w:rPr>
          <w:rFonts w:cstheme="minorHAnsi"/>
          <w:bCs/>
          <w:color w:val="1111FB"/>
        </w:rPr>
        <w:t xml:space="preserve"> relevant or in line with the patient’s goals of care. </w:t>
      </w:r>
      <w:r w:rsidR="004079EA">
        <w:rPr>
          <w:rFonts w:cstheme="minorHAnsi"/>
          <w:bCs/>
          <w:color w:val="1111FB"/>
        </w:rPr>
        <w:t>We</w:t>
      </w:r>
      <w:r w:rsidR="00B8407D" w:rsidRPr="00B8407D">
        <w:rPr>
          <w:rFonts w:cstheme="minorHAnsi"/>
          <w:bCs/>
          <w:color w:val="1111FB"/>
        </w:rPr>
        <w:t xml:space="preserve"> performed a review of literature on different approaches to defining advanced illness and used this, along with feedback received from expert work groups, measurement advisory panels and public comment to create a list of illnesses, conditions and service codes to be included in testing. The conditions included: dementia and other neurodegenerative conditions, emphysema, end stage renal disease (ESRD), heart failure, liver failure, metastatic cancer, pulmonary fibrosis and respiratory failure. </w:t>
      </w:r>
    </w:p>
    <w:p w14:paraId="176636F6" w14:textId="77777777" w:rsidR="00B8407D" w:rsidRPr="00B8407D" w:rsidRDefault="00B8407D" w:rsidP="00B8407D">
      <w:pPr>
        <w:autoSpaceDE w:val="0"/>
        <w:autoSpaceDN w:val="0"/>
        <w:adjustRightInd w:val="0"/>
        <w:spacing w:after="0" w:line="240" w:lineRule="auto"/>
        <w:rPr>
          <w:rFonts w:cstheme="minorHAnsi"/>
          <w:bCs/>
          <w:color w:val="1111FB"/>
        </w:rPr>
      </w:pPr>
    </w:p>
    <w:p w14:paraId="4075F2B7" w14:textId="6B2E703C" w:rsidR="00F81701" w:rsidRDefault="00F81701" w:rsidP="00B8407D">
      <w:pPr>
        <w:autoSpaceDE w:val="0"/>
        <w:autoSpaceDN w:val="0"/>
        <w:adjustRightInd w:val="0"/>
        <w:spacing w:after="0" w:line="240" w:lineRule="auto"/>
        <w:rPr>
          <w:rFonts w:cstheme="minorHAnsi"/>
          <w:bCs/>
          <w:color w:val="1111FB"/>
        </w:rPr>
      </w:pPr>
      <w:r w:rsidRPr="00B8407D">
        <w:rPr>
          <w:rFonts w:cstheme="minorHAnsi"/>
          <w:bCs/>
          <w:color w:val="1111FB"/>
        </w:rPr>
        <w:t>NCQA then conducted a search of ICD-10 codes that were relevant to each of the conditions to create value sets for testing. To identify those with dementia, NCQA also included drug codes for medications such as donepezil hydrochloride and galantamine hydrobromide, to capture those who may not carry a diagnosis of dementia but are prescribed a drug for treatment.</w:t>
      </w:r>
    </w:p>
    <w:p w14:paraId="0F0FE8BD" w14:textId="77777777" w:rsidR="00F81701" w:rsidRDefault="00F81701" w:rsidP="00B8407D">
      <w:pPr>
        <w:autoSpaceDE w:val="0"/>
        <w:autoSpaceDN w:val="0"/>
        <w:adjustRightInd w:val="0"/>
        <w:spacing w:after="0" w:line="240" w:lineRule="auto"/>
        <w:rPr>
          <w:rFonts w:cstheme="minorHAnsi"/>
          <w:bCs/>
          <w:color w:val="1111FB"/>
        </w:rPr>
      </w:pPr>
    </w:p>
    <w:p w14:paraId="0D4E5921" w14:textId="31E4CCB7" w:rsidR="00CC346E" w:rsidRDefault="00CC346E" w:rsidP="00B8407D">
      <w:pPr>
        <w:autoSpaceDE w:val="0"/>
        <w:autoSpaceDN w:val="0"/>
        <w:adjustRightInd w:val="0"/>
        <w:spacing w:after="0" w:line="240" w:lineRule="auto"/>
        <w:rPr>
          <w:rFonts w:cstheme="minorHAnsi"/>
          <w:bCs/>
          <w:color w:val="1111FB"/>
        </w:rPr>
      </w:pPr>
      <w:r w:rsidRPr="00CC346E">
        <w:rPr>
          <w:rFonts w:cstheme="minorHAnsi"/>
          <w:bCs/>
          <w:color w:val="1111FB"/>
        </w:rPr>
        <w:t>The proxy for frailty was developed based on previously studied approaches</w:t>
      </w:r>
      <w:r w:rsidR="0055208D">
        <w:rPr>
          <w:rStyle w:val="FootnoteReference"/>
          <w:bCs/>
          <w:color w:val="1111FB"/>
        </w:rPr>
        <w:footnoteReference w:id="2"/>
      </w:r>
      <w:r w:rsidR="008A216E" w:rsidRPr="008B1237">
        <w:rPr>
          <w:rFonts w:cstheme="minorHAnsi"/>
          <w:color w:val="1111FB"/>
          <w:vertAlign w:val="superscript"/>
        </w:rPr>
        <w:t>,</w:t>
      </w:r>
      <w:r w:rsidR="00FC053B">
        <w:rPr>
          <w:rStyle w:val="FootnoteReference"/>
          <w:bCs/>
          <w:color w:val="1111FB"/>
        </w:rPr>
        <w:footnoteReference w:id="3"/>
      </w:r>
      <w:r w:rsidR="008A216E" w:rsidRPr="008B1237">
        <w:rPr>
          <w:rFonts w:cstheme="minorHAnsi"/>
          <w:color w:val="1111FB"/>
          <w:vertAlign w:val="superscript"/>
        </w:rPr>
        <w:t>,</w:t>
      </w:r>
      <w:r w:rsidR="008A216E">
        <w:rPr>
          <w:rStyle w:val="FootnoteReference"/>
          <w:bCs/>
          <w:color w:val="1111FB"/>
        </w:rPr>
        <w:footnoteReference w:id="4"/>
      </w:r>
      <w:r w:rsidR="0046384B">
        <w:rPr>
          <w:rFonts w:cstheme="minorHAnsi"/>
          <w:bCs/>
          <w:color w:val="1111FB"/>
        </w:rPr>
        <w:t xml:space="preserve"> </w:t>
      </w:r>
      <w:r w:rsidRPr="00CC346E">
        <w:rPr>
          <w:rFonts w:cstheme="minorHAnsi"/>
          <w:bCs/>
          <w:color w:val="1111FB"/>
        </w:rPr>
        <w:t>and feedback received from expert work groups and measurement advisory panels. The proxy is comprised of HCPCS</w:t>
      </w:r>
      <w:r w:rsidR="00AD79DC">
        <w:rPr>
          <w:rFonts w:cstheme="minorHAnsi"/>
          <w:bCs/>
          <w:color w:val="1111FB"/>
        </w:rPr>
        <w:t xml:space="preserve"> </w:t>
      </w:r>
      <w:r w:rsidRPr="00CC346E">
        <w:rPr>
          <w:rFonts w:cstheme="minorHAnsi"/>
          <w:bCs/>
          <w:color w:val="1111FB"/>
        </w:rPr>
        <w:t>and ICD-10 codes for diagnoses or services that can indicate when an individual is frail or dependent in activities of daily living. Examples include: gait abnormality, abnormal loss of weight and underweight, adult failure to thrive, debility, fall, pressure ulcer, durable medical equipment (hospital bed, walker, portable or home oxygen, wheelchair), bed confinement, palliative care and age-related physical debility. Members met the frailty proxy criteria if they had a claim for any of the codes included in the frailty code set in the measurement year</w:t>
      </w:r>
      <w:r w:rsidR="00451293">
        <w:rPr>
          <w:rFonts w:cstheme="minorHAnsi"/>
          <w:bCs/>
          <w:color w:val="1111FB"/>
        </w:rPr>
        <w:t>.</w:t>
      </w:r>
    </w:p>
    <w:p w14:paraId="39040DD1" w14:textId="77777777" w:rsidR="00451293" w:rsidRDefault="00451293" w:rsidP="00B8407D">
      <w:pPr>
        <w:autoSpaceDE w:val="0"/>
        <w:autoSpaceDN w:val="0"/>
        <w:adjustRightInd w:val="0"/>
        <w:spacing w:after="0" w:line="240" w:lineRule="auto"/>
        <w:rPr>
          <w:rFonts w:cstheme="minorHAnsi"/>
          <w:bCs/>
          <w:color w:val="1111FB"/>
        </w:rPr>
      </w:pPr>
    </w:p>
    <w:p w14:paraId="5C8BE0EB" w14:textId="169AE798" w:rsidR="00451293" w:rsidRDefault="00451293" w:rsidP="00451293">
      <w:pPr>
        <w:autoSpaceDE w:val="0"/>
        <w:autoSpaceDN w:val="0"/>
        <w:adjustRightInd w:val="0"/>
        <w:spacing w:after="0" w:line="240" w:lineRule="auto"/>
        <w:rPr>
          <w:rFonts w:cstheme="minorHAnsi"/>
          <w:bCs/>
          <w:color w:val="1111FB"/>
        </w:rPr>
      </w:pPr>
      <w:r>
        <w:rPr>
          <w:rFonts w:cstheme="minorHAnsi"/>
          <w:bCs/>
          <w:color w:val="1111FB"/>
        </w:rPr>
        <w:t xml:space="preserve">To determine the feasibility and impact of applying these exclusions to the measure, </w:t>
      </w:r>
      <w:r w:rsidRPr="009A52A1">
        <w:rPr>
          <w:rFonts w:cstheme="minorHAnsi"/>
          <w:bCs/>
          <w:color w:val="1111FB"/>
        </w:rPr>
        <w:t xml:space="preserve">NCQA </w:t>
      </w:r>
      <w:r w:rsidR="00D10A27">
        <w:rPr>
          <w:rFonts w:cstheme="minorHAnsi"/>
          <w:bCs/>
          <w:color w:val="1111FB"/>
        </w:rPr>
        <w:t>used</w:t>
      </w:r>
      <w:r w:rsidRPr="009A52A1">
        <w:rPr>
          <w:rFonts w:cstheme="minorHAnsi"/>
          <w:bCs/>
          <w:color w:val="1111FB"/>
        </w:rPr>
        <w:t xml:space="preserve"> a research database </w:t>
      </w:r>
      <w:r w:rsidR="008D2FF4">
        <w:rPr>
          <w:rFonts w:cstheme="minorHAnsi"/>
          <w:bCs/>
          <w:color w:val="1111FB"/>
        </w:rPr>
        <w:t>that consisted</w:t>
      </w:r>
      <w:r w:rsidRPr="009A52A1">
        <w:rPr>
          <w:rFonts w:cstheme="minorHAnsi"/>
          <w:bCs/>
          <w:color w:val="1111FB"/>
        </w:rPr>
        <w:t xml:space="preserve"> of two years of inpatient, outpatient, and pharmacy claims for members age 18 and older enrolled in </w:t>
      </w:r>
      <w:r w:rsidR="00F37612">
        <w:rPr>
          <w:rFonts w:cstheme="minorHAnsi"/>
          <w:bCs/>
          <w:color w:val="1111FB"/>
        </w:rPr>
        <w:t xml:space="preserve">a sample of </w:t>
      </w:r>
      <w:r w:rsidRPr="009A52A1">
        <w:rPr>
          <w:rFonts w:cstheme="minorHAnsi"/>
          <w:bCs/>
          <w:color w:val="1111FB"/>
        </w:rPr>
        <w:t>Medicare Advantage plans</w:t>
      </w:r>
      <w:r w:rsidR="00F37612">
        <w:rPr>
          <w:rFonts w:cstheme="minorHAnsi"/>
          <w:bCs/>
          <w:color w:val="1111FB"/>
        </w:rPr>
        <w:t xml:space="preserve"> (N=10)</w:t>
      </w:r>
      <w:r>
        <w:rPr>
          <w:rFonts w:cstheme="minorHAnsi"/>
          <w:bCs/>
          <w:color w:val="1111FB"/>
        </w:rPr>
        <w:t>.</w:t>
      </w:r>
      <w:r w:rsidRPr="00451293">
        <w:rPr>
          <w:rFonts w:cstheme="minorHAnsi"/>
          <w:bCs/>
          <w:color w:val="1111FB"/>
        </w:rPr>
        <w:t xml:space="preserve"> </w:t>
      </w:r>
      <w:r w:rsidR="00934885">
        <w:rPr>
          <w:rFonts w:cstheme="minorHAnsi"/>
          <w:bCs/>
          <w:color w:val="1111FB"/>
        </w:rPr>
        <w:t xml:space="preserve">NCQA </w:t>
      </w:r>
      <w:r w:rsidR="00D02944">
        <w:rPr>
          <w:rFonts w:cstheme="minorHAnsi"/>
          <w:bCs/>
          <w:color w:val="1111FB"/>
        </w:rPr>
        <w:t>compare</w:t>
      </w:r>
      <w:r w:rsidR="000B1B2C">
        <w:rPr>
          <w:rFonts w:cstheme="minorHAnsi"/>
          <w:bCs/>
          <w:color w:val="1111FB"/>
        </w:rPr>
        <w:t>d</w:t>
      </w:r>
      <w:r w:rsidR="00D02944">
        <w:rPr>
          <w:rFonts w:cstheme="minorHAnsi"/>
          <w:bCs/>
          <w:color w:val="1111FB"/>
        </w:rPr>
        <w:t xml:space="preserve"> several approaches for </w:t>
      </w:r>
      <w:r w:rsidR="00B941B6">
        <w:rPr>
          <w:rFonts w:cstheme="minorHAnsi"/>
          <w:bCs/>
          <w:color w:val="1111FB"/>
        </w:rPr>
        <w:t>identifying the advanced illness and frailty populations, examining different age ranges and diagnos</w:t>
      </w:r>
      <w:r w:rsidR="00BB7D39">
        <w:rPr>
          <w:rFonts w:cstheme="minorHAnsi"/>
          <w:bCs/>
          <w:color w:val="1111FB"/>
        </w:rPr>
        <w:t>i</w:t>
      </w:r>
      <w:r w:rsidR="00B941B6">
        <w:rPr>
          <w:rFonts w:cstheme="minorHAnsi"/>
          <w:bCs/>
          <w:color w:val="1111FB"/>
        </w:rPr>
        <w:t>s positions</w:t>
      </w:r>
      <w:r w:rsidR="00823564">
        <w:rPr>
          <w:rFonts w:cstheme="minorHAnsi"/>
          <w:bCs/>
          <w:color w:val="1111FB"/>
        </w:rPr>
        <w:t xml:space="preserve"> and their impact on the denominator size and performance rate of the measure.</w:t>
      </w:r>
      <w:r w:rsidR="00B941B6">
        <w:rPr>
          <w:rFonts w:cstheme="minorHAnsi"/>
          <w:bCs/>
          <w:color w:val="1111FB"/>
        </w:rPr>
        <w:t xml:space="preserve"> </w:t>
      </w:r>
      <w:r w:rsidR="000B443D">
        <w:rPr>
          <w:rFonts w:cstheme="minorHAnsi"/>
          <w:bCs/>
          <w:color w:val="1111FB"/>
        </w:rPr>
        <w:t xml:space="preserve">The results of those queries </w:t>
      </w:r>
      <w:bookmarkStart w:id="14" w:name="_Hlk15420704"/>
      <w:r w:rsidR="000B443D">
        <w:rPr>
          <w:rFonts w:cstheme="minorHAnsi"/>
          <w:bCs/>
          <w:color w:val="1111FB"/>
        </w:rPr>
        <w:t>along w</w:t>
      </w:r>
      <w:r w:rsidR="00B941B6">
        <w:rPr>
          <w:rFonts w:cstheme="minorHAnsi"/>
          <w:bCs/>
          <w:color w:val="1111FB"/>
        </w:rPr>
        <w:t xml:space="preserve">ith input from </w:t>
      </w:r>
      <w:bookmarkEnd w:id="14"/>
      <w:r w:rsidR="00A21CDC">
        <w:rPr>
          <w:rFonts w:cstheme="minorHAnsi"/>
          <w:bCs/>
          <w:color w:val="1111FB"/>
        </w:rPr>
        <w:t xml:space="preserve">the </w:t>
      </w:r>
      <w:r w:rsidR="00A21CDC" w:rsidRPr="00A21CDC">
        <w:rPr>
          <w:rFonts w:cstheme="minorHAnsi"/>
          <w:bCs/>
          <w:color w:val="1111FB"/>
        </w:rPr>
        <w:t>expert work groups, measurement advisory panels and public comment</w:t>
      </w:r>
      <w:r w:rsidR="000B443D">
        <w:rPr>
          <w:rFonts w:cstheme="minorHAnsi"/>
          <w:bCs/>
          <w:color w:val="1111FB"/>
        </w:rPr>
        <w:t xml:space="preserve"> led us to determine that</w:t>
      </w:r>
      <w:r w:rsidR="00C51929">
        <w:rPr>
          <w:rFonts w:cstheme="minorHAnsi"/>
          <w:bCs/>
          <w:color w:val="1111FB"/>
        </w:rPr>
        <w:t xml:space="preserve"> </w:t>
      </w:r>
      <w:r w:rsidR="00491CD9">
        <w:rPr>
          <w:rFonts w:cstheme="minorHAnsi"/>
          <w:bCs/>
          <w:color w:val="1111FB"/>
        </w:rPr>
        <w:t xml:space="preserve">the best approach for identifying the </w:t>
      </w:r>
      <w:r w:rsidR="00C3414D">
        <w:rPr>
          <w:rFonts w:cstheme="minorHAnsi"/>
          <w:bCs/>
          <w:color w:val="1111FB"/>
        </w:rPr>
        <w:t xml:space="preserve">advanced illness and frailty </w:t>
      </w:r>
      <w:r w:rsidR="00491CD9">
        <w:rPr>
          <w:rFonts w:cstheme="minorHAnsi"/>
          <w:bCs/>
          <w:color w:val="1111FB"/>
        </w:rPr>
        <w:t xml:space="preserve">population </w:t>
      </w:r>
      <w:r w:rsidR="0085689C">
        <w:rPr>
          <w:rFonts w:cstheme="minorHAnsi"/>
          <w:bCs/>
          <w:color w:val="1111FB"/>
        </w:rPr>
        <w:t xml:space="preserve">that should be excluded from the </w:t>
      </w:r>
      <w:r w:rsidR="00703820">
        <w:rPr>
          <w:rFonts w:cstheme="minorHAnsi"/>
          <w:bCs/>
          <w:color w:val="1111FB"/>
        </w:rPr>
        <w:t xml:space="preserve">measure </w:t>
      </w:r>
      <w:r w:rsidR="0085689C">
        <w:rPr>
          <w:rFonts w:cstheme="minorHAnsi"/>
          <w:bCs/>
          <w:color w:val="1111FB"/>
        </w:rPr>
        <w:t xml:space="preserve">was to apply the following </w:t>
      </w:r>
      <w:r w:rsidR="00F37612">
        <w:rPr>
          <w:rFonts w:cstheme="minorHAnsi"/>
          <w:bCs/>
          <w:color w:val="1111FB"/>
        </w:rPr>
        <w:t>criteria:</w:t>
      </w:r>
    </w:p>
    <w:p w14:paraId="451AE647" w14:textId="04A4F0CD" w:rsidR="00983504" w:rsidRDefault="00983504" w:rsidP="00983504">
      <w:pPr>
        <w:pStyle w:val="ListParagraph"/>
        <w:numPr>
          <w:ilvl w:val="0"/>
          <w:numId w:val="46"/>
        </w:numPr>
        <w:autoSpaceDE w:val="0"/>
        <w:autoSpaceDN w:val="0"/>
        <w:adjustRightInd w:val="0"/>
        <w:spacing w:after="0" w:line="240" w:lineRule="auto"/>
        <w:rPr>
          <w:rFonts w:cstheme="minorHAnsi"/>
          <w:bCs/>
          <w:color w:val="1111FB"/>
        </w:rPr>
      </w:pPr>
      <w:r>
        <w:rPr>
          <w:rFonts w:cstheme="minorHAnsi"/>
          <w:bCs/>
          <w:color w:val="1111FB"/>
        </w:rPr>
        <w:t>Adults</w:t>
      </w:r>
      <w:r w:rsidRPr="00983504">
        <w:rPr>
          <w:rFonts w:cstheme="minorHAnsi"/>
          <w:bCs/>
          <w:color w:val="1111FB"/>
        </w:rPr>
        <w:t xml:space="preserve"> 66–80 years of age as of December 31 of the measurement year (all product lines) with frailty and advanced illness</w:t>
      </w:r>
    </w:p>
    <w:p w14:paraId="46B6A637" w14:textId="01063E97" w:rsidR="00983504" w:rsidRPr="00983504" w:rsidRDefault="00A52F6D" w:rsidP="00983504">
      <w:pPr>
        <w:pStyle w:val="ListParagraph"/>
        <w:numPr>
          <w:ilvl w:val="0"/>
          <w:numId w:val="46"/>
        </w:numPr>
        <w:autoSpaceDE w:val="0"/>
        <w:autoSpaceDN w:val="0"/>
        <w:adjustRightInd w:val="0"/>
        <w:spacing w:after="0" w:line="240" w:lineRule="auto"/>
        <w:rPr>
          <w:rFonts w:cstheme="minorHAnsi"/>
          <w:bCs/>
          <w:color w:val="1111FB"/>
        </w:rPr>
      </w:pPr>
      <w:r>
        <w:rPr>
          <w:rFonts w:cstheme="minorHAnsi"/>
          <w:bCs/>
          <w:color w:val="1111FB"/>
        </w:rPr>
        <w:t>Adults 81</w:t>
      </w:r>
      <w:r w:rsidR="00C35F89" w:rsidRPr="00C35F89">
        <w:rPr>
          <w:rFonts w:cstheme="minorHAnsi"/>
          <w:bCs/>
          <w:color w:val="1111FB"/>
        </w:rPr>
        <w:t xml:space="preserve"> years of age and older as of December 31 of the measurement year with frailty any time on or between July 1 of the year prior to the measurement year and the end of the measurement year.     </w:t>
      </w:r>
    </w:p>
    <w:p w14:paraId="1108DB56" w14:textId="13A86F8E" w:rsidR="000E14AA" w:rsidRDefault="000E14AA" w:rsidP="00B8407D">
      <w:pPr>
        <w:autoSpaceDE w:val="0"/>
        <w:autoSpaceDN w:val="0"/>
        <w:adjustRightInd w:val="0"/>
        <w:spacing w:after="0" w:line="240" w:lineRule="auto"/>
        <w:rPr>
          <w:rFonts w:cstheme="minorHAnsi"/>
          <w:bCs/>
          <w:color w:val="1111FB"/>
        </w:rPr>
      </w:pPr>
    </w:p>
    <w:p w14:paraId="4B991AC5" w14:textId="156F8DA5" w:rsidR="00665073" w:rsidRDefault="00092566" w:rsidP="00092566">
      <w:pPr>
        <w:autoSpaceDE w:val="0"/>
        <w:autoSpaceDN w:val="0"/>
        <w:adjustRightInd w:val="0"/>
        <w:spacing w:after="0" w:line="240" w:lineRule="auto"/>
        <w:rPr>
          <w:rFonts w:cstheme="minorHAnsi"/>
          <w:bCs/>
          <w:color w:val="1111FB"/>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w:t>
      </w:r>
      <w:r w:rsidR="000B2DF7" w:rsidRPr="00A25024">
        <w:rPr>
          <w:rFonts w:cstheme="minorHAnsi"/>
          <w:bCs/>
          <w:i/>
        </w:rPr>
        <w:lastRenderedPageBreak/>
        <w:t>impact on performance measure scores</w:t>
      </w:r>
      <w:r w:rsidR="000B2DF7" w:rsidRPr="00A25024">
        <w:rPr>
          <w:rFonts w:cstheme="minorHAnsi"/>
          <w:bCs/>
        </w:rPr>
        <w:t>)</w:t>
      </w:r>
      <w:r w:rsidR="00833325" w:rsidRPr="00A25024">
        <w:rPr>
          <w:rFonts w:cstheme="minorHAnsi"/>
          <w:bCs/>
        </w:rPr>
        <w:br/>
      </w:r>
      <w:r w:rsidR="00704F46">
        <w:rPr>
          <w:rFonts w:cstheme="minorHAnsi"/>
          <w:bCs/>
          <w:color w:val="1111FB"/>
        </w:rPr>
        <w:t xml:space="preserve">Table </w:t>
      </w:r>
      <w:r w:rsidR="00E17872">
        <w:rPr>
          <w:rFonts w:cstheme="minorHAnsi"/>
          <w:bCs/>
          <w:color w:val="1111FB"/>
        </w:rPr>
        <w:t>4</w:t>
      </w:r>
      <w:r w:rsidR="00750208">
        <w:rPr>
          <w:rFonts w:cstheme="minorHAnsi"/>
          <w:bCs/>
          <w:color w:val="1111FB"/>
        </w:rPr>
        <w:t>a</w:t>
      </w:r>
      <w:r w:rsidR="00704F46">
        <w:rPr>
          <w:rFonts w:cstheme="minorHAnsi"/>
          <w:bCs/>
          <w:color w:val="1111FB"/>
        </w:rPr>
        <w:t xml:space="preserve"> shows the </w:t>
      </w:r>
      <w:r w:rsidR="00E21623">
        <w:rPr>
          <w:rFonts w:cstheme="minorHAnsi"/>
          <w:bCs/>
          <w:color w:val="1111FB"/>
        </w:rPr>
        <w:t xml:space="preserve">results of applying the exclusion of adults </w:t>
      </w:r>
      <w:r w:rsidR="00E21623" w:rsidRPr="00E21623">
        <w:rPr>
          <w:rFonts w:cstheme="minorHAnsi"/>
          <w:bCs/>
          <w:color w:val="1111FB"/>
        </w:rPr>
        <w:t>66–80 years of age with frailty and advanced illness</w:t>
      </w:r>
      <w:r w:rsidR="00E21623">
        <w:rPr>
          <w:rFonts w:cstheme="minorHAnsi"/>
          <w:bCs/>
          <w:color w:val="1111FB"/>
        </w:rPr>
        <w:t xml:space="preserve"> to the </w:t>
      </w:r>
      <w:r w:rsidR="00E21623" w:rsidRPr="00E21623">
        <w:rPr>
          <w:rFonts w:cstheme="minorHAnsi"/>
          <w:bCs/>
          <w:color w:val="1111FB"/>
        </w:rPr>
        <w:t xml:space="preserve">Persistence of Beta-Blocker Treatment after a Heart Attack </w:t>
      </w:r>
      <w:r w:rsidR="00B17C3C">
        <w:rPr>
          <w:rFonts w:cstheme="minorHAnsi"/>
          <w:bCs/>
          <w:color w:val="1111FB"/>
        </w:rPr>
        <w:t>(</w:t>
      </w:r>
      <w:r w:rsidR="00E21623">
        <w:rPr>
          <w:rFonts w:cstheme="minorHAnsi"/>
          <w:bCs/>
          <w:color w:val="1111FB"/>
        </w:rPr>
        <w:t>PBH</w:t>
      </w:r>
      <w:r w:rsidR="00B17C3C">
        <w:rPr>
          <w:rFonts w:cstheme="minorHAnsi"/>
          <w:bCs/>
          <w:color w:val="1111FB"/>
        </w:rPr>
        <w:t xml:space="preserve">) </w:t>
      </w:r>
      <w:r w:rsidR="00E21623" w:rsidRPr="00E21623">
        <w:rPr>
          <w:rFonts w:cstheme="minorHAnsi"/>
          <w:bCs/>
          <w:color w:val="1111FB"/>
        </w:rPr>
        <w:t>measure</w:t>
      </w:r>
      <w:r w:rsidR="00E21623">
        <w:rPr>
          <w:rFonts w:cstheme="minorHAnsi"/>
          <w:bCs/>
          <w:color w:val="1111FB"/>
        </w:rPr>
        <w:t>.</w:t>
      </w:r>
      <w:r w:rsidR="00750208">
        <w:rPr>
          <w:rFonts w:cstheme="minorHAnsi"/>
          <w:bCs/>
          <w:color w:val="1111FB"/>
        </w:rPr>
        <w:t xml:space="preserve"> Table </w:t>
      </w:r>
      <w:r w:rsidR="00E17872">
        <w:rPr>
          <w:rFonts w:cstheme="minorHAnsi"/>
          <w:bCs/>
          <w:color w:val="1111FB"/>
        </w:rPr>
        <w:t>4</w:t>
      </w:r>
      <w:r w:rsidR="00750208">
        <w:rPr>
          <w:rFonts w:cstheme="minorHAnsi"/>
          <w:bCs/>
          <w:color w:val="1111FB"/>
        </w:rPr>
        <w:t xml:space="preserve">b shows the results of applying the exclusion of </w:t>
      </w:r>
      <w:r w:rsidR="00001120">
        <w:rPr>
          <w:rFonts w:cstheme="minorHAnsi"/>
          <w:bCs/>
          <w:color w:val="1111FB"/>
        </w:rPr>
        <w:t>adults 81 and older with frailty.</w:t>
      </w:r>
    </w:p>
    <w:p w14:paraId="62181A0F" w14:textId="5ADAF9DE" w:rsidR="00D72B9B" w:rsidRDefault="00D72B9B" w:rsidP="00092566">
      <w:pPr>
        <w:autoSpaceDE w:val="0"/>
        <w:autoSpaceDN w:val="0"/>
        <w:adjustRightInd w:val="0"/>
        <w:spacing w:after="0" w:line="240" w:lineRule="auto"/>
        <w:rPr>
          <w:rFonts w:cstheme="minorHAnsi"/>
          <w:bCs/>
          <w:color w:val="1111FB"/>
        </w:rPr>
      </w:pPr>
    </w:p>
    <w:p w14:paraId="1DB0B2F6" w14:textId="3F2B60A6" w:rsidR="00B17C3C" w:rsidRDefault="00B17C3C" w:rsidP="00092566">
      <w:pPr>
        <w:autoSpaceDE w:val="0"/>
        <w:autoSpaceDN w:val="0"/>
        <w:adjustRightInd w:val="0"/>
        <w:spacing w:after="0" w:line="240" w:lineRule="auto"/>
        <w:rPr>
          <w:rFonts w:cstheme="minorHAnsi"/>
          <w:bCs/>
          <w:color w:val="1111FB"/>
        </w:rPr>
      </w:pPr>
      <w:r>
        <w:rPr>
          <w:rFonts w:cstheme="minorHAnsi"/>
          <w:bCs/>
          <w:color w:val="1111FB"/>
        </w:rPr>
        <w:t xml:space="preserve">Table </w:t>
      </w:r>
      <w:r w:rsidR="00E17872">
        <w:rPr>
          <w:rFonts w:cstheme="minorHAnsi"/>
          <w:bCs/>
          <w:color w:val="1111FB"/>
        </w:rPr>
        <w:t>4</w:t>
      </w:r>
      <w:r>
        <w:rPr>
          <w:rFonts w:cstheme="minorHAnsi"/>
          <w:bCs/>
          <w:color w:val="1111FB"/>
        </w:rPr>
        <w:t xml:space="preserve">a. </w:t>
      </w:r>
      <w:r w:rsidR="00AC46EA">
        <w:rPr>
          <w:rFonts w:cstheme="minorHAnsi"/>
          <w:bCs/>
          <w:color w:val="1111FB"/>
        </w:rPr>
        <w:t>Impact</w:t>
      </w:r>
      <w:r w:rsidR="0095437C">
        <w:rPr>
          <w:rFonts w:cstheme="minorHAnsi"/>
          <w:bCs/>
          <w:color w:val="1111FB"/>
        </w:rPr>
        <w:t xml:space="preserve"> of </w:t>
      </w:r>
      <w:r w:rsidR="00750208">
        <w:rPr>
          <w:rFonts w:cstheme="minorHAnsi"/>
          <w:bCs/>
          <w:color w:val="1111FB"/>
        </w:rPr>
        <w:t>a</w:t>
      </w:r>
      <w:r w:rsidR="0095437C">
        <w:rPr>
          <w:rFonts w:cstheme="minorHAnsi"/>
          <w:bCs/>
          <w:color w:val="1111FB"/>
        </w:rPr>
        <w:t>pplying the advanced illness and f</w:t>
      </w:r>
      <w:r w:rsidR="0095437C" w:rsidRPr="0095437C">
        <w:rPr>
          <w:rFonts w:cstheme="minorHAnsi"/>
          <w:bCs/>
          <w:color w:val="1111FB"/>
        </w:rPr>
        <w:t>railty</w:t>
      </w:r>
      <w:r w:rsidR="00750208">
        <w:rPr>
          <w:rFonts w:cstheme="minorHAnsi"/>
          <w:bCs/>
          <w:color w:val="1111FB"/>
        </w:rPr>
        <w:t xml:space="preserve"> </w:t>
      </w:r>
      <w:r w:rsidR="00001120">
        <w:rPr>
          <w:rFonts w:cstheme="minorHAnsi"/>
          <w:bCs/>
          <w:color w:val="1111FB"/>
        </w:rPr>
        <w:t>for pati</w:t>
      </w:r>
      <w:r w:rsidR="003C5794">
        <w:rPr>
          <w:rFonts w:cstheme="minorHAnsi"/>
          <w:bCs/>
          <w:color w:val="1111FB"/>
        </w:rPr>
        <w:t xml:space="preserve">ents aged 66-80 </w:t>
      </w:r>
      <w:r w:rsidR="00750208">
        <w:rPr>
          <w:rFonts w:cstheme="minorHAnsi"/>
          <w:bCs/>
          <w:color w:val="1111FB"/>
        </w:rPr>
        <w:t>exclusion to the PBH measure</w:t>
      </w:r>
    </w:p>
    <w:tbl>
      <w:tblPr>
        <w:tblpPr w:leftFromText="180" w:rightFromText="180" w:vertAnchor="text" w:tblpY="50"/>
        <w:tblW w:w="8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530"/>
        <w:gridCol w:w="1350"/>
        <w:gridCol w:w="1800"/>
        <w:gridCol w:w="1710"/>
        <w:gridCol w:w="1440"/>
      </w:tblGrid>
      <w:tr w:rsidR="00704F46" w:rsidRPr="00E17872" w14:paraId="7D7060B9" w14:textId="77777777" w:rsidTr="00704F46">
        <w:trPr>
          <w:trHeight w:val="825"/>
        </w:trPr>
        <w:tc>
          <w:tcPr>
            <w:tcW w:w="965" w:type="dxa"/>
            <w:shd w:val="clear" w:color="auto" w:fill="D9D9D9" w:themeFill="background1" w:themeFillShade="D9"/>
            <w:noWrap/>
            <w:vAlign w:val="center"/>
            <w:hideMark/>
          </w:tcPr>
          <w:p w14:paraId="0859BB06" w14:textId="77777777" w:rsidR="00704F46" w:rsidRPr="00836A38" w:rsidRDefault="00704F46" w:rsidP="00704F46">
            <w:pPr>
              <w:autoSpaceDE w:val="0"/>
              <w:autoSpaceDN w:val="0"/>
              <w:adjustRightInd w:val="0"/>
              <w:spacing w:after="0" w:line="240" w:lineRule="auto"/>
              <w:jc w:val="center"/>
              <w:rPr>
                <w:rFonts w:cstheme="minorHAnsi"/>
                <w:bCs/>
                <w:color w:val="1111FB"/>
              </w:rPr>
            </w:pPr>
            <w:r w:rsidRPr="00836A38">
              <w:rPr>
                <w:rFonts w:cstheme="minorHAnsi"/>
                <w:bCs/>
                <w:color w:val="1111FB"/>
              </w:rPr>
              <w:t>Number of Plans</w:t>
            </w:r>
          </w:p>
          <w:p w14:paraId="75689AA3" w14:textId="5A1C60E2" w:rsidR="00704F46" w:rsidRPr="00836A38" w:rsidRDefault="00704F46" w:rsidP="00704F46">
            <w:pPr>
              <w:autoSpaceDE w:val="0"/>
              <w:autoSpaceDN w:val="0"/>
              <w:adjustRightInd w:val="0"/>
              <w:spacing w:after="0" w:line="240" w:lineRule="auto"/>
              <w:jc w:val="center"/>
              <w:rPr>
                <w:rFonts w:cstheme="minorHAnsi"/>
                <w:bCs/>
                <w:color w:val="1111FB"/>
              </w:rPr>
            </w:pPr>
            <w:r w:rsidRPr="00E17872">
              <w:rPr>
                <w:rFonts w:cstheme="minorHAnsi"/>
                <w:bCs/>
                <w:color w:val="1111FB"/>
              </w:rPr>
              <w:t>(</w:t>
            </w:r>
            <w:r w:rsidRPr="00836A38">
              <w:rPr>
                <w:rFonts w:cstheme="minorHAnsi"/>
                <w:bCs/>
                <w:color w:val="1111FB"/>
              </w:rPr>
              <w:t>N</w:t>
            </w:r>
            <w:r w:rsidRPr="00E17872">
              <w:rPr>
                <w:rFonts w:cstheme="minorHAnsi"/>
                <w:bCs/>
                <w:color w:val="1111FB"/>
              </w:rPr>
              <w:t>)</w:t>
            </w:r>
          </w:p>
        </w:tc>
        <w:tc>
          <w:tcPr>
            <w:tcW w:w="1530" w:type="dxa"/>
            <w:shd w:val="clear" w:color="auto" w:fill="D9D9D9" w:themeFill="background1" w:themeFillShade="D9"/>
            <w:vAlign w:val="center"/>
            <w:hideMark/>
          </w:tcPr>
          <w:p w14:paraId="490147AA" w14:textId="1EFE1D2F" w:rsidR="00704F46" w:rsidRPr="00E17872" w:rsidRDefault="00704F46" w:rsidP="00704F46">
            <w:pPr>
              <w:autoSpaceDE w:val="0"/>
              <w:autoSpaceDN w:val="0"/>
              <w:adjustRightInd w:val="0"/>
              <w:spacing w:after="0" w:line="240" w:lineRule="auto"/>
              <w:jc w:val="center"/>
              <w:rPr>
                <w:rFonts w:cstheme="minorHAnsi"/>
                <w:bCs/>
                <w:color w:val="1111FB"/>
              </w:rPr>
            </w:pPr>
            <w:r w:rsidRPr="00836A38">
              <w:rPr>
                <w:rFonts w:cstheme="minorHAnsi"/>
                <w:bCs/>
                <w:color w:val="1111FB"/>
              </w:rPr>
              <w:t xml:space="preserve">Average Number </w:t>
            </w:r>
            <w:r w:rsidRPr="00E17872">
              <w:rPr>
                <w:rFonts w:cstheme="minorHAnsi"/>
                <w:bCs/>
                <w:color w:val="1111FB"/>
              </w:rPr>
              <w:t>Excluded</w:t>
            </w:r>
          </w:p>
          <w:p w14:paraId="512726B0" w14:textId="75C0568A" w:rsidR="00704F46" w:rsidRPr="00836A38" w:rsidRDefault="00704F46" w:rsidP="00704F46">
            <w:pPr>
              <w:autoSpaceDE w:val="0"/>
              <w:autoSpaceDN w:val="0"/>
              <w:adjustRightInd w:val="0"/>
              <w:spacing w:after="0" w:line="240" w:lineRule="auto"/>
              <w:jc w:val="center"/>
              <w:rPr>
                <w:rFonts w:cstheme="minorHAnsi"/>
                <w:bCs/>
                <w:color w:val="1111FB"/>
              </w:rPr>
            </w:pPr>
          </w:p>
        </w:tc>
        <w:tc>
          <w:tcPr>
            <w:tcW w:w="1350" w:type="dxa"/>
            <w:shd w:val="clear" w:color="auto" w:fill="D9D9D9" w:themeFill="background1" w:themeFillShade="D9"/>
            <w:vAlign w:val="center"/>
            <w:hideMark/>
          </w:tcPr>
          <w:p w14:paraId="66041749" w14:textId="387A7C6C" w:rsidR="00704F46" w:rsidRPr="00E17872" w:rsidRDefault="00704F46" w:rsidP="00704F46">
            <w:pPr>
              <w:autoSpaceDE w:val="0"/>
              <w:autoSpaceDN w:val="0"/>
              <w:adjustRightInd w:val="0"/>
              <w:spacing w:after="0" w:line="240" w:lineRule="auto"/>
              <w:jc w:val="center"/>
              <w:rPr>
                <w:rFonts w:cstheme="minorHAnsi"/>
                <w:bCs/>
                <w:color w:val="1111FB"/>
              </w:rPr>
            </w:pPr>
            <w:r w:rsidRPr="00836A38">
              <w:rPr>
                <w:rFonts w:cstheme="minorHAnsi"/>
                <w:bCs/>
                <w:color w:val="1111FB"/>
              </w:rPr>
              <w:t>Average % Removed by</w:t>
            </w:r>
            <w:r w:rsidRPr="00E17872">
              <w:rPr>
                <w:rFonts w:cstheme="minorHAnsi"/>
                <w:bCs/>
                <w:color w:val="1111FB"/>
              </w:rPr>
              <w:t xml:space="preserve"> Exclusion</w:t>
            </w:r>
          </w:p>
          <w:p w14:paraId="45FE3432" w14:textId="6B4AB9EE" w:rsidR="00704F46" w:rsidRPr="00836A38" w:rsidRDefault="00704F46" w:rsidP="00704F46">
            <w:pPr>
              <w:autoSpaceDE w:val="0"/>
              <w:autoSpaceDN w:val="0"/>
              <w:adjustRightInd w:val="0"/>
              <w:spacing w:after="0" w:line="240" w:lineRule="auto"/>
              <w:jc w:val="center"/>
              <w:rPr>
                <w:rFonts w:cstheme="minorHAnsi"/>
                <w:bCs/>
                <w:color w:val="1111FB"/>
              </w:rPr>
            </w:pPr>
          </w:p>
        </w:tc>
        <w:tc>
          <w:tcPr>
            <w:tcW w:w="1800" w:type="dxa"/>
            <w:shd w:val="clear" w:color="auto" w:fill="D9D9D9" w:themeFill="background1" w:themeFillShade="D9"/>
            <w:vAlign w:val="center"/>
            <w:hideMark/>
          </w:tcPr>
          <w:p w14:paraId="620EB475" w14:textId="497C268A" w:rsidR="00704F46" w:rsidRPr="00836A38" w:rsidRDefault="00704F46" w:rsidP="00704F46">
            <w:pPr>
              <w:autoSpaceDE w:val="0"/>
              <w:autoSpaceDN w:val="0"/>
              <w:adjustRightInd w:val="0"/>
              <w:spacing w:after="0" w:line="240" w:lineRule="auto"/>
              <w:jc w:val="center"/>
              <w:rPr>
                <w:rFonts w:cstheme="minorHAnsi"/>
                <w:bCs/>
                <w:color w:val="1111FB"/>
              </w:rPr>
            </w:pPr>
            <w:r w:rsidRPr="00836A38">
              <w:rPr>
                <w:rFonts w:cstheme="minorHAnsi"/>
                <w:bCs/>
                <w:color w:val="1111FB"/>
              </w:rPr>
              <w:t xml:space="preserve">Average Performance Rate without Exclusion </w:t>
            </w:r>
            <w:r w:rsidRPr="00E17872">
              <w:rPr>
                <w:rFonts w:cstheme="minorHAnsi"/>
                <w:bCs/>
                <w:color w:val="1111FB"/>
              </w:rPr>
              <w:t>(</w:t>
            </w:r>
            <w:r w:rsidRPr="00836A38">
              <w:rPr>
                <w:rFonts w:cstheme="minorHAnsi"/>
                <w:bCs/>
                <w:color w:val="1111FB"/>
              </w:rPr>
              <w:t>%</w:t>
            </w:r>
            <w:r w:rsidRPr="00E17872">
              <w:rPr>
                <w:rFonts w:cstheme="minorHAnsi"/>
                <w:bCs/>
                <w:color w:val="1111FB"/>
              </w:rPr>
              <w:t>)</w:t>
            </w:r>
          </w:p>
        </w:tc>
        <w:tc>
          <w:tcPr>
            <w:tcW w:w="1710" w:type="dxa"/>
            <w:shd w:val="clear" w:color="auto" w:fill="D9D9D9" w:themeFill="background1" w:themeFillShade="D9"/>
            <w:vAlign w:val="center"/>
            <w:hideMark/>
          </w:tcPr>
          <w:p w14:paraId="692DDE8B" w14:textId="3D09C773" w:rsidR="00704F46" w:rsidRPr="00836A38" w:rsidRDefault="00704F46" w:rsidP="00704F46">
            <w:pPr>
              <w:autoSpaceDE w:val="0"/>
              <w:autoSpaceDN w:val="0"/>
              <w:adjustRightInd w:val="0"/>
              <w:spacing w:after="0" w:line="240" w:lineRule="auto"/>
              <w:jc w:val="center"/>
              <w:rPr>
                <w:rFonts w:cstheme="minorHAnsi"/>
                <w:bCs/>
                <w:color w:val="1111FB"/>
              </w:rPr>
            </w:pPr>
            <w:r w:rsidRPr="00836A38">
              <w:rPr>
                <w:rFonts w:cstheme="minorHAnsi"/>
                <w:bCs/>
                <w:color w:val="1111FB"/>
              </w:rPr>
              <w:t>Average Performance Rate with Exclusion</w:t>
            </w:r>
          </w:p>
          <w:p w14:paraId="1FBF65DF" w14:textId="05095B62" w:rsidR="00704F46" w:rsidRPr="00836A38" w:rsidRDefault="00704F46" w:rsidP="00704F46">
            <w:pPr>
              <w:autoSpaceDE w:val="0"/>
              <w:autoSpaceDN w:val="0"/>
              <w:adjustRightInd w:val="0"/>
              <w:spacing w:after="0" w:line="240" w:lineRule="auto"/>
              <w:jc w:val="center"/>
              <w:rPr>
                <w:rFonts w:cstheme="minorHAnsi"/>
                <w:bCs/>
                <w:color w:val="1111FB"/>
              </w:rPr>
            </w:pPr>
            <w:r w:rsidRPr="00E17872">
              <w:rPr>
                <w:rFonts w:cstheme="minorHAnsi"/>
                <w:bCs/>
                <w:color w:val="1111FB"/>
              </w:rPr>
              <w:t>(</w:t>
            </w:r>
            <w:r w:rsidRPr="00836A38">
              <w:rPr>
                <w:rFonts w:cstheme="minorHAnsi"/>
                <w:bCs/>
                <w:color w:val="1111FB"/>
              </w:rPr>
              <w:t>%</w:t>
            </w:r>
            <w:r w:rsidRPr="00E17872">
              <w:rPr>
                <w:rFonts w:cstheme="minorHAnsi"/>
                <w:bCs/>
                <w:color w:val="1111FB"/>
              </w:rPr>
              <w:t>)</w:t>
            </w:r>
          </w:p>
        </w:tc>
        <w:tc>
          <w:tcPr>
            <w:tcW w:w="1440" w:type="dxa"/>
            <w:shd w:val="clear" w:color="auto" w:fill="D9D9D9" w:themeFill="background1" w:themeFillShade="D9"/>
            <w:vAlign w:val="center"/>
            <w:hideMark/>
          </w:tcPr>
          <w:p w14:paraId="0CB3DAA8" w14:textId="2310228A" w:rsidR="00704F46" w:rsidRPr="00836A38" w:rsidRDefault="00704F46" w:rsidP="00704F46">
            <w:pPr>
              <w:autoSpaceDE w:val="0"/>
              <w:autoSpaceDN w:val="0"/>
              <w:adjustRightInd w:val="0"/>
              <w:spacing w:after="0" w:line="240" w:lineRule="auto"/>
              <w:jc w:val="center"/>
              <w:rPr>
                <w:rFonts w:cstheme="minorHAnsi"/>
                <w:bCs/>
                <w:color w:val="1111FB"/>
              </w:rPr>
            </w:pPr>
            <w:r w:rsidRPr="00836A38">
              <w:rPr>
                <w:rFonts w:cstheme="minorHAnsi"/>
                <w:bCs/>
                <w:color w:val="1111FB"/>
              </w:rPr>
              <w:t>Difference in Average Rate</w:t>
            </w:r>
          </w:p>
          <w:p w14:paraId="6AD80CCF" w14:textId="48168599" w:rsidR="00704F46" w:rsidRPr="00836A38" w:rsidRDefault="00704F46" w:rsidP="00704F46">
            <w:pPr>
              <w:autoSpaceDE w:val="0"/>
              <w:autoSpaceDN w:val="0"/>
              <w:adjustRightInd w:val="0"/>
              <w:spacing w:after="0" w:line="240" w:lineRule="auto"/>
              <w:jc w:val="center"/>
              <w:rPr>
                <w:rFonts w:cstheme="minorHAnsi"/>
                <w:bCs/>
                <w:color w:val="1111FB"/>
              </w:rPr>
            </w:pPr>
            <w:r w:rsidRPr="00E17872">
              <w:rPr>
                <w:rFonts w:cstheme="minorHAnsi"/>
                <w:bCs/>
                <w:color w:val="1111FB"/>
              </w:rPr>
              <w:t>(</w:t>
            </w:r>
            <w:r w:rsidRPr="00836A38">
              <w:rPr>
                <w:rFonts w:cstheme="minorHAnsi"/>
                <w:bCs/>
                <w:color w:val="1111FB"/>
              </w:rPr>
              <w:t>%</w:t>
            </w:r>
            <w:r w:rsidRPr="00E17872">
              <w:rPr>
                <w:rFonts w:cstheme="minorHAnsi"/>
                <w:bCs/>
                <w:color w:val="1111FB"/>
              </w:rPr>
              <w:t>)</w:t>
            </w:r>
          </w:p>
        </w:tc>
      </w:tr>
      <w:tr w:rsidR="00704F46" w:rsidRPr="00836A38" w14:paraId="5D8ECE77" w14:textId="77777777" w:rsidTr="00704F46">
        <w:trPr>
          <w:trHeight w:val="274"/>
        </w:trPr>
        <w:tc>
          <w:tcPr>
            <w:tcW w:w="965" w:type="dxa"/>
            <w:shd w:val="clear" w:color="auto" w:fill="auto"/>
            <w:vAlign w:val="center"/>
            <w:hideMark/>
          </w:tcPr>
          <w:p w14:paraId="5F948FAA" w14:textId="77777777" w:rsidR="00704F46" w:rsidRPr="00836A38" w:rsidRDefault="00704F46" w:rsidP="00704F46">
            <w:pPr>
              <w:autoSpaceDE w:val="0"/>
              <w:autoSpaceDN w:val="0"/>
              <w:adjustRightInd w:val="0"/>
              <w:spacing w:after="0" w:line="240" w:lineRule="auto"/>
              <w:jc w:val="center"/>
              <w:rPr>
                <w:rFonts w:cstheme="minorHAnsi"/>
                <w:color w:val="1111FB"/>
              </w:rPr>
            </w:pPr>
            <w:r w:rsidRPr="00836A38">
              <w:rPr>
                <w:rFonts w:cstheme="minorHAnsi"/>
                <w:color w:val="1111FB"/>
              </w:rPr>
              <w:t>10</w:t>
            </w:r>
          </w:p>
        </w:tc>
        <w:tc>
          <w:tcPr>
            <w:tcW w:w="1530" w:type="dxa"/>
            <w:shd w:val="clear" w:color="auto" w:fill="auto"/>
            <w:noWrap/>
            <w:vAlign w:val="center"/>
            <w:hideMark/>
          </w:tcPr>
          <w:p w14:paraId="61586038" w14:textId="77777777" w:rsidR="00704F46" w:rsidRPr="00836A38" w:rsidRDefault="00704F46" w:rsidP="00704F46">
            <w:pPr>
              <w:autoSpaceDE w:val="0"/>
              <w:autoSpaceDN w:val="0"/>
              <w:adjustRightInd w:val="0"/>
              <w:spacing w:after="0" w:line="240" w:lineRule="auto"/>
              <w:jc w:val="center"/>
              <w:rPr>
                <w:rFonts w:cstheme="minorHAnsi"/>
                <w:color w:val="1111FB"/>
              </w:rPr>
            </w:pPr>
            <w:r w:rsidRPr="00836A38">
              <w:rPr>
                <w:rFonts w:cstheme="minorHAnsi"/>
                <w:color w:val="1111FB"/>
              </w:rPr>
              <w:t>13</w:t>
            </w:r>
          </w:p>
        </w:tc>
        <w:tc>
          <w:tcPr>
            <w:tcW w:w="1350" w:type="dxa"/>
            <w:shd w:val="clear" w:color="auto" w:fill="auto"/>
            <w:noWrap/>
            <w:vAlign w:val="center"/>
            <w:hideMark/>
          </w:tcPr>
          <w:p w14:paraId="16704107" w14:textId="77777777" w:rsidR="00704F46" w:rsidRPr="00836A38" w:rsidRDefault="00704F46" w:rsidP="00704F46">
            <w:pPr>
              <w:autoSpaceDE w:val="0"/>
              <w:autoSpaceDN w:val="0"/>
              <w:adjustRightInd w:val="0"/>
              <w:spacing w:after="0" w:line="240" w:lineRule="auto"/>
              <w:jc w:val="center"/>
              <w:rPr>
                <w:rFonts w:cstheme="minorHAnsi"/>
                <w:color w:val="1111FB"/>
              </w:rPr>
            </w:pPr>
            <w:r w:rsidRPr="00836A38">
              <w:rPr>
                <w:rFonts w:cstheme="minorHAnsi"/>
                <w:color w:val="1111FB"/>
              </w:rPr>
              <w:t>4.6</w:t>
            </w:r>
          </w:p>
        </w:tc>
        <w:tc>
          <w:tcPr>
            <w:tcW w:w="1800" w:type="dxa"/>
            <w:shd w:val="clear" w:color="auto" w:fill="auto"/>
            <w:noWrap/>
            <w:vAlign w:val="center"/>
            <w:hideMark/>
          </w:tcPr>
          <w:p w14:paraId="6B7B669B" w14:textId="77777777" w:rsidR="00704F46" w:rsidRPr="00836A38" w:rsidRDefault="00704F46" w:rsidP="00704F46">
            <w:pPr>
              <w:autoSpaceDE w:val="0"/>
              <w:autoSpaceDN w:val="0"/>
              <w:adjustRightInd w:val="0"/>
              <w:spacing w:after="0" w:line="240" w:lineRule="auto"/>
              <w:jc w:val="center"/>
              <w:rPr>
                <w:rFonts w:cstheme="minorHAnsi"/>
                <w:color w:val="1111FB"/>
              </w:rPr>
            </w:pPr>
            <w:r w:rsidRPr="00836A38">
              <w:rPr>
                <w:rFonts w:cstheme="minorHAnsi"/>
                <w:color w:val="1111FB"/>
              </w:rPr>
              <w:t>57.1</w:t>
            </w:r>
          </w:p>
        </w:tc>
        <w:tc>
          <w:tcPr>
            <w:tcW w:w="1710" w:type="dxa"/>
            <w:shd w:val="clear" w:color="auto" w:fill="auto"/>
            <w:noWrap/>
            <w:vAlign w:val="center"/>
            <w:hideMark/>
          </w:tcPr>
          <w:p w14:paraId="781C49EE" w14:textId="77777777" w:rsidR="00704F46" w:rsidRPr="00836A38" w:rsidRDefault="00704F46" w:rsidP="00704F46">
            <w:pPr>
              <w:autoSpaceDE w:val="0"/>
              <w:autoSpaceDN w:val="0"/>
              <w:adjustRightInd w:val="0"/>
              <w:spacing w:after="0" w:line="240" w:lineRule="auto"/>
              <w:jc w:val="center"/>
              <w:rPr>
                <w:rFonts w:cstheme="minorHAnsi"/>
                <w:color w:val="1111FB"/>
              </w:rPr>
            </w:pPr>
            <w:r w:rsidRPr="00836A38">
              <w:rPr>
                <w:rFonts w:cstheme="minorHAnsi"/>
                <w:color w:val="1111FB"/>
              </w:rPr>
              <w:t>59.6</w:t>
            </w:r>
          </w:p>
        </w:tc>
        <w:tc>
          <w:tcPr>
            <w:tcW w:w="1440" w:type="dxa"/>
            <w:shd w:val="clear" w:color="auto" w:fill="auto"/>
            <w:noWrap/>
            <w:vAlign w:val="center"/>
            <w:hideMark/>
          </w:tcPr>
          <w:p w14:paraId="704D38F4" w14:textId="77777777" w:rsidR="00704F46" w:rsidRPr="00836A38" w:rsidRDefault="00704F46" w:rsidP="00704F46">
            <w:pPr>
              <w:autoSpaceDE w:val="0"/>
              <w:autoSpaceDN w:val="0"/>
              <w:adjustRightInd w:val="0"/>
              <w:spacing w:after="0" w:line="240" w:lineRule="auto"/>
              <w:jc w:val="center"/>
              <w:rPr>
                <w:rFonts w:cstheme="minorHAnsi"/>
                <w:color w:val="1111FB"/>
              </w:rPr>
            </w:pPr>
            <w:r w:rsidRPr="00836A38">
              <w:rPr>
                <w:rFonts w:cstheme="minorHAnsi"/>
                <w:color w:val="1111FB"/>
              </w:rPr>
              <w:t>2.5</w:t>
            </w:r>
          </w:p>
        </w:tc>
      </w:tr>
    </w:tbl>
    <w:p w14:paraId="55B040D6" w14:textId="77777777" w:rsidR="00D72B9B" w:rsidRPr="00AD782C" w:rsidRDefault="00D72B9B" w:rsidP="00092566">
      <w:pPr>
        <w:autoSpaceDE w:val="0"/>
        <w:autoSpaceDN w:val="0"/>
        <w:adjustRightInd w:val="0"/>
        <w:spacing w:after="0" w:line="240" w:lineRule="auto"/>
        <w:rPr>
          <w:rFonts w:cstheme="minorHAnsi"/>
          <w:color w:val="1111FB"/>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5831BAFA" w14:textId="18FCD220" w:rsidR="00001120" w:rsidRDefault="00001120" w:rsidP="00001120">
      <w:pPr>
        <w:autoSpaceDE w:val="0"/>
        <w:autoSpaceDN w:val="0"/>
        <w:adjustRightInd w:val="0"/>
        <w:spacing w:after="0" w:line="240" w:lineRule="auto"/>
        <w:rPr>
          <w:rFonts w:cstheme="minorHAnsi"/>
          <w:bCs/>
          <w:color w:val="1111FB"/>
        </w:rPr>
      </w:pPr>
      <w:r>
        <w:rPr>
          <w:rFonts w:cstheme="minorHAnsi"/>
          <w:bCs/>
          <w:color w:val="1111FB"/>
        </w:rPr>
        <w:t xml:space="preserve">Table </w:t>
      </w:r>
      <w:r w:rsidR="00E17872">
        <w:rPr>
          <w:rFonts w:cstheme="minorHAnsi"/>
          <w:bCs/>
          <w:color w:val="1111FB"/>
        </w:rPr>
        <w:t>4</w:t>
      </w:r>
      <w:r>
        <w:rPr>
          <w:rFonts w:cstheme="minorHAnsi"/>
          <w:bCs/>
          <w:color w:val="1111FB"/>
        </w:rPr>
        <w:t xml:space="preserve">b. </w:t>
      </w:r>
      <w:r w:rsidR="00AC46EA">
        <w:rPr>
          <w:rFonts w:cstheme="minorHAnsi"/>
          <w:bCs/>
          <w:color w:val="1111FB"/>
        </w:rPr>
        <w:t>Impact</w:t>
      </w:r>
      <w:r>
        <w:rPr>
          <w:rFonts w:cstheme="minorHAnsi"/>
          <w:bCs/>
          <w:color w:val="1111FB"/>
        </w:rPr>
        <w:t xml:space="preserve"> of applying the frailty exclusion</w:t>
      </w:r>
      <w:r w:rsidR="003C5794">
        <w:rPr>
          <w:rFonts w:cstheme="minorHAnsi"/>
          <w:bCs/>
          <w:color w:val="1111FB"/>
        </w:rPr>
        <w:t xml:space="preserve"> for patients </w:t>
      </w:r>
      <w:r w:rsidR="008D56D7">
        <w:rPr>
          <w:rFonts w:cstheme="minorHAnsi"/>
          <w:bCs/>
          <w:color w:val="1111FB"/>
        </w:rPr>
        <w:t>81 and older</w:t>
      </w:r>
      <w:r>
        <w:rPr>
          <w:rFonts w:cstheme="minorHAnsi"/>
          <w:bCs/>
          <w:color w:val="1111FB"/>
        </w:rPr>
        <w:t xml:space="preserve"> to the PBH measure</w:t>
      </w:r>
    </w:p>
    <w:tbl>
      <w:tblPr>
        <w:tblpPr w:leftFromText="180" w:rightFromText="180" w:vertAnchor="text" w:tblpY="50"/>
        <w:tblW w:w="8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530"/>
        <w:gridCol w:w="1350"/>
        <w:gridCol w:w="1800"/>
        <w:gridCol w:w="1710"/>
        <w:gridCol w:w="1440"/>
      </w:tblGrid>
      <w:tr w:rsidR="00001120" w:rsidRPr="00E17872" w14:paraId="32E7C90B" w14:textId="77777777" w:rsidTr="00AC46EA">
        <w:trPr>
          <w:trHeight w:val="825"/>
        </w:trPr>
        <w:tc>
          <w:tcPr>
            <w:tcW w:w="965" w:type="dxa"/>
            <w:shd w:val="clear" w:color="auto" w:fill="D9D9D9" w:themeFill="background1" w:themeFillShade="D9"/>
            <w:noWrap/>
            <w:vAlign w:val="center"/>
            <w:hideMark/>
          </w:tcPr>
          <w:p w14:paraId="06DEEC1B" w14:textId="77777777" w:rsidR="00001120" w:rsidRPr="00836A38" w:rsidRDefault="00001120" w:rsidP="00AC46EA">
            <w:pPr>
              <w:autoSpaceDE w:val="0"/>
              <w:autoSpaceDN w:val="0"/>
              <w:adjustRightInd w:val="0"/>
              <w:spacing w:after="0" w:line="240" w:lineRule="auto"/>
              <w:jc w:val="center"/>
              <w:rPr>
                <w:rFonts w:cstheme="minorHAnsi"/>
                <w:bCs/>
                <w:color w:val="1111FB"/>
              </w:rPr>
            </w:pPr>
            <w:r w:rsidRPr="00836A38">
              <w:rPr>
                <w:rFonts w:cstheme="minorHAnsi"/>
                <w:bCs/>
                <w:color w:val="1111FB"/>
              </w:rPr>
              <w:t>Number of Plans</w:t>
            </w:r>
          </w:p>
          <w:p w14:paraId="31146EC6" w14:textId="77777777" w:rsidR="00001120" w:rsidRPr="00836A38" w:rsidRDefault="00001120" w:rsidP="00AC46EA">
            <w:pPr>
              <w:autoSpaceDE w:val="0"/>
              <w:autoSpaceDN w:val="0"/>
              <w:adjustRightInd w:val="0"/>
              <w:spacing w:after="0" w:line="240" w:lineRule="auto"/>
              <w:jc w:val="center"/>
              <w:rPr>
                <w:rFonts w:cstheme="minorHAnsi"/>
                <w:bCs/>
                <w:color w:val="1111FB"/>
              </w:rPr>
            </w:pPr>
            <w:r w:rsidRPr="00E17872">
              <w:rPr>
                <w:rFonts w:cstheme="minorHAnsi"/>
                <w:bCs/>
                <w:color w:val="1111FB"/>
              </w:rPr>
              <w:t>(</w:t>
            </w:r>
            <w:r w:rsidRPr="00836A38">
              <w:rPr>
                <w:rFonts w:cstheme="minorHAnsi"/>
                <w:bCs/>
                <w:color w:val="1111FB"/>
              </w:rPr>
              <w:t>N</w:t>
            </w:r>
            <w:r w:rsidRPr="00E17872">
              <w:rPr>
                <w:rFonts w:cstheme="minorHAnsi"/>
                <w:bCs/>
                <w:color w:val="1111FB"/>
              </w:rPr>
              <w:t>)</w:t>
            </w:r>
          </w:p>
        </w:tc>
        <w:tc>
          <w:tcPr>
            <w:tcW w:w="1530" w:type="dxa"/>
            <w:shd w:val="clear" w:color="auto" w:fill="D9D9D9" w:themeFill="background1" w:themeFillShade="D9"/>
            <w:vAlign w:val="center"/>
            <w:hideMark/>
          </w:tcPr>
          <w:p w14:paraId="77EA66C9" w14:textId="77777777" w:rsidR="00001120" w:rsidRPr="00E17872" w:rsidRDefault="00001120" w:rsidP="00AC46EA">
            <w:pPr>
              <w:autoSpaceDE w:val="0"/>
              <w:autoSpaceDN w:val="0"/>
              <w:adjustRightInd w:val="0"/>
              <w:spacing w:after="0" w:line="240" w:lineRule="auto"/>
              <w:jc w:val="center"/>
              <w:rPr>
                <w:rFonts w:cstheme="minorHAnsi"/>
                <w:bCs/>
                <w:color w:val="1111FB"/>
              </w:rPr>
            </w:pPr>
            <w:r w:rsidRPr="00836A38">
              <w:rPr>
                <w:rFonts w:cstheme="minorHAnsi"/>
                <w:bCs/>
                <w:color w:val="1111FB"/>
              </w:rPr>
              <w:t xml:space="preserve">Average Number </w:t>
            </w:r>
            <w:r w:rsidRPr="00E17872">
              <w:rPr>
                <w:rFonts w:cstheme="minorHAnsi"/>
                <w:bCs/>
                <w:color w:val="1111FB"/>
              </w:rPr>
              <w:t>Excluded</w:t>
            </w:r>
          </w:p>
          <w:p w14:paraId="76762A72" w14:textId="77777777" w:rsidR="00001120" w:rsidRPr="00836A38" w:rsidRDefault="00001120" w:rsidP="00AC46EA">
            <w:pPr>
              <w:autoSpaceDE w:val="0"/>
              <w:autoSpaceDN w:val="0"/>
              <w:adjustRightInd w:val="0"/>
              <w:spacing w:after="0" w:line="240" w:lineRule="auto"/>
              <w:jc w:val="center"/>
              <w:rPr>
                <w:rFonts w:cstheme="minorHAnsi"/>
                <w:bCs/>
                <w:color w:val="1111FB"/>
              </w:rPr>
            </w:pPr>
          </w:p>
        </w:tc>
        <w:tc>
          <w:tcPr>
            <w:tcW w:w="1350" w:type="dxa"/>
            <w:shd w:val="clear" w:color="auto" w:fill="D9D9D9" w:themeFill="background1" w:themeFillShade="D9"/>
            <w:vAlign w:val="center"/>
            <w:hideMark/>
          </w:tcPr>
          <w:p w14:paraId="2E475A51" w14:textId="77777777" w:rsidR="00001120" w:rsidRPr="00E17872" w:rsidRDefault="00001120" w:rsidP="00AC46EA">
            <w:pPr>
              <w:autoSpaceDE w:val="0"/>
              <w:autoSpaceDN w:val="0"/>
              <w:adjustRightInd w:val="0"/>
              <w:spacing w:after="0" w:line="240" w:lineRule="auto"/>
              <w:jc w:val="center"/>
              <w:rPr>
                <w:rFonts w:cstheme="minorHAnsi"/>
                <w:bCs/>
                <w:color w:val="1111FB"/>
              </w:rPr>
            </w:pPr>
            <w:r w:rsidRPr="00836A38">
              <w:rPr>
                <w:rFonts w:cstheme="minorHAnsi"/>
                <w:bCs/>
                <w:color w:val="1111FB"/>
              </w:rPr>
              <w:t>Average % Removed by</w:t>
            </w:r>
            <w:r w:rsidRPr="00E17872">
              <w:rPr>
                <w:rFonts w:cstheme="minorHAnsi"/>
                <w:bCs/>
                <w:color w:val="1111FB"/>
              </w:rPr>
              <w:t xml:space="preserve"> Exclusion</w:t>
            </w:r>
          </w:p>
          <w:p w14:paraId="0260957E" w14:textId="77777777" w:rsidR="00001120" w:rsidRPr="00836A38" w:rsidRDefault="00001120" w:rsidP="00AC46EA">
            <w:pPr>
              <w:autoSpaceDE w:val="0"/>
              <w:autoSpaceDN w:val="0"/>
              <w:adjustRightInd w:val="0"/>
              <w:spacing w:after="0" w:line="240" w:lineRule="auto"/>
              <w:jc w:val="center"/>
              <w:rPr>
                <w:rFonts w:cstheme="minorHAnsi"/>
                <w:bCs/>
                <w:color w:val="1111FB"/>
              </w:rPr>
            </w:pPr>
          </w:p>
        </w:tc>
        <w:tc>
          <w:tcPr>
            <w:tcW w:w="1800" w:type="dxa"/>
            <w:shd w:val="clear" w:color="auto" w:fill="D9D9D9" w:themeFill="background1" w:themeFillShade="D9"/>
            <w:vAlign w:val="center"/>
            <w:hideMark/>
          </w:tcPr>
          <w:p w14:paraId="4E53C1DD" w14:textId="77777777" w:rsidR="00001120" w:rsidRPr="00836A38" w:rsidRDefault="00001120" w:rsidP="00AC46EA">
            <w:pPr>
              <w:autoSpaceDE w:val="0"/>
              <w:autoSpaceDN w:val="0"/>
              <w:adjustRightInd w:val="0"/>
              <w:spacing w:after="0" w:line="240" w:lineRule="auto"/>
              <w:jc w:val="center"/>
              <w:rPr>
                <w:rFonts w:cstheme="minorHAnsi"/>
                <w:bCs/>
                <w:color w:val="1111FB"/>
              </w:rPr>
            </w:pPr>
            <w:r w:rsidRPr="00836A38">
              <w:rPr>
                <w:rFonts w:cstheme="minorHAnsi"/>
                <w:bCs/>
                <w:color w:val="1111FB"/>
              </w:rPr>
              <w:t xml:space="preserve">Average Performance Rate without Exclusion </w:t>
            </w:r>
            <w:r w:rsidRPr="00E17872">
              <w:rPr>
                <w:rFonts w:cstheme="minorHAnsi"/>
                <w:bCs/>
                <w:color w:val="1111FB"/>
              </w:rPr>
              <w:t>(</w:t>
            </w:r>
            <w:r w:rsidRPr="00836A38">
              <w:rPr>
                <w:rFonts w:cstheme="minorHAnsi"/>
                <w:bCs/>
                <w:color w:val="1111FB"/>
              </w:rPr>
              <w:t>%</w:t>
            </w:r>
            <w:r w:rsidRPr="00E17872">
              <w:rPr>
                <w:rFonts w:cstheme="minorHAnsi"/>
                <w:bCs/>
                <w:color w:val="1111FB"/>
              </w:rPr>
              <w:t>)</w:t>
            </w:r>
          </w:p>
        </w:tc>
        <w:tc>
          <w:tcPr>
            <w:tcW w:w="1710" w:type="dxa"/>
            <w:shd w:val="clear" w:color="auto" w:fill="D9D9D9" w:themeFill="background1" w:themeFillShade="D9"/>
            <w:vAlign w:val="center"/>
            <w:hideMark/>
          </w:tcPr>
          <w:p w14:paraId="7E4112E0" w14:textId="77777777" w:rsidR="00001120" w:rsidRPr="00836A38" w:rsidRDefault="00001120" w:rsidP="00AC46EA">
            <w:pPr>
              <w:autoSpaceDE w:val="0"/>
              <w:autoSpaceDN w:val="0"/>
              <w:adjustRightInd w:val="0"/>
              <w:spacing w:after="0" w:line="240" w:lineRule="auto"/>
              <w:jc w:val="center"/>
              <w:rPr>
                <w:rFonts w:cstheme="minorHAnsi"/>
                <w:bCs/>
                <w:color w:val="1111FB"/>
              </w:rPr>
            </w:pPr>
            <w:r w:rsidRPr="00836A38">
              <w:rPr>
                <w:rFonts w:cstheme="minorHAnsi"/>
                <w:bCs/>
                <w:color w:val="1111FB"/>
              </w:rPr>
              <w:t>Average Performance Rate with Exclusion</w:t>
            </w:r>
          </w:p>
          <w:p w14:paraId="217E192F" w14:textId="77777777" w:rsidR="00001120" w:rsidRPr="00836A38" w:rsidRDefault="00001120" w:rsidP="00AC46EA">
            <w:pPr>
              <w:autoSpaceDE w:val="0"/>
              <w:autoSpaceDN w:val="0"/>
              <w:adjustRightInd w:val="0"/>
              <w:spacing w:after="0" w:line="240" w:lineRule="auto"/>
              <w:jc w:val="center"/>
              <w:rPr>
                <w:rFonts w:cstheme="minorHAnsi"/>
                <w:bCs/>
                <w:color w:val="1111FB"/>
              </w:rPr>
            </w:pPr>
            <w:r w:rsidRPr="00E17872">
              <w:rPr>
                <w:rFonts w:cstheme="minorHAnsi"/>
                <w:bCs/>
                <w:color w:val="1111FB"/>
              </w:rPr>
              <w:t>(</w:t>
            </w:r>
            <w:r w:rsidRPr="00836A38">
              <w:rPr>
                <w:rFonts w:cstheme="minorHAnsi"/>
                <w:bCs/>
                <w:color w:val="1111FB"/>
              </w:rPr>
              <w:t>%</w:t>
            </w:r>
            <w:r w:rsidRPr="00E17872">
              <w:rPr>
                <w:rFonts w:cstheme="minorHAnsi"/>
                <w:bCs/>
                <w:color w:val="1111FB"/>
              </w:rPr>
              <w:t>)</w:t>
            </w:r>
          </w:p>
        </w:tc>
        <w:tc>
          <w:tcPr>
            <w:tcW w:w="1440" w:type="dxa"/>
            <w:shd w:val="clear" w:color="auto" w:fill="D9D9D9" w:themeFill="background1" w:themeFillShade="D9"/>
            <w:vAlign w:val="center"/>
            <w:hideMark/>
          </w:tcPr>
          <w:p w14:paraId="7D98D2A6" w14:textId="77777777" w:rsidR="00001120" w:rsidRPr="00836A38" w:rsidRDefault="00001120" w:rsidP="00AC46EA">
            <w:pPr>
              <w:autoSpaceDE w:val="0"/>
              <w:autoSpaceDN w:val="0"/>
              <w:adjustRightInd w:val="0"/>
              <w:spacing w:after="0" w:line="240" w:lineRule="auto"/>
              <w:jc w:val="center"/>
              <w:rPr>
                <w:rFonts w:cstheme="minorHAnsi"/>
                <w:bCs/>
                <w:color w:val="1111FB"/>
              </w:rPr>
            </w:pPr>
            <w:r w:rsidRPr="00836A38">
              <w:rPr>
                <w:rFonts w:cstheme="minorHAnsi"/>
                <w:bCs/>
                <w:color w:val="1111FB"/>
              </w:rPr>
              <w:t>Difference in Average Rate</w:t>
            </w:r>
          </w:p>
          <w:p w14:paraId="6AD61B72" w14:textId="77777777" w:rsidR="00001120" w:rsidRPr="00836A38" w:rsidRDefault="00001120" w:rsidP="00AC46EA">
            <w:pPr>
              <w:autoSpaceDE w:val="0"/>
              <w:autoSpaceDN w:val="0"/>
              <w:adjustRightInd w:val="0"/>
              <w:spacing w:after="0" w:line="240" w:lineRule="auto"/>
              <w:jc w:val="center"/>
              <w:rPr>
                <w:rFonts w:cstheme="minorHAnsi"/>
                <w:bCs/>
                <w:color w:val="1111FB"/>
              </w:rPr>
            </w:pPr>
            <w:r w:rsidRPr="00E17872">
              <w:rPr>
                <w:rFonts w:cstheme="minorHAnsi"/>
                <w:bCs/>
                <w:color w:val="1111FB"/>
              </w:rPr>
              <w:t>(</w:t>
            </w:r>
            <w:r w:rsidRPr="00836A38">
              <w:rPr>
                <w:rFonts w:cstheme="minorHAnsi"/>
                <w:bCs/>
                <w:color w:val="1111FB"/>
              </w:rPr>
              <w:t>%</w:t>
            </w:r>
            <w:r w:rsidRPr="00E17872">
              <w:rPr>
                <w:rFonts w:cstheme="minorHAnsi"/>
                <w:bCs/>
                <w:color w:val="1111FB"/>
              </w:rPr>
              <w:t>)</w:t>
            </w:r>
          </w:p>
        </w:tc>
      </w:tr>
      <w:tr w:rsidR="0024665D" w:rsidRPr="0024665D" w14:paraId="0250F3E9" w14:textId="77777777" w:rsidTr="00AC46EA">
        <w:trPr>
          <w:trHeight w:val="274"/>
        </w:trPr>
        <w:tc>
          <w:tcPr>
            <w:tcW w:w="965" w:type="dxa"/>
            <w:shd w:val="clear" w:color="auto" w:fill="auto"/>
            <w:hideMark/>
          </w:tcPr>
          <w:p w14:paraId="011882BE" w14:textId="505BA3CD" w:rsidR="0024665D" w:rsidRPr="00836A38" w:rsidRDefault="0024665D" w:rsidP="0024665D">
            <w:pPr>
              <w:autoSpaceDE w:val="0"/>
              <w:autoSpaceDN w:val="0"/>
              <w:adjustRightInd w:val="0"/>
              <w:spacing w:after="0" w:line="240" w:lineRule="auto"/>
              <w:jc w:val="center"/>
              <w:rPr>
                <w:rFonts w:cstheme="minorHAnsi"/>
                <w:color w:val="0000FF"/>
              </w:rPr>
            </w:pPr>
            <w:r w:rsidRPr="0024665D">
              <w:rPr>
                <w:color w:val="0000FF"/>
              </w:rPr>
              <w:t>10</w:t>
            </w:r>
          </w:p>
        </w:tc>
        <w:tc>
          <w:tcPr>
            <w:tcW w:w="1530" w:type="dxa"/>
            <w:shd w:val="clear" w:color="auto" w:fill="auto"/>
            <w:noWrap/>
            <w:hideMark/>
          </w:tcPr>
          <w:p w14:paraId="245C5B0A" w14:textId="4D7598A6" w:rsidR="0024665D" w:rsidRPr="00836A38" w:rsidRDefault="0024665D" w:rsidP="0024665D">
            <w:pPr>
              <w:autoSpaceDE w:val="0"/>
              <w:autoSpaceDN w:val="0"/>
              <w:adjustRightInd w:val="0"/>
              <w:spacing w:after="0" w:line="240" w:lineRule="auto"/>
              <w:jc w:val="center"/>
              <w:rPr>
                <w:rFonts w:cstheme="minorHAnsi"/>
                <w:color w:val="0000FF"/>
              </w:rPr>
            </w:pPr>
            <w:r w:rsidRPr="0024665D">
              <w:rPr>
                <w:color w:val="0000FF"/>
              </w:rPr>
              <w:t>3</w:t>
            </w:r>
          </w:p>
        </w:tc>
        <w:tc>
          <w:tcPr>
            <w:tcW w:w="1350" w:type="dxa"/>
            <w:shd w:val="clear" w:color="auto" w:fill="auto"/>
            <w:noWrap/>
            <w:hideMark/>
          </w:tcPr>
          <w:p w14:paraId="061D41F7" w14:textId="1C56C276" w:rsidR="0024665D" w:rsidRPr="00836A38" w:rsidRDefault="0024665D" w:rsidP="0024665D">
            <w:pPr>
              <w:autoSpaceDE w:val="0"/>
              <w:autoSpaceDN w:val="0"/>
              <w:adjustRightInd w:val="0"/>
              <w:spacing w:after="0" w:line="240" w:lineRule="auto"/>
              <w:jc w:val="center"/>
              <w:rPr>
                <w:rFonts w:cstheme="minorHAnsi"/>
                <w:color w:val="0000FF"/>
              </w:rPr>
            </w:pPr>
            <w:r w:rsidRPr="0024665D">
              <w:rPr>
                <w:color w:val="0000FF"/>
              </w:rPr>
              <w:t>1.1</w:t>
            </w:r>
          </w:p>
        </w:tc>
        <w:tc>
          <w:tcPr>
            <w:tcW w:w="1800" w:type="dxa"/>
            <w:shd w:val="clear" w:color="auto" w:fill="auto"/>
            <w:noWrap/>
            <w:hideMark/>
          </w:tcPr>
          <w:p w14:paraId="2B78499B" w14:textId="03BA25A0" w:rsidR="0024665D" w:rsidRPr="00836A38" w:rsidRDefault="0024665D" w:rsidP="0024665D">
            <w:pPr>
              <w:autoSpaceDE w:val="0"/>
              <w:autoSpaceDN w:val="0"/>
              <w:adjustRightInd w:val="0"/>
              <w:spacing w:after="0" w:line="240" w:lineRule="auto"/>
              <w:jc w:val="center"/>
              <w:rPr>
                <w:rFonts w:cstheme="minorHAnsi"/>
                <w:color w:val="0000FF"/>
              </w:rPr>
            </w:pPr>
            <w:r w:rsidRPr="0024665D">
              <w:rPr>
                <w:color w:val="0000FF"/>
              </w:rPr>
              <w:t>57.1</w:t>
            </w:r>
          </w:p>
        </w:tc>
        <w:tc>
          <w:tcPr>
            <w:tcW w:w="1710" w:type="dxa"/>
            <w:shd w:val="clear" w:color="auto" w:fill="auto"/>
            <w:noWrap/>
            <w:hideMark/>
          </w:tcPr>
          <w:p w14:paraId="40AC893A" w14:textId="607FB5E4" w:rsidR="0024665D" w:rsidRPr="00836A38" w:rsidRDefault="0024665D" w:rsidP="0024665D">
            <w:pPr>
              <w:autoSpaceDE w:val="0"/>
              <w:autoSpaceDN w:val="0"/>
              <w:adjustRightInd w:val="0"/>
              <w:spacing w:after="0" w:line="240" w:lineRule="auto"/>
              <w:jc w:val="center"/>
              <w:rPr>
                <w:rFonts w:cstheme="minorHAnsi"/>
                <w:color w:val="0000FF"/>
              </w:rPr>
            </w:pPr>
            <w:r w:rsidRPr="0024665D">
              <w:rPr>
                <w:color w:val="0000FF"/>
              </w:rPr>
              <w:t>57.6</w:t>
            </w:r>
          </w:p>
        </w:tc>
        <w:tc>
          <w:tcPr>
            <w:tcW w:w="1440" w:type="dxa"/>
            <w:shd w:val="clear" w:color="auto" w:fill="auto"/>
            <w:noWrap/>
            <w:hideMark/>
          </w:tcPr>
          <w:p w14:paraId="361943F6" w14:textId="0D62C6AD" w:rsidR="0024665D" w:rsidRPr="00836A38" w:rsidRDefault="0024665D" w:rsidP="0024665D">
            <w:pPr>
              <w:autoSpaceDE w:val="0"/>
              <w:autoSpaceDN w:val="0"/>
              <w:adjustRightInd w:val="0"/>
              <w:spacing w:after="0" w:line="240" w:lineRule="auto"/>
              <w:jc w:val="center"/>
              <w:rPr>
                <w:rFonts w:cstheme="minorHAnsi"/>
                <w:color w:val="0000FF"/>
              </w:rPr>
            </w:pPr>
            <w:r w:rsidRPr="0024665D">
              <w:rPr>
                <w:color w:val="0000FF"/>
              </w:rPr>
              <w:t>0.5</w:t>
            </w:r>
          </w:p>
        </w:tc>
      </w:tr>
    </w:tbl>
    <w:p w14:paraId="6DD55059" w14:textId="2D88E8C0" w:rsidR="00001120" w:rsidRDefault="00001120" w:rsidP="00665073">
      <w:pPr>
        <w:autoSpaceDE w:val="0"/>
        <w:autoSpaceDN w:val="0"/>
        <w:adjustRightInd w:val="0"/>
        <w:spacing w:after="0" w:line="240" w:lineRule="auto"/>
        <w:rPr>
          <w:rFonts w:cstheme="minorHAnsi"/>
          <w:b/>
          <w:bCs/>
        </w:rPr>
      </w:pPr>
    </w:p>
    <w:p w14:paraId="40901ABB" w14:textId="77777777" w:rsidR="00001120" w:rsidRDefault="00001120" w:rsidP="00665073">
      <w:pPr>
        <w:autoSpaceDE w:val="0"/>
        <w:autoSpaceDN w:val="0"/>
        <w:adjustRightInd w:val="0"/>
        <w:spacing w:after="0" w:line="240" w:lineRule="auto"/>
        <w:rPr>
          <w:rFonts w:cstheme="minorHAnsi"/>
          <w:b/>
          <w:bCs/>
        </w:rPr>
      </w:pPr>
    </w:p>
    <w:p w14:paraId="5B793FB4" w14:textId="77777777" w:rsidR="0024665D" w:rsidRDefault="0024665D" w:rsidP="00665073">
      <w:pPr>
        <w:autoSpaceDE w:val="0"/>
        <w:autoSpaceDN w:val="0"/>
        <w:adjustRightInd w:val="0"/>
        <w:spacing w:after="0" w:line="240" w:lineRule="auto"/>
        <w:rPr>
          <w:rFonts w:cstheme="minorHAnsi"/>
          <w:b/>
          <w:bCs/>
        </w:rPr>
      </w:pPr>
    </w:p>
    <w:p w14:paraId="3B2CC93B" w14:textId="77777777" w:rsidR="0024665D" w:rsidRDefault="0024665D" w:rsidP="00665073">
      <w:pPr>
        <w:autoSpaceDE w:val="0"/>
        <w:autoSpaceDN w:val="0"/>
        <w:adjustRightInd w:val="0"/>
        <w:spacing w:after="0" w:line="240" w:lineRule="auto"/>
        <w:rPr>
          <w:rFonts w:cstheme="minorHAnsi"/>
          <w:b/>
          <w:bCs/>
        </w:rPr>
      </w:pPr>
    </w:p>
    <w:p w14:paraId="28CD4198" w14:textId="77777777" w:rsidR="0024665D" w:rsidRDefault="0024665D" w:rsidP="00665073">
      <w:pPr>
        <w:autoSpaceDE w:val="0"/>
        <w:autoSpaceDN w:val="0"/>
        <w:adjustRightInd w:val="0"/>
        <w:spacing w:after="0" w:line="240" w:lineRule="auto"/>
        <w:rPr>
          <w:rFonts w:cstheme="minorHAnsi"/>
          <w:b/>
          <w:bCs/>
        </w:rPr>
      </w:pPr>
    </w:p>
    <w:p w14:paraId="4EC15D03" w14:textId="77777777" w:rsidR="0024665D" w:rsidRDefault="0024665D" w:rsidP="00665073">
      <w:pPr>
        <w:autoSpaceDE w:val="0"/>
        <w:autoSpaceDN w:val="0"/>
        <w:adjustRightInd w:val="0"/>
        <w:spacing w:after="0" w:line="240" w:lineRule="auto"/>
        <w:rPr>
          <w:rFonts w:cstheme="minorHAnsi"/>
          <w:b/>
          <w:bCs/>
        </w:rPr>
      </w:pPr>
    </w:p>
    <w:p w14:paraId="65715E7B" w14:textId="77777777" w:rsidR="0024665D" w:rsidRDefault="0024665D" w:rsidP="00665073">
      <w:pPr>
        <w:autoSpaceDE w:val="0"/>
        <w:autoSpaceDN w:val="0"/>
        <w:adjustRightInd w:val="0"/>
        <w:spacing w:after="0" w:line="240" w:lineRule="auto"/>
        <w:rPr>
          <w:rFonts w:cstheme="minorHAnsi"/>
          <w:b/>
          <w:bCs/>
        </w:rPr>
      </w:pPr>
    </w:p>
    <w:p w14:paraId="17A4B92D" w14:textId="77777777" w:rsidR="0024665D" w:rsidRDefault="0024665D" w:rsidP="00665073">
      <w:pPr>
        <w:autoSpaceDE w:val="0"/>
        <w:autoSpaceDN w:val="0"/>
        <w:adjustRightInd w:val="0"/>
        <w:spacing w:after="0" w:line="240" w:lineRule="auto"/>
        <w:rPr>
          <w:rFonts w:cstheme="minorHAnsi"/>
          <w:b/>
          <w:bCs/>
        </w:rPr>
      </w:pPr>
    </w:p>
    <w:p w14:paraId="4BA4D2AE" w14:textId="494282E7" w:rsidR="00665073" w:rsidRDefault="00092566" w:rsidP="00665073">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0CABCFE8" w14:textId="3F78044B" w:rsidR="007422FD" w:rsidRDefault="007422FD" w:rsidP="00DB3627">
      <w:pPr>
        <w:autoSpaceDE w:val="0"/>
        <w:autoSpaceDN w:val="0"/>
        <w:adjustRightInd w:val="0"/>
        <w:spacing w:after="0" w:line="240" w:lineRule="auto"/>
        <w:rPr>
          <w:rFonts w:cstheme="minorHAnsi"/>
          <w:bCs/>
        </w:rPr>
      </w:pPr>
    </w:p>
    <w:p w14:paraId="7A4981CA" w14:textId="71B06A26" w:rsidR="00B11F03" w:rsidRDefault="000966EA" w:rsidP="00DB3627">
      <w:pPr>
        <w:autoSpaceDE w:val="0"/>
        <w:autoSpaceDN w:val="0"/>
        <w:adjustRightInd w:val="0"/>
        <w:spacing w:after="0" w:line="240" w:lineRule="auto"/>
        <w:rPr>
          <w:rFonts w:cstheme="minorHAnsi"/>
          <w:bCs/>
          <w:color w:val="1111FB"/>
          <w:u w:val="single"/>
        </w:rPr>
      </w:pPr>
      <w:r w:rsidRPr="001E266C">
        <w:rPr>
          <w:rFonts w:cstheme="minorHAnsi"/>
          <w:bCs/>
          <w:color w:val="1111FB"/>
          <w:u w:val="single"/>
        </w:rPr>
        <w:t>Advanced Illness and Frailty</w:t>
      </w:r>
    </w:p>
    <w:p w14:paraId="6E90B4DA" w14:textId="7F1FCF2C" w:rsidR="00B11F03" w:rsidRPr="00A25024" w:rsidRDefault="00A464CD" w:rsidP="00DB3627">
      <w:pPr>
        <w:autoSpaceDE w:val="0"/>
        <w:autoSpaceDN w:val="0"/>
        <w:adjustRightInd w:val="0"/>
        <w:spacing w:after="0" w:line="240" w:lineRule="auto"/>
        <w:rPr>
          <w:rFonts w:cstheme="minorHAnsi"/>
          <w:bCs/>
        </w:rPr>
      </w:pPr>
      <w:r>
        <w:rPr>
          <w:rFonts w:cstheme="minorHAnsi"/>
          <w:bCs/>
          <w:color w:val="1111FB"/>
        </w:rPr>
        <w:t>T</w:t>
      </w:r>
      <w:r w:rsidR="00462991">
        <w:rPr>
          <w:rFonts w:cstheme="minorHAnsi"/>
          <w:bCs/>
          <w:color w:val="1111FB"/>
        </w:rPr>
        <w:t xml:space="preserve">he advanced illness and frailty exclusion </w:t>
      </w:r>
      <w:r>
        <w:rPr>
          <w:rFonts w:cstheme="minorHAnsi"/>
          <w:bCs/>
          <w:color w:val="1111FB"/>
        </w:rPr>
        <w:t>had a small impact on the eligible population:</w:t>
      </w:r>
      <w:r w:rsidR="00382456">
        <w:rPr>
          <w:rFonts w:cstheme="minorHAnsi"/>
          <w:bCs/>
          <w:color w:val="1111FB"/>
        </w:rPr>
        <w:t xml:space="preserve"> </w:t>
      </w:r>
      <w:r w:rsidR="00A84D95">
        <w:rPr>
          <w:rFonts w:cstheme="minorHAnsi"/>
          <w:bCs/>
          <w:color w:val="1111FB"/>
        </w:rPr>
        <w:t xml:space="preserve">4.6% </w:t>
      </w:r>
      <w:r w:rsidR="006313AB">
        <w:rPr>
          <w:rFonts w:cstheme="minorHAnsi"/>
          <w:bCs/>
          <w:color w:val="1111FB"/>
        </w:rPr>
        <w:t xml:space="preserve">on average were removed for advanced illness; </w:t>
      </w:r>
      <w:r w:rsidR="003273E8">
        <w:rPr>
          <w:rFonts w:cstheme="minorHAnsi"/>
          <w:bCs/>
          <w:color w:val="1111FB"/>
        </w:rPr>
        <w:t xml:space="preserve">1.1% on average were removed for frailty. </w:t>
      </w:r>
      <w:r w:rsidR="00401DFD">
        <w:rPr>
          <w:rFonts w:cstheme="minorHAnsi"/>
          <w:bCs/>
          <w:color w:val="1111FB"/>
        </w:rPr>
        <w:t xml:space="preserve">Impact on performance rates was minimal. </w:t>
      </w:r>
      <w:r w:rsidR="008346AE">
        <w:rPr>
          <w:rFonts w:cstheme="minorHAnsi"/>
          <w:bCs/>
          <w:color w:val="1111FB"/>
        </w:rPr>
        <w:t xml:space="preserve">Feedback from NCQA’s </w:t>
      </w:r>
      <w:r w:rsidR="008346AE" w:rsidRPr="008346AE">
        <w:rPr>
          <w:rFonts w:cstheme="minorHAnsi"/>
          <w:bCs/>
          <w:color w:val="1111FB"/>
        </w:rPr>
        <w:t>expert work groups</w:t>
      </w:r>
      <w:r w:rsidR="008346AE">
        <w:rPr>
          <w:rFonts w:cstheme="minorHAnsi"/>
          <w:bCs/>
          <w:color w:val="1111FB"/>
        </w:rPr>
        <w:t xml:space="preserve"> and </w:t>
      </w:r>
      <w:r w:rsidR="008346AE" w:rsidRPr="008346AE">
        <w:rPr>
          <w:rFonts w:cstheme="minorHAnsi"/>
          <w:bCs/>
          <w:color w:val="1111FB"/>
        </w:rPr>
        <w:t>measurement advisory panels</w:t>
      </w:r>
      <w:r w:rsidR="000C6CE3">
        <w:rPr>
          <w:rFonts w:cstheme="minorHAnsi"/>
          <w:bCs/>
          <w:color w:val="1111FB"/>
        </w:rPr>
        <w:t xml:space="preserve">, as well as </w:t>
      </w:r>
      <w:r w:rsidR="008346AE" w:rsidRPr="008346AE">
        <w:rPr>
          <w:rFonts w:cstheme="minorHAnsi"/>
          <w:bCs/>
          <w:color w:val="1111FB"/>
        </w:rPr>
        <w:t>public comment</w:t>
      </w:r>
      <w:r w:rsidR="000C6CE3">
        <w:rPr>
          <w:rFonts w:cstheme="minorHAnsi"/>
          <w:bCs/>
          <w:color w:val="1111FB"/>
        </w:rPr>
        <w:t xml:space="preserve"> feedback, supported </w:t>
      </w:r>
      <w:r w:rsidR="00AB57A5">
        <w:rPr>
          <w:rFonts w:cstheme="minorHAnsi"/>
          <w:bCs/>
          <w:color w:val="1111FB"/>
        </w:rPr>
        <w:t xml:space="preserve">the application of these exclusions to the </w:t>
      </w:r>
      <w:r w:rsidR="00AB57A5" w:rsidRPr="00AB57A5">
        <w:rPr>
          <w:rFonts w:cstheme="minorHAnsi"/>
          <w:bCs/>
          <w:color w:val="1111FB"/>
        </w:rPr>
        <w:t>Persistence of Beta-Blocker Treatment after a Heart Attack measure</w:t>
      </w:r>
      <w:r w:rsidR="00762797">
        <w:rPr>
          <w:rFonts w:cstheme="minorHAnsi"/>
          <w:bCs/>
          <w:color w:val="1111FB"/>
        </w:rPr>
        <w:t xml:space="preserve"> </w:t>
      </w:r>
      <w:r w:rsidR="00A31DDB">
        <w:rPr>
          <w:rFonts w:cstheme="minorHAnsi"/>
          <w:bCs/>
          <w:color w:val="1111FB"/>
        </w:rPr>
        <w:t>for clinic</w:t>
      </w:r>
      <w:r w:rsidR="00363AA0">
        <w:rPr>
          <w:rFonts w:cstheme="minorHAnsi"/>
          <w:bCs/>
          <w:color w:val="1111FB"/>
        </w:rPr>
        <w:t>al reasons</w:t>
      </w:r>
      <w:r w:rsidR="001B6530">
        <w:rPr>
          <w:rFonts w:cstheme="minorHAnsi"/>
          <w:bCs/>
          <w:color w:val="1111FB"/>
        </w:rPr>
        <w:t xml:space="preserve">. </w:t>
      </w:r>
      <w:r w:rsidR="00722203" w:rsidRPr="00722203">
        <w:rPr>
          <w:rFonts w:cstheme="minorHAnsi"/>
          <w:bCs/>
          <w:color w:val="1111FB"/>
        </w:rPr>
        <w:t xml:space="preserve">By implementing this set of exclusions, </w:t>
      </w:r>
      <w:r w:rsidR="001609B9">
        <w:rPr>
          <w:rFonts w:cstheme="minorHAnsi"/>
          <w:bCs/>
          <w:color w:val="1111FB"/>
        </w:rPr>
        <w:t xml:space="preserve">those providing care to </w:t>
      </w:r>
      <w:r w:rsidR="00722203" w:rsidRPr="00722203">
        <w:rPr>
          <w:rFonts w:cstheme="minorHAnsi"/>
          <w:bCs/>
          <w:color w:val="1111FB"/>
        </w:rPr>
        <w:t>the frail and advanced illness population can focus on care that</w:t>
      </w:r>
      <w:r w:rsidR="00F66847">
        <w:rPr>
          <w:rFonts w:cstheme="minorHAnsi"/>
          <w:bCs/>
          <w:color w:val="1111FB"/>
        </w:rPr>
        <w:t xml:space="preserve"> i</w:t>
      </w:r>
      <w:r w:rsidR="00722203" w:rsidRPr="00722203">
        <w:rPr>
          <w:rFonts w:cstheme="minorHAnsi"/>
          <w:bCs/>
          <w:color w:val="1111FB"/>
        </w:rPr>
        <w:t xml:space="preserve">s more appropriate for their conditions and health status. Attention </w:t>
      </w:r>
      <w:r w:rsidR="005F0995">
        <w:rPr>
          <w:rFonts w:cstheme="minorHAnsi"/>
          <w:bCs/>
          <w:color w:val="1111FB"/>
        </w:rPr>
        <w:t>can be mor</w:t>
      </w:r>
      <w:r w:rsidR="00722203" w:rsidRPr="00722203">
        <w:rPr>
          <w:rFonts w:cstheme="minorHAnsi"/>
          <w:bCs/>
          <w:color w:val="1111FB"/>
        </w:rPr>
        <w:t>e focused on quality measures that capture services and care processes that are most relevant for this population (e.g., improving care transitions, getting follow-up after acute care episodes, or avoiding preventable hospitalizations).</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4631FF" w:rsidRDefault="00092566" w:rsidP="00AC1D8E">
      <w:pPr>
        <w:autoSpaceDE w:val="0"/>
        <w:autoSpaceDN w:val="0"/>
        <w:adjustRightInd w:val="0"/>
        <w:spacing w:after="0" w:line="240" w:lineRule="auto"/>
        <w:rPr>
          <w:rFonts w:cstheme="minorHAnsi"/>
          <w:b/>
          <w:i/>
        </w:rPr>
      </w:pPr>
      <w:bookmarkStart w:id="15" w:name="section2b4"/>
      <w:bookmarkEnd w:id="15"/>
      <w:r w:rsidRPr="004631FF">
        <w:rPr>
          <w:rFonts w:cstheme="minorHAnsi"/>
          <w:b/>
        </w:rPr>
        <w:t>2b</w:t>
      </w:r>
      <w:r w:rsidR="009C7513" w:rsidRPr="004631FF">
        <w:rPr>
          <w:rFonts w:cstheme="minorHAnsi"/>
          <w:b/>
        </w:rPr>
        <w:t>3</w:t>
      </w:r>
      <w:r w:rsidRPr="004631FF">
        <w:rPr>
          <w:rFonts w:cstheme="minorHAnsi"/>
          <w:b/>
        </w:rPr>
        <w:t>. RISK ADJUSTMENT/STRATIFICATION FOR OUTCOME OR RESOURCE USE MEASURES</w:t>
      </w:r>
      <w:r w:rsidRPr="004631FF">
        <w:rPr>
          <w:rFonts w:cstheme="minorHAnsi"/>
        </w:rPr>
        <w:br/>
      </w:r>
      <w:r w:rsidR="00AC1D8E" w:rsidRPr="004631FF">
        <w:rPr>
          <w:rFonts w:cstheme="minorHAnsi"/>
          <w:b/>
          <w:i/>
          <w:highlight w:val="green"/>
        </w:rPr>
        <w:t>If not an intermediate or health outcome</w:t>
      </w:r>
      <w:r w:rsidR="00127C06" w:rsidRPr="004631FF">
        <w:rPr>
          <w:rFonts w:cstheme="minorHAnsi"/>
          <w:b/>
          <w:i/>
          <w:highlight w:val="green"/>
        </w:rPr>
        <w:t>,</w:t>
      </w:r>
      <w:r w:rsidR="00AC1D8E" w:rsidRPr="004631FF">
        <w:rPr>
          <w:rFonts w:cstheme="minorHAnsi"/>
          <w:b/>
          <w:i/>
          <w:highlight w:val="green"/>
        </w:rPr>
        <w:t xml:space="preserve"> </w:t>
      </w:r>
      <w:r w:rsidR="00127C06" w:rsidRPr="004631FF">
        <w:rPr>
          <w:rFonts w:cstheme="minorHAnsi"/>
          <w:b/>
          <w:i/>
          <w:highlight w:val="green"/>
        </w:rPr>
        <w:t xml:space="preserve">or PRO-PM, </w:t>
      </w:r>
      <w:r w:rsidR="00AC1D8E" w:rsidRPr="004631FF">
        <w:rPr>
          <w:rFonts w:cstheme="minorHAnsi"/>
          <w:b/>
          <w:i/>
          <w:highlight w:val="green"/>
        </w:rPr>
        <w:t xml:space="preserve">or resource use measure, </w:t>
      </w:r>
      <w:r w:rsidR="00BE592D" w:rsidRPr="004631FF">
        <w:rPr>
          <w:rFonts w:cstheme="minorHAnsi"/>
          <w:b/>
          <w:i/>
          <w:highlight w:val="green"/>
        </w:rPr>
        <w:t xml:space="preserve">skip to section </w:t>
      </w:r>
      <w:hyperlink w:anchor="section2b5" w:history="1">
        <w:r w:rsidR="00BE592D" w:rsidRPr="004631FF">
          <w:rPr>
            <w:rStyle w:val="Hyperlink"/>
            <w:rFonts w:cstheme="minorHAnsi"/>
            <w:b/>
            <w:i/>
            <w:color w:val="auto"/>
            <w:highlight w:val="green"/>
          </w:rPr>
          <w:t>2b</w:t>
        </w:r>
        <w:r w:rsidR="00565946" w:rsidRPr="004631FF">
          <w:rPr>
            <w:rStyle w:val="Hyperlink"/>
            <w:rFonts w:cstheme="minorHAnsi"/>
            <w:b/>
            <w:i/>
            <w:color w:val="auto"/>
            <w:highlight w:val="green"/>
          </w:rPr>
          <w:t>4</w:t>
        </w:r>
      </w:hyperlink>
      <w:r w:rsidR="00BE592D" w:rsidRPr="004631FF">
        <w:rPr>
          <w:rFonts w:cstheme="minorHAnsi"/>
          <w:b/>
          <w:i/>
          <w:highlight w:val="green"/>
        </w:rPr>
        <w:t>.</w:t>
      </w:r>
    </w:p>
    <w:p w14:paraId="0CABCFEB" w14:textId="77777777" w:rsidR="008871A9" w:rsidRPr="004631FF" w:rsidRDefault="008871A9" w:rsidP="00092566">
      <w:pPr>
        <w:autoSpaceDE w:val="0"/>
        <w:autoSpaceDN w:val="0"/>
        <w:adjustRightInd w:val="0"/>
        <w:spacing w:after="0" w:line="240" w:lineRule="auto"/>
        <w:rPr>
          <w:rFonts w:cstheme="minorHAnsi"/>
          <w:b/>
        </w:rPr>
      </w:pPr>
    </w:p>
    <w:p w14:paraId="0CABCFEC" w14:textId="166E6E8B" w:rsidR="00743E46" w:rsidRPr="004631FF" w:rsidRDefault="00092566" w:rsidP="00092566">
      <w:pPr>
        <w:autoSpaceDE w:val="0"/>
        <w:autoSpaceDN w:val="0"/>
        <w:adjustRightInd w:val="0"/>
        <w:spacing w:after="0" w:line="240" w:lineRule="auto"/>
        <w:rPr>
          <w:rFonts w:cstheme="minorHAnsi"/>
          <w:b/>
        </w:rPr>
      </w:pPr>
      <w:r w:rsidRPr="004631FF">
        <w:rPr>
          <w:rFonts w:cstheme="minorHAnsi"/>
          <w:b/>
        </w:rPr>
        <w:t>2b</w:t>
      </w:r>
      <w:r w:rsidR="009C7513" w:rsidRPr="004631FF">
        <w:rPr>
          <w:rFonts w:cstheme="minorHAnsi"/>
          <w:b/>
        </w:rPr>
        <w:t>3</w:t>
      </w:r>
      <w:r w:rsidRPr="004631FF">
        <w:rPr>
          <w:rFonts w:cstheme="minorHAnsi"/>
          <w:b/>
        </w:rPr>
        <w:t xml:space="preserve">.1. </w:t>
      </w:r>
      <w:r w:rsidR="00743E46" w:rsidRPr="004631FF">
        <w:rPr>
          <w:rFonts w:cstheme="minorHAnsi"/>
          <w:b/>
        </w:rPr>
        <w:t>What method of controlling for differences in case mix is used?</w:t>
      </w:r>
    </w:p>
    <w:p w14:paraId="0CABCFED" w14:textId="0DF76012" w:rsidR="00033038" w:rsidRPr="004631FF" w:rsidRDefault="008A27A9" w:rsidP="00092566">
      <w:pPr>
        <w:autoSpaceDE w:val="0"/>
        <w:autoSpaceDN w:val="0"/>
        <w:adjustRightInd w:val="0"/>
        <w:spacing w:after="0" w:line="240" w:lineRule="auto"/>
        <w:rPr>
          <w:rFonts w:cstheme="minorHAnsi"/>
          <w:b/>
        </w:rPr>
      </w:pPr>
      <w:sdt>
        <w:sdtPr>
          <w:rPr>
            <w:rFonts w:cstheme="minorHAnsi"/>
          </w:rPr>
          <w:id w:val="-1450705013"/>
          <w14:checkbox>
            <w14:checked w14:val="1"/>
            <w14:checkedState w14:val="2612" w14:font="MS Gothic"/>
            <w14:uncheckedState w14:val="2610" w14:font="MS Gothic"/>
          </w14:checkbox>
        </w:sdtPr>
        <w:sdtEndPr/>
        <w:sdtContent>
          <w:r w:rsidR="0033529F" w:rsidRPr="004631FF">
            <w:rPr>
              <w:rFonts w:ascii="MS Gothic" w:eastAsia="MS Gothic" w:hAnsi="MS Gothic" w:cstheme="minorHAnsi" w:hint="eastAsia"/>
            </w:rPr>
            <w:t>☒</w:t>
          </w:r>
        </w:sdtContent>
      </w:sdt>
      <w:r w:rsidR="00033038" w:rsidRPr="004631FF">
        <w:rPr>
          <w:rFonts w:eastAsia="MS Mincho" w:cstheme="minorHAnsi"/>
          <w:b/>
        </w:rPr>
        <w:t xml:space="preserve"> </w:t>
      </w:r>
      <w:r w:rsidR="00033038" w:rsidRPr="004631FF">
        <w:rPr>
          <w:rFonts w:cstheme="minorHAnsi"/>
          <w:b/>
        </w:rPr>
        <w:t>No risk adjustment or stratification</w:t>
      </w:r>
    </w:p>
    <w:p w14:paraId="0CABCFEE" w14:textId="77777777" w:rsidR="00743E46" w:rsidRPr="004631FF" w:rsidRDefault="008A27A9" w:rsidP="00092566">
      <w:pPr>
        <w:autoSpaceDE w:val="0"/>
        <w:autoSpaceDN w:val="0"/>
        <w:adjustRightInd w:val="0"/>
        <w:spacing w:after="0" w:line="240" w:lineRule="auto"/>
        <w:rPr>
          <w:rFonts w:cstheme="minorHAnsi"/>
          <w:b/>
        </w:rPr>
      </w:pPr>
      <w:sdt>
        <w:sdtPr>
          <w:rPr>
            <w:rFonts w:cstheme="minorHAnsi"/>
          </w:rPr>
          <w:id w:val="-912162535"/>
          <w14:checkbox>
            <w14:checked w14:val="0"/>
            <w14:checkedState w14:val="2612" w14:font="MS Gothic"/>
            <w14:uncheckedState w14:val="2610" w14:font="MS Gothic"/>
          </w14:checkbox>
        </w:sdtPr>
        <w:sdtEndPr/>
        <w:sdtContent>
          <w:r w:rsidR="006574D2" w:rsidRPr="004631FF">
            <w:rPr>
              <w:rFonts w:ascii="MS Gothic" w:eastAsia="MS Gothic" w:cstheme="minorHAnsi" w:hint="eastAsia"/>
            </w:rPr>
            <w:t>☐</w:t>
          </w:r>
        </w:sdtContent>
      </w:sdt>
      <w:r w:rsidR="006574D2" w:rsidRPr="004631FF">
        <w:rPr>
          <w:rFonts w:cstheme="minorHAnsi"/>
        </w:rPr>
        <w:t xml:space="preserve"> </w:t>
      </w:r>
      <w:r w:rsidR="00743E46" w:rsidRPr="004631FF">
        <w:rPr>
          <w:rFonts w:cstheme="minorHAnsi"/>
          <w:b/>
        </w:rPr>
        <w:t xml:space="preserve">Statistical risk model with </w:t>
      </w:r>
      <w:sdt>
        <w:sdtPr>
          <w:rPr>
            <w:rStyle w:val="Style4"/>
            <w:color w:val="auto"/>
            <w:u w:val="none"/>
          </w:rPr>
          <w:id w:val="309760327"/>
          <w:showingPlcHdr/>
          <w:text/>
        </w:sdtPr>
        <w:sdtEndPr>
          <w:rPr>
            <w:rStyle w:val="DefaultParagraphFont"/>
            <w:rFonts w:asciiTheme="minorHAnsi" w:hAnsiTheme="minorHAnsi" w:cstheme="minorHAnsi"/>
            <w:b w:val="0"/>
          </w:rPr>
        </w:sdtEndPr>
        <w:sdtContent>
          <w:r w:rsidR="00E562C0" w:rsidRPr="004631FF">
            <w:rPr>
              <w:rStyle w:val="PlaceholderText"/>
              <w:color w:val="auto"/>
            </w:rPr>
            <w:t>Click here to enter number of factors</w:t>
          </w:r>
        </w:sdtContent>
      </w:sdt>
      <w:r w:rsidR="00E562C0" w:rsidRPr="004631FF">
        <w:rPr>
          <w:rStyle w:val="Style4"/>
          <w:color w:val="auto"/>
          <w:u w:val="none"/>
        </w:rPr>
        <w:t xml:space="preserve"> </w:t>
      </w:r>
      <w:r w:rsidR="00743E46" w:rsidRPr="004631FF">
        <w:rPr>
          <w:rFonts w:cstheme="minorHAnsi"/>
          <w:b/>
        </w:rPr>
        <w:t>risk factors</w:t>
      </w:r>
    </w:p>
    <w:p w14:paraId="0CABCFEF" w14:textId="77777777" w:rsidR="00743E46" w:rsidRPr="004631FF" w:rsidRDefault="008A27A9" w:rsidP="00092566">
      <w:pPr>
        <w:autoSpaceDE w:val="0"/>
        <w:autoSpaceDN w:val="0"/>
        <w:adjustRightInd w:val="0"/>
        <w:spacing w:after="0" w:line="240" w:lineRule="auto"/>
        <w:rPr>
          <w:rFonts w:cstheme="minorHAnsi"/>
          <w:b/>
        </w:rPr>
      </w:pPr>
      <w:sdt>
        <w:sdtPr>
          <w:rPr>
            <w:rFonts w:cstheme="minorHAnsi"/>
          </w:rPr>
          <w:id w:val="-1831823302"/>
          <w14:checkbox>
            <w14:checked w14:val="0"/>
            <w14:checkedState w14:val="2612" w14:font="MS Gothic"/>
            <w14:uncheckedState w14:val="2610" w14:font="MS Gothic"/>
          </w14:checkbox>
        </w:sdtPr>
        <w:sdtEndPr/>
        <w:sdtContent>
          <w:r w:rsidR="006574D2" w:rsidRPr="004631FF">
            <w:rPr>
              <w:rFonts w:ascii="MS Gothic" w:eastAsia="MS Gothic" w:cstheme="minorHAnsi" w:hint="eastAsia"/>
            </w:rPr>
            <w:t>☐</w:t>
          </w:r>
        </w:sdtContent>
      </w:sdt>
      <w:r w:rsidR="000414E8" w:rsidRPr="004631FF">
        <w:rPr>
          <w:rFonts w:eastAsia="MS Mincho" w:cstheme="minorHAnsi"/>
          <w:b/>
        </w:rPr>
        <w:t xml:space="preserve"> </w:t>
      </w:r>
      <w:r w:rsidR="00743E46" w:rsidRPr="004631FF">
        <w:rPr>
          <w:rFonts w:cstheme="minorHAnsi"/>
          <w:b/>
        </w:rPr>
        <w:t xml:space="preserve">Stratification by </w:t>
      </w:r>
      <w:sdt>
        <w:sdtPr>
          <w:rPr>
            <w:rStyle w:val="Style4"/>
            <w:color w:val="auto"/>
            <w:u w:val="none"/>
          </w:rPr>
          <w:id w:val="-52006544"/>
          <w:showingPlcHdr/>
          <w:text/>
        </w:sdtPr>
        <w:sdtEndPr>
          <w:rPr>
            <w:rStyle w:val="DefaultParagraphFont"/>
            <w:rFonts w:asciiTheme="minorHAnsi" w:hAnsiTheme="minorHAnsi" w:cstheme="minorHAnsi"/>
            <w:b w:val="0"/>
          </w:rPr>
        </w:sdtEndPr>
        <w:sdtContent>
          <w:r w:rsidR="00E562C0" w:rsidRPr="004631FF">
            <w:rPr>
              <w:rStyle w:val="PlaceholderText"/>
              <w:color w:val="auto"/>
            </w:rPr>
            <w:t>Click here to enter number of categories</w:t>
          </w:r>
        </w:sdtContent>
      </w:sdt>
      <w:r w:rsidR="00E562C0" w:rsidRPr="004631FF">
        <w:rPr>
          <w:rStyle w:val="Style4"/>
          <w:color w:val="auto"/>
          <w:u w:val="none"/>
        </w:rPr>
        <w:t xml:space="preserve"> </w:t>
      </w:r>
      <w:r w:rsidR="00C33F2E" w:rsidRPr="004631FF">
        <w:rPr>
          <w:rFonts w:cstheme="minorHAnsi"/>
          <w:b/>
        </w:rPr>
        <w:t xml:space="preserve">risk </w:t>
      </w:r>
      <w:r w:rsidR="00743E46" w:rsidRPr="004631FF">
        <w:rPr>
          <w:rFonts w:cstheme="minorHAnsi"/>
          <w:b/>
        </w:rPr>
        <w:t>categories</w:t>
      </w:r>
    </w:p>
    <w:p w14:paraId="0CABCFF0" w14:textId="05AF434E" w:rsidR="00743E46" w:rsidRPr="004631FF" w:rsidRDefault="008A27A9" w:rsidP="00092566">
      <w:pPr>
        <w:autoSpaceDE w:val="0"/>
        <w:autoSpaceDN w:val="0"/>
        <w:adjustRightInd w:val="0"/>
        <w:spacing w:after="0" w:line="240" w:lineRule="auto"/>
        <w:rPr>
          <w:rFonts w:cstheme="minorHAnsi"/>
          <w:b/>
        </w:rPr>
      </w:pPr>
      <w:sdt>
        <w:sdtPr>
          <w:rPr>
            <w:rFonts w:cstheme="minorHAnsi"/>
          </w:rPr>
          <w:id w:val="2076930997"/>
          <w14:checkbox>
            <w14:checked w14:val="0"/>
            <w14:checkedState w14:val="2612" w14:font="MS Gothic"/>
            <w14:uncheckedState w14:val="2610" w14:font="MS Gothic"/>
          </w14:checkbox>
        </w:sdtPr>
        <w:sdtEndPr/>
        <w:sdtContent>
          <w:r w:rsidR="006574D2" w:rsidRPr="004631FF">
            <w:rPr>
              <w:rFonts w:ascii="MS Gothic" w:eastAsia="MS Gothic" w:cstheme="minorHAnsi" w:hint="eastAsia"/>
            </w:rPr>
            <w:t>☐</w:t>
          </w:r>
        </w:sdtContent>
      </w:sdt>
      <w:r w:rsidR="000414E8" w:rsidRPr="004631FF">
        <w:rPr>
          <w:rFonts w:eastAsia="MS Mincho" w:cstheme="minorHAnsi"/>
          <w:b/>
        </w:rPr>
        <w:t xml:space="preserve"> </w:t>
      </w:r>
      <w:r w:rsidR="00743E46" w:rsidRPr="004631FF">
        <w:rPr>
          <w:rFonts w:cstheme="minorHAnsi"/>
          <w:b/>
        </w:rPr>
        <w:t xml:space="preserve">Other, </w:t>
      </w:r>
      <w:sdt>
        <w:sdtPr>
          <w:rPr>
            <w:rStyle w:val="Style1"/>
            <w:color w:val="auto"/>
          </w:rPr>
          <w:id w:val="-1471512333"/>
          <w:showingPlcHdr/>
          <w:text/>
        </w:sdtPr>
        <w:sdtEndPr>
          <w:rPr>
            <w:rStyle w:val="DefaultParagraphFont"/>
            <w:rFonts w:cstheme="minorHAnsi"/>
            <w:b/>
          </w:rPr>
        </w:sdtEndPr>
        <w:sdtContent>
          <w:r w:rsidR="00E562C0" w:rsidRPr="004631FF">
            <w:rPr>
              <w:rStyle w:val="PlaceholderText"/>
              <w:color w:val="auto"/>
            </w:rPr>
            <w:t>Click here to enter description</w:t>
          </w:r>
        </w:sdtContent>
      </w:sdt>
    </w:p>
    <w:p w14:paraId="0CABCFF1" w14:textId="27EAF064" w:rsidR="00743E46" w:rsidRDefault="00743E46" w:rsidP="00092566">
      <w:pPr>
        <w:autoSpaceDE w:val="0"/>
        <w:autoSpaceDN w:val="0"/>
        <w:adjustRightInd w:val="0"/>
        <w:spacing w:after="0" w:line="240" w:lineRule="auto"/>
        <w:rPr>
          <w:rFonts w:cstheme="minorHAnsi"/>
          <w:b/>
        </w:rPr>
      </w:pPr>
    </w:p>
    <w:p w14:paraId="0CABCFF2" w14:textId="7B192693" w:rsidR="00092566" w:rsidRPr="00DC6E78" w:rsidRDefault="000B7D57" w:rsidP="00F34FAB">
      <w:pPr>
        <w:autoSpaceDE w:val="0"/>
        <w:autoSpaceDN w:val="0"/>
        <w:adjustRightInd w:val="0"/>
        <w:spacing w:after="0" w:line="240" w:lineRule="auto"/>
        <w:rPr>
          <w:rFonts w:cstheme="minorHAnsi"/>
        </w:rPr>
      </w:pPr>
      <w:r w:rsidRPr="00DC6E78">
        <w:rPr>
          <w:rFonts w:cstheme="minorHAnsi"/>
          <w:b/>
        </w:rPr>
        <w:t>2b</w:t>
      </w:r>
      <w:r w:rsidR="009C7513" w:rsidRPr="00DC6E78">
        <w:rPr>
          <w:rFonts w:cstheme="minorHAnsi"/>
          <w:b/>
        </w:rPr>
        <w:t>3</w:t>
      </w:r>
      <w:r w:rsidRPr="00DC6E78">
        <w:rPr>
          <w:rFonts w:cstheme="minorHAnsi"/>
          <w:b/>
        </w:rPr>
        <w:t xml:space="preserve">.1.1 </w:t>
      </w:r>
      <w:r w:rsidR="00F34FAB" w:rsidRPr="00DC6E78">
        <w:rPr>
          <w:rFonts w:ascii="Calibri" w:eastAsia="MS Mincho" w:hAnsi="Calibri" w:cs="Calibri"/>
          <w:b/>
        </w:rPr>
        <w:t xml:space="preserve">If using a statistical risk model, provide detailed risk model specifications, including the risk model method, risk factors, coefficients, equations, codes with descriptors, and definitions. </w:t>
      </w:r>
    </w:p>
    <w:p w14:paraId="0A1E352E" w14:textId="40692D59" w:rsidR="00AF2D68" w:rsidRPr="00DC6E78" w:rsidRDefault="00107765" w:rsidP="009D3882">
      <w:pPr>
        <w:rPr>
          <w:rFonts w:cs="Calibri"/>
          <w:b/>
        </w:rPr>
      </w:pPr>
      <w:r w:rsidRPr="00AD782C">
        <w:rPr>
          <w:rFonts w:cstheme="minorHAnsi"/>
          <w:bCs/>
          <w:color w:val="1111FB"/>
        </w:rPr>
        <w:t>N/A</w:t>
      </w:r>
    </w:p>
    <w:p w14:paraId="2508FE30" w14:textId="4C832BE4" w:rsidR="0017136F" w:rsidRPr="0075556C" w:rsidRDefault="009C7513" w:rsidP="00DC6E78">
      <w:pPr>
        <w:autoSpaceDE w:val="0"/>
        <w:autoSpaceDN w:val="0"/>
        <w:adjustRightInd w:val="0"/>
        <w:spacing w:after="0" w:line="240" w:lineRule="auto"/>
        <w:rPr>
          <w:rFonts w:cstheme="minorHAnsi"/>
          <w:color w:val="1111FB"/>
        </w:rPr>
      </w:pPr>
      <w:r w:rsidRPr="00DC6E78">
        <w:rPr>
          <w:rFonts w:cs="Calibri"/>
          <w:b/>
        </w:rPr>
        <w:t>2b3</w:t>
      </w:r>
      <w:r w:rsidR="009D3882" w:rsidRPr="00DC6E78">
        <w:rPr>
          <w:rFonts w:cs="Calibri"/>
          <w:b/>
        </w:rPr>
        <w:t xml:space="preserve">.2. If an outcome or resource use component measure is </w:t>
      </w:r>
      <w:r w:rsidR="009D3882" w:rsidRPr="00DC6E78">
        <w:rPr>
          <w:rFonts w:cs="Calibri"/>
          <w:b/>
          <w:u w:val="single"/>
        </w:rPr>
        <w:t>not risk adjusted or stratified</w:t>
      </w:r>
      <w:r w:rsidR="009D3882" w:rsidRPr="00DC6E78">
        <w:rPr>
          <w:rFonts w:cs="Calibri"/>
          <w:b/>
        </w:rPr>
        <w:t xml:space="preserve">, provide </w:t>
      </w:r>
      <w:r w:rsidR="009D3882" w:rsidRPr="00DC6E78">
        <w:rPr>
          <w:rFonts w:cs="Calibri"/>
          <w:b/>
          <w:u w:val="single"/>
        </w:rPr>
        <w:t>rationale and analyses</w:t>
      </w:r>
      <w:r w:rsidR="009D3882" w:rsidRPr="00DC6E78">
        <w:rPr>
          <w:rFonts w:cs="Calibri"/>
          <w:b/>
        </w:rPr>
        <w:t xml:space="preserve"> to demonstrate that controlling for differences in patient characteristics (case mix) is not needed to achieve fair comparisons across measured entities</w:t>
      </w:r>
      <w:r w:rsidR="009D3882" w:rsidRPr="00DC6E78">
        <w:rPr>
          <w:rFonts w:cs="Calibri"/>
        </w:rPr>
        <w:t xml:space="preserve">. </w:t>
      </w:r>
      <w:r w:rsidR="009D3882" w:rsidRPr="00DC6E78">
        <w:rPr>
          <w:rFonts w:cs="Calibri"/>
        </w:rPr>
        <w:br/>
      </w:r>
      <w:r w:rsidR="000848D5" w:rsidRPr="000848D5">
        <w:rPr>
          <w:rFonts w:cstheme="minorHAnsi"/>
          <w:bCs/>
          <w:color w:val="1111FB"/>
        </w:rPr>
        <w:t>The Persistence of Beta</w:t>
      </w:r>
      <w:r w:rsidR="0070745E">
        <w:rPr>
          <w:rFonts w:cstheme="minorHAnsi"/>
          <w:bCs/>
          <w:color w:val="1111FB"/>
        </w:rPr>
        <w:t>-</w:t>
      </w:r>
      <w:r w:rsidR="000848D5" w:rsidRPr="000848D5">
        <w:rPr>
          <w:rFonts w:cstheme="minorHAnsi"/>
          <w:bCs/>
          <w:color w:val="1111FB"/>
        </w:rPr>
        <w:t>Blocker</w:t>
      </w:r>
      <w:r w:rsidR="0016114C">
        <w:rPr>
          <w:rFonts w:cstheme="minorHAnsi"/>
          <w:bCs/>
          <w:color w:val="1111FB"/>
        </w:rPr>
        <w:t xml:space="preserve"> Treatment after a Heart Attack</w:t>
      </w:r>
      <w:r w:rsidR="000848D5" w:rsidRPr="000848D5">
        <w:rPr>
          <w:rFonts w:cstheme="minorHAnsi"/>
          <w:bCs/>
          <w:color w:val="1111FB"/>
        </w:rPr>
        <w:t xml:space="preserve"> measure assesses whether </w:t>
      </w:r>
      <w:r w:rsidR="000F1900">
        <w:rPr>
          <w:rFonts w:cstheme="minorHAnsi"/>
          <w:bCs/>
          <w:color w:val="1111FB"/>
        </w:rPr>
        <w:t xml:space="preserve">health plan </w:t>
      </w:r>
      <w:r w:rsidR="000848D5" w:rsidRPr="000848D5">
        <w:rPr>
          <w:rFonts w:cstheme="minorHAnsi"/>
          <w:bCs/>
          <w:color w:val="1111FB"/>
        </w:rPr>
        <w:t xml:space="preserve">members were dispensed beta blockers over the six months following an acute myocardial infarction (AMI). The measure is not assessing an outcome such as AMI-related morbidity or mortality for which a clinical factor may affect a health plan’s ability to ensure medications are dispensed. It assesses persistence of beta-blocker treatment in a defined period of time for a population where there is strong evidence to support the benefit of the medication. Because the conceptual basis for risk adjustment of adherence measures is still developing, NCQA does not </w:t>
      </w:r>
      <w:r w:rsidR="00B70877">
        <w:rPr>
          <w:rFonts w:cstheme="minorHAnsi"/>
          <w:bCs/>
          <w:color w:val="1111FB"/>
        </w:rPr>
        <w:t xml:space="preserve">currently </w:t>
      </w:r>
      <w:r w:rsidR="000848D5" w:rsidRPr="000848D5">
        <w:rPr>
          <w:rFonts w:cstheme="minorHAnsi"/>
          <w:bCs/>
          <w:color w:val="1111FB"/>
        </w:rPr>
        <w:t xml:space="preserve">risk adjust this measure given the potential to mask poor performance and disparities in care in patients for whom evidence supports prescribing beta-blocker treatment following AMI.  </w:t>
      </w:r>
    </w:p>
    <w:p w14:paraId="2066B2B5" w14:textId="77777777" w:rsidR="0017136F" w:rsidRDefault="0017136F" w:rsidP="00DC6E78">
      <w:pPr>
        <w:autoSpaceDE w:val="0"/>
        <w:autoSpaceDN w:val="0"/>
        <w:adjustRightInd w:val="0"/>
        <w:spacing w:after="0" w:line="240" w:lineRule="auto"/>
        <w:rPr>
          <w:rFonts w:cstheme="minorHAnsi"/>
          <w:bCs/>
          <w:color w:val="1111FB"/>
        </w:rPr>
      </w:pPr>
    </w:p>
    <w:p w14:paraId="0BF5631C" w14:textId="77777777" w:rsidR="00107765" w:rsidRDefault="009C7513" w:rsidP="00107765">
      <w:pPr>
        <w:rPr>
          <w:rFonts w:cstheme="minorHAnsi"/>
          <w:bCs/>
          <w:color w:val="1111FB"/>
        </w:rPr>
      </w:pPr>
      <w:r w:rsidRPr="00DC6E78">
        <w:rPr>
          <w:rFonts w:cstheme="minorHAnsi"/>
          <w:b/>
          <w:bCs/>
        </w:rPr>
        <w:t>2b3</w:t>
      </w:r>
      <w:r w:rsidR="00092566" w:rsidRPr="00DC6E78">
        <w:rPr>
          <w:rFonts w:cstheme="minorHAnsi"/>
          <w:b/>
          <w:bCs/>
        </w:rPr>
        <w:t>.3</w:t>
      </w:r>
      <w:r w:rsidR="00275563" w:rsidRPr="00DC6E78">
        <w:rPr>
          <w:rFonts w:cstheme="minorHAnsi"/>
          <w:b/>
          <w:bCs/>
        </w:rPr>
        <w:t>a</w:t>
      </w:r>
      <w:r w:rsidR="00092566" w:rsidRPr="00DC6E78">
        <w:rPr>
          <w:rFonts w:cstheme="minorHAnsi"/>
          <w:b/>
          <w:bCs/>
        </w:rPr>
        <w:t xml:space="preserve">. </w:t>
      </w:r>
      <w:r w:rsidR="00927027" w:rsidRPr="00DC6E78">
        <w:rPr>
          <w:rFonts w:cstheme="minorHAnsi"/>
          <w:b/>
          <w:bCs/>
        </w:rPr>
        <w:t>Describe</w:t>
      </w:r>
      <w:r w:rsidR="00092566" w:rsidRPr="00DC6E78">
        <w:rPr>
          <w:rFonts w:cstheme="minorHAnsi"/>
          <w:b/>
          <w:bCs/>
        </w:rPr>
        <w:t xml:space="preserve"> the conceptual/clinical </w:t>
      </w:r>
      <w:r w:rsidR="00092566" w:rsidRPr="00DC6E78">
        <w:rPr>
          <w:rFonts w:cstheme="minorHAnsi"/>
          <w:b/>
          <w:bCs/>
          <w:u w:val="single"/>
        </w:rPr>
        <w:t>and</w:t>
      </w:r>
      <w:r w:rsidR="00092566" w:rsidRPr="00DC6E78">
        <w:rPr>
          <w:rFonts w:cstheme="minorHAnsi"/>
          <w:b/>
          <w:bCs/>
        </w:rPr>
        <w:t xml:space="preserve"> statistical methods and criteria used to select </w:t>
      </w:r>
      <w:r w:rsidR="005363F1" w:rsidRPr="00DC6E78">
        <w:rPr>
          <w:rFonts w:cstheme="minorHAnsi"/>
          <w:b/>
          <w:bCs/>
        </w:rPr>
        <w:t xml:space="preserve">patient </w:t>
      </w:r>
      <w:r w:rsidR="00092566" w:rsidRPr="00DC6E78">
        <w:rPr>
          <w:rFonts w:cstheme="minorHAnsi"/>
          <w:b/>
          <w:bCs/>
        </w:rPr>
        <w:t xml:space="preserve">factors </w:t>
      </w:r>
      <w:r w:rsidR="0021054A" w:rsidRPr="00DC6E78">
        <w:rPr>
          <w:rFonts w:cstheme="minorHAnsi"/>
          <w:b/>
          <w:bCs/>
        </w:rPr>
        <w:t>(</w:t>
      </w:r>
      <w:r w:rsidR="00E967AD" w:rsidRPr="00DC6E78">
        <w:rPr>
          <w:rFonts w:cstheme="minorHAnsi"/>
          <w:b/>
          <w:bCs/>
        </w:rPr>
        <w:t xml:space="preserve">clinical factors or </w:t>
      </w:r>
      <w:r w:rsidR="00AF2D68" w:rsidRPr="00DC6E78">
        <w:rPr>
          <w:rFonts w:cstheme="minorHAnsi"/>
          <w:b/>
          <w:bCs/>
        </w:rPr>
        <w:t xml:space="preserve">social risk </w:t>
      </w:r>
      <w:r w:rsidR="0021054A" w:rsidRPr="00DC6E78">
        <w:rPr>
          <w:rFonts w:cstheme="minorHAnsi"/>
          <w:b/>
          <w:bCs/>
        </w:rPr>
        <w:t xml:space="preserve">factors) </w:t>
      </w:r>
      <w:r w:rsidR="00092566" w:rsidRPr="00DC6E78">
        <w:rPr>
          <w:rFonts w:cstheme="minorHAnsi"/>
          <w:b/>
          <w:bCs/>
        </w:rPr>
        <w:t>used in the statistical risk model or for stratification by risk</w:t>
      </w:r>
      <w:r w:rsidR="00927027" w:rsidRPr="00DC6E78">
        <w:rPr>
          <w:rFonts w:cstheme="minorHAnsi"/>
          <w:b/>
          <w:bCs/>
        </w:rPr>
        <w:t xml:space="preserve"> </w:t>
      </w:r>
      <w:r w:rsidR="00092566" w:rsidRPr="00DC6E78">
        <w:rPr>
          <w:rFonts w:cstheme="minorHAnsi"/>
          <w:bCs/>
        </w:rPr>
        <w:t>(</w:t>
      </w:r>
      <w:r w:rsidR="00092566" w:rsidRPr="00DC6E78">
        <w:rPr>
          <w:rFonts w:cstheme="minorHAnsi"/>
          <w:bCs/>
          <w:i/>
        </w:rPr>
        <w:t xml:space="preserve">e.g., potential factors identified in </w:t>
      </w:r>
      <w:r w:rsidR="005363F1" w:rsidRPr="00DC6E78">
        <w:rPr>
          <w:rFonts w:cstheme="minorHAnsi"/>
          <w:bCs/>
          <w:i/>
        </w:rPr>
        <w:t xml:space="preserve">the </w:t>
      </w:r>
      <w:r w:rsidR="00092566" w:rsidRPr="00DC6E78">
        <w:rPr>
          <w:rFonts w:cstheme="minorHAnsi"/>
          <w:bCs/>
          <w:i/>
        </w:rPr>
        <w:t>literature and/or expert panel; regression analysis; statistical significance of p&lt;0.10; correlation of x or higher</w:t>
      </w:r>
      <w:r w:rsidR="005363F1" w:rsidRPr="00DC6E78">
        <w:rPr>
          <w:rFonts w:cstheme="minorHAnsi"/>
          <w:bCs/>
          <w:i/>
        </w:rPr>
        <w:t>; patient factors should be present at the start of care</w:t>
      </w:r>
      <w:r w:rsidR="00092566" w:rsidRPr="00DC6E78">
        <w:rPr>
          <w:rFonts w:cstheme="minorHAnsi"/>
          <w:bCs/>
        </w:rPr>
        <w:t>)</w:t>
      </w:r>
      <w:r w:rsidR="00AF2D68" w:rsidRPr="00DC6E78">
        <w:rPr>
          <w:rFonts w:cstheme="minorHAnsi"/>
          <w:bCs/>
        </w:rPr>
        <w:t xml:space="preserve">  </w:t>
      </w:r>
      <w:r w:rsidR="00AF2D68" w:rsidRPr="00DC6E78">
        <w:rPr>
          <w:rFonts w:cstheme="minorHAnsi"/>
          <w:b/>
          <w:bCs/>
        </w:rPr>
        <w:t>Also discuss any “ordering” of risk factor inclusion</w:t>
      </w:r>
      <w:r w:rsidR="00CE284E" w:rsidRPr="00DC6E78">
        <w:rPr>
          <w:rFonts w:cstheme="minorHAnsi"/>
          <w:bCs/>
        </w:rPr>
        <w:t>; for example, a</w:t>
      </w:r>
      <w:r w:rsidR="00AF2D68" w:rsidRPr="00DC6E78">
        <w:rPr>
          <w:rFonts w:cstheme="minorHAnsi"/>
          <w:bCs/>
        </w:rPr>
        <w:t>re social risk factors added after all clinical factors?</w:t>
      </w:r>
      <w:r w:rsidR="00092566" w:rsidRPr="00DC6E78">
        <w:rPr>
          <w:rFonts w:cstheme="minorHAnsi"/>
          <w:bCs/>
        </w:rPr>
        <w:br/>
      </w:r>
      <w:r w:rsidR="00107765" w:rsidRPr="00AD782C">
        <w:rPr>
          <w:rFonts w:cstheme="minorHAnsi"/>
          <w:bCs/>
          <w:color w:val="1111FB"/>
        </w:rPr>
        <w:t>N/A</w:t>
      </w:r>
    </w:p>
    <w:p w14:paraId="4260792A" w14:textId="16D88866" w:rsidR="00275563" w:rsidRPr="00DC6E78" w:rsidRDefault="00275563" w:rsidP="00107765">
      <w:pPr>
        <w:rPr>
          <w:rFonts w:cstheme="minorHAnsi"/>
          <w:b/>
        </w:rPr>
      </w:pPr>
      <w:r w:rsidRPr="00DC6E78">
        <w:rPr>
          <w:rFonts w:cstheme="minorHAnsi"/>
          <w:b/>
        </w:rPr>
        <w:t xml:space="preserve">2b3.3b. How was the conceptual model </w:t>
      </w:r>
      <w:r w:rsidR="00CE284E" w:rsidRPr="00DC6E78">
        <w:rPr>
          <w:rFonts w:cstheme="minorHAnsi"/>
          <w:b/>
        </w:rPr>
        <w:t xml:space="preserve">of how social risk impacts this outcome </w:t>
      </w:r>
      <w:r w:rsidRPr="00DC6E78">
        <w:rPr>
          <w:rFonts w:cstheme="minorHAnsi"/>
          <w:b/>
        </w:rPr>
        <w:t>developed?  Please check all that apply:</w:t>
      </w:r>
    </w:p>
    <w:p w14:paraId="2B47DA83" w14:textId="30659D6E" w:rsidR="00275563" w:rsidRPr="00DC6E78" w:rsidRDefault="008A27A9" w:rsidP="00275563">
      <w:pPr>
        <w:tabs>
          <w:tab w:val="left" w:pos="180"/>
        </w:tabs>
        <w:autoSpaceDE w:val="0"/>
        <w:autoSpaceDN w:val="0"/>
        <w:adjustRightInd w:val="0"/>
        <w:spacing w:after="0" w:line="240" w:lineRule="auto"/>
        <w:ind w:left="180"/>
        <w:rPr>
          <w:rFonts w:cstheme="minorHAnsi"/>
          <w:b/>
        </w:rPr>
      </w:pPr>
      <w:sdt>
        <w:sdtPr>
          <w:rPr>
            <w:rFonts w:cstheme="minorHAnsi"/>
          </w:rPr>
          <w:id w:val="-319728797"/>
          <w14:checkbox>
            <w14:checked w14:val="0"/>
            <w14:checkedState w14:val="2612" w14:font="MS Gothic"/>
            <w14:uncheckedState w14:val="2610" w14:font="MS Gothic"/>
          </w14:checkbox>
        </w:sdtPr>
        <w:sdtEndPr/>
        <w:sdtContent>
          <w:r w:rsidR="00275563" w:rsidRPr="00DC6E78">
            <w:rPr>
              <w:rFonts w:ascii="MS Gothic" w:eastAsia="MS Gothic" w:hAnsi="MS Gothic" w:cstheme="minorHAnsi" w:hint="eastAsia"/>
            </w:rPr>
            <w:t>☐</w:t>
          </w:r>
        </w:sdtContent>
      </w:sdt>
      <w:r w:rsidR="00275563" w:rsidRPr="00DC6E78">
        <w:rPr>
          <w:rFonts w:eastAsia="MS Mincho" w:cstheme="minorHAnsi"/>
          <w:b/>
        </w:rPr>
        <w:t xml:space="preserve"> </w:t>
      </w:r>
      <w:r w:rsidR="00CE284E" w:rsidRPr="00DC6E78">
        <w:rPr>
          <w:rFonts w:cstheme="minorHAnsi"/>
          <w:b/>
        </w:rPr>
        <w:t>Published l</w:t>
      </w:r>
      <w:r w:rsidR="00275563" w:rsidRPr="00DC6E78">
        <w:rPr>
          <w:rFonts w:cstheme="minorHAnsi"/>
          <w:b/>
        </w:rPr>
        <w:t>iterature</w:t>
      </w:r>
    </w:p>
    <w:p w14:paraId="7E969A3E" w14:textId="6BA683BB" w:rsidR="00275563" w:rsidRPr="00DC6E78" w:rsidRDefault="008A27A9" w:rsidP="00275563">
      <w:pPr>
        <w:tabs>
          <w:tab w:val="left" w:pos="180"/>
        </w:tabs>
        <w:autoSpaceDE w:val="0"/>
        <w:autoSpaceDN w:val="0"/>
        <w:adjustRightInd w:val="0"/>
        <w:spacing w:after="0" w:line="240" w:lineRule="auto"/>
        <w:ind w:left="180"/>
        <w:rPr>
          <w:rFonts w:cstheme="minorHAnsi"/>
          <w:b/>
        </w:rPr>
      </w:pPr>
      <w:sdt>
        <w:sdtPr>
          <w:rPr>
            <w:rFonts w:cstheme="minorHAnsi"/>
          </w:rPr>
          <w:id w:val="1418363777"/>
          <w14:checkbox>
            <w14:checked w14:val="0"/>
            <w14:checkedState w14:val="2612" w14:font="MS Gothic"/>
            <w14:uncheckedState w14:val="2610" w14:font="MS Gothic"/>
          </w14:checkbox>
        </w:sdtPr>
        <w:sdtEndPr/>
        <w:sdtContent>
          <w:r w:rsidR="00275563" w:rsidRPr="00DC6E78">
            <w:rPr>
              <w:rFonts w:ascii="MS Gothic" w:eastAsia="MS Gothic" w:hAnsi="MS Gothic" w:cstheme="minorHAnsi" w:hint="eastAsia"/>
            </w:rPr>
            <w:t>☐</w:t>
          </w:r>
        </w:sdtContent>
      </w:sdt>
      <w:r w:rsidR="00275563" w:rsidRPr="00DC6E78">
        <w:rPr>
          <w:rFonts w:cstheme="minorHAnsi"/>
        </w:rPr>
        <w:t xml:space="preserve"> </w:t>
      </w:r>
      <w:r w:rsidR="00CE284E" w:rsidRPr="00DC6E78">
        <w:rPr>
          <w:rFonts w:cstheme="minorHAnsi"/>
          <w:b/>
        </w:rPr>
        <w:t>Internal d</w:t>
      </w:r>
      <w:r w:rsidR="00275563" w:rsidRPr="00DC6E78">
        <w:rPr>
          <w:rFonts w:cstheme="minorHAnsi"/>
          <w:b/>
        </w:rPr>
        <w:t>ata</w:t>
      </w:r>
      <w:r w:rsidR="00CE284E" w:rsidRPr="00DC6E78">
        <w:rPr>
          <w:rFonts w:cstheme="minorHAnsi"/>
          <w:b/>
        </w:rPr>
        <w:t xml:space="preserve"> analysis</w:t>
      </w:r>
    </w:p>
    <w:p w14:paraId="72A847BD" w14:textId="1489D6C2" w:rsidR="00275563" w:rsidRPr="00DC6E78" w:rsidRDefault="008A27A9" w:rsidP="00275563">
      <w:pPr>
        <w:tabs>
          <w:tab w:val="left" w:pos="180"/>
        </w:tabs>
        <w:autoSpaceDE w:val="0"/>
        <w:autoSpaceDN w:val="0"/>
        <w:adjustRightInd w:val="0"/>
        <w:spacing w:after="0" w:line="240" w:lineRule="auto"/>
        <w:ind w:left="180"/>
        <w:rPr>
          <w:rFonts w:cstheme="minorHAnsi"/>
          <w:b/>
        </w:rPr>
      </w:pPr>
      <w:sdt>
        <w:sdtPr>
          <w:rPr>
            <w:rFonts w:cstheme="minorHAnsi"/>
          </w:rPr>
          <w:id w:val="776755179"/>
          <w14:checkbox>
            <w14:checked w14:val="0"/>
            <w14:checkedState w14:val="2612" w14:font="MS Gothic"/>
            <w14:uncheckedState w14:val="2610" w14:font="MS Gothic"/>
          </w14:checkbox>
        </w:sdtPr>
        <w:sdtEndPr/>
        <w:sdtContent>
          <w:r w:rsidR="00275563" w:rsidRPr="00DC6E78">
            <w:rPr>
              <w:rFonts w:ascii="MS Gothic" w:eastAsia="MS Gothic" w:cstheme="minorHAnsi" w:hint="eastAsia"/>
            </w:rPr>
            <w:t>☐</w:t>
          </w:r>
        </w:sdtContent>
      </w:sdt>
      <w:r w:rsidR="00275563" w:rsidRPr="00DC6E78">
        <w:rPr>
          <w:rFonts w:eastAsia="MS Mincho" w:cstheme="minorHAnsi"/>
          <w:b/>
        </w:rPr>
        <w:t xml:space="preserve"> </w:t>
      </w:r>
      <w:r w:rsidR="00275563" w:rsidRPr="00DC6E78">
        <w:rPr>
          <w:rFonts w:cstheme="minorHAnsi"/>
          <w:b/>
        </w:rPr>
        <w:t>Other (please describe)</w:t>
      </w:r>
    </w:p>
    <w:p w14:paraId="7C5644B4" w14:textId="77777777" w:rsidR="00275563" w:rsidRPr="00DC6E78" w:rsidRDefault="00275563" w:rsidP="00001D73">
      <w:pPr>
        <w:autoSpaceDE w:val="0"/>
        <w:autoSpaceDN w:val="0"/>
        <w:adjustRightInd w:val="0"/>
        <w:spacing w:after="0" w:line="240" w:lineRule="auto"/>
        <w:rPr>
          <w:rFonts w:cstheme="minorHAnsi"/>
          <w:b/>
        </w:rPr>
      </w:pPr>
    </w:p>
    <w:p w14:paraId="0CABCFF7" w14:textId="2130FDEB" w:rsidR="00092566" w:rsidRPr="00DC6E78" w:rsidRDefault="009C7513" w:rsidP="00001D73">
      <w:pPr>
        <w:autoSpaceDE w:val="0"/>
        <w:autoSpaceDN w:val="0"/>
        <w:adjustRightInd w:val="0"/>
        <w:spacing w:after="0" w:line="240" w:lineRule="auto"/>
        <w:rPr>
          <w:rFonts w:cstheme="minorHAnsi"/>
          <w:b/>
        </w:rPr>
      </w:pPr>
      <w:r w:rsidRPr="00DC6E78">
        <w:rPr>
          <w:rFonts w:cstheme="minorHAnsi"/>
          <w:b/>
        </w:rPr>
        <w:t>2b3</w:t>
      </w:r>
      <w:r w:rsidR="00092566" w:rsidRPr="00DC6E78">
        <w:rPr>
          <w:rFonts w:cstheme="minorHAnsi"/>
          <w:b/>
        </w:rPr>
        <w:t>.4</w:t>
      </w:r>
      <w:r w:rsidR="00193F21" w:rsidRPr="00DC6E78">
        <w:rPr>
          <w:rFonts w:cstheme="minorHAnsi"/>
          <w:b/>
        </w:rPr>
        <w:t>a</w:t>
      </w:r>
      <w:r w:rsidR="00092566" w:rsidRPr="00DC6E78">
        <w:rPr>
          <w:rFonts w:cstheme="minorHAnsi"/>
          <w:b/>
        </w:rPr>
        <w:t>. What were the statistical results of the analyses used to select risk factors?</w:t>
      </w:r>
      <w:r w:rsidR="00001D73" w:rsidRPr="00DC6E78">
        <w:rPr>
          <w:rFonts w:cstheme="minorHAnsi"/>
          <w:b/>
        </w:rPr>
        <w:br/>
      </w:r>
      <w:r w:rsidR="00107765" w:rsidRPr="00AD782C">
        <w:rPr>
          <w:rFonts w:cstheme="minorHAnsi"/>
          <w:bCs/>
          <w:color w:val="1111FB"/>
        </w:rPr>
        <w:t>N/A</w:t>
      </w:r>
    </w:p>
    <w:p w14:paraId="0CABCFF8" w14:textId="350A0D85" w:rsidR="00001D73" w:rsidRPr="00DC6E78" w:rsidRDefault="009C7513" w:rsidP="00001D73">
      <w:pPr>
        <w:autoSpaceDE w:val="0"/>
        <w:autoSpaceDN w:val="0"/>
        <w:adjustRightInd w:val="0"/>
        <w:spacing w:after="0" w:line="240" w:lineRule="auto"/>
        <w:rPr>
          <w:rFonts w:cstheme="minorHAnsi"/>
          <w:b/>
        </w:rPr>
      </w:pPr>
      <w:r w:rsidRPr="00DC6E78">
        <w:rPr>
          <w:rFonts w:cstheme="minorHAnsi"/>
          <w:b/>
        </w:rPr>
        <w:t>2b3</w:t>
      </w:r>
      <w:r w:rsidR="00C1695E" w:rsidRPr="00DC6E78">
        <w:rPr>
          <w:rFonts w:cstheme="minorHAnsi"/>
          <w:b/>
        </w:rPr>
        <w:t xml:space="preserve">.4b. Describe the analyses and interpretation resulting in the decision to select </w:t>
      </w:r>
      <w:r w:rsidR="00AF2D68" w:rsidRPr="00DC6E78">
        <w:rPr>
          <w:rFonts w:cstheme="minorHAnsi"/>
          <w:b/>
        </w:rPr>
        <w:t>social risk</w:t>
      </w:r>
      <w:r w:rsidR="00C1695E" w:rsidRPr="00DC6E78">
        <w:rPr>
          <w:rFonts w:cstheme="minorHAnsi"/>
          <w:b/>
        </w:rPr>
        <w:t xml:space="preserve"> factors </w:t>
      </w:r>
      <w:r w:rsidR="00C1695E" w:rsidRPr="00DC6E78">
        <w:rPr>
          <w:rFonts w:cstheme="minorHAnsi"/>
          <w:i/>
        </w:rPr>
        <w:t>(e.g. prevalence of the factor across measured entities, empirical association with the outcome, contribution of unique variation in the outcome, assessment of between-unit effects and within-unit effects</w:t>
      </w:r>
      <w:r w:rsidR="00CE284E" w:rsidRPr="00DC6E78">
        <w:rPr>
          <w:rFonts w:cstheme="minorHAnsi"/>
          <w:i/>
        </w:rPr>
        <w:t xml:space="preserve">.)  </w:t>
      </w:r>
      <w:r w:rsidR="00CE284E" w:rsidRPr="00DC6E78">
        <w:rPr>
          <w:rFonts w:cstheme="minorHAnsi"/>
          <w:b/>
        </w:rPr>
        <w:t>Also describe the</w:t>
      </w:r>
      <w:r w:rsidR="00AF2D68" w:rsidRPr="00DC6E78">
        <w:rPr>
          <w:rFonts w:cstheme="minorHAnsi"/>
          <w:b/>
        </w:rPr>
        <w:t xml:space="preserve"> impact of adjusting for social risk (or not) on providers</w:t>
      </w:r>
      <w:r w:rsidR="00CE284E" w:rsidRPr="00DC6E78">
        <w:rPr>
          <w:rFonts w:cstheme="minorHAnsi"/>
          <w:b/>
        </w:rPr>
        <w:t xml:space="preserve"> at high or low extremes of risk.</w:t>
      </w:r>
    </w:p>
    <w:p w14:paraId="0CABCFF9" w14:textId="6F89ED52" w:rsidR="00C1695E" w:rsidRPr="00DC6E78" w:rsidRDefault="00107765" w:rsidP="00001D73">
      <w:pPr>
        <w:autoSpaceDE w:val="0"/>
        <w:autoSpaceDN w:val="0"/>
        <w:adjustRightInd w:val="0"/>
        <w:spacing w:after="0" w:line="240" w:lineRule="auto"/>
        <w:rPr>
          <w:rFonts w:cstheme="minorHAnsi"/>
          <w:b/>
        </w:rPr>
      </w:pPr>
      <w:r w:rsidRPr="00AD782C">
        <w:rPr>
          <w:rFonts w:cstheme="minorHAnsi"/>
          <w:bCs/>
          <w:color w:val="1111FB"/>
        </w:rPr>
        <w:t>N/A</w:t>
      </w:r>
    </w:p>
    <w:p w14:paraId="0CABCFFA" w14:textId="19625189" w:rsidR="00092566" w:rsidRPr="00DC6E78" w:rsidRDefault="009C7513" w:rsidP="00092566">
      <w:pPr>
        <w:autoSpaceDE w:val="0"/>
        <w:autoSpaceDN w:val="0"/>
        <w:adjustRightInd w:val="0"/>
        <w:spacing w:after="0" w:line="240" w:lineRule="auto"/>
        <w:rPr>
          <w:rFonts w:cstheme="minorHAnsi"/>
        </w:rPr>
      </w:pPr>
      <w:r w:rsidRPr="00DC6E78">
        <w:rPr>
          <w:rFonts w:cstheme="minorHAnsi"/>
          <w:b/>
        </w:rPr>
        <w:t>2b3</w:t>
      </w:r>
      <w:r w:rsidR="00E1508F" w:rsidRPr="00DC6E78">
        <w:rPr>
          <w:rFonts w:cstheme="minorHAnsi"/>
          <w:b/>
        </w:rPr>
        <w:t>.</w:t>
      </w:r>
      <w:r w:rsidR="00092566" w:rsidRPr="00DC6E78">
        <w:rPr>
          <w:rFonts w:cstheme="minorHAnsi"/>
          <w:b/>
        </w:rPr>
        <w:t xml:space="preserve">5. </w:t>
      </w:r>
      <w:r w:rsidR="008871A9" w:rsidRPr="00DC6E78">
        <w:rPr>
          <w:rFonts w:cstheme="minorHAnsi"/>
          <w:b/>
        </w:rPr>
        <w:t>Describe the method of</w:t>
      </w:r>
      <w:r w:rsidR="00092566" w:rsidRPr="00DC6E78">
        <w:rPr>
          <w:rFonts w:cstheme="minorHAnsi"/>
          <w:b/>
        </w:rPr>
        <w:t xml:space="preserve"> </w:t>
      </w:r>
      <w:r w:rsidR="008871A9" w:rsidRPr="00DC6E78">
        <w:rPr>
          <w:rFonts w:cstheme="minorHAnsi"/>
          <w:b/>
        </w:rPr>
        <w:t xml:space="preserve">testing/analysis used </w:t>
      </w:r>
      <w:r w:rsidR="00092566" w:rsidRPr="00DC6E78">
        <w:rPr>
          <w:rFonts w:cstheme="minorHAnsi"/>
          <w:b/>
        </w:rPr>
        <w:t xml:space="preserve">to develop and validate the adequacy of the statistical model </w:t>
      </w:r>
      <w:r w:rsidR="00092566" w:rsidRPr="00DC6E78">
        <w:rPr>
          <w:rFonts w:cstheme="minorHAnsi"/>
          <w:b/>
          <w:u w:val="single"/>
        </w:rPr>
        <w:t>or</w:t>
      </w:r>
      <w:r w:rsidR="00092566" w:rsidRPr="00DC6E78">
        <w:rPr>
          <w:rFonts w:cstheme="minorHAnsi"/>
          <w:b/>
        </w:rPr>
        <w:t xml:space="preserve"> stratification approach</w:t>
      </w:r>
      <w:r w:rsidR="00092566" w:rsidRPr="00DC6E78">
        <w:rPr>
          <w:rFonts w:cstheme="minorHAnsi"/>
        </w:rPr>
        <w:t xml:space="preserve"> (</w:t>
      </w:r>
      <w:r w:rsidR="008871A9" w:rsidRPr="00DC6E78">
        <w:rPr>
          <w:rFonts w:cstheme="minorHAnsi"/>
          <w:i/>
        </w:rPr>
        <w:t>describe the steps―do not just name a method</w:t>
      </w:r>
      <w:r w:rsidR="006C3A4F" w:rsidRPr="00DC6E78">
        <w:rPr>
          <w:rFonts w:cstheme="minorHAnsi"/>
          <w:i/>
        </w:rPr>
        <w:t>; what statistical analysis was used</w:t>
      </w:r>
      <w:r w:rsidR="00092566" w:rsidRPr="00DC6E78">
        <w:rPr>
          <w:rFonts w:cstheme="minorHAnsi"/>
        </w:rPr>
        <w:t>)</w:t>
      </w:r>
      <w:r w:rsidR="00092566" w:rsidRPr="00DC6E78">
        <w:rPr>
          <w:rFonts w:cstheme="minorHAnsi"/>
        </w:rPr>
        <w:br/>
      </w:r>
      <w:r w:rsidR="00107765" w:rsidRPr="00AD782C">
        <w:rPr>
          <w:rFonts w:cstheme="minorHAnsi"/>
          <w:bCs/>
          <w:color w:val="1111FB"/>
        </w:rPr>
        <w:t>N/A</w:t>
      </w:r>
    </w:p>
    <w:p w14:paraId="0CABCFFB" w14:textId="78FCA6D3" w:rsidR="00E1508F" w:rsidRPr="00107765" w:rsidRDefault="00001D73" w:rsidP="00092566">
      <w:pPr>
        <w:autoSpaceDE w:val="0"/>
        <w:autoSpaceDN w:val="0"/>
        <w:adjustRightInd w:val="0"/>
        <w:spacing w:after="0" w:line="240" w:lineRule="auto"/>
        <w:rPr>
          <w:rFonts w:cstheme="minorHAnsi"/>
          <w:b/>
          <w:color w:val="A6A6A6" w:themeColor="background1" w:themeShade="A6"/>
        </w:rPr>
      </w:pPr>
      <w:r w:rsidRPr="00107765">
        <w:rPr>
          <w:rFonts w:cstheme="minorHAnsi"/>
          <w:i/>
          <w:color w:val="A6A6A6" w:themeColor="background1" w:themeShade="A6"/>
        </w:rPr>
        <w:lastRenderedPageBreak/>
        <w:t>Provide</w:t>
      </w:r>
      <w:r w:rsidR="00092566" w:rsidRPr="00107765">
        <w:rPr>
          <w:rFonts w:cstheme="minorHAnsi"/>
          <w:i/>
          <w:color w:val="A6A6A6" w:themeColor="background1" w:themeShade="A6"/>
        </w:rPr>
        <w:t xml:space="preserve"> the statistical results from testing the approach to controlling for differences in patient characteristics (case mix)</w:t>
      </w:r>
      <w:r w:rsidRPr="00107765">
        <w:rPr>
          <w:rFonts w:cstheme="minorHAnsi"/>
          <w:i/>
          <w:color w:val="A6A6A6" w:themeColor="background1" w:themeShade="A6"/>
        </w:rPr>
        <w:t xml:space="preserve"> below</w:t>
      </w:r>
      <w:r w:rsidRPr="00107765">
        <w:rPr>
          <w:rFonts w:cstheme="minorHAnsi"/>
          <w:color w:val="A6A6A6" w:themeColor="background1" w:themeShade="A6"/>
        </w:rPr>
        <w:t>.</w:t>
      </w:r>
      <w:r w:rsidR="00092566" w:rsidRPr="00107765">
        <w:rPr>
          <w:rFonts w:cstheme="minorHAnsi"/>
          <w:color w:val="A6A6A6" w:themeColor="background1" w:themeShade="A6"/>
        </w:rPr>
        <w:br/>
      </w:r>
      <w:r w:rsidR="001F7A20" w:rsidRPr="00107765">
        <w:rPr>
          <w:rFonts w:cstheme="minorHAnsi"/>
          <w:b/>
          <w:i/>
          <w:color w:val="A6A6A6" w:themeColor="background1" w:themeShade="A6"/>
          <w:highlight w:val="green"/>
        </w:rPr>
        <w:t>If</w:t>
      </w:r>
      <w:r w:rsidR="00743E46" w:rsidRPr="00107765">
        <w:rPr>
          <w:rFonts w:cstheme="minorHAnsi"/>
          <w:b/>
          <w:i/>
          <w:color w:val="A6A6A6" w:themeColor="background1" w:themeShade="A6"/>
          <w:highlight w:val="green"/>
        </w:rPr>
        <w:t xml:space="preserve"> stratified, skip to </w:t>
      </w:r>
      <w:hyperlink w:anchor="question2b49" w:history="1">
        <w:r w:rsidR="009C7513" w:rsidRPr="00107765">
          <w:rPr>
            <w:rStyle w:val="Hyperlink"/>
            <w:rFonts w:cstheme="minorHAnsi"/>
            <w:b/>
            <w:i/>
            <w:color w:val="A6A6A6" w:themeColor="background1" w:themeShade="A6"/>
            <w:highlight w:val="green"/>
          </w:rPr>
          <w:t>2b3.9</w:t>
        </w:r>
      </w:hyperlink>
    </w:p>
    <w:p w14:paraId="0CABCFFC" w14:textId="77777777" w:rsidR="00743E46" w:rsidRPr="00107765" w:rsidRDefault="00743E46" w:rsidP="00092566">
      <w:pPr>
        <w:autoSpaceDE w:val="0"/>
        <w:autoSpaceDN w:val="0"/>
        <w:adjustRightInd w:val="0"/>
        <w:spacing w:after="0" w:line="240" w:lineRule="auto"/>
        <w:rPr>
          <w:rFonts w:cstheme="minorHAnsi"/>
          <w:b/>
          <w:color w:val="A6A6A6" w:themeColor="background1" w:themeShade="A6"/>
        </w:rPr>
      </w:pPr>
    </w:p>
    <w:p w14:paraId="0CABCFFD" w14:textId="79D5D7A7" w:rsidR="00001D73" w:rsidRPr="00107765" w:rsidRDefault="00743E46" w:rsidP="00092566">
      <w:pPr>
        <w:autoSpaceDE w:val="0"/>
        <w:autoSpaceDN w:val="0"/>
        <w:adjustRightInd w:val="0"/>
        <w:spacing w:after="0" w:line="240" w:lineRule="auto"/>
        <w:rPr>
          <w:rFonts w:cstheme="minorHAnsi"/>
          <w:b/>
          <w:color w:val="A6A6A6" w:themeColor="background1" w:themeShade="A6"/>
        </w:rPr>
      </w:pPr>
      <w:r w:rsidRPr="00107765">
        <w:rPr>
          <w:rFonts w:cstheme="minorHAnsi"/>
          <w:b/>
          <w:color w:val="A6A6A6" w:themeColor="background1" w:themeShade="A6"/>
        </w:rPr>
        <w:t>2b</w:t>
      </w:r>
      <w:r w:rsidR="009C7513" w:rsidRPr="00107765">
        <w:rPr>
          <w:rFonts w:cstheme="minorHAnsi"/>
          <w:b/>
          <w:color w:val="A6A6A6" w:themeColor="background1" w:themeShade="A6"/>
        </w:rPr>
        <w:t>3</w:t>
      </w:r>
      <w:r w:rsidRPr="00107765">
        <w:rPr>
          <w:rFonts w:cstheme="minorHAnsi"/>
          <w:b/>
          <w:color w:val="A6A6A6" w:themeColor="background1" w:themeShade="A6"/>
        </w:rPr>
        <w:t xml:space="preserve">.6. </w:t>
      </w:r>
      <w:r w:rsidR="00001D73" w:rsidRPr="00107765">
        <w:rPr>
          <w:rFonts w:cstheme="minorHAnsi"/>
          <w:b/>
          <w:color w:val="A6A6A6" w:themeColor="background1" w:themeShade="A6"/>
        </w:rPr>
        <w:t xml:space="preserve">Statistical </w:t>
      </w:r>
      <w:r w:rsidR="00092566" w:rsidRPr="00107765">
        <w:rPr>
          <w:rFonts w:cstheme="minorHAnsi"/>
          <w:b/>
          <w:color w:val="A6A6A6" w:themeColor="background1" w:themeShade="A6"/>
        </w:rPr>
        <w:t>Risk Model Discrimination Statistics</w:t>
      </w:r>
      <w:r w:rsidR="003605B4" w:rsidRPr="00107765">
        <w:rPr>
          <w:rFonts w:cstheme="minorHAnsi"/>
          <w:color w:val="A6A6A6" w:themeColor="background1" w:themeShade="A6"/>
        </w:rPr>
        <w:t xml:space="preserve"> (</w:t>
      </w:r>
      <w:r w:rsidR="003605B4" w:rsidRPr="00107765">
        <w:rPr>
          <w:rFonts w:cstheme="minorHAnsi"/>
          <w:i/>
          <w:color w:val="A6A6A6" w:themeColor="background1" w:themeShade="A6"/>
        </w:rPr>
        <w:t>e.g., c-statistic, R-squared</w:t>
      </w:r>
      <w:r w:rsidR="003605B4" w:rsidRPr="00107765">
        <w:rPr>
          <w:rFonts w:cstheme="minorHAnsi"/>
          <w:color w:val="A6A6A6" w:themeColor="background1" w:themeShade="A6"/>
        </w:rPr>
        <w:t>)</w:t>
      </w:r>
      <w:r w:rsidRPr="00107765">
        <w:rPr>
          <w:rFonts w:cstheme="minorHAnsi"/>
          <w:b/>
          <w:color w:val="A6A6A6" w:themeColor="background1" w:themeShade="A6"/>
        </w:rPr>
        <w:t>:</w:t>
      </w:r>
      <w:r w:rsidR="00092566" w:rsidRPr="00107765">
        <w:rPr>
          <w:rFonts w:cstheme="minorHAnsi"/>
          <w:b/>
          <w:color w:val="A6A6A6" w:themeColor="background1" w:themeShade="A6"/>
        </w:rPr>
        <w:t xml:space="preserve">  </w:t>
      </w:r>
      <w:r w:rsidR="00092566" w:rsidRPr="00107765">
        <w:rPr>
          <w:rFonts w:cstheme="minorHAnsi"/>
          <w:b/>
          <w:color w:val="A6A6A6" w:themeColor="background1" w:themeShade="A6"/>
        </w:rPr>
        <w:br/>
      </w:r>
    </w:p>
    <w:p w14:paraId="0CABCFFE" w14:textId="57E7DDD4" w:rsidR="00001D73" w:rsidRPr="00107765" w:rsidRDefault="009C7513" w:rsidP="00092566">
      <w:pPr>
        <w:autoSpaceDE w:val="0"/>
        <w:autoSpaceDN w:val="0"/>
        <w:adjustRightInd w:val="0"/>
        <w:spacing w:after="0" w:line="240" w:lineRule="auto"/>
        <w:rPr>
          <w:rFonts w:cstheme="minorHAnsi"/>
          <w:b/>
          <w:color w:val="A6A6A6" w:themeColor="background1" w:themeShade="A6"/>
        </w:rPr>
      </w:pPr>
      <w:r w:rsidRPr="00107765">
        <w:rPr>
          <w:rFonts w:cstheme="minorHAnsi"/>
          <w:b/>
          <w:color w:val="A6A6A6" w:themeColor="background1" w:themeShade="A6"/>
        </w:rPr>
        <w:t>2b3</w:t>
      </w:r>
      <w:r w:rsidR="00743E46" w:rsidRPr="00107765">
        <w:rPr>
          <w:rFonts w:cstheme="minorHAnsi"/>
          <w:b/>
          <w:color w:val="A6A6A6" w:themeColor="background1" w:themeShade="A6"/>
        </w:rPr>
        <w:t>.7</w:t>
      </w:r>
      <w:r w:rsidR="00001D73" w:rsidRPr="00107765">
        <w:rPr>
          <w:rFonts w:cstheme="minorHAnsi"/>
          <w:b/>
          <w:color w:val="A6A6A6" w:themeColor="background1" w:themeShade="A6"/>
        </w:rPr>
        <w:t xml:space="preserve">. </w:t>
      </w:r>
      <w:r w:rsidR="00743E46" w:rsidRPr="00107765">
        <w:rPr>
          <w:rFonts w:cstheme="minorHAnsi"/>
          <w:b/>
          <w:color w:val="A6A6A6" w:themeColor="background1" w:themeShade="A6"/>
        </w:rPr>
        <w:t xml:space="preserve">Statistical </w:t>
      </w:r>
      <w:r w:rsidR="00092566" w:rsidRPr="00107765">
        <w:rPr>
          <w:rFonts w:cstheme="minorHAnsi"/>
          <w:b/>
          <w:color w:val="A6A6A6" w:themeColor="background1" w:themeShade="A6"/>
        </w:rPr>
        <w:t>Risk Model Calibration Statistics</w:t>
      </w:r>
      <w:r w:rsidR="003605B4" w:rsidRPr="00107765">
        <w:rPr>
          <w:rFonts w:cstheme="minorHAnsi"/>
          <w:b/>
          <w:color w:val="A6A6A6" w:themeColor="background1" w:themeShade="A6"/>
        </w:rPr>
        <w:t xml:space="preserve"> </w:t>
      </w:r>
      <w:r w:rsidR="003605B4" w:rsidRPr="00107765">
        <w:rPr>
          <w:rFonts w:cstheme="minorHAnsi"/>
          <w:color w:val="A6A6A6" w:themeColor="background1" w:themeShade="A6"/>
        </w:rPr>
        <w:t>(</w:t>
      </w:r>
      <w:r w:rsidR="003605B4" w:rsidRPr="00107765">
        <w:rPr>
          <w:rFonts w:cstheme="minorHAnsi"/>
          <w:i/>
          <w:color w:val="A6A6A6" w:themeColor="background1" w:themeShade="A6"/>
        </w:rPr>
        <w:t>e.g., Hosmer-</w:t>
      </w:r>
      <w:proofErr w:type="spellStart"/>
      <w:r w:rsidR="003605B4" w:rsidRPr="00107765">
        <w:rPr>
          <w:rFonts w:cstheme="minorHAnsi"/>
          <w:i/>
          <w:color w:val="A6A6A6" w:themeColor="background1" w:themeShade="A6"/>
        </w:rPr>
        <w:t>Lemeshow</w:t>
      </w:r>
      <w:proofErr w:type="spellEnd"/>
      <w:r w:rsidR="003605B4" w:rsidRPr="00107765">
        <w:rPr>
          <w:rFonts w:cstheme="minorHAnsi"/>
          <w:i/>
          <w:color w:val="A6A6A6" w:themeColor="background1" w:themeShade="A6"/>
        </w:rPr>
        <w:t xml:space="preserve"> statistic</w:t>
      </w:r>
      <w:r w:rsidR="003605B4" w:rsidRPr="00107765">
        <w:rPr>
          <w:rFonts w:cstheme="minorHAnsi"/>
          <w:color w:val="A6A6A6" w:themeColor="background1" w:themeShade="A6"/>
        </w:rPr>
        <w:t>)</w:t>
      </w:r>
      <w:r w:rsidR="00092566" w:rsidRPr="00107765">
        <w:rPr>
          <w:rFonts w:cstheme="minorHAnsi"/>
          <w:color w:val="A6A6A6" w:themeColor="background1" w:themeShade="A6"/>
        </w:rPr>
        <w:t xml:space="preserve">:  </w:t>
      </w:r>
      <w:r w:rsidR="00092566" w:rsidRPr="00107765">
        <w:rPr>
          <w:rFonts w:cstheme="minorHAnsi"/>
          <w:color w:val="A6A6A6" w:themeColor="background1" w:themeShade="A6"/>
        </w:rPr>
        <w:br/>
      </w:r>
    </w:p>
    <w:p w14:paraId="0CABCFFF" w14:textId="7ECFB7AA" w:rsidR="00743E46" w:rsidRPr="00107765" w:rsidRDefault="009C7513" w:rsidP="00092566">
      <w:pPr>
        <w:autoSpaceDE w:val="0"/>
        <w:autoSpaceDN w:val="0"/>
        <w:adjustRightInd w:val="0"/>
        <w:spacing w:after="0" w:line="240" w:lineRule="auto"/>
        <w:rPr>
          <w:rFonts w:cstheme="minorHAnsi"/>
          <w:b/>
          <w:color w:val="A6A6A6" w:themeColor="background1" w:themeShade="A6"/>
        </w:rPr>
      </w:pPr>
      <w:r w:rsidRPr="00107765">
        <w:rPr>
          <w:rFonts w:cstheme="minorHAnsi"/>
          <w:b/>
          <w:color w:val="A6A6A6" w:themeColor="background1" w:themeShade="A6"/>
        </w:rPr>
        <w:t>2b3</w:t>
      </w:r>
      <w:r w:rsidR="00743E46" w:rsidRPr="00107765">
        <w:rPr>
          <w:rFonts w:cstheme="minorHAnsi"/>
          <w:b/>
          <w:color w:val="A6A6A6" w:themeColor="background1" w:themeShade="A6"/>
        </w:rPr>
        <w:t>.8</w:t>
      </w:r>
      <w:r w:rsidR="00001D73" w:rsidRPr="00107765">
        <w:rPr>
          <w:rFonts w:cstheme="minorHAnsi"/>
          <w:b/>
          <w:color w:val="A6A6A6" w:themeColor="background1" w:themeShade="A6"/>
        </w:rPr>
        <w:t xml:space="preserve">. </w:t>
      </w:r>
      <w:r w:rsidR="00743E46" w:rsidRPr="00107765">
        <w:rPr>
          <w:rFonts w:cstheme="minorHAnsi"/>
          <w:b/>
          <w:color w:val="A6A6A6" w:themeColor="background1" w:themeShade="A6"/>
        </w:rPr>
        <w:t xml:space="preserve">Statistical </w:t>
      </w:r>
      <w:r w:rsidR="00092566" w:rsidRPr="00107765">
        <w:rPr>
          <w:rFonts w:cstheme="minorHAnsi"/>
          <w:b/>
          <w:color w:val="A6A6A6" w:themeColor="background1" w:themeShade="A6"/>
        </w:rPr>
        <w:t>Risk Model Calibration – Risk decile plots or calibration curves</w:t>
      </w:r>
      <w:r w:rsidR="00092566" w:rsidRPr="00107765">
        <w:rPr>
          <w:rFonts w:cstheme="minorHAnsi"/>
          <w:color w:val="A6A6A6" w:themeColor="background1" w:themeShade="A6"/>
        </w:rPr>
        <w:t>:</w:t>
      </w:r>
      <w:r w:rsidR="00092566" w:rsidRPr="00107765">
        <w:rPr>
          <w:rFonts w:cstheme="minorHAnsi"/>
          <w:color w:val="A6A6A6" w:themeColor="background1" w:themeShade="A6"/>
        </w:rPr>
        <w:br/>
      </w:r>
    </w:p>
    <w:p w14:paraId="0CABD000" w14:textId="2277C090" w:rsidR="00092566" w:rsidRPr="00107765" w:rsidRDefault="009C7513" w:rsidP="00092566">
      <w:pPr>
        <w:autoSpaceDE w:val="0"/>
        <w:autoSpaceDN w:val="0"/>
        <w:adjustRightInd w:val="0"/>
        <w:spacing w:after="0" w:line="240" w:lineRule="auto"/>
        <w:rPr>
          <w:rFonts w:cstheme="minorHAnsi"/>
          <w:color w:val="A6A6A6" w:themeColor="background1" w:themeShade="A6"/>
        </w:rPr>
      </w:pPr>
      <w:bookmarkStart w:id="16" w:name="question2b49"/>
      <w:bookmarkEnd w:id="16"/>
      <w:r w:rsidRPr="00107765">
        <w:rPr>
          <w:rFonts w:cstheme="minorHAnsi"/>
          <w:b/>
          <w:color w:val="A6A6A6" w:themeColor="background1" w:themeShade="A6"/>
        </w:rPr>
        <w:t>2b3</w:t>
      </w:r>
      <w:r w:rsidR="00743E46" w:rsidRPr="00107765">
        <w:rPr>
          <w:rFonts w:cstheme="minorHAnsi"/>
          <w:b/>
          <w:color w:val="A6A6A6" w:themeColor="background1" w:themeShade="A6"/>
        </w:rPr>
        <w:t>.9</w:t>
      </w:r>
      <w:r w:rsidR="00001D73" w:rsidRPr="00107765">
        <w:rPr>
          <w:rFonts w:cstheme="minorHAnsi"/>
          <w:b/>
          <w:color w:val="A6A6A6" w:themeColor="background1" w:themeShade="A6"/>
        </w:rPr>
        <w:t xml:space="preserve">. Results of </w:t>
      </w:r>
      <w:r w:rsidR="00092566" w:rsidRPr="00107765">
        <w:rPr>
          <w:rFonts w:cstheme="minorHAnsi"/>
          <w:b/>
          <w:color w:val="A6A6A6" w:themeColor="background1" w:themeShade="A6"/>
        </w:rPr>
        <w:t>Risk Stratification Analysis</w:t>
      </w:r>
      <w:r w:rsidR="00092566" w:rsidRPr="00107765">
        <w:rPr>
          <w:rFonts w:cstheme="minorHAnsi"/>
          <w:color w:val="A6A6A6" w:themeColor="background1" w:themeShade="A6"/>
        </w:rPr>
        <w:t xml:space="preserve">:  </w:t>
      </w:r>
    </w:p>
    <w:p w14:paraId="0CABD001" w14:textId="77777777" w:rsidR="00092566" w:rsidRPr="00107765" w:rsidRDefault="00092566" w:rsidP="00092566">
      <w:pPr>
        <w:pStyle w:val="ListParagraph"/>
        <w:rPr>
          <w:rFonts w:cstheme="minorHAnsi"/>
          <w:color w:val="A6A6A6" w:themeColor="background1" w:themeShade="A6"/>
        </w:rPr>
      </w:pPr>
    </w:p>
    <w:p w14:paraId="0CABD002" w14:textId="35305BFC" w:rsidR="00092566" w:rsidRPr="00107765" w:rsidRDefault="009C7513" w:rsidP="00092566">
      <w:pPr>
        <w:autoSpaceDE w:val="0"/>
        <w:autoSpaceDN w:val="0"/>
        <w:adjustRightInd w:val="0"/>
        <w:spacing w:after="0" w:line="240" w:lineRule="auto"/>
        <w:rPr>
          <w:rFonts w:cstheme="minorHAnsi"/>
          <w:color w:val="A6A6A6" w:themeColor="background1" w:themeShade="A6"/>
        </w:rPr>
      </w:pPr>
      <w:r w:rsidRPr="00107765">
        <w:rPr>
          <w:rFonts w:cstheme="minorHAnsi"/>
          <w:b/>
          <w:color w:val="A6A6A6" w:themeColor="background1" w:themeShade="A6"/>
        </w:rPr>
        <w:t>2b3</w:t>
      </w:r>
      <w:r w:rsidR="00743E46" w:rsidRPr="00107765">
        <w:rPr>
          <w:rFonts w:cstheme="minorHAnsi"/>
          <w:b/>
          <w:color w:val="A6A6A6" w:themeColor="background1" w:themeShade="A6"/>
        </w:rPr>
        <w:t>.10</w:t>
      </w:r>
      <w:r w:rsidR="00001D73" w:rsidRPr="00107765">
        <w:rPr>
          <w:rFonts w:cstheme="minorHAnsi"/>
          <w:b/>
          <w:color w:val="A6A6A6" w:themeColor="background1" w:themeShade="A6"/>
        </w:rPr>
        <w:t xml:space="preserve">. </w:t>
      </w:r>
      <w:r w:rsidR="00092566" w:rsidRPr="00107765">
        <w:rPr>
          <w:rFonts w:cstheme="minorHAnsi"/>
          <w:b/>
          <w:color w:val="A6A6A6" w:themeColor="background1" w:themeShade="A6"/>
        </w:rPr>
        <w:t>What is your interpretation of the results in terms of demonstrating adequacy of controlling for differences in patient characteristics (case mix)?</w:t>
      </w:r>
      <w:r w:rsidR="00092566" w:rsidRPr="00107765">
        <w:rPr>
          <w:rFonts w:cstheme="minorHAnsi"/>
          <w:color w:val="A6A6A6" w:themeColor="background1" w:themeShade="A6"/>
        </w:rPr>
        <w:t xml:space="preserve"> (i</w:t>
      </w:r>
      <w:r w:rsidR="00092566" w:rsidRPr="00107765">
        <w:rPr>
          <w:rFonts w:cstheme="minorHAnsi"/>
          <w:i/>
          <w:color w:val="A6A6A6" w:themeColor="background1" w:themeShade="A6"/>
        </w:rPr>
        <w:t>.e., what do the results mean and what are the norms for the test conducted</w:t>
      </w:r>
      <w:r w:rsidR="00092566" w:rsidRPr="00107765">
        <w:rPr>
          <w:rFonts w:cstheme="minorHAnsi"/>
          <w:color w:val="A6A6A6" w:themeColor="background1" w:themeShade="A6"/>
        </w:rPr>
        <w:t>)</w:t>
      </w:r>
      <w:r w:rsidR="00092566" w:rsidRPr="00107765">
        <w:rPr>
          <w:rFonts w:cstheme="minorHAnsi"/>
          <w:color w:val="A6A6A6" w:themeColor="background1" w:themeShade="A6"/>
        </w:rPr>
        <w:br/>
      </w:r>
    </w:p>
    <w:p w14:paraId="0CABD003" w14:textId="77777777" w:rsidR="00092566" w:rsidRPr="00107765" w:rsidRDefault="00092566" w:rsidP="00092566">
      <w:pPr>
        <w:spacing w:after="0" w:line="240" w:lineRule="auto"/>
        <w:rPr>
          <w:rFonts w:cstheme="minorHAnsi"/>
          <w:color w:val="A6A6A6" w:themeColor="background1" w:themeShade="A6"/>
        </w:rPr>
      </w:pPr>
    </w:p>
    <w:p w14:paraId="0CABD004" w14:textId="74D8FEB4" w:rsidR="00021170" w:rsidRPr="00107765" w:rsidRDefault="009C7513" w:rsidP="009B1A15">
      <w:pPr>
        <w:spacing w:after="0" w:line="240" w:lineRule="auto"/>
        <w:rPr>
          <w:rFonts w:cstheme="minorHAnsi"/>
          <w:color w:val="A6A6A6" w:themeColor="background1" w:themeShade="A6"/>
        </w:rPr>
      </w:pPr>
      <w:r w:rsidRPr="00107765">
        <w:rPr>
          <w:rFonts w:cstheme="minorHAnsi"/>
          <w:b/>
          <w:color w:val="A6A6A6" w:themeColor="background1" w:themeShade="A6"/>
          <w:highlight w:val="green"/>
        </w:rPr>
        <w:t>2b3</w:t>
      </w:r>
      <w:r w:rsidR="009B1A15" w:rsidRPr="00107765">
        <w:rPr>
          <w:rFonts w:cstheme="minorHAnsi"/>
          <w:b/>
          <w:color w:val="A6A6A6" w:themeColor="background1" w:themeShade="A6"/>
          <w:highlight w:val="green"/>
        </w:rPr>
        <w:t>.11.</w:t>
      </w:r>
      <w:r w:rsidR="009B1A15" w:rsidRPr="00107765">
        <w:rPr>
          <w:rFonts w:cstheme="minorHAnsi"/>
          <w:color w:val="A6A6A6" w:themeColor="background1" w:themeShade="A6"/>
          <w:highlight w:val="green"/>
        </w:rPr>
        <w:t xml:space="preserve"> </w:t>
      </w:r>
      <w:r w:rsidR="00092566" w:rsidRPr="00107765">
        <w:rPr>
          <w:rFonts w:cstheme="minorHAnsi"/>
          <w:b/>
          <w:color w:val="A6A6A6" w:themeColor="background1" w:themeShade="A6"/>
          <w:highlight w:val="green"/>
        </w:rPr>
        <w:t>Optional</w:t>
      </w:r>
      <w:r w:rsidR="009B1A15" w:rsidRPr="00107765">
        <w:rPr>
          <w:rFonts w:cstheme="minorHAnsi"/>
          <w:b/>
          <w:color w:val="A6A6A6" w:themeColor="background1" w:themeShade="A6"/>
          <w:highlight w:val="green"/>
        </w:rPr>
        <w:t xml:space="preserve"> Additional Testing</w:t>
      </w:r>
      <w:r w:rsidR="004756E1" w:rsidRPr="00107765">
        <w:rPr>
          <w:rFonts w:cstheme="minorHAnsi"/>
          <w:b/>
          <w:color w:val="A6A6A6" w:themeColor="background1" w:themeShade="A6"/>
          <w:highlight w:val="green"/>
        </w:rPr>
        <w:t xml:space="preserve"> for Risk Adjustment</w:t>
      </w:r>
      <w:r w:rsidR="00092566" w:rsidRPr="00107765">
        <w:rPr>
          <w:rFonts w:cstheme="minorHAnsi"/>
          <w:b/>
          <w:color w:val="A6A6A6" w:themeColor="background1" w:themeShade="A6"/>
        </w:rPr>
        <w:t xml:space="preserve"> </w:t>
      </w:r>
      <w:r w:rsidR="00092566" w:rsidRPr="00107765">
        <w:rPr>
          <w:rFonts w:cstheme="minorHAnsi"/>
          <w:color w:val="A6A6A6" w:themeColor="background1" w:themeShade="A6"/>
        </w:rPr>
        <w:t>(</w:t>
      </w:r>
      <w:r w:rsidR="00092566" w:rsidRPr="00107765">
        <w:rPr>
          <w:rFonts w:cstheme="minorHAnsi"/>
          <w:i/>
          <w:color w:val="A6A6A6" w:themeColor="background1" w:themeShade="A6"/>
          <w:u w:val="single"/>
        </w:rPr>
        <w:t>not required</w:t>
      </w:r>
      <w:r w:rsidR="00092566" w:rsidRPr="00107765">
        <w:rPr>
          <w:rFonts w:cstheme="minorHAnsi"/>
          <w:i/>
          <w:color w:val="A6A6A6" w:themeColor="background1" w:themeShade="A6"/>
        </w:rPr>
        <w:t>, but would provide additional support of adequacy of risk model</w:t>
      </w:r>
      <w:r w:rsidR="009B1A15" w:rsidRPr="00107765">
        <w:rPr>
          <w:rFonts w:cstheme="minorHAnsi"/>
          <w:i/>
          <w:color w:val="A6A6A6" w:themeColor="background1" w:themeShade="A6"/>
        </w:rPr>
        <w:t>, e.g., testing of risk model in another data se</w:t>
      </w:r>
      <w:r w:rsidR="002408E4" w:rsidRPr="00107765">
        <w:rPr>
          <w:rFonts w:cstheme="minorHAnsi"/>
          <w:i/>
          <w:color w:val="A6A6A6" w:themeColor="background1" w:themeShade="A6"/>
        </w:rPr>
        <w:t>t</w:t>
      </w:r>
      <w:r w:rsidR="009B1A15" w:rsidRPr="00107765">
        <w:rPr>
          <w:rFonts w:cstheme="minorHAnsi"/>
          <w:i/>
          <w:color w:val="A6A6A6" w:themeColor="background1" w:themeShade="A6"/>
        </w:rPr>
        <w:t>; sensitivity analysis for missing data</w:t>
      </w:r>
      <w:r w:rsidR="002408E4" w:rsidRPr="00107765">
        <w:rPr>
          <w:rFonts w:cstheme="minorHAnsi"/>
          <w:i/>
          <w:color w:val="A6A6A6" w:themeColor="background1" w:themeShade="A6"/>
        </w:rPr>
        <w:t>;</w:t>
      </w:r>
      <w:r w:rsidR="009B1A15" w:rsidRPr="00107765">
        <w:rPr>
          <w:rFonts w:cstheme="minorHAnsi"/>
          <w:i/>
          <w:color w:val="A6A6A6" w:themeColor="background1" w:themeShade="A6"/>
        </w:rPr>
        <w:t xml:space="preserve"> other methods</w:t>
      </w:r>
      <w:r w:rsidR="008F7E67" w:rsidRPr="00107765">
        <w:rPr>
          <w:rFonts w:cstheme="minorHAnsi"/>
          <w:i/>
          <w:color w:val="A6A6A6" w:themeColor="background1" w:themeShade="A6"/>
        </w:rPr>
        <w:t xml:space="preserve"> that were assessed</w:t>
      </w:r>
      <w:r w:rsidR="009B1A15" w:rsidRPr="00107765">
        <w:rPr>
          <w:rFonts w:cstheme="minorHAnsi"/>
          <w:color w:val="A6A6A6" w:themeColor="background1" w:themeShade="A6"/>
        </w:rPr>
        <w:t>)</w:t>
      </w:r>
    </w:p>
    <w:p w14:paraId="7C8FF918" w14:textId="77777777" w:rsidR="003755CB" w:rsidRPr="00107765" w:rsidRDefault="003755CB" w:rsidP="00D61410">
      <w:pPr>
        <w:autoSpaceDE w:val="0"/>
        <w:autoSpaceDN w:val="0"/>
        <w:adjustRightInd w:val="0"/>
        <w:spacing w:after="0" w:line="240" w:lineRule="auto"/>
        <w:rPr>
          <w:rFonts w:cstheme="minorHAnsi"/>
          <w:color w:val="A6A6A6" w:themeColor="background1" w:themeShade="A6"/>
        </w:rPr>
      </w:pPr>
    </w:p>
    <w:p w14:paraId="0CABD006" w14:textId="74625CD3"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7" w:name="section2b5"/>
      <w:bookmarkEnd w:id="17"/>
      <w:r>
        <w:rPr>
          <w:rFonts w:cstheme="minorHAnsi"/>
          <w:b/>
          <w:bCs/>
        </w:rPr>
        <w:t>2b4</w:t>
      </w:r>
      <w:r w:rsidR="00D61410" w:rsidRPr="00A25024">
        <w:rPr>
          <w:rFonts w:cstheme="minorHAnsi"/>
          <w:b/>
          <w:bCs/>
        </w:rPr>
        <w:t>. IDENTIFICATION OF STATISTICALLY SIGNIFICANT &amp; MEANINGFUL DIFFERENCES IN PERFORMANCE</w:t>
      </w:r>
    </w:p>
    <w:p w14:paraId="26A5FB7E" w14:textId="77777777" w:rsidR="001B6482" w:rsidRPr="004631FF" w:rsidRDefault="009C7513" w:rsidP="00D61410">
      <w:pPr>
        <w:autoSpaceDE w:val="0"/>
        <w:autoSpaceDN w:val="0"/>
        <w:adjustRightInd w:val="0"/>
        <w:spacing w:after="0" w:line="240" w:lineRule="auto"/>
        <w:rPr>
          <w:rFonts w:cstheme="minorHAnsi"/>
          <w:color w:val="1111FB"/>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203C25" w:rsidRPr="004631FF">
        <w:rPr>
          <w:rFonts w:cstheme="minorHAnsi"/>
          <w:color w:val="1111FB"/>
        </w:rPr>
        <w:t xml:space="preserve">To demonstrate meaningful differences in performance, NCQA </w:t>
      </w:r>
      <w:r w:rsidR="00030D6D" w:rsidRPr="004631FF">
        <w:rPr>
          <w:rFonts w:cstheme="minorHAnsi"/>
          <w:color w:val="1111FB"/>
        </w:rPr>
        <w:t xml:space="preserve">calculates an inter-quartile range (IQR) for each indicator. The IQR provides a measure of the dispersion of performance. The IQR can be interpreted </w:t>
      </w:r>
      <w:r w:rsidR="001E64AB" w:rsidRPr="004631FF">
        <w:rPr>
          <w:rFonts w:cstheme="minorHAnsi"/>
          <w:color w:val="1111FB"/>
        </w:rPr>
        <w:t>as the difference between the 25</w:t>
      </w:r>
      <w:r w:rsidR="001E64AB" w:rsidRPr="004631FF">
        <w:rPr>
          <w:rFonts w:cstheme="minorHAnsi"/>
          <w:color w:val="1111FB"/>
          <w:vertAlign w:val="superscript"/>
        </w:rPr>
        <w:t>th</w:t>
      </w:r>
      <w:r w:rsidR="001E64AB" w:rsidRPr="004631FF">
        <w:rPr>
          <w:rFonts w:cstheme="minorHAnsi"/>
          <w:color w:val="1111FB"/>
        </w:rPr>
        <w:t xml:space="preserve"> and 75</w:t>
      </w:r>
      <w:r w:rsidR="001E64AB" w:rsidRPr="004631FF">
        <w:rPr>
          <w:rFonts w:cstheme="minorHAnsi"/>
          <w:color w:val="1111FB"/>
          <w:vertAlign w:val="superscript"/>
        </w:rPr>
        <w:t>th</w:t>
      </w:r>
      <w:r w:rsidR="001E64AB" w:rsidRPr="004631FF">
        <w:rPr>
          <w:rFonts w:cstheme="minorHAnsi"/>
          <w:color w:val="1111FB"/>
        </w:rPr>
        <w:t xml:space="preserve"> percentile on a measure. </w:t>
      </w:r>
    </w:p>
    <w:p w14:paraId="50343B8E" w14:textId="77777777" w:rsidR="001B6482" w:rsidRPr="004631FF" w:rsidRDefault="001B6482" w:rsidP="00D61410">
      <w:pPr>
        <w:autoSpaceDE w:val="0"/>
        <w:autoSpaceDN w:val="0"/>
        <w:adjustRightInd w:val="0"/>
        <w:spacing w:after="0" w:line="240" w:lineRule="auto"/>
        <w:rPr>
          <w:rFonts w:cstheme="minorHAnsi"/>
          <w:color w:val="1111FB"/>
        </w:rPr>
      </w:pPr>
    </w:p>
    <w:p w14:paraId="7700A4DB" w14:textId="7EDD9AE9" w:rsidR="008F59E5" w:rsidRPr="004631FF" w:rsidRDefault="001E64AB" w:rsidP="00D61410">
      <w:pPr>
        <w:autoSpaceDE w:val="0"/>
        <w:autoSpaceDN w:val="0"/>
        <w:adjustRightInd w:val="0"/>
        <w:spacing w:after="0" w:line="240" w:lineRule="auto"/>
        <w:rPr>
          <w:rFonts w:cstheme="minorHAnsi"/>
          <w:color w:val="1111FB"/>
        </w:rPr>
      </w:pPr>
      <w:r w:rsidRPr="004631FF">
        <w:rPr>
          <w:rFonts w:cstheme="minorHAnsi"/>
          <w:color w:val="1111FB"/>
        </w:rPr>
        <w:t>To determine if this difference is statistically significant, NCQA calculates an independent sample t-test of the performance difference between two randomly selected plans at the 25</w:t>
      </w:r>
      <w:r w:rsidRPr="004631FF">
        <w:rPr>
          <w:rFonts w:cstheme="minorHAnsi"/>
          <w:color w:val="1111FB"/>
          <w:vertAlign w:val="superscript"/>
        </w:rPr>
        <w:t>th</w:t>
      </w:r>
      <w:r w:rsidRPr="004631FF">
        <w:rPr>
          <w:rFonts w:cstheme="minorHAnsi"/>
          <w:color w:val="1111FB"/>
        </w:rPr>
        <w:t xml:space="preserve"> and 75</w:t>
      </w:r>
      <w:r w:rsidRPr="004631FF">
        <w:rPr>
          <w:rFonts w:cstheme="minorHAnsi"/>
          <w:color w:val="1111FB"/>
          <w:vertAlign w:val="superscript"/>
        </w:rPr>
        <w:t>th</w:t>
      </w:r>
      <w:r w:rsidRPr="004631FF">
        <w:rPr>
          <w:rFonts w:cstheme="minorHAnsi"/>
          <w:color w:val="1111FB"/>
        </w:rPr>
        <w:t xml:space="preserve"> percentile. The t-test method calculates a testing statistic based on the sample size, performance rate, and standardized error of each plan. The test statistic is then compared against a normal distribution. If the </w:t>
      </w:r>
      <w:r w:rsidR="009D7AB8" w:rsidRPr="004631FF">
        <w:rPr>
          <w:rFonts w:cstheme="minorHAnsi"/>
          <w:color w:val="1111FB"/>
        </w:rPr>
        <w:t xml:space="preserve">p-value of the test statistic is less than .05, then the two plans’ performance is significantly different from each other.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67597923" w14:textId="543EB52B" w:rsidR="00DF7918"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04B9196D" w14:textId="4C11262A" w:rsidR="001A58C9" w:rsidRDefault="001A58C9" w:rsidP="00D61410">
      <w:pPr>
        <w:autoSpaceDE w:val="0"/>
        <w:autoSpaceDN w:val="0"/>
        <w:adjustRightInd w:val="0"/>
        <w:spacing w:after="0" w:line="240" w:lineRule="auto"/>
        <w:rPr>
          <w:rFonts w:cstheme="minorHAnsi"/>
          <w:bCs/>
        </w:rPr>
      </w:pPr>
    </w:p>
    <w:p w14:paraId="48F2029B" w14:textId="075ADCFD" w:rsidR="001A58C9" w:rsidRDefault="001A58C9" w:rsidP="00D61410">
      <w:pPr>
        <w:autoSpaceDE w:val="0"/>
        <w:autoSpaceDN w:val="0"/>
        <w:adjustRightInd w:val="0"/>
        <w:spacing w:after="0" w:line="240" w:lineRule="auto"/>
        <w:rPr>
          <w:rFonts w:cstheme="minorHAnsi"/>
          <w:bCs/>
        </w:rPr>
      </w:pPr>
    </w:p>
    <w:p w14:paraId="43DC7FDF" w14:textId="7D225D0F" w:rsidR="001A58C9" w:rsidRDefault="001A58C9" w:rsidP="00D61410">
      <w:pPr>
        <w:autoSpaceDE w:val="0"/>
        <w:autoSpaceDN w:val="0"/>
        <w:adjustRightInd w:val="0"/>
        <w:spacing w:after="0" w:line="240" w:lineRule="auto"/>
        <w:rPr>
          <w:rFonts w:cstheme="minorHAnsi"/>
          <w:bCs/>
        </w:rPr>
      </w:pPr>
    </w:p>
    <w:p w14:paraId="2A58FA7E" w14:textId="328E78EF" w:rsidR="001A58C9" w:rsidRDefault="001A58C9" w:rsidP="00D61410">
      <w:pPr>
        <w:autoSpaceDE w:val="0"/>
        <w:autoSpaceDN w:val="0"/>
        <w:adjustRightInd w:val="0"/>
        <w:spacing w:after="0" w:line="240" w:lineRule="auto"/>
        <w:rPr>
          <w:rFonts w:cstheme="minorHAnsi"/>
          <w:bCs/>
        </w:rPr>
      </w:pPr>
    </w:p>
    <w:p w14:paraId="1EC23567" w14:textId="77777777" w:rsidR="001A58C9" w:rsidRDefault="001A58C9" w:rsidP="00D61410">
      <w:pPr>
        <w:autoSpaceDE w:val="0"/>
        <w:autoSpaceDN w:val="0"/>
        <w:adjustRightInd w:val="0"/>
        <w:spacing w:after="0" w:line="240" w:lineRule="auto"/>
        <w:rPr>
          <w:rFonts w:cstheme="minorHAnsi"/>
          <w:bCs/>
          <w:color w:val="1111FB"/>
        </w:rPr>
      </w:pPr>
    </w:p>
    <w:p w14:paraId="0CABD00A" w14:textId="741DDB6E" w:rsidR="00D61410" w:rsidRPr="00456BC4" w:rsidRDefault="001A4446" w:rsidP="00B15229">
      <w:pPr>
        <w:autoSpaceDE w:val="0"/>
        <w:autoSpaceDN w:val="0"/>
        <w:adjustRightInd w:val="0"/>
        <w:spacing w:after="0" w:line="240" w:lineRule="auto"/>
        <w:rPr>
          <w:color w:val="1111FB"/>
        </w:rPr>
      </w:pPr>
      <w:r w:rsidRPr="00B15229">
        <w:rPr>
          <w:color w:val="1111FB"/>
        </w:rPr>
        <w:lastRenderedPageBreak/>
        <w:t xml:space="preserve">Table </w:t>
      </w:r>
      <w:r w:rsidR="00D73E6D">
        <w:rPr>
          <w:color w:val="1111FB"/>
        </w:rPr>
        <w:t>5</w:t>
      </w:r>
      <w:r w:rsidRPr="00B15229">
        <w:rPr>
          <w:color w:val="1111FB"/>
        </w:rPr>
        <w:t xml:space="preserve">. </w:t>
      </w:r>
      <w:r w:rsidR="00313CA4" w:rsidRPr="00B15229">
        <w:rPr>
          <w:color w:val="1111FB"/>
        </w:rPr>
        <w:t xml:space="preserve">Variation in Performance for </w:t>
      </w:r>
      <w:r w:rsidR="00094D37" w:rsidRPr="00B15229">
        <w:rPr>
          <w:color w:val="1111FB"/>
        </w:rPr>
        <w:t>C</w:t>
      </w:r>
      <w:r w:rsidR="00313CA4" w:rsidRPr="00456BC4">
        <w:rPr>
          <w:color w:val="1111FB"/>
        </w:rPr>
        <w:t>ommercial, Medicaid, and Medicare health plans, 2017.</w:t>
      </w:r>
    </w:p>
    <w:tbl>
      <w:tblPr>
        <w:tblStyle w:val="TableGrid"/>
        <w:tblW w:w="9445" w:type="dxa"/>
        <w:jc w:val="center"/>
        <w:tblLook w:val="04A0" w:firstRow="1" w:lastRow="0" w:firstColumn="1" w:lastColumn="0" w:noHBand="0" w:noVBand="1"/>
      </w:tblPr>
      <w:tblGrid>
        <w:gridCol w:w="1287"/>
        <w:gridCol w:w="762"/>
        <w:gridCol w:w="967"/>
        <w:gridCol w:w="833"/>
        <w:gridCol w:w="784"/>
        <w:gridCol w:w="784"/>
        <w:gridCol w:w="784"/>
        <w:gridCol w:w="784"/>
        <w:gridCol w:w="784"/>
        <w:gridCol w:w="784"/>
        <w:gridCol w:w="892"/>
      </w:tblGrid>
      <w:tr w:rsidR="005A4CB5" w14:paraId="0124B29D" w14:textId="77777777" w:rsidTr="002C2FC3">
        <w:trPr>
          <w:jc w:val="center"/>
        </w:trPr>
        <w:tc>
          <w:tcPr>
            <w:tcW w:w="1288" w:type="dxa"/>
            <w:vAlign w:val="center"/>
          </w:tcPr>
          <w:p w14:paraId="577F5CBD" w14:textId="1F756E99" w:rsidR="005A4CB5" w:rsidRPr="00094D37" w:rsidRDefault="00094D37" w:rsidP="001F4B85">
            <w:pPr>
              <w:autoSpaceDE w:val="0"/>
              <w:autoSpaceDN w:val="0"/>
              <w:adjustRightInd w:val="0"/>
              <w:jc w:val="center"/>
              <w:rPr>
                <w:rFonts w:cstheme="minorHAnsi"/>
                <w:b/>
                <w:color w:val="1111FB"/>
              </w:rPr>
            </w:pPr>
            <w:r>
              <w:rPr>
                <w:rFonts w:cstheme="minorHAnsi"/>
                <w:b/>
                <w:color w:val="1111FB"/>
              </w:rPr>
              <w:t>Plan Type</w:t>
            </w:r>
          </w:p>
        </w:tc>
        <w:tc>
          <w:tcPr>
            <w:tcW w:w="777" w:type="dxa"/>
            <w:vAlign w:val="center"/>
          </w:tcPr>
          <w:p w14:paraId="4C1599EC" w14:textId="57C2FB39" w:rsidR="005A4CB5" w:rsidRPr="00094D37" w:rsidRDefault="005A4CB5" w:rsidP="00D43A29">
            <w:pPr>
              <w:autoSpaceDE w:val="0"/>
              <w:autoSpaceDN w:val="0"/>
              <w:adjustRightInd w:val="0"/>
              <w:jc w:val="center"/>
              <w:rPr>
                <w:rFonts w:cstheme="minorHAnsi"/>
                <w:b/>
                <w:color w:val="1111FB"/>
              </w:rPr>
            </w:pPr>
            <w:r w:rsidRPr="00094D37">
              <w:rPr>
                <w:rFonts w:cstheme="minorHAnsi"/>
                <w:b/>
                <w:color w:val="1111FB"/>
              </w:rPr>
              <w:t>N</w:t>
            </w:r>
          </w:p>
        </w:tc>
        <w:tc>
          <w:tcPr>
            <w:tcW w:w="900" w:type="dxa"/>
            <w:vAlign w:val="center"/>
          </w:tcPr>
          <w:p w14:paraId="73BED5B6" w14:textId="0143D549" w:rsidR="005A4CB5" w:rsidRPr="00094D37" w:rsidRDefault="005A4CB5" w:rsidP="00D43A29">
            <w:pPr>
              <w:autoSpaceDE w:val="0"/>
              <w:autoSpaceDN w:val="0"/>
              <w:adjustRightInd w:val="0"/>
              <w:jc w:val="center"/>
              <w:rPr>
                <w:rFonts w:cstheme="minorHAnsi"/>
                <w:b/>
                <w:color w:val="1111FB"/>
              </w:rPr>
            </w:pPr>
            <w:r w:rsidRPr="00094D37">
              <w:rPr>
                <w:rFonts w:cstheme="minorHAnsi"/>
                <w:b/>
                <w:color w:val="1111FB"/>
              </w:rPr>
              <w:t>Av</w:t>
            </w:r>
            <w:r w:rsidR="002C2FC3">
              <w:rPr>
                <w:rFonts w:cstheme="minorHAnsi"/>
                <w:b/>
                <w:color w:val="1111FB"/>
              </w:rPr>
              <w:t>erage (%)</w:t>
            </w:r>
          </w:p>
        </w:tc>
        <w:tc>
          <w:tcPr>
            <w:tcW w:w="848" w:type="dxa"/>
            <w:vAlign w:val="center"/>
          </w:tcPr>
          <w:p w14:paraId="7B19A54B" w14:textId="06094D21" w:rsidR="005A4CB5" w:rsidRPr="00094D37" w:rsidRDefault="005A4CB5" w:rsidP="00D43A29">
            <w:pPr>
              <w:autoSpaceDE w:val="0"/>
              <w:autoSpaceDN w:val="0"/>
              <w:adjustRightInd w:val="0"/>
              <w:jc w:val="center"/>
              <w:rPr>
                <w:rFonts w:cstheme="minorHAnsi"/>
                <w:b/>
                <w:color w:val="1111FB"/>
              </w:rPr>
            </w:pPr>
            <w:r w:rsidRPr="00094D37">
              <w:rPr>
                <w:rFonts w:cstheme="minorHAnsi"/>
                <w:b/>
                <w:color w:val="1111FB"/>
              </w:rPr>
              <w:t>S</w:t>
            </w:r>
            <w:r w:rsidR="00461474">
              <w:rPr>
                <w:rFonts w:cstheme="minorHAnsi"/>
                <w:b/>
                <w:color w:val="1111FB"/>
              </w:rPr>
              <w:t>t Dev (%)</w:t>
            </w:r>
          </w:p>
        </w:tc>
        <w:tc>
          <w:tcPr>
            <w:tcW w:w="788" w:type="dxa"/>
            <w:vAlign w:val="center"/>
          </w:tcPr>
          <w:p w14:paraId="21E729F4" w14:textId="00945DBC" w:rsidR="005A4CB5" w:rsidRPr="00461474" w:rsidRDefault="005A4CB5" w:rsidP="00D43A29">
            <w:pPr>
              <w:autoSpaceDE w:val="0"/>
              <w:autoSpaceDN w:val="0"/>
              <w:adjustRightInd w:val="0"/>
              <w:jc w:val="center"/>
              <w:rPr>
                <w:rFonts w:cstheme="minorHAnsi"/>
                <w:b/>
                <w:color w:val="1111FB"/>
              </w:rPr>
            </w:pPr>
            <w:r w:rsidRPr="00094D37">
              <w:rPr>
                <w:rFonts w:cstheme="minorHAnsi"/>
                <w:b/>
                <w:color w:val="1111FB"/>
              </w:rPr>
              <w:t>10</w:t>
            </w:r>
            <w:r w:rsidRPr="00094D37">
              <w:rPr>
                <w:rFonts w:cstheme="minorHAnsi"/>
                <w:b/>
                <w:color w:val="1111FB"/>
                <w:vertAlign w:val="superscript"/>
              </w:rPr>
              <w:t>th</w:t>
            </w:r>
            <w:r w:rsidR="00461474">
              <w:rPr>
                <w:rFonts w:cstheme="minorHAnsi"/>
                <w:b/>
                <w:color w:val="1111FB"/>
              </w:rPr>
              <w:t xml:space="preserve"> (%)</w:t>
            </w:r>
          </w:p>
        </w:tc>
        <w:tc>
          <w:tcPr>
            <w:tcW w:w="788" w:type="dxa"/>
            <w:vAlign w:val="center"/>
          </w:tcPr>
          <w:p w14:paraId="3C414B49" w14:textId="343269C4" w:rsidR="005A4CB5" w:rsidRPr="00461474" w:rsidRDefault="005A4CB5" w:rsidP="00D43A29">
            <w:pPr>
              <w:autoSpaceDE w:val="0"/>
              <w:autoSpaceDN w:val="0"/>
              <w:adjustRightInd w:val="0"/>
              <w:jc w:val="center"/>
              <w:rPr>
                <w:rFonts w:cstheme="minorHAnsi"/>
                <w:b/>
                <w:color w:val="1111FB"/>
              </w:rPr>
            </w:pPr>
            <w:r w:rsidRPr="00094D37">
              <w:rPr>
                <w:rFonts w:cstheme="minorHAnsi"/>
                <w:b/>
                <w:color w:val="1111FB"/>
              </w:rPr>
              <w:t>25</w:t>
            </w:r>
            <w:r w:rsidRPr="00094D37">
              <w:rPr>
                <w:rFonts w:cstheme="minorHAnsi"/>
                <w:b/>
                <w:color w:val="1111FB"/>
                <w:vertAlign w:val="superscript"/>
              </w:rPr>
              <w:t>th</w:t>
            </w:r>
            <w:r w:rsidR="00461474">
              <w:rPr>
                <w:rFonts w:cstheme="minorHAnsi"/>
                <w:b/>
                <w:color w:val="1111FB"/>
              </w:rPr>
              <w:t xml:space="preserve"> (%)</w:t>
            </w:r>
          </w:p>
        </w:tc>
        <w:tc>
          <w:tcPr>
            <w:tcW w:w="788" w:type="dxa"/>
            <w:vAlign w:val="center"/>
          </w:tcPr>
          <w:p w14:paraId="2FF1FA99" w14:textId="3C136007" w:rsidR="005A4CB5" w:rsidRPr="00461474" w:rsidRDefault="005A4CB5" w:rsidP="00D43A29">
            <w:pPr>
              <w:autoSpaceDE w:val="0"/>
              <w:autoSpaceDN w:val="0"/>
              <w:adjustRightInd w:val="0"/>
              <w:jc w:val="center"/>
              <w:rPr>
                <w:rFonts w:cstheme="minorHAnsi"/>
                <w:b/>
                <w:color w:val="1111FB"/>
              </w:rPr>
            </w:pPr>
            <w:r w:rsidRPr="00094D37">
              <w:rPr>
                <w:rFonts w:cstheme="minorHAnsi"/>
                <w:b/>
                <w:color w:val="1111FB"/>
              </w:rPr>
              <w:t>50</w:t>
            </w:r>
            <w:r w:rsidRPr="00094D37">
              <w:rPr>
                <w:rFonts w:cstheme="minorHAnsi"/>
                <w:b/>
                <w:color w:val="1111FB"/>
                <w:vertAlign w:val="superscript"/>
              </w:rPr>
              <w:t>th</w:t>
            </w:r>
            <w:r w:rsidR="00461474">
              <w:rPr>
                <w:rFonts w:cstheme="minorHAnsi"/>
                <w:b/>
                <w:color w:val="1111FB"/>
              </w:rPr>
              <w:t xml:space="preserve"> (%)</w:t>
            </w:r>
          </w:p>
        </w:tc>
        <w:tc>
          <w:tcPr>
            <w:tcW w:w="788" w:type="dxa"/>
            <w:vAlign w:val="center"/>
          </w:tcPr>
          <w:p w14:paraId="71279991" w14:textId="3159C63A" w:rsidR="005A4CB5" w:rsidRPr="00461474" w:rsidRDefault="005A4CB5" w:rsidP="00D43A29">
            <w:pPr>
              <w:autoSpaceDE w:val="0"/>
              <w:autoSpaceDN w:val="0"/>
              <w:adjustRightInd w:val="0"/>
              <w:jc w:val="center"/>
              <w:rPr>
                <w:rFonts w:cstheme="minorHAnsi"/>
                <w:b/>
                <w:color w:val="1111FB"/>
              </w:rPr>
            </w:pPr>
            <w:r w:rsidRPr="00094D37">
              <w:rPr>
                <w:rFonts w:cstheme="minorHAnsi"/>
                <w:b/>
                <w:color w:val="1111FB"/>
              </w:rPr>
              <w:t>75</w:t>
            </w:r>
            <w:r w:rsidRPr="00094D37">
              <w:rPr>
                <w:rFonts w:cstheme="minorHAnsi"/>
                <w:b/>
                <w:color w:val="1111FB"/>
                <w:vertAlign w:val="superscript"/>
              </w:rPr>
              <w:t>th</w:t>
            </w:r>
            <w:r w:rsidR="00461474">
              <w:rPr>
                <w:rFonts w:cstheme="minorHAnsi"/>
                <w:b/>
                <w:color w:val="1111FB"/>
              </w:rPr>
              <w:t xml:space="preserve"> (%)</w:t>
            </w:r>
          </w:p>
        </w:tc>
        <w:tc>
          <w:tcPr>
            <w:tcW w:w="788" w:type="dxa"/>
            <w:vAlign w:val="center"/>
          </w:tcPr>
          <w:p w14:paraId="173B55A6" w14:textId="76EDC484" w:rsidR="005A4CB5" w:rsidRPr="00461474" w:rsidRDefault="005A4CB5" w:rsidP="00D43A29">
            <w:pPr>
              <w:autoSpaceDE w:val="0"/>
              <w:autoSpaceDN w:val="0"/>
              <w:adjustRightInd w:val="0"/>
              <w:jc w:val="center"/>
              <w:rPr>
                <w:rFonts w:cstheme="minorHAnsi"/>
                <w:b/>
                <w:color w:val="1111FB"/>
              </w:rPr>
            </w:pPr>
            <w:r w:rsidRPr="00094D37">
              <w:rPr>
                <w:rFonts w:cstheme="minorHAnsi"/>
                <w:b/>
                <w:color w:val="1111FB"/>
              </w:rPr>
              <w:t>90</w:t>
            </w:r>
            <w:r w:rsidRPr="00094D37">
              <w:rPr>
                <w:rFonts w:cstheme="minorHAnsi"/>
                <w:b/>
                <w:color w:val="1111FB"/>
                <w:vertAlign w:val="superscript"/>
              </w:rPr>
              <w:t>th</w:t>
            </w:r>
            <w:r w:rsidR="00461474">
              <w:rPr>
                <w:rFonts w:cstheme="minorHAnsi"/>
                <w:b/>
                <w:color w:val="1111FB"/>
              </w:rPr>
              <w:t xml:space="preserve"> (%)</w:t>
            </w:r>
          </w:p>
        </w:tc>
        <w:tc>
          <w:tcPr>
            <w:tcW w:w="788" w:type="dxa"/>
            <w:vAlign w:val="center"/>
          </w:tcPr>
          <w:p w14:paraId="5A519273" w14:textId="1B4DDF23" w:rsidR="005A4CB5" w:rsidRPr="00094D37" w:rsidRDefault="005A4CB5" w:rsidP="00D43A29">
            <w:pPr>
              <w:autoSpaceDE w:val="0"/>
              <w:autoSpaceDN w:val="0"/>
              <w:adjustRightInd w:val="0"/>
              <w:jc w:val="center"/>
              <w:rPr>
                <w:rFonts w:cstheme="minorHAnsi"/>
                <w:b/>
                <w:color w:val="1111FB"/>
              </w:rPr>
            </w:pPr>
            <w:r w:rsidRPr="00094D37">
              <w:rPr>
                <w:rFonts w:cstheme="minorHAnsi"/>
                <w:b/>
                <w:color w:val="1111FB"/>
              </w:rPr>
              <w:t>IQR</w:t>
            </w:r>
            <w:r w:rsidR="00461474">
              <w:rPr>
                <w:rFonts w:cstheme="minorHAnsi"/>
                <w:b/>
                <w:color w:val="1111FB"/>
              </w:rPr>
              <w:t xml:space="preserve"> (%)</w:t>
            </w:r>
          </w:p>
        </w:tc>
        <w:tc>
          <w:tcPr>
            <w:tcW w:w="904" w:type="dxa"/>
            <w:vAlign w:val="center"/>
          </w:tcPr>
          <w:p w14:paraId="066C3B1E" w14:textId="2EED85F4" w:rsidR="005A4CB5" w:rsidRPr="00094D37" w:rsidRDefault="005A4CB5" w:rsidP="00D43A29">
            <w:pPr>
              <w:autoSpaceDE w:val="0"/>
              <w:autoSpaceDN w:val="0"/>
              <w:adjustRightInd w:val="0"/>
              <w:jc w:val="center"/>
              <w:rPr>
                <w:rFonts w:cstheme="minorHAnsi"/>
                <w:b/>
                <w:color w:val="1111FB"/>
              </w:rPr>
            </w:pPr>
            <w:r w:rsidRPr="00094D37">
              <w:rPr>
                <w:rFonts w:cstheme="minorHAnsi"/>
                <w:b/>
                <w:color w:val="1111FB"/>
              </w:rPr>
              <w:t>p-value</w:t>
            </w:r>
          </w:p>
        </w:tc>
      </w:tr>
      <w:tr w:rsidR="005A4CB5" w14:paraId="7279EAE3" w14:textId="77777777" w:rsidTr="002C2FC3">
        <w:trPr>
          <w:jc w:val="center"/>
        </w:trPr>
        <w:tc>
          <w:tcPr>
            <w:tcW w:w="1288" w:type="dxa"/>
            <w:vAlign w:val="center"/>
          </w:tcPr>
          <w:p w14:paraId="77E4D3CC" w14:textId="0715D811" w:rsidR="005A4CB5" w:rsidRPr="00094D37" w:rsidRDefault="005A4CB5" w:rsidP="00D43A29">
            <w:pPr>
              <w:autoSpaceDE w:val="0"/>
              <w:autoSpaceDN w:val="0"/>
              <w:adjustRightInd w:val="0"/>
              <w:rPr>
                <w:rFonts w:cstheme="minorHAnsi"/>
                <w:color w:val="1111FB"/>
              </w:rPr>
            </w:pPr>
            <w:r w:rsidRPr="00094D37">
              <w:rPr>
                <w:rFonts w:cstheme="minorHAnsi"/>
                <w:color w:val="1111FB"/>
              </w:rPr>
              <w:t>Commercial</w:t>
            </w:r>
          </w:p>
        </w:tc>
        <w:tc>
          <w:tcPr>
            <w:tcW w:w="777" w:type="dxa"/>
            <w:vAlign w:val="center"/>
          </w:tcPr>
          <w:p w14:paraId="209E441B" w14:textId="5DF2863B" w:rsidR="005A4CB5" w:rsidRPr="00094D37" w:rsidRDefault="00E810D2" w:rsidP="00E810D2">
            <w:pPr>
              <w:autoSpaceDE w:val="0"/>
              <w:autoSpaceDN w:val="0"/>
              <w:adjustRightInd w:val="0"/>
              <w:jc w:val="center"/>
              <w:rPr>
                <w:rFonts w:cstheme="minorHAnsi"/>
                <w:color w:val="1111FB"/>
              </w:rPr>
            </w:pPr>
            <w:r w:rsidRPr="00094D37">
              <w:rPr>
                <w:rFonts w:cstheme="minorHAnsi"/>
                <w:color w:val="1111FB"/>
              </w:rPr>
              <w:t>243</w:t>
            </w:r>
          </w:p>
        </w:tc>
        <w:tc>
          <w:tcPr>
            <w:tcW w:w="900" w:type="dxa"/>
            <w:vAlign w:val="center"/>
          </w:tcPr>
          <w:p w14:paraId="72A77CB9" w14:textId="19237478" w:rsidR="005A4CB5" w:rsidRPr="00094D37" w:rsidRDefault="00D801B6" w:rsidP="00E810D2">
            <w:pPr>
              <w:autoSpaceDE w:val="0"/>
              <w:autoSpaceDN w:val="0"/>
              <w:adjustRightInd w:val="0"/>
              <w:jc w:val="center"/>
              <w:rPr>
                <w:rFonts w:cstheme="minorHAnsi"/>
                <w:color w:val="1111FB"/>
              </w:rPr>
            </w:pPr>
            <w:r w:rsidRPr="00094D37">
              <w:rPr>
                <w:rFonts w:cstheme="minorHAnsi"/>
                <w:color w:val="1111FB"/>
              </w:rPr>
              <w:t>8</w:t>
            </w:r>
            <w:r w:rsidR="00F64926">
              <w:rPr>
                <w:rFonts w:cstheme="minorHAnsi"/>
                <w:color w:val="1111FB"/>
              </w:rPr>
              <w:t>4.56</w:t>
            </w:r>
          </w:p>
        </w:tc>
        <w:tc>
          <w:tcPr>
            <w:tcW w:w="848" w:type="dxa"/>
            <w:vAlign w:val="center"/>
          </w:tcPr>
          <w:p w14:paraId="1E68B8E6" w14:textId="1C3B4490" w:rsidR="005A4CB5" w:rsidRPr="00094D37" w:rsidRDefault="00175F4C" w:rsidP="00E810D2">
            <w:pPr>
              <w:autoSpaceDE w:val="0"/>
              <w:autoSpaceDN w:val="0"/>
              <w:adjustRightInd w:val="0"/>
              <w:jc w:val="center"/>
              <w:rPr>
                <w:rFonts w:cstheme="minorHAnsi"/>
                <w:color w:val="1111FB"/>
              </w:rPr>
            </w:pPr>
            <w:r w:rsidRPr="00094D37">
              <w:rPr>
                <w:rFonts w:cstheme="minorHAnsi"/>
                <w:color w:val="1111FB"/>
              </w:rPr>
              <w:t>6</w:t>
            </w:r>
            <w:r w:rsidR="00454B84">
              <w:rPr>
                <w:rFonts w:cstheme="minorHAnsi"/>
                <w:color w:val="1111FB"/>
              </w:rPr>
              <w:t>.36</w:t>
            </w:r>
          </w:p>
        </w:tc>
        <w:tc>
          <w:tcPr>
            <w:tcW w:w="788" w:type="dxa"/>
            <w:vAlign w:val="center"/>
          </w:tcPr>
          <w:p w14:paraId="328A146A" w14:textId="736C7E8B" w:rsidR="005A4CB5" w:rsidRPr="00094D37" w:rsidRDefault="008557D1" w:rsidP="00E810D2">
            <w:pPr>
              <w:autoSpaceDE w:val="0"/>
              <w:autoSpaceDN w:val="0"/>
              <w:adjustRightInd w:val="0"/>
              <w:jc w:val="center"/>
              <w:rPr>
                <w:rFonts w:cstheme="minorHAnsi"/>
                <w:color w:val="1111FB"/>
              </w:rPr>
            </w:pPr>
            <w:r w:rsidRPr="00094D37">
              <w:rPr>
                <w:rFonts w:cstheme="minorHAnsi"/>
                <w:color w:val="1111FB"/>
              </w:rPr>
              <w:t>7</w:t>
            </w:r>
            <w:r w:rsidR="0095188C">
              <w:rPr>
                <w:rFonts w:cstheme="minorHAnsi"/>
                <w:color w:val="1111FB"/>
              </w:rPr>
              <w:t>6.58</w:t>
            </w:r>
          </w:p>
        </w:tc>
        <w:tc>
          <w:tcPr>
            <w:tcW w:w="788" w:type="dxa"/>
            <w:vAlign w:val="center"/>
          </w:tcPr>
          <w:p w14:paraId="763DFD92" w14:textId="432BD60E" w:rsidR="005A4CB5" w:rsidRPr="00094D37" w:rsidRDefault="008557D1" w:rsidP="00E810D2">
            <w:pPr>
              <w:autoSpaceDE w:val="0"/>
              <w:autoSpaceDN w:val="0"/>
              <w:adjustRightInd w:val="0"/>
              <w:jc w:val="center"/>
              <w:rPr>
                <w:rFonts w:cstheme="minorHAnsi"/>
                <w:color w:val="1111FB"/>
              </w:rPr>
            </w:pPr>
            <w:r w:rsidRPr="00094D37">
              <w:rPr>
                <w:rFonts w:cstheme="minorHAnsi"/>
                <w:color w:val="1111FB"/>
              </w:rPr>
              <w:t>8</w:t>
            </w:r>
            <w:r w:rsidR="0095188C">
              <w:rPr>
                <w:rFonts w:cstheme="minorHAnsi"/>
                <w:color w:val="1111FB"/>
              </w:rPr>
              <w:t>0.83</w:t>
            </w:r>
          </w:p>
        </w:tc>
        <w:tc>
          <w:tcPr>
            <w:tcW w:w="788" w:type="dxa"/>
            <w:vAlign w:val="center"/>
          </w:tcPr>
          <w:p w14:paraId="4335CCCA" w14:textId="23E7C445" w:rsidR="005A4CB5" w:rsidRPr="00094D37" w:rsidRDefault="003A25BB" w:rsidP="00E810D2">
            <w:pPr>
              <w:autoSpaceDE w:val="0"/>
              <w:autoSpaceDN w:val="0"/>
              <w:adjustRightInd w:val="0"/>
              <w:jc w:val="center"/>
              <w:rPr>
                <w:rFonts w:cstheme="minorHAnsi"/>
                <w:color w:val="1111FB"/>
              </w:rPr>
            </w:pPr>
            <w:r w:rsidRPr="00094D37">
              <w:rPr>
                <w:rFonts w:cstheme="minorHAnsi"/>
                <w:color w:val="1111FB"/>
              </w:rPr>
              <w:t>85</w:t>
            </w:r>
            <w:r w:rsidR="00E51CEE">
              <w:rPr>
                <w:rFonts w:cstheme="minorHAnsi"/>
                <w:color w:val="1111FB"/>
              </w:rPr>
              <w:t>.31</w:t>
            </w:r>
          </w:p>
        </w:tc>
        <w:tc>
          <w:tcPr>
            <w:tcW w:w="788" w:type="dxa"/>
            <w:vAlign w:val="center"/>
          </w:tcPr>
          <w:p w14:paraId="01FE39E1" w14:textId="2C10D5EC" w:rsidR="005A4CB5" w:rsidRPr="00094D37" w:rsidRDefault="003A25BB" w:rsidP="00E810D2">
            <w:pPr>
              <w:autoSpaceDE w:val="0"/>
              <w:autoSpaceDN w:val="0"/>
              <w:adjustRightInd w:val="0"/>
              <w:jc w:val="center"/>
              <w:rPr>
                <w:rFonts w:cstheme="minorHAnsi"/>
                <w:color w:val="1111FB"/>
              </w:rPr>
            </w:pPr>
            <w:r w:rsidRPr="00094D37">
              <w:rPr>
                <w:rFonts w:cstheme="minorHAnsi"/>
                <w:color w:val="1111FB"/>
              </w:rPr>
              <w:t>8</w:t>
            </w:r>
            <w:r w:rsidR="008F69D0">
              <w:rPr>
                <w:rFonts w:cstheme="minorHAnsi"/>
                <w:color w:val="1111FB"/>
              </w:rPr>
              <w:t>8.68</w:t>
            </w:r>
          </w:p>
        </w:tc>
        <w:tc>
          <w:tcPr>
            <w:tcW w:w="788" w:type="dxa"/>
            <w:vAlign w:val="center"/>
          </w:tcPr>
          <w:p w14:paraId="10FF0DB6" w14:textId="732162C7" w:rsidR="005A4CB5" w:rsidRPr="00094D37" w:rsidRDefault="003A25BB" w:rsidP="00E810D2">
            <w:pPr>
              <w:autoSpaceDE w:val="0"/>
              <w:autoSpaceDN w:val="0"/>
              <w:adjustRightInd w:val="0"/>
              <w:jc w:val="center"/>
              <w:rPr>
                <w:rFonts w:cstheme="minorHAnsi"/>
                <w:color w:val="1111FB"/>
              </w:rPr>
            </w:pPr>
            <w:r w:rsidRPr="00094D37">
              <w:rPr>
                <w:rFonts w:cstheme="minorHAnsi"/>
                <w:color w:val="1111FB"/>
              </w:rPr>
              <w:t>9</w:t>
            </w:r>
            <w:r w:rsidR="003A4FD1">
              <w:rPr>
                <w:rFonts w:cstheme="minorHAnsi"/>
                <w:color w:val="1111FB"/>
              </w:rPr>
              <w:t>1.89</w:t>
            </w:r>
          </w:p>
        </w:tc>
        <w:tc>
          <w:tcPr>
            <w:tcW w:w="788" w:type="dxa"/>
            <w:vAlign w:val="center"/>
          </w:tcPr>
          <w:p w14:paraId="23BDAF9A" w14:textId="4288E058" w:rsidR="005A4CB5" w:rsidRPr="00094D37" w:rsidRDefault="004D39C1" w:rsidP="00E810D2">
            <w:pPr>
              <w:autoSpaceDE w:val="0"/>
              <w:autoSpaceDN w:val="0"/>
              <w:adjustRightInd w:val="0"/>
              <w:jc w:val="center"/>
              <w:rPr>
                <w:rFonts w:cstheme="minorHAnsi"/>
                <w:color w:val="1111FB"/>
              </w:rPr>
            </w:pPr>
            <w:r>
              <w:rPr>
                <w:rFonts w:cstheme="minorHAnsi"/>
                <w:color w:val="1111FB"/>
              </w:rPr>
              <w:t>7.85</w:t>
            </w:r>
          </w:p>
        </w:tc>
        <w:tc>
          <w:tcPr>
            <w:tcW w:w="904" w:type="dxa"/>
            <w:vAlign w:val="center"/>
          </w:tcPr>
          <w:p w14:paraId="3F065F11" w14:textId="55AFAC30" w:rsidR="005A4CB5" w:rsidRPr="00094D37" w:rsidRDefault="00305000" w:rsidP="00E810D2">
            <w:pPr>
              <w:autoSpaceDE w:val="0"/>
              <w:autoSpaceDN w:val="0"/>
              <w:adjustRightInd w:val="0"/>
              <w:jc w:val="center"/>
              <w:rPr>
                <w:rFonts w:cstheme="minorHAnsi"/>
                <w:color w:val="1111FB"/>
              </w:rPr>
            </w:pPr>
            <w:r w:rsidRPr="00094D37">
              <w:rPr>
                <w:rFonts w:cstheme="minorHAnsi"/>
                <w:color w:val="1111FB"/>
              </w:rPr>
              <w:t>&lt;0.05</w:t>
            </w:r>
          </w:p>
        </w:tc>
      </w:tr>
      <w:tr w:rsidR="005A4CB5" w14:paraId="2B538A66" w14:textId="77777777" w:rsidTr="002C2FC3">
        <w:trPr>
          <w:jc w:val="center"/>
        </w:trPr>
        <w:tc>
          <w:tcPr>
            <w:tcW w:w="1288" w:type="dxa"/>
            <w:vAlign w:val="center"/>
          </w:tcPr>
          <w:p w14:paraId="4A34ECE4" w14:textId="39D87088" w:rsidR="005A4CB5" w:rsidRPr="00094D37" w:rsidRDefault="005A4CB5" w:rsidP="00D43A29">
            <w:pPr>
              <w:autoSpaceDE w:val="0"/>
              <w:autoSpaceDN w:val="0"/>
              <w:adjustRightInd w:val="0"/>
              <w:rPr>
                <w:rFonts w:cstheme="minorHAnsi"/>
                <w:color w:val="1111FB"/>
              </w:rPr>
            </w:pPr>
            <w:r w:rsidRPr="00094D37">
              <w:rPr>
                <w:rFonts w:cstheme="minorHAnsi"/>
                <w:color w:val="1111FB"/>
              </w:rPr>
              <w:t>Medicaid</w:t>
            </w:r>
          </w:p>
        </w:tc>
        <w:tc>
          <w:tcPr>
            <w:tcW w:w="777" w:type="dxa"/>
            <w:vAlign w:val="center"/>
          </w:tcPr>
          <w:p w14:paraId="6B70CC5B" w14:textId="53459658" w:rsidR="005A4CB5" w:rsidRPr="00094D37" w:rsidRDefault="00E71DAE" w:rsidP="00E810D2">
            <w:pPr>
              <w:autoSpaceDE w:val="0"/>
              <w:autoSpaceDN w:val="0"/>
              <w:adjustRightInd w:val="0"/>
              <w:jc w:val="center"/>
              <w:rPr>
                <w:rFonts w:cstheme="minorHAnsi"/>
                <w:color w:val="1111FB"/>
              </w:rPr>
            </w:pPr>
            <w:r w:rsidRPr="00094D37">
              <w:rPr>
                <w:rFonts w:cstheme="minorHAnsi"/>
                <w:color w:val="1111FB"/>
              </w:rPr>
              <w:t>145</w:t>
            </w:r>
          </w:p>
        </w:tc>
        <w:tc>
          <w:tcPr>
            <w:tcW w:w="900" w:type="dxa"/>
            <w:vAlign w:val="center"/>
          </w:tcPr>
          <w:p w14:paraId="615C9D9E" w14:textId="0A74C185" w:rsidR="005A4CB5" w:rsidRPr="00094D37" w:rsidRDefault="00D801B6" w:rsidP="00E810D2">
            <w:pPr>
              <w:autoSpaceDE w:val="0"/>
              <w:autoSpaceDN w:val="0"/>
              <w:adjustRightInd w:val="0"/>
              <w:jc w:val="center"/>
              <w:rPr>
                <w:rFonts w:cstheme="minorHAnsi"/>
                <w:color w:val="1111FB"/>
              </w:rPr>
            </w:pPr>
            <w:r w:rsidRPr="00094D37">
              <w:rPr>
                <w:rFonts w:cstheme="minorHAnsi"/>
                <w:color w:val="1111FB"/>
              </w:rPr>
              <w:t>78</w:t>
            </w:r>
            <w:r w:rsidR="006C6D63">
              <w:rPr>
                <w:rFonts w:cstheme="minorHAnsi"/>
                <w:color w:val="1111FB"/>
              </w:rPr>
              <w:t>.46</w:t>
            </w:r>
          </w:p>
        </w:tc>
        <w:tc>
          <w:tcPr>
            <w:tcW w:w="848" w:type="dxa"/>
            <w:vAlign w:val="center"/>
          </w:tcPr>
          <w:p w14:paraId="3917993B" w14:textId="35DC0C64" w:rsidR="005A4CB5" w:rsidRPr="00094D37" w:rsidRDefault="00454B84" w:rsidP="00E810D2">
            <w:pPr>
              <w:autoSpaceDE w:val="0"/>
              <w:autoSpaceDN w:val="0"/>
              <w:adjustRightInd w:val="0"/>
              <w:jc w:val="center"/>
              <w:rPr>
                <w:rFonts w:cstheme="minorHAnsi"/>
                <w:color w:val="1111FB"/>
              </w:rPr>
            </w:pPr>
            <w:r>
              <w:rPr>
                <w:rFonts w:cstheme="minorHAnsi"/>
                <w:color w:val="1111FB"/>
              </w:rPr>
              <w:t>8.97</w:t>
            </w:r>
          </w:p>
        </w:tc>
        <w:tc>
          <w:tcPr>
            <w:tcW w:w="788" w:type="dxa"/>
            <w:vAlign w:val="center"/>
          </w:tcPr>
          <w:p w14:paraId="595E3650" w14:textId="774AE281" w:rsidR="005A4CB5" w:rsidRPr="00094D37" w:rsidRDefault="003A25BB" w:rsidP="00E810D2">
            <w:pPr>
              <w:autoSpaceDE w:val="0"/>
              <w:autoSpaceDN w:val="0"/>
              <w:adjustRightInd w:val="0"/>
              <w:jc w:val="center"/>
              <w:rPr>
                <w:rFonts w:cstheme="minorHAnsi"/>
                <w:color w:val="1111FB"/>
              </w:rPr>
            </w:pPr>
            <w:r w:rsidRPr="00094D37">
              <w:rPr>
                <w:rFonts w:cstheme="minorHAnsi"/>
                <w:color w:val="1111FB"/>
              </w:rPr>
              <w:t>66</w:t>
            </w:r>
            <w:r w:rsidR="0095188C">
              <w:rPr>
                <w:rFonts w:cstheme="minorHAnsi"/>
                <w:color w:val="1111FB"/>
              </w:rPr>
              <w:t>.18</w:t>
            </w:r>
          </w:p>
        </w:tc>
        <w:tc>
          <w:tcPr>
            <w:tcW w:w="788" w:type="dxa"/>
            <w:vAlign w:val="center"/>
          </w:tcPr>
          <w:p w14:paraId="0E5678A7" w14:textId="15B21921" w:rsidR="005A4CB5" w:rsidRPr="00094D37" w:rsidRDefault="003A25BB" w:rsidP="00E810D2">
            <w:pPr>
              <w:autoSpaceDE w:val="0"/>
              <w:autoSpaceDN w:val="0"/>
              <w:adjustRightInd w:val="0"/>
              <w:jc w:val="center"/>
              <w:rPr>
                <w:rFonts w:cstheme="minorHAnsi"/>
                <w:color w:val="1111FB"/>
              </w:rPr>
            </w:pPr>
            <w:r w:rsidRPr="00094D37">
              <w:rPr>
                <w:rFonts w:cstheme="minorHAnsi"/>
                <w:color w:val="1111FB"/>
              </w:rPr>
              <w:t>7</w:t>
            </w:r>
            <w:r w:rsidR="0095188C">
              <w:rPr>
                <w:rFonts w:cstheme="minorHAnsi"/>
                <w:color w:val="1111FB"/>
              </w:rPr>
              <w:t>3.81</w:t>
            </w:r>
          </w:p>
        </w:tc>
        <w:tc>
          <w:tcPr>
            <w:tcW w:w="788" w:type="dxa"/>
            <w:vAlign w:val="center"/>
          </w:tcPr>
          <w:p w14:paraId="265F4D20" w14:textId="2A38E2E7" w:rsidR="005A4CB5" w:rsidRPr="00094D37" w:rsidRDefault="008F69D0" w:rsidP="00E810D2">
            <w:pPr>
              <w:autoSpaceDE w:val="0"/>
              <w:autoSpaceDN w:val="0"/>
              <w:adjustRightInd w:val="0"/>
              <w:jc w:val="center"/>
              <w:rPr>
                <w:rFonts w:cstheme="minorHAnsi"/>
                <w:color w:val="1111FB"/>
              </w:rPr>
            </w:pPr>
            <w:r>
              <w:rPr>
                <w:rFonts w:cstheme="minorHAnsi"/>
                <w:color w:val="1111FB"/>
              </w:rPr>
              <w:t>79.67</w:t>
            </w:r>
          </w:p>
        </w:tc>
        <w:tc>
          <w:tcPr>
            <w:tcW w:w="788" w:type="dxa"/>
            <w:vAlign w:val="center"/>
          </w:tcPr>
          <w:p w14:paraId="311E8FC8" w14:textId="4A17267B" w:rsidR="005A4CB5" w:rsidRPr="00094D37" w:rsidRDefault="003A25BB" w:rsidP="00E810D2">
            <w:pPr>
              <w:autoSpaceDE w:val="0"/>
              <w:autoSpaceDN w:val="0"/>
              <w:adjustRightInd w:val="0"/>
              <w:jc w:val="center"/>
              <w:rPr>
                <w:rFonts w:cstheme="minorHAnsi"/>
                <w:color w:val="1111FB"/>
              </w:rPr>
            </w:pPr>
            <w:r w:rsidRPr="00094D37">
              <w:rPr>
                <w:rFonts w:cstheme="minorHAnsi"/>
                <w:color w:val="1111FB"/>
              </w:rPr>
              <w:t>8</w:t>
            </w:r>
            <w:r w:rsidR="008F69D0">
              <w:rPr>
                <w:rFonts w:cstheme="minorHAnsi"/>
                <w:color w:val="1111FB"/>
              </w:rPr>
              <w:t>3.87</w:t>
            </w:r>
          </w:p>
        </w:tc>
        <w:tc>
          <w:tcPr>
            <w:tcW w:w="788" w:type="dxa"/>
            <w:vAlign w:val="center"/>
          </w:tcPr>
          <w:p w14:paraId="7C7EA63F" w14:textId="60ECE819" w:rsidR="005A4CB5" w:rsidRPr="00094D37" w:rsidRDefault="005D6152" w:rsidP="00E810D2">
            <w:pPr>
              <w:autoSpaceDE w:val="0"/>
              <w:autoSpaceDN w:val="0"/>
              <w:adjustRightInd w:val="0"/>
              <w:jc w:val="center"/>
              <w:rPr>
                <w:rFonts w:cstheme="minorHAnsi"/>
                <w:color w:val="1111FB"/>
              </w:rPr>
            </w:pPr>
            <w:r w:rsidRPr="00094D37">
              <w:rPr>
                <w:rFonts w:cstheme="minorHAnsi"/>
                <w:color w:val="1111FB"/>
              </w:rPr>
              <w:t>8</w:t>
            </w:r>
            <w:r w:rsidR="003A4FD1">
              <w:rPr>
                <w:rFonts w:cstheme="minorHAnsi"/>
                <w:color w:val="1111FB"/>
              </w:rPr>
              <w:t>8.84</w:t>
            </w:r>
          </w:p>
        </w:tc>
        <w:tc>
          <w:tcPr>
            <w:tcW w:w="788" w:type="dxa"/>
            <w:vAlign w:val="center"/>
          </w:tcPr>
          <w:p w14:paraId="21BCC0BD" w14:textId="3411B390" w:rsidR="005A4CB5" w:rsidRPr="00094D37" w:rsidRDefault="005D6152" w:rsidP="00E810D2">
            <w:pPr>
              <w:autoSpaceDE w:val="0"/>
              <w:autoSpaceDN w:val="0"/>
              <w:adjustRightInd w:val="0"/>
              <w:jc w:val="center"/>
              <w:rPr>
                <w:rFonts w:cstheme="minorHAnsi"/>
                <w:color w:val="1111FB"/>
              </w:rPr>
            </w:pPr>
            <w:r w:rsidRPr="00094D37">
              <w:rPr>
                <w:rFonts w:cstheme="minorHAnsi"/>
                <w:color w:val="1111FB"/>
              </w:rPr>
              <w:t>10</w:t>
            </w:r>
            <w:r w:rsidR="004A14EC">
              <w:rPr>
                <w:rFonts w:cstheme="minorHAnsi"/>
                <w:color w:val="1111FB"/>
              </w:rPr>
              <w:t>.06</w:t>
            </w:r>
          </w:p>
        </w:tc>
        <w:tc>
          <w:tcPr>
            <w:tcW w:w="904" w:type="dxa"/>
            <w:vAlign w:val="center"/>
          </w:tcPr>
          <w:p w14:paraId="613AE441" w14:textId="4B115D9E" w:rsidR="005A4CB5" w:rsidRPr="00094D37" w:rsidRDefault="00305000" w:rsidP="00E810D2">
            <w:pPr>
              <w:autoSpaceDE w:val="0"/>
              <w:autoSpaceDN w:val="0"/>
              <w:adjustRightInd w:val="0"/>
              <w:jc w:val="center"/>
              <w:rPr>
                <w:rFonts w:cstheme="minorHAnsi"/>
                <w:color w:val="1111FB"/>
              </w:rPr>
            </w:pPr>
            <w:r w:rsidRPr="00094D37">
              <w:rPr>
                <w:rFonts w:cstheme="minorHAnsi"/>
                <w:color w:val="1111FB"/>
              </w:rPr>
              <w:t>&lt;0.05</w:t>
            </w:r>
          </w:p>
        </w:tc>
      </w:tr>
      <w:tr w:rsidR="005A4CB5" w14:paraId="4595F03D" w14:textId="77777777" w:rsidTr="002C2FC3">
        <w:trPr>
          <w:jc w:val="center"/>
        </w:trPr>
        <w:tc>
          <w:tcPr>
            <w:tcW w:w="1288" w:type="dxa"/>
            <w:vAlign w:val="center"/>
          </w:tcPr>
          <w:p w14:paraId="3EF13D67" w14:textId="4DA8F396" w:rsidR="005A4CB5" w:rsidRPr="00094D37" w:rsidRDefault="005A4CB5" w:rsidP="00D43A29">
            <w:pPr>
              <w:autoSpaceDE w:val="0"/>
              <w:autoSpaceDN w:val="0"/>
              <w:adjustRightInd w:val="0"/>
              <w:rPr>
                <w:rFonts w:cstheme="minorHAnsi"/>
                <w:color w:val="1111FB"/>
              </w:rPr>
            </w:pPr>
            <w:r w:rsidRPr="00094D37">
              <w:rPr>
                <w:rFonts w:cstheme="minorHAnsi"/>
                <w:color w:val="1111FB"/>
              </w:rPr>
              <w:t>Medicare</w:t>
            </w:r>
          </w:p>
        </w:tc>
        <w:tc>
          <w:tcPr>
            <w:tcW w:w="777" w:type="dxa"/>
            <w:vAlign w:val="center"/>
          </w:tcPr>
          <w:p w14:paraId="47CD63CC" w14:textId="0660CABE" w:rsidR="005A4CB5" w:rsidRPr="00094D37" w:rsidRDefault="00D801B6" w:rsidP="00E810D2">
            <w:pPr>
              <w:autoSpaceDE w:val="0"/>
              <w:autoSpaceDN w:val="0"/>
              <w:adjustRightInd w:val="0"/>
              <w:jc w:val="center"/>
              <w:rPr>
                <w:rFonts w:cstheme="minorHAnsi"/>
                <w:color w:val="1111FB"/>
              </w:rPr>
            </w:pPr>
            <w:r w:rsidRPr="00094D37">
              <w:rPr>
                <w:rFonts w:cstheme="minorHAnsi"/>
                <w:color w:val="1111FB"/>
              </w:rPr>
              <w:t>272</w:t>
            </w:r>
          </w:p>
        </w:tc>
        <w:tc>
          <w:tcPr>
            <w:tcW w:w="900" w:type="dxa"/>
            <w:vAlign w:val="center"/>
          </w:tcPr>
          <w:p w14:paraId="2D7A589C" w14:textId="1EAB610D" w:rsidR="005A4CB5" w:rsidRPr="00094D37" w:rsidRDefault="00D801B6" w:rsidP="00E810D2">
            <w:pPr>
              <w:autoSpaceDE w:val="0"/>
              <w:autoSpaceDN w:val="0"/>
              <w:adjustRightInd w:val="0"/>
              <w:jc w:val="center"/>
              <w:rPr>
                <w:rFonts w:cstheme="minorHAnsi"/>
                <w:color w:val="1111FB"/>
              </w:rPr>
            </w:pPr>
            <w:r w:rsidRPr="00094D37">
              <w:rPr>
                <w:rFonts w:cstheme="minorHAnsi"/>
                <w:color w:val="1111FB"/>
              </w:rPr>
              <w:t>90</w:t>
            </w:r>
            <w:r w:rsidR="006C6D63">
              <w:rPr>
                <w:rFonts w:cstheme="minorHAnsi"/>
                <w:color w:val="1111FB"/>
              </w:rPr>
              <w:t>.15</w:t>
            </w:r>
          </w:p>
        </w:tc>
        <w:tc>
          <w:tcPr>
            <w:tcW w:w="848" w:type="dxa"/>
            <w:vAlign w:val="center"/>
          </w:tcPr>
          <w:p w14:paraId="49A627CC" w14:textId="4C756188" w:rsidR="005A4CB5" w:rsidRPr="00094D37" w:rsidRDefault="00454B84" w:rsidP="00E810D2">
            <w:pPr>
              <w:autoSpaceDE w:val="0"/>
              <w:autoSpaceDN w:val="0"/>
              <w:adjustRightInd w:val="0"/>
              <w:jc w:val="center"/>
              <w:rPr>
                <w:rFonts w:cstheme="minorHAnsi"/>
                <w:color w:val="1111FB"/>
              </w:rPr>
            </w:pPr>
            <w:r>
              <w:rPr>
                <w:rFonts w:cstheme="minorHAnsi"/>
                <w:color w:val="1111FB"/>
              </w:rPr>
              <w:t>4.66</w:t>
            </w:r>
          </w:p>
        </w:tc>
        <w:tc>
          <w:tcPr>
            <w:tcW w:w="788" w:type="dxa"/>
            <w:vAlign w:val="center"/>
          </w:tcPr>
          <w:p w14:paraId="06518FC2" w14:textId="468EBB6F" w:rsidR="005A4CB5" w:rsidRPr="00094D37" w:rsidRDefault="005D6152" w:rsidP="00E810D2">
            <w:pPr>
              <w:autoSpaceDE w:val="0"/>
              <w:autoSpaceDN w:val="0"/>
              <w:adjustRightInd w:val="0"/>
              <w:jc w:val="center"/>
              <w:rPr>
                <w:rFonts w:cstheme="minorHAnsi"/>
                <w:color w:val="1111FB"/>
              </w:rPr>
            </w:pPr>
            <w:r w:rsidRPr="00094D37">
              <w:rPr>
                <w:rFonts w:cstheme="minorHAnsi"/>
                <w:color w:val="1111FB"/>
              </w:rPr>
              <w:t>8</w:t>
            </w:r>
            <w:r w:rsidR="0095188C">
              <w:rPr>
                <w:rFonts w:cstheme="minorHAnsi"/>
                <w:color w:val="1111FB"/>
              </w:rPr>
              <w:t>3.72</w:t>
            </w:r>
          </w:p>
        </w:tc>
        <w:tc>
          <w:tcPr>
            <w:tcW w:w="788" w:type="dxa"/>
            <w:vAlign w:val="center"/>
          </w:tcPr>
          <w:p w14:paraId="0204C65E" w14:textId="6F03D79C" w:rsidR="005A4CB5" w:rsidRPr="00094D37" w:rsidRDefault="005D6152" w:rsidP="00E810D2">
            <w:pPr>
              <w:autoSpaceDE w:val="0"/>
              <w:autoSpaceDN w:val="0"/>
              <w:adjustRightInd w:val="0"/>
              <w:jc w:val="center"/>
              <w:rPr>
                <w:rFonts w:cstheme="minorHAnsi"/>
                <w:color w:val="1111FB"/>
              </w:rPr>
            </w:pPr>
            <w:r w:rsidRPr="00094D37">
              <w:rPr>
                <w:rFonts w:cstheme="minorHAnsi"/>
                <w:color w:val="1111FB"/>
              </w:rPr>
              <w:t>8</w:t>
            </w:r>
            <w:r w:rsidR="000653BE">
              <w:rPr>
                <w:rFonts w:cstheme="minorHAnsi"/>
                <w:color w:val="1111FB"/>
              </w:rPr>
              <w:t>7.71</w:t>
            </w:r>
          </w:p>
        </w:tc>
        <w:tc>
          <w:tcPr>
            <w:tcW w:w="788" w:type="dxa"/>
            <w:vAlign w:val="center"/>
          </w:tcPr>
          <w:p w14:paraId="0C3AC32B" w14:textId="328C809E" w:rsidR="005A4CB5" w:rsidRPr="00094D37" w:rsidRDefault="005D6152" w:rsidP="00E810D2">
            <w:pPr>
              <w:autoSpaceDE w:val="0"/>
              <w:autoSpaceDN w:val="0"/>
              <w:adjustRightInd w:val="0"/>
              <w:jc w:val="center"/>
              <w:rPr>
                <w:rFonts w:cstheme="minorHAnsi"/>
                <w:color w:val="1111FB"/>
              </w:rPr>
            </w:pPr>
            <w:r w:rsidRPr="00094D37">
              <w:rPr>
                <w:rFonts w:cstheme="minorHAnsi"/>
                <w:color w:val="1111FB"/>
              </w:rPr>
              <w:t>9</w:t>
            </w:r>
            <w:r w:rsidR="008F69D0">
              <w:rPr>
                <w:rFonts w:cstheme="minorHAnsi"/>
                <w:color w:val="1111FB"/>
              </w:rPr>
              <w:t>0.50</w:t>
            </w:r>
          </w:p>
        </w:tc>
        <w:tc>
          <w:tcPr>
            <w:tcW w:w="788" w:type="dxa"/>
            <w:vAlign w:val="center"/>
          </w:tcPr>
          <w:p w14:paraId="455DF2E2" w14:textId="0D3C57AB" w:rsidR="005A4CB5" w:rsidRPr="00094D37" w:rsidRDefault="00B67875" w:rsidP="00E810D2">
            <w:pPr>
              <w:autoSpaceDE w:val="0"/>
              <w:autoSpaceDN w:val="0"/>
              <w:adjustRightInd w:val="0"/>
              <w:jc w:val="center"/>
              <w:rPr>
                <w:rFonts w:cstheme="minorHAnsi"/>
                <w:color w:val="1111FB"/>
              </w:rPr>
            </w:pPr>
            <w:r>
              <w:rPr>
                <w:rFonts w:cstheme="minorHAnsi"/>
                <w:color w:val="1111FB"/>
              </w:rPr>
              <w:t>93.43</w:t>
            </w:r>
          </w:p>
        </w:tc>
        <w:tc>
          <w:tcPr>
            <w:tcW w:w="788" w:type="dxa"/>
            <w:vAlign w:val="center"/>
          </w:tcPr>
          <w:p w14:paraId="403BA3A8" w14:textId="1B8C943E" w:rsidR="005A4CB5" w:rsidRPr="00094D37" w:rsidRDefault="005D6152" w:rsidP="00E810D2">
            <w:pPr>
              <w:autoSpaceDE w:val="0"/>
              <w:autoSpaceDN w:val="0"/>
              <w:adjustRightInd w:val="0"/>
              <w:jc w:val="center"/>
              <w:rPr>
                <w:rFonts w:cstheme="minorHAnsi"/>
                <w:color w:val="1111FB"/>
              </w:rPr>
            </w:pPr>
            <w:r w:rsidRPr="00094D37">
              <w:rPr>
                <w:rFonts w:cstheme="minorHAnsi"/>
                <w:color w:val="1111FB"/>
              </w:rPr>
              <w:t>95</w:t>
            </w:r>
            <w:r w:rsidR="00F937B9">
              <w:rPr>
                <w:rFonts w:cstheme="minorHAnsi"/>
                <w:color w:val="1111FB"/>
              </w:rPr>
              <w:t>.41</w:t>
            </w:r>
          </w:p>
        </w:tc>
        <w:tc>
          <w:tcPr>
            <w:tcW w:w="788" w:type="dxa"/>
            <w:vAlign w:val="center"/>
          </w:tcPr>
          <w:p w14:paraId="4B022D3C" w14:textId="032D13E3" w:rsidR="005A4CB5" w:rsidRPr="00094D37" w:rsidRDefault="004A14EC" w:rsidP="00E810D2">
            <w:pPr>
              <w:autoSpaceDE w:val="0"/>
              <w:autoSpaceDN w:val="0"/>
              <w:adjustRightInd w:val="0"/>
              <w:jc w:val="center"/>
              <w:rPr>
                <w:rFonts w:cstheme="minorHAnsi"/>
                <w:color w:val="1111FB"/>
              </w:rPr>
            </w:pPr>
            <w:r>
              <w:rPr>
                <w:rFonts w:cstheme="minorHAnsi"/>
                <w:color w:val="1111FB"/>
              </w:rPr>
              <w:t>5.72</w:t>
            </w:r>
          </w:p>
        </w:tc>
        <w:tc>
          <w:tcPr>
            <w:tcW w:w="904" w:type="dxa"/>
            <w:vAlign w:val="center"/>
          </w:tcPr>
          <w:p w14:paraId="2D8E4265" w14:textId="63A54B0C" w:rsidR="005A4CB5" w:rsidRPr="00094D37" w:rsidRDefault="00305000" w:rsidP="00E810D2">
            <w:pPr>
              <w:autoSpaceDE w:val="0"/>
              <w:autoSpaceDN w:val="0"/>
              <w:adjustRightInd w:val="0"/>
              <w:jc w:val="center"/>
              <w:rPr>
                <w:rFonts w:cstheme="minorHAnsi"/>
                <w:color w:val="1111FB"/>
              </w:rPr>
            </w:pPr>
            <w:r w:rsidRPr="00094D37">
              <w:rPr>
                <w:rFonts w:cstheme="minorHAnsi"/>
                <w:color w:val="1111FB"/>
              </w:rPr>
              <w:t>&lt;0.05</w:t>
            </w:r>
          </w:p>
        </w:tc>
      </w:tr>
    </w:tbl>
    <w:p w14:paraId="1C5A7239" w14:textId="4B0BD668" w:rsidR="005A4CB5" w:rsidRPr="00094D37" w:rsidRDefault="00960DD6" w:rsidP="00D61410">
      <w:pPr>
        <w:autoSpaceDE w:val="0"/>
        <w:autoSpaceDN w:val="0"/>
        <w:adjustRightInd w:val="0"/>
        <w:spacing w:after="0" w:line="240" w:lineRule="auto"/>
        <w:rPr>
          <w:rFonts w:cstheme="minorHAnsi"/>
          <w:color w:val="1111FB"/>
        </w:rPr>
      </w:pPr>
      <w:r w:rsidRPr="00094D37">
        <w:rPr>
          <w:rFonts w:cstheme="minorHAnsi"/>
          <w:color w:val="1111FB"/>
        </w:rPr>
        <w:t>N = Number of plans reporting</w:t>
      </w:r>
    </w:p>
    <w:p w14:paraId="202D31D2" w14:textId="057AAFCD" w:rsidR="00960DD6" w:rsidRPr="00905B59" w:rsidRDefault="00960DD6" w:rsidP="00D61410">
      <w:pPr>
        <w:autoSpaceDE w:val="0"/>
        <w:autoSpaceDN w:val="0"/>
        <w:adjustRightInd w:val="0"/>
        <w:spacing w:after="0" w:line="240" w:lineRule="auto"/>
        <w:rPr>
          <w:rFonts w:cstheme="minorHAnsi"/>
          <w:color w:val="1111FB"/>
        </w:rPr>
      </w:pPr>
      <w:r w:rsidRPr="00094D37">
        <w:rPr>
          <w:rFonts w:cstheme="minorHAnsi"/>
          <w:color w:val="1111FB"/>
        </w:rPr>
        <w:t xml:space="preserve">IQR = </w:t>
      </w:r>
      <w:r w:rsidRPr="00905B59">
        <w:rPr>
          <w:rFonts w:cstheme="minorHAnsi"/>
          <w:color w:val="1111FB"/>
        </w:rPr>
        <w:t>Interquartile range</w:t>
      </w:r>
    </w:p>
    <w:p w14:paraId="4EB7107B" w14:textId="0FAB750F" w:rsidR="00960DD6" w:rsidRDefault="00960DD6" w:rsidP="00D61410">
      <w:pPr>
        <w:autoSpaceDE w:val="0"/>
        <w:autoSpaceDN w:val="0"/>
        <w:adjustRightInd w:val="0"/>
        <w:spacing w:after="0" w:line="240" w:lineRule="auto"/>
        <w:rPr>
          <w:rFonts w:cstheme="minorHAnsi"/>
          <w:color w:val="1111FB"/>
        </w:rPr>
      </w:pPr>
      <w:r w:rsidRPr="00905B59">
        <w:rPr>
          <w:rFonts w:cstheme="minorHAnsi"/>
          <w:color w:val="1111FB"/>
        </w:rPr>
        <w:t>p-value = p-value of independent</w:t>
      </w:r>
      <w:r w:rsidRPr="00094D37">
        <w:rPr>
          <w:rFonts w:cstheme="minorHAnsi"/>
          <w:color w:val="1111FB"/>
        </w:rPr>
        <w:t xml:space="preserve"> samples t-test comparing plans at the 25</w:t>
      </w:r>
      <w:r w:rsidRPr="00094D37">
        <w:rPr>
          <w:rFonts w:cstheme="minorHAnsi"/>
          <w:color w:val="1111FB"/>
          <w:vertAlign w:val="superscript"/>
        </w:rPr>
        <w:t>th</w:t>
      </w:r>
      <w:r w:rsidRPr="00094D37">
        <w:rPr>
          <w:rFonts w:cstheme="minorHAnsi"/>
          <w:color w:val="1111FB"/>
        </w:rPr>
        <w:t xml:space="preserve"> percentile to plans at the 75</w:t>
      </w:r>
      <w:r w:rsidRPr="00094D37">
        <w:rPr>
          <w:rFonts w:cstheme="minorHAnsi"/>
          <w:color w:val="1111FB"/>
          <w:vertAlign w:val="superscript"/>
        </w:rPr>
        <w:t>th</w:t>
      </w:r>
      <w:r w:rsidRPr="00094D37">
        <w:rPr>
          <w:rFonts w:cstheme="minorHAnsi"/>
          <w:color w:val="1111FB"/>
        </w:rPr>
        <w:t xml:space="preserve"> percentile.</w:t>
      </w:r>
    </w:p>
    <w:p w14:paraId="3FB66FBB" w14:textId="54E92403" w:rsidR="003B270A" w:rsidRDefault="003B270A" w:rsidP="00D61410">
      <w:pPr>
        <w:autoSpaceDE w:val="0"/>
        <w:autoSpaceDN w:val="0"/>
        <w:adjustRightInd w:val="0"/>
        <w:spacing w:after="0" w:line="240" w:lineRule="auto"/>
        <w:rPr>
          <w:rFonts w:cstheme="minorHAnsi"/>
          <w:color w:val="1111FB"/>
        </w:rPr>
      </w:pPr>
    </w:p>
    <w:p w14:paraId="0F176115" w14:textId="10649EEA" w:rsidR="003B270A" w:rsidRPr="00094D37" w:rsidRDefault="003B270A" w:rsidP="00D61410">
      <w:pPr>
        <w:autoSpaceDE w:val="0"/>
        <w:autoSpaceDN w:val="0"/>
        <w:adjustRightInd w:val="0"/>
        <w:spacing w:after="0" w:line="240" w:lineRule="auto"/>
        <w:rPr>
          <w:rFonts w:cstheme="minorHAnsi"/>
          <w:color w:val="1111FB"/>
        </w:rPr>
      </w:pPr>
      <w:r w:rsidRPr="003B270A">
        <w:rPr>
          <w:rFonts w:cstheme="minorHAnsi"/>
          <w:color w:val="1111FB"/>
        </w:rPr>
        <w:t>Box plots for HEDIS 201</w:t>
      </w:r>
      <w:r>
        <w:rPr>
          <w:rFonts w:cstheme="minorHAnsi"/>
          <w:color w:val="1111FB"/>
        </w:rPr>
        <w:t>8 (Measurement year 2017)</w:t>
      </w:r>
      <w:r w:rsidRPr="003B270A">
        <w:rPr>
          <w:rFonts w:cstheme="minorHAnsi"/>
          <w:color w:val="1111FB"/>
        </w:rPr>
        <w:t xml:space="preserve"> Variation in Performance Across Health Plans are included below for your reference.</w:t>
      </w:r>
    </w:p>
    <w:p w14:paraId="0CABD00B" w14:textId="60049876" w:rsidR="00D61410" w:rsidRDefault="00D61410" w:rsidP="00D61410">
      <w:pPr>
        <w:autoSpaceDE w:val="0"/>
        <w:autoSpaceDN w:val="0"/>
        <w:adjustRightInd w:val="0"/>
        <w:spacing w:after="0" w:line="240" w:lineRule="auto"/>
        <w:rPr>
          <w:rFonts w:cstheme="minorHAnsi"/>
          <w:bCs/>
        </w:rPr>
      </w:pPr>
    </w:p>
    <w:p w14:paraId="2B59C68D" w14:textId="37DF3B7B" w:rsidR="003B270A" w:rsidRDefault="002D67BD" w:rsidP="00D61410">
      <w:pPr>
        <w:autoSpaceDE w:val="0"/>
        <w:autoSpaceDN w:val="0"/>
        <w:adjustRightInd w:val="0"/>
        <w:spacing w:after="0" w:line="240" w:lineRule="auto"/>
        <w:rPr>
          <w:rFonts w:cstheme="minorHAnsi"/>
          <w:bCs/>
        </w:rPr>
      </w:pPr>
      <w:r w:rsidRPr="002D67BD">
        <w:rPr>
          <w:rFonts w:cstheme="minorHAnsi"/>
          <w:bCs/>
          <w:noProof/>
        </w:rPr>
        <w:drawing>
          <wp:inline distT="0" distB="0" distL="0" distR="0" wp14:anchorId="4A1CD841" wp14:editId="35EC2363">
            <wp:extent cx="4749800" cy="3562350"/>
            <wp:effectExtent l="19050" t="19050" r="12700" b="19050"/>
            <wp:docPr id="1" name="Picture 1" descr="H:\QMRG\Analysis Outputs\FYA REEVAL 2019\PBH\Commercial\boxplot_commercial_pbh_29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QMRG\Analysis Outputs\FYA REEVAL 2019\PBH\Commercial\boxplot_commercial_pbh_290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9975" cy="3562481"/>
                    </a:xfrm>
                    <a:prstGeom prst="rect">
                      <a:avLst/>
                    </a:prstGeom>
                    <a:noFill/>
                    <a:ln>
                      <a:solidFill>
                        <a:schemeClr val="tx1"/>
                      </a:solidFill>
                    </a:ln>
                  </pic:spPr>
                </pic:pic>
              </a:graphicData>
            </a:graphic>
          </wp:inline>
        </w:drawing>
      </w:r>
    </w:p>
    <w:p w14:paraId="09F99D4D" w14:textId="288ADA40" w:rsidR="0088731F" w:rsidRDefault="0088731F" w:rsidP="00D61410">
      <w:pPr>
        <w:autoSpaceDE w:val="0"/>
        <w:autoSpaceDN w:val="0"/>
        <w:adjustRightInd w:val="0"/>
        <w:spacing w:after="0" w:line="240" w:lineRule="auto"/>
        <w:rPr>
          <w:rFonts w:cstheme="minorHAnsi"/>
          <w:bCs/>
        </w:rPr>
      </w:pPr>
    </w:p>
    <w:p w14:paraId="71E399F2" w14:textId="3EFF9985" w:rsidR="0088731F" w:rsidRDefault="0088731F" w:rsidP="00D61410">
      <w:pPr>
        <w:autoSpaceDE w:val="0"/>
        <w:autoSpaceDN w:val="0"/>
        <w:adjustRightInd w:val="0"/>
        <w:spacing w:after="0" w:line="240" w:lineRule="auto"/>
        <w:rPr>
          <w:rFonts w:cstheme="minorHAnsi"/>
          <w:bCs/>
        </w:rPr>
      </w:pPr>
      <w:r w:rsidRPr="0088731F">
        <w:rPr>
          <w:rFonts w:cstheme="minorHAnsi"/>
          <w:bCs/>
          <w:noProof/>
        </w:rPr>
        <w:lastRenderedPageBreak/>
        <w:drawing>
          <wp:inline distT="0" distB="0" distL="0" distR="0" wp14:anchorId="1F841276" wp14:editId="63A5AB2A">
            <wp:extent cx="4743450" cy="3557588"/>
            <wp:effectExtent l="19050" t="19050" r="19050" b="24130"/>
            <wp:docPr id="2" name="Picture 2" descr="H:\QMRG\Analysis Outputs\FYA REEVAL 2019\PBH\Medicaid\boxplot_medicaid_pbh_29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QMRG\Analysis Outputs\FYA REEVAL 2019\PBH\Medicaid\boxplot_medicaid_pbh_290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8058" cy="3568544"/>
                    </a:xfrm>
                    <a:prstGeom prst="rect">
                      <a:avLst/>
                    </a:prstGeom>
                    <a:noFill/>
                    <a:ln>
                      <a:solidFill>
                        <a:schemeClr val="tx1"/>
                      </a:solidFill>
                    </a:ln>
                  </pic:spPr>
                </pic:pic>
              </a:graphicData>
            </a:graphic>
          </wp:inline>
        </w:drawing>
      </w:r>
    </w:p>
    <w:p w14:paraId="0C11BF76" w14:textId="796569D1" w:rsidR="003B270A" w:rsidRDefault="00CE0DA2" w:rsidP="00D61410">
      <w:pPr>
        <w:autoSpaceDE w:val="0"/>
        <w:autoSpaceDN w:val="0"/>
        <w:adjustRightInd w:val="0"/>
        <w:spacing w:after="0" w:line="240" w:lineRule="auto"/>
        <w:rPr>
          <w:rFonts w:cstheme="minorHAnsi"/>
          <w:bCs/>
        </w:rPr>
      </w:pPr>
      <w:r w:rsidRPr="00CE0DA2">
        <w:rPr>
          <w:rFonts w:cstheme="minorHAnsi"/>
          <w:bCs/>
          <w:noProof/>
        </w:rPr>
        <w:drawing>
          <wp:inline distT="0" distB="0" distL="0" distR="0" wp14:anchorId="01D06224" wp14:editId="2FB0F306">
            <wp:extent cx="4754540" cy="3562350"/>
            <wp:effectExtent l="19050" t="19050" r="27305" b="19050"/>
            <wp:docPr id="3" name="Picture 3" descr="H:\QMRG\Analysis Outputs\FYA REEVAL 2019\PBH\Medicare\boxplot_medicare_pbh_29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QMRG\Analysis Outputs\FYA REEVAL 2019\PBH\Medicare\boxplot_medicare_pbh_290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2610" cy="3583381"/>
                    </a:xfrm>
                    <a:prstGeom prst="rect">
                      <a:avLst/>
                    </a:prstGeom>
                    <a:noFill/>
                    <a:ln>
                      <a:solidFill>
                        <a:schemeClr val="tx1"/>
                      </a:solidFill>
                    </a:ln>
                  </pic:spPr>
                </pic:pic>
              </a:graphicData>
            </a:graphic>
          </wp:inline>
        </w:drawing>
      </w:r>
    </w:p>
    <w:p w14:paraId="0F451441" w14:textId="77777777" w:rsidR="003B270A" w:rsidRPr="00927027" w:rsidRDefault="003B270A" w:rsidP="00D61410">
      <w:pPr>
        <w:autoSpaceDE w:val="0"/>
        <w:autoSpaceDN w:val="0"/>
        <w:adjustRightInd w:val="0"/>
        <w:spacing w:after="0" w:line="240" w:lineRule="auto"/>
        <w:rPr>
          <w:rFonts w:cstheme="minorHAnsi"/>
          <w:bCs/>
        </w:rPr>
      </w:pPr>
    </w:p>
    <w:p w14:paraId="05B5118C" w14:textId="582D4D74" w:rsidR="00746786" w:rsidRPr="00D92BC7" w:rsidRDefault="009C7513" w:rsidP="00EB7493">
      <w:pPr>
        <w:autoSpaceDE w:val="0"/>
        <w:autoSpaceDN w:val="0"/>
        <w:adjustRightInd w:val="0"/>
        <w:spacing w:after="0" w:line="240" w:lineRule="auto"/>
        <w:rPr>
          <w:rFonts w:cstheme="minorHAnsi"/>
          <w:color w:val="1111FB"/>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EB7493" w:rsidRPr="00D92BC7">
        <w:rPr>
          <w:rFonts w:cstheme="minorHAnsi"/>
          <w:color w:val="1111FB"/>
        </w:rPr>
        <w:t xml:space="preserve">The results above indicate there is meaningful difference in performance. Across </w:t>
      </w:r>
      <w:r w:rsidR="00216F98">
        <w:rPr>
          <w:rFonts w:cstheme="minorHAnsi"/>
          <w:color w:val="1111FB"/>
        </w:rPr>
        <w:t>Medicaid</w:t>
      </w:r>
      <w:r w:rsidR="00C1124E">
        <w:rPr>
          <w:rFonts w:cstheme="minorHAnsi"/>
          <w:color w:val="1111FB"/>
        </w:rPr>
        <w:t xml:space="preserve">, </w:t>
      </w:r>
      <w:r w:rsidR="00216F98">
        <w:rPr>
          <w:rFonts w:cstheme="minorHAnsi"/>
          <w:color w:val="1111FB"/>
        </w:rPr>
        <w:t xml:space="preserve">commercial </w:t>
      </w:r>
      <w:r w:rsidR="00C1124E">
        <w:rPr>
          <w:rFonts w:cstheme="minorHAnsi"/>
          <w:color w:val="1111FB"/>
        </w:rPr>
        <w:lastRenderedPageBreak/>
        <w:t xml:space="preserve">and Medicare </w:t>
      </w:r>
      <w:r w:rsidR="00216F98">
        <w:rPr>
          <w:rFonts w:cstheme="minorHAnsi"/>
          <w:color w:val="1111FB"/>
        </w:rPr>
        <w:t>plans</w:t>
      </w:r>
      <w:r w:rsidR="00EB7493" w:rsidRPr="00D92BC7">
        <w:rPr>
          <w:rFonts w:cstheme="minorHAnsi"/>
          <w:color w:val="1111FB"/>
        </w:rPr>
        <w:t>, the difference between the 25</w:t>
      </w:r>
      <w:r w:rsidR="00EB7493" w:rsidRPr="00D92BC7">
        <w:rPr>
          <w:rFonts w:cstheme="minorHAnsi"/>
          <w:color w:val="1111FB"/>
          <w:vertAlign w:val="superscript"/>
        </w:rPr>
        <w:t>th</w:t>
      </w:r>
      <w:r w:rsidR="00EB7493" w:rsidRPr="00D92BC7">
        <w:rPr>
          <w:rFonts w:cstheme="minorHAnsi"/>
          <w:color w:val="1111FB"/>
        </w:rPr>
        <w:t xml:space="preserve"> and 75</w:t>
      </w:r>
      <w:r w:rsidR="00EB7493" w:rsidRPr="00D92BC7">
        <w:rPr>
          <w:rFonts w:cstheme="minorHAnsi"/>
          <w:color w:val="1111FB"/>
          <w:vertAlign w:val="superscript"/>
        </w:rPr>
        <w:t>th</w:t>
      </w:r>
      <w:r w:rsidR="00EB7493" w:rsidRPr="00D92BC7">
        <w:rPr>
          <w:rFonts w:cstheme="minorHAnsi"/>
          <w:color w:val="1111FB"/>
        </w:rPr>
        <w:t xml:space="preserve"> percentile (better performance) is statistically significant.</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16A484C0" w14:textId="0AEE92EC"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501C61B4" w:rsidR="000F06B5" w:rsidRDefault="006C4EC0" w:rsidP="00DB3627">
      <w:pPr>
        <w:autoSpaceDE w:val="0"/>
        <w:autoSpaceDN w:val="0"/>
        <w:adjustRightInd w:val="0"/>
        <w:spacing w:after="0" w:line="240" w:lineRule="auto"/>
        <w:rPr>
          <w:rFonts w:cstheme="minorHAnsi"/>
          <w:color w:val="1111FB"/>
        </w:rPr>
      </w:pPr>
      <w:r w:rsidRPr="006C4EC0">
        <w:rPr>
          <w:rFonts w:cstheme="minorHAnsi"/>
          <w:bCs/>
          <w:color w:val="1111FB"/>
        </w:rPr>
        <w:t>The Persistence of Beta-Blocker Treatment After a Heart Attack measure has only one set of specifications.</w:t>
      </w:r>
    </w:p>
    <w:p w14:paraId="6BDD0669" w14:textId="77777777" w:rsidR="006C4EC0" w:rsidRPr="006C4EC0" w:rsidRDefault="006C4EC0" w:rsidP="00DB3627">
      <w:pPr>
        <w:autoSpaceDE w:val="0"/>
        <w:autoSpaceDN w:val="0"/>
        <w:adjustRightInd w:val="0"/>
        <w:spacing w:after="0" w:line="240" w:lineRule="auto"/>
        <w:rPr>
          <w:rFonts w:cstheme="minorHAnsi"/>
          <w:bCs/>
          <w:color w:val="1111FB"/>
        </w:rPr>
      </w:pPr>
    </w:p>
    <w:p w14:paraId="0CABD013" w14:textId="0AD0ACB6"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0CABD014" w14:textId="12DFBE17" w:rsidR="000F06B5" w:rsidRPr="00D92BC7" w:rsidRDefault="00A60852" w:rsidP="00DB3627">
      <w:pPr>
        <w:pStyle w:val="ListParagraph"/>
        <w:autoSpaceDE w:val="0"/>
        <w:autoSpaceDN w:val="0"/>
        <w:adjustRightInd w:val="0"/>
        <w:spacing w:after="0" w:line="240" w:lineRule="auto"/>
        <w:ind w:left="0"/>
        <w:rPr>
          <w:rFonts w:cstheme="minorHAnsi"/>
          <w:color w:val="1111FB"/>
        </w:rPr>
      </w:pPr>
      <w:r w:rsidRPr="00D92BC7">
        <w:rPr>
          <w:rFonts w:cstheme="minorHAnsi"/>
          <w:color w:val="1111FB"/>
        </w:rPr>
        <w:t>N/A</w:t>
      </w:r>
    </w:p>
    <w:p w14:paraId="4B159B80" w14:textId="77777777" w:rsidR="00A60852" w:rsidRPr="00A25024" w:rsidRDefault="00A60852" w:rsidP="00DB3627">
      <w:pPr>
        <w:pStyle w:val="ListParagraph"/>
        <w:autoSpaceDE w:val="0"/>
        <w:autoSpaceDN w:val="0"/>
        <w:adjustRightInd w:val="0"/>
        <w:spacing w:after="0" w:line="240" w:lineRule="auto"/>
        <w:ind w:left="0"/>
        <w:rPr>
          <w:rFonts w:cstheme="minorHAnsi"/>
          <w:bCs/>
        </w:rPr>
      </w:pPr>
    </w:p>
    <w:p w14:paraId="0CABD015" w14:textId="5B995CAA" w:rsidR="00A35F8F" w:rsidRPr="00A60852" w:rsidRDefault="009C7513" w:rsidP="00A60852">
      <w:pPr>
        <w:pStyle w:val="ListParagraph"/>
        <w:autoSpaceDE w:val="0"/>
        <w:autoSpaceDN w:val="0"/>
        <w:adjustRightInd w:val="0"/>
        <w:spacing w:after="0" w:line="240" w:lineRule="auto"/>
        <w:ind w:left="0"/>
        <w:rPr>
          <w:rFonts w:cstheme="minorHAnsi"/>
          <w:bCs/>
          <w:color w:val="4F81BD" w:themeColor="accent1"/>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A60852" w:rsidRPr="00D92BC7">
        <w:rPr>
          <w:rFonts w:cstheme="minorHAnsi"/>
          <w:color w:val="1111FB"/>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1BA29473" w:rsidR="0079180E" w:rsidRPr="00A60852" w:rsidRDefault="009C7513" w:rsidP="00A60852">
      <w:pPr>
        <w:pStyle w:val="ListParagraph"/>
        <w:autoSpaceDE w:val="0"/>
        <w:autoSpaceDN w:val="0"/>
        <w:adjustRightInd w:val="0"/>
        <w:spacing w:after="0" w:line="240" w:lineRule="auto"/>
        <w:ind w:left="0"/>
        <w:rPr>
          <w:rFonts w:cstheme="minorHAnsi"/>
          <w:bCs/>
          <w:color w:val="4F81BD" w:themeColor="accent1"/>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A60852" w:rsidRPr="00D92BC7">
        <w:rPr>
          <w:rFonts w:cstheme="minorHAnsi"/>
          <w:color w:val="1111FB"/>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1AB9000A" w14:textId="1B29B5AC" w:rsidR="004418F5" w:rsidRPr="00A77620" w:rsidRDefault="004418F5" w:rsidP="004418F5">
      <w:pPr>
        <w:autoSpaceDE w:val="0"/>
        <w:autoSpaceDN w:val="0"/>
        <w:adjustRightInd w:val="0"/>
        <w:spacing w:after="0" w:line="240" w:lineRule="auto"/>
        <w:rPr>
          <w:b/>
        </w:rPr>
      </w:pPr>
      <w:r w:rsidRPr="3C795A04">
        <w:rPr>
          <w:b/>
        </w:rPr>
        <w:t xml:space="preserve">2b6. MISSING DATA ANALYSIS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7CEDD311" w14:textId="034E67EC" w:rsidR="0096740D" w:rsidRPr="00FA3FF9" w:rsidRDefault="009C7513" w:rsidP="0096740D">
      <w:pPr>
        <w:autoSpaceDE w:val="0"/>
        <w:autoSpaceDN w:val="0"/>
        <w:adjustRightInd w:val="0"/>
        <w:spacing w:after="0" w:line="240" w:lineRule="auto"/>
        <w:rPr>
          <w:color w:val="1111FB"/>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96740D" w:rsidRPr="00FA3FF9">
        <w:rPr>
          <w:rFonts w:cstheme="minorHAnsi"/>
          <w:color w:val="1111FB"/>
        </w:rPr>
        <w:t>HEDIS measures apply</w:t>
      </w:r>
      <w:r w:rsidR="0096740D" w:rsidRPr="00FA3FF9">
        <w:rPr>
          <w:color w:val="1111FB"/>
        </w:rPr>
        <w:t xml:space="preserve"> to enrolled members in a health plan, and NCQA has a rigorous audit process to ensure the eligible population</w:t>
      </w:r>
      <w:r w:rsidR="00FA3FF9" w:rsidRPr="00FA3FF9">
        <w:rPr>
          <w:color w:val="1111FB"/>
        </w:rPr>
        <w:t>, denominator,</w:t>
      </w:r>
      <w:r w:rsidR="0096740D" w:rsidRPr="00FA3FF9">
        <w:rPr>
          <w:color w:val="1111FB"/>
        </w:rPr>
        <w:t xml:space="preserve"> and numerator events for each measure are correctly identified and reported. The audit process is designed to verify primary data sources used to populate measures and ensure specifications are correctly implemented. </w:t>
      </w:r>
    </w:p>
    <w:p w14:paraId="4AC7322E" w14:textId="77777777" w:rsidR="0096740D" w:rsidRPr="00FA3FF9" w:rsidRDefault="0096740D" w:rsidP="0096740D">
      <w:pPr>
        <w:autoSpaceDE w:val="0"/>
        <w:autoSpaceDN w:val="0"/>
        <w:adjustRightInd w:val="0"/>
        <w:spacing w:after="0" w:line="240" w:lineRule="auto"/>
        <w:rPr>
          <w:rFonts w:cstheme="minorHAnsi"/>
          <w:color w:val="1111FB"/>
        </w:rPr>
      </w:pPr>
    </w:p>
    <w:p w14:paraId="56DCE40E" w14:textId="77777777" w:rsidR="0096740D" w:rsidRPr="00FA3FF9" w:rsidRDefault="0096740D" w:rsidP="0096740D">
      <w:pPr>
        <w:autoSpaceDE w:val="0"/>
        <w:autoSpaceDN w:val="0"/>
        <w:adjustRightInd w:val="0"/>
        <w:spacing w:after="0" w:line="240" w:lineRule="auto"/>
        <w:rPr>
          <w:color w:val="1111FB"/>
        </w:rPr>
      </w:pPr>
      <w:r w:rsidRPr="00FA3FF9">
        <w:rPr>
          <w:color w:val="1111FB"/>
        </w:rPr>
        <w:t xml:space="preserve">The HEDIS Compliance Audit addresses the following functions:  </w:t>
      </w:r>
    </w:p>
    <w:p w14:paraId="7325C2A7" w14:textId="77777777" w:rsidR="0096740D" w:rsidRPr="00FA3FF9" w:rsidRDefault="0096740D" w:rsidP="0096740D">
      <w:pPr>
        <w:autoSpaceDE w:val="0"/>
        <w:autoSpaceDN w:val="0"/>
        <w:adjustRightInd w:val="0"/>
        <w:spacing w:after="0" w:line="240" w:lineRule="auto"/>
        <w:rPr>
          <w:color w:val="1111FB"/>
        </w:rPr>
      </w:pPr>
      <w:r w:rsidRPr="00FA3FF9">
        <w:rPr>
          <w:color w:val="1111FB"/>
        </w:rPr>
        <w:t xml:space="preserve">- Information practices and control procedures </w:t>
      </w:r>
    </w:p>
    <w:p w14:paraId="0AA96B25" w14:textId="77777777" w:rsidR="0096740D" w:rsidRPr="00FA3FF9" w:rsidRDefault="0096740D" w:rsidP="0096740D">
      <w:pPr>
        <w:autoSpaceDE w:val="0"/>
        <w:autoSpaceDN w:val="0"/>
        <w:adjustRightInd w:val="0"/>
        <w:spacing w:after="0" w:line="240" w:lineRule="auto"/>
        <w:rPr>
          <w:color w:val="1111FB"/>
        </w:rPr>
      </w:pPr>
      <w:r w:rsidRPr="00FA3FF9">
        <w:rPr>
          <w:color w:val="1111FB"/>
        </w:rPr>
        <w:t xml:space="preserve">- Sampling methods and procedures </w:t>
      </w:r>
    </w:p>
    <w:p w14:paraId="20802244" w14:textId="77777777" w:rsidR="0096740D" w:rsidRPr="00FA3FF9" w:rsidRDefault="0096740D" w:rsidP="0096740D">
      <w:pPr>
        <w:autoSpaceDE w:val="0"/>
        <w:autoSpaceDN w:val="0"/>
        <w:adjustRightInd w:val="0"/>
        <w:spacing w:after="0" w:line="240" w:lineRule="auto"/>
        <w:rPr>
          <w:color w:val="1111FB"/>
        </w:rPr>
      </w:pPr>
      <w:r w:rsidRPr="00FA3FF9">
        <w:rPr>
          <w:color w:val="1111FB"/>
        </w:rPr>
        <w:t xml:space="preserve">- Data integrity </w:t>
      </w:r>
    </w:p>
    <w:p w14:paraId="6EAF4A8A" w14:textId="77777777" w:rsidR="0096740D" w:rsidRPr="00FA3FF9" w:rsidRDefault="0096740D" w:rsidP="0096740D">
      <w:pPr>
        <w:autoSpaceDE w:val="0"/>
        <w:autoSpaceDN w:val="0"/>
        <w:adjustRightInd w:val="0"/>
        <w:spacing w:after="0" w:line="240" w:lineRule="auto"/>
        <w:rPr>
          <w:color w:val="1111FB"/>
        </w:rPr>
      </w:pPr>
      <w:r w:rsidRPr="00FA3FF9">
        <w:rPr>
          <w:color w:val="1111FB"/>
        </w:rPr>
        <w:lastRenderedPageBreak/>
        <w:t xml:space="preserve">- Compliance with HEDIS specifications </w:t>
      </w:r>
    </w:p>
    <w:p w14:paraId="55CB870B" w14:textId="77777777" w:rsidR="0096740D" w:rsidRPr="00FA3FF9" w:rsidRDefault="0096740D" w:rsidP="0096740D">
      <w:pPr>
        <w:autoSpaceDE w:val="0"/>
        <w:autoSpaceDN w:val="0"/>
        <w:adjustRightInd w:val="0"/>
        <w:spacing w:after="0" w:line="240" w:lineRule="auto"/>
        <w:rPr>
          <w:color w:val="1111FB"/>
        </w:rPr>
      </w:pPr>
      <w:r w:rsidRPr="00FA3FF9">
        <w:rPr>
          <w:color w:val="1111FB"/>
        </w:rPr>
        <w:t xml:space="preserve">- Analytic file production  </w:t>
      </w:r>
    </w:p>
    <w:p w14:paraId="0CABD01B" w14:textId="02DE7CBC" w:rsidR="008F7E67" w:rsidRPr="00FA3FF9" w:rsidRDefault="0096740D" w:rsidP="008F7E67">
      <w:pPr>
        <w:autoSpaceDE w:val="0"/>
        <w:autoSpaceDN w:val="0"/>
        <w:adjustRightInd w:val="0"/>
        <w:spacing w:after="0" w:line="240" w:lineRule="auto"/>
        <w:rPr>
          <w:rFonts w:cstheme="minorHAnsi"/>
          <w:color w:val="1111FB"/>
        </w:rPr>
      </w:pPr>
      <w:r w:rsidRPr="00FA3FF9">
        <w:rPr>
          <w:color w:val="1111FB"/>
        </w:rPr>
        <w:t>- Reporting and documentation</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598DEF95" w:rsidR="008F7E67" w:rsidRPr="0004631A" w:rsidRDefault="009C7513" w:rsidP="008F7E67">
      <w:pPr>
        <w:autoSpaceDE w:val="0"/>
        <w:autoSpaceDN w:val="0"/>
        <w:adjustRightInd w:val="0"/>
        <w:spacing w:after="0" w:line="240" w:lineRule="auto"/>
        <w:rPr>
          <w:rFonts w:cstheme="minorHAnsi"/>
          <w:bCs/>
          <w:color w:val="4F81BD" w:themeColor="accent1"/>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843A7C" w:rsidRPr="00141F1A">
        <w:rPr>
          <w:rFonts w:cstheme="minorHAnsi"/>
          <w:color w:val="1111FB"/>
        </w:rPr>
        <w:t>HEDIS addresses missing</w:t>
      </w:r>
      <w:r w:rsidR="00843A7C" w:rsidRPr="00141F1A">
        <w:rPr>
          <w:color w:val="1111FB"/>
        </w:rPr>
        <w:t xml:space="preserve"> data in a structured way through its audit process. HEDIS measures apply to enrolled members in a health plan, and NCQA-certified auditors use standard audit methodologies to assess whether data sources are missing data. If a data source is found to be missing data, and the issues cannot be rectified, the auditor will assign a “materially biased” designation to the measure for that reporting plan, and the rate will not be used. Once measures are added to HEDIS, NCQA conducts a first-year analysis to assess the measure’s feasibility once widely implemented in the field. This analysis includes an assessment of how many plans report valid rates vs. rates that are materially biased (or have other issues, such as small denominators). These considerations are weighed in the deliberation process before measures are approved for public reporting.</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29A9AACB" w14:textId="5947EC9B" w:rsidR="00BA053B" w:rsidRPr="00EA2C7C" w:rsidRDefault="00EA2C7C" w:rsidP="00B473DF">
      <w:pPr>
        <w:autoSpaceDE w:val="0"/>
        <w:autoSpaceDN w:val="0"/>
        <w:adjustRightInd w:val="0"/>
        <w:spacing w:after="0" w:line="240" w:lineRule="auto"/>
        <w:rPr>
          <w:rFonts w:cstheme="minorHAnsi"/>
          <w:color w:val="1111FB"/>
        </w:rPr>
      </w:pPr>
      <w:r w:rsidRPr="00EA2C7C">
        <w:rPr>
          <w:rFonts w:cstheme="minorHAnsi"/>
          <w:bCs/>
          <w:color w:val="1111FB"/>
        </w:rPr>
        <w:t xml:space="preserve">This measure goes through the NCQA audit process each year to identify potential errors or bias in results. Only performances rates that have been reviewed and determined not to be “materially biased” are reported and used.   </w:t>
      </w:r>
    </w:p>
    <w:sectPr w:rsidR="00BA053B" w:rsidRPr="00EA2C7C" w:rsidSect="00301E67">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43E90" w14:textId="77777777" w:rsidR="002F3861" w:rsidRDefault="002F3861" w:rsidP="005C73CA">
      <w:pPr>
        <w:spacing w:after="0" w:line="240" w:lineRule="auto"/>
      </w:pPr>
      <w:r>
        <w:separator/>
      </w:r>
    </w:p>
  </w:endnote>
  <w:endnote w:type="continuationSeparator" w:id="0">
    <w:p w14:paraId="7FDB053F" w14:textId="77777777" w:rsidR="002F3861" w:rsidRDefault="002F3861" w:rsidP="005C73CA">
      <w:pPr>
        <w:spacing w:after="0" w:line="240" w:lineRule="auto"/>
      </w:pPr>
      <w:r>
        <w:continuationSeparator/>
      </w:r>
    </w:p>
  </w:endnote>
  <w:endnote w:type="continuationNotice" w:id="1">
    <w:p w14:paraId="1460C3AA" w14:textId="77777777" w:rsidR="002F3861" w:rsidRDefault="002F38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0ECAE404"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5D2579">
      <w:rPr>
        <w:noProof/>
      </w:rPr>
      <w:t>1</w:t>
    </w:r>
    <w:r w:rsidR="00193F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B64DD" w14:textId="77777777" w:rsidR="002F3861" w:rsidRDefault="002F3861" w:rsidP="005C73CA">
      <w:pPr>
        <w:spacing w:after="0" w:line="240" w:lineRule="auto"/>
      </w:pPr>
      <w:r>
        <w:separator/>
      </w:r>
    </w:p>
  </w:footnote>
  <w:footnote w:type="continuationSeparator" w:id="0">
    <w:p w14:paraId="1D0ADCF0" w14:textId="77777777" w:rsidR="002F3861" w:rsidRDefault="002F3861" w:rsidP="005C73CA">
      <w:pPr>
        <w:spacing w:after="0" w:line="240" w:lineRule="auto"/>
      </w:pPr>
      <w:r>
        <w:continuationSeparator/>
      </w:r>
    </w:p>
  </w:footnote>
  <w:footnote w:type="continuationNotice" w:id="1">
    <w:p w14:paraId="2BFCDE2E" w14:textId="77777777" w:rsidR="002F3861" w:rsidRDefault="002F3861">
      <w:pPr>
        <w:spacing w:after="0" w:line="240" w:lineRule="auto"/>
      </w:pPr>
    </w:p>
  </w:footnote>
  <w:footnote w:id="2">
    <w:p w14:paraId="68D9060C" w14:textId="3FF703DF" w:rsidR="0055208D" w:rsidRPr="00B85FA4" w:rsidRDefault="0055208D">
      <w:pPr>
        <w:pStyle w:val="FootnoteText"/>
        <w:rPr>
          <w:rFonts w:asciiTheme="minorHAnsi" w:hAnsiTheme="minorHAnsi" w:cstheme="minorHAnsi"/>
          <w:color w:val="1111FB"/>
        </w:rPr>
      </w:pPr>
      <w:r w:rsidRPr="00B85FA4">
        <w:rPr>
          <w:rStyle w:val="FootnoteReference"/>
          <w:rFonts w:asciiTheme="minorHAnsi" w:hAnsiTheme="minorHAnsi" w:cstheme="minorHAnsi"/>
          <w:color w:val="1111FB"/>
        </w:rPr>
        <w:footnoteRef/>
      </w:r>
      <w:r w:rsidRPr="00B85FA4">
        <w:rPr>
          <w:rFonts w:asciiTheme="minorHAnsi" w:hAnsiTheme="minorHAnsi" w:cstheme="minorHAnsi"/>
          <w:color w:val="1111FB"/>
        </w:rPr>
        <w:t xml:space="preserve"> </w:t>
      </w:r>
      <w:r w:rsidR="00FC053B" w:rsidRPr="00B85FA4">
        <w:rPr>
          <w:rFonts w:asciiTheme="minorHAnsi" w:hAnsiTheme="minorHAnsi" w:cstheme="minorHAnsi"/>
          <w:color w:val="1111FB"/>
        </w:rPr>
        <w:t>Faurot, K.R., Funk, M.J., Pate, V., Brookhart, M.A., Patrick, A., Hanson, L.C., Castillo, W.C., Stürmer, T. 2015. Using Claims Data to Predict Dependency in Activities of Daily Living as a Proxy for Frailty. Pharmacoepidemiology and Drug Safety. 24(1): 59-66.</w:t>
      </w:r>
    </w:p>
  </w:footnote>
  <w:footnote w:id="3">
    <w:p w14:paraId="20949D1F" w14:textId="77777777" w:rsidR="008A216E" w:rsidRPr="00B85FA4" w:rsidRDefault="00FC053B" w:rsidP="008A216E">
      <w:pPr>
        <w:pStyle w:val="FootnoteText"/>
        <w:rPr>
          <w:rFonts w:asciiTheme="minorHAnsi" w:hAnsiTheme="minorHAnsi" w:cstheme="minorHAnsi"/>
          <w:color w:val="1111FB"/>
        </w:rPr>
      </w:pPr>
      <w:r w:rsidRPr="00B85FA4">
        <w:rPr>
          <w:rStyle w:val="FootnoteReference"/>
          <w:rFonts w:asciiTheme="minorHAnsi" w:hAnsiTheme="minorHAnsi" w:cstheme="minorHAnsi"/>
          <w:color w:val="1111FB"/>
        </w:rPr>
        <w:footnoteRef/>
      </w:r>
      <w:r w:rsidRPr="00B85FA4">
        <w:rPr>
          <w:rFonts w:asciiTheme="minorHAnsi" w:hAnsiTheme="minorHAnsi" w:cstheme="minorHAnsi"/>
          <w:color w:val="1111FB"/>
        </w:rPr>
        <w:t xml:space="preserve"> </w:t>
      </w:r>
      <w:r w:rsidR="008A216E" w:rsidRPr="00B85FA4">
        <w:rPr>
          <w:rFonts w:asciiTheme="minorHAnsi" w:hAnsiTheme="minorHAnsi" w:cstheme="minorHAnsi"/>
          <w:color w:val="1111FB"/>
        </w:rPr>
        <w:t>Segal, J.B., Chang, H.Y., Du, Y., Walston, J.D., Carlson, M.C., Varadhan, R. 2017. Development of a</w:t>
      </w:r>
    </w:p>
    <w:p w14:paraId="2ABE3D12" w14:textId="005C7765" w:rsidR="00FC053B" w:rsidRPr="00B85FA4" w:rsidRDefault="008A216E" w:rsidP="008A216E">
      <w:pPr>
        <w:pStyle w:val="FootnoteText"/>
        <w:rPr>
          <w:rFonts w:asciiTheme="minorHAnsi" w:hAnsiTheme="minorHAnsi" w:cstheme="minorHAnsi"/>
          <w:color w:val="1111FB"/>
        </w:rPr>
      </w:pPr>
      <w:r w:rsidRPr="00B85FA4">
        <w:rPr>
          <w:rFonts w:asciiTheme="minorHAnsi" w:hAnsiTheme="minorHAnsi" w:cstheme="minorHAnsi"/>
          <w:color w:val="1111FB"/>
        </w:rPr>
        <w:t>Claims-Based Frailty Indicator Anchored to a Well-Established Frailty Phenotype. Medical Care. 55(7): 716-722.</w:t>
      </w:r>
    </w:p>
  </w:footnote>
  <w:footnote w:id="4">
    <w:p w14:paraId="62EE2DE2" w14:textId="2C5245E5" w:rsidR="008A216E" w:rsidRDefault="008A216E">
      <w:pPr>
        <w:pStyle w:val="FootnoteText"/>
      </w:pPr>
      <w:r w:rsidRPr="00B85FA4">
        <w:rPr>
          <w:rStyle w:val="FootnoteReference"/>
          <w:rFonts w:asciiTheme="minorHAnsi" w:hAnsiTheme="minorHAnsi" w:cstheme="minorHAnsi"/>
          <w:color w:val="1111FB"/>
        </w:rPr>
        <w:footnoteRef/>
      </w:r>
      <w:r w:rsidRPr="00B85FA4">
        <w:rPr>
          <w:rFonts w:asciiTheme="minorHAnsi" w:hAnsiTheme="minorHAnsi" w:cstheme="minorHAnsi"/>
          <w:color w:val="1111FB"/>
        </w:rPr>
        <w:t xml:space="preserve"> </w:t>
      </w:r>
      <w:r w:rsidR="007D4868" w:rsidRPr="00B85FA4">
        <w:rPr>
          <w:rFonts w:asciiTheme="minorHAnsi" w:hAnsiTheme="minorHAnsi" w:cstheme="minorHAnsi"/>
          <w:color w:val="1111FB"/>
        </w:rPr>
        <w:t>Davidoff A.J., A. Hurrida, I.H. Zuckerman, S.M. Lichtman, N. Pandya, A. Hussain, F. Hendrick, J.P. Weiner, X. Ke, M.J. Edelman. 2013. A Novel Approach to Improve Health Status Measurement in Observational Claims-Based Studies of Cancer Treatment and Outcomes. J Geriatr Oncol. 4(2):157–165.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5D4498"/>
    <w:multiLevelType w:val="multilevel"/>
    <w:tmpl w:val="93CA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AB56A7"/>
    <w:multiLevelType w:val="hybridMultilevel"/>
    <w:tmpl w:val="EEA26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0B72A0"/>
    <w:multiLevelType w:val="multilevel"/>
    <w:tmpl w:val="526A19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BC2A1B"/>
    <w:multiLevelType w:val="multilevel"/>
    <w:tmpl w:val="F0D26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451360"/>
    <w:multiLevelType w:val="hybridMultilevel"/>
    <w:tmpl w:val="19F8A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CC30E0"/>
    <w:multiLevelType w:val="hybridMultilevel"/>
    <w:tmpl w:val="8258115A"/>
    <w:lvl w:ilvl="0" w:tplc="EF9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FA24C3"/>
    <w:multiLevelType w:val="hybridMultilevel"/>
    <w:tmpl w:val="1D164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EF727B"/>
    <w:multiLevelType w:val="hybridMultilevel"/>
    <w:tmpl w:val="854E79E8"/>
    <w:lvl w:ilvl="0" w:tplc="AD3A113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AD49A7"/>
    <w:multiLevelType w:val="multilevel"/>
    <w:tmpl w:val="ACB423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6D6F9B"/>
    <w:multiLevelType w:val="multilevel"/>
    <w:tmpl w:val="C152DE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14543F3"/>
    <w:multiLevelType w:val="hybridMultilevel"/>
    <w:tmpl w:val="0AC6CB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8390449"/>
    <w:multiLevelType w:val="multilevel"/>
    <w:tmpl w:val="07745D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D7F4FA3"/>
    <w:multiLevelType w:val="hybridMultilevel"/>
    <w:tmpl w:val="772AE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E04A1F"/>
    <w:multiLevelType w:val="hybridMultilevel"/>
    <w:tmpl w:val="878A3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7F4A17"/>
    <w:multiLevelType w:val="hybridMultilevel"/>
    <w:tmpl w:val="4DFC0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D2C3D8D"/>
    <w:multiLevelType w:val="hybridMultilevel"/>
    <w:tmpl w:val="6F405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86B2E15"/>
    <w:multiLevelType w:val="hybridMultilevel"/>
    <w:tmpl w:val="3B68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3"/>
  </w:num>
  <w:num w:numId="4">
    <w:abstractNumId w:val="6"/>
  </w:num>
  <w:num w:numId="5">
    <w:abstractNumId w:val="2"/>
  </w:num>
  <w:num w:numId="6">
    <w:abstractNumId w:val="1"/>
  </w:num>
  <w:num w:numId="7">
    <w:abstractNumId w:val="4"/>
  </w:num>
  <w:num w:numId="8">
    <w:abstractNumId w:val="32"/>
  </w:num>
  <w:num w:numId="9">
    <w:abstractNumId w:val="16"/>
  </w:num>
  <w:num w:numId="10">
    <w:abstractNumId w:val="42"/>
  </w:num>
  <w:num w:numId="11">
    <w:abstractNumId w:val="19"/>
  </w:num>
  <w:num w:numId="12">
    <w:abstractNumId w:val="39"/>
  </w:num>
  <w:num w:numId="13">
    <w:abstractNumId w:val="29"/>
  </w:num>
  <w:num w:numId="14">
    <w:abstractNumId w:val="2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8"/>
  </w:num>
  <w:num w:numId="16">
    <w:abstractNumId w:val="11"/>
  </w:num>
  <w:num w:numId="17">
    <w:abstractNumId w:val="41"/>
  </w:num>
  <w:num w:numId="18">
    <w:abstractNumId w:val="35"/>
  </w:num>
  <w:num w:numId="19">
    <w:abstractNumId w:val="33"/>
  </w:num>
  <w:num w:numId="20">
    <w:abstractNumId w:val="26"/>
  </w:num>
  <w:num w:numId="21">
    <w:abstractNumId w:val="31"/>
  </w:num>
  <w:num w:numId="22">
    <w:abstractNumId w:val="23"/>
  </w:num>
  <w:num w:numId="23">
    <w:abstractNumId w:val="9"/>
  </w:num>
  <w:num w:numId="24">
    <w:abstractNumId w:val="21"/>
  </w:num>
  <w:num w:numId="25">
    <w:abstractNumId w:val="20"/>
  </w:num>
  <w:num w:numId="26">
    <w:abstractNumId w:val="44"/>
  </w:num>
  <w:num w:numId="27">
    <w:abstractNumId w:val="0"/>
  </w:num>
  <w:num w:numId="28">
    <w:abstractNumId w:val="14"/>
  </w:num>
  <w:num w:numId="29">
    <w:abstractNumId w:val="27"/>
  </w:num>
  <w:num w:numId="30">
    <w:abstractNumId w:val="40"/>
  </w:num>
  <w:num w:numId="31">
    <w:abstractNumId w:val="38"/>
  </w:num>
  <w:num w:numId="32">
    <w:abstractNumId w:val="15"/>
  </w:num>
  <w:num w:numId="33">
    <w:abstractNumId w:val="36"/>
  </w:num>
  <w:num w:numId="34">
    <w:abstractNumId w:val="8"/>
  </w:num>
  <w:num w:numId="35">
    <w:abstractNumId w:val="30"/>
  </w:num>
  <w:num w:numId="36">
    <w:abstractNumId w:val="22"/>
  </w:num>
  <w:num w:numId="37">
    <w:abstractNumId w:val="17"/>
  </w:num>
  <w:num w:numId="38">
    <w:abstractNumId w:val="12"/>
  </w:num>
  <w:num w:numId="39">
    <w:abstractNumId w:val="24"/>
  </w:num>
  <w:num w:numId="40">
    <w:abstractNumId w:val="10"/>
  </w:num>
  <w:num w:numId="41">
    <w:abstractNumId w:val="7"/>
  </w:num>
  <w:num w:numId="42">
    <w:abstractNumId w:val="34"/>
  </w:num>
  <w:num w:numId="43">
    <w:abstractNumId w:val="25"/>
  </w:num>
  <w:num w:numId="44">
    <w:abstractNumId w:val="37"/>
  </w:num>
  <w:num w:numId="45">
    <w:abstractNumId w:val="13"/>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087D"/>
    <w:rsid w:val="00001120"/>
    <w:rsid w:val="00001D73"/>
    <w:rsid w:val="00003469"/>
    <w:rsid w:val="0001094F"/>
    <w:rsid w:val="00015423"/>
    <w:rsid w:val="00021170"/>
    <w:rsid w:val="0002128B"/>
    <w:rsid w:val="00024866"/>
    <w:rsid w:val="00024DFD"/>
    <w:rsid w:val="00027AB8"/>
    <w:rsid w:val="00027DF9"/>
    <w:rsid w:val="000309DD"/>
    <w:rsid w:val="00030D6D"/>
    <w:rsid w:val="000310EA"/>
    <w:rsid w:val="00031414"/>
    <w:rsid w:val="00033038"/>
    <w:rsid w:val="000338E3"/>
    <w:rsid w:val="000339CF"/>
    <w:rsid w:val="00033D63"/>
    <w:rsid w:val="0003436F"/>
    <w:rsid w:val="0003455C"/>
    <w:rsid w:val="00034A43"/>
    <w:rsid w:val="000414E8"/>
    <w:rsid w:val="00041758"/>
    <w:rsid w:val="00042947"/>
    <w:rsid w:val="0004593A"/>
    <w:rsid w:val="00045F4F"/>
    <w:rsid w:val="0004631A"/>
    <w:rsid w:val="00050A3E"/>
    <w:rsid w:val="00052A6F"/>
    <w:rsid w:val="00052E3A"/>
    <w:rsid w:val="00053F02"/>
    <w:rsid w:val="0005582E"/>
    <w:rsid w:val="0005612B"/>
    <w:rsid w:val="00056517"/>
    <w:rsid w:val="000574AB"/>
    <w:rsid w:val="0006147A"/>
    <w:rsid w:val="00061F3F"/>
    <w:rsid w:val="0006234F"/>
    <w:rsid w:val="00063061"/>
    <w:rsid w:val="000632B7"/>
    <w:rsid w:val="00064AB6"/>
    <w:rsid w:val="000653BE"/>
    <w:rsid w:val="00065441"/>
    <w:rsid w:val="00067BC4"/>
    <w:rsid w:val="000772F0"/>
    <w:rsid w:val="000775F8"/>
    <w:rsid w:val="00080CF7"/>
    <w:rsid w:val="00083781"/>
    <w:rsid w:val="00083C2A"/>
    <w:rsid w:val="000848D5"/>
    <w:rsid w:val="000851B2"/>
    <w:rsid w:val="00087C36"/>
    <w:rsid w:val="00091E9B"/>
    <w:rsid w:val="00092566"/>
    <w:rsid w:val="00093E54"/>
    <w:rsid w:val="00094D37"/>
    <w:rsid w:val="0009572E"/>
    <w:rsid w:val="000966EA"/>
    <w:rsid w:val="000968F8"/>
    <w:rsid w:val="00097012"/>
    <w:rsid w:val="000A0088"/>
    <w:rsid w:val="000A1E44"/>
    <w:rsid w:val="000A5B9F"/>
    <w:rsid w:val="000A6905"/>
    <w:rsid w:val="000B032A"/>
    <w:rsid w:val="000B0E87"/>
    <w:rsid w:val="000B1B2C"/>
    <w:rsid w:val="000B2DF7"/>
    <w:rsid w:val="000B3880"/>
    <w:rsid w:val="000B443D"/>
    <w:rsid w:val="000B7D57"/>
    <w:rsid w:val="000C036D"/>
    <w:rsid w:val="000C0FF8"/>
    <w:rsid w:val="000C42AC"/>
    <w:rsid w:val="000C6CE3"/>
    <w:rsid w:val="000D0808"/>
    <w:rsid w:val="000D2722"/>
    <w:rsid w:val="000D4CEA"/>
    <w:rsid w:val="000D7948"/>
    <w:rsid w:val="000D7C84"/>
    <w:rsid w:val="000E14AA"/>
    <w:rsid w:val="000E292F"/>
    <w:rsid w:val="000E2EAA"/>
    <w:rsid w:val="000E4E13"/>
    <w:rsid w:val="000E78F6"/>
    <w:rsid w:val="000F034A"/>
    <w:rsid w:val="000F06B5"/>
    <w:rsid w:val="000F0CC3"/>
    <w:rsid w:val="000F1900"/>
    <w:rsid w:val="000F1B7A"/>
    <w:rsid w:val="000F2137"/>
    <w:rsid w:val="000F2156"/>
    <w:rsid w:val="000F39E9"/>
    <w:rsid w:val="000F3A48"/>
    <w:rsid w:val="00101194"/>
    <w:rsid w:val="00102C79"/>
    <w:rsid w:val="00104B45"/>
    <w:rsid w:val="00105D8B"/>
    <w:rsid w:val="00106646"/>
    <w:rsid w:val="00107765"/>
    <w:rsid w:val="0011342F"/>
    <w:rsid w:val="001151DB"/>
    <w:rsid w:val="001202E9"/>
    <w:rsid w:val="001226CD"/>
    <w:rsid w:val="00124470"/>
    <w:rsid w:val="0012454F"/>
    <w:rsid w:val="00125273"/>
    <w:rsid w:val="0012575E"/>
    <w:rsid w:val="00127C06"/>
    <w:rsid w:val="00131B4E"/>
    <w:rsid w:val="00132E01"/>
    <w:rsid w:val="00135226"/>
    <w:rsid w:val="001352DE"/>
    <w:rsid w:val="00141C09"/>
    <w:rsid w:val="00141D76"/>
    <w:rsid w:val="00141F1A"/>
    <w:rsid w:val="00145149"/>
    <w:rsid w:val="00145D4F"/>
    <w:rsid w:val="0014773C"/>
    <w:rsid w:val="0016094A"/>
    <w:rsid w:val="001609B9"/>
    <w:rsid w:val="0016114C"/>
    <w:rsid w:val="001648BE"/>
    <w:rsid w:val="001648D5"/>
    <w:rsid w:val="0017136F"/>
    <w:rsid w:val="001734EB"/>
    <w:rsid w:val="00175F4C"/>
    <w:rsid w:val="0017696D"/>
    <w:rsid w:val="00177169"/>
    <w:rsid w:val="00182DF0"/>
    <w:rsid w:val="001848FC"/>
    <w:rsid w:val="00186411"/>
    <w:rsid w:val="00191F78"/>
    <w:rsid w:val="0019287A"/>
    <w:rsid w:val="00193F21"/>
    <w:rsid w:val="00196724"/>
    <w:rsid w:val="001969C5"/>
    <w:rsid w:val="001A4446"/>
    <w:rsid w:val="001A58C9"/>
    <w:rsid w:val="001A6CDD"/>
    <w:rsid w:val="001B0C0F"/>
    <w:rsid w:val="001B5F90"/>
    <w:rsid w:val="001B6482"/>
    <w:rsid w:val="001B6530"/>
    <w:rsid w:val="001C12EE"/>
    <w:rsid w:val="001C79A8"/>
    <w:rsid w:val="001C7B02"/>
    <w:rsid w:val="001D0D23"/>
    <w:rsid w:val="001D1F28"/>
    <w:rsid w:val="001D7EA5"/>
    <w:rsid w:val="001E17CD"/>
    <w:rsid w:val="001E266C"/>
    <w:rsid w:val="001E3F70"/>
    <w:rsid w:val="001E4DD4"/>
    <w:rsid w:val="001E64AB"/>
    <w:rsid w:val="001E69DC"/>
    <w:rsid w:val="001F169D"/>
    <w:rsid w:val="001F1DA1"/>
    <w:rsid w:val="001F2F6B"/>
    <w:rsid w:val="001F4B85"/>
    <w:rsid w:val="001F55B1"/>
    <w:rsid w:val="001F6F93"/>
    <w:rsid w:val="001F71F5"/>
    <w:rsid w:val="001F7A20"/>
    <w:rsid w:val="0020076C"/>
    <w:rsid w:val="00203C25"/>
    <w:rsid w:val="0021054A"/>
    <w:rsid w:val="00210FA9"/>
    <w:rsid w:val="0021195A"/>
    <w:rsid w:val="00212A36"/>
    <w:rsid w:val="00213383"/>
    <w:rsid w:val="00216F98"/>
    <w:rsid w:val="002170BC"/>
    <w:rsid w:val="00220250"/>
    <w:rsid w:val="00222444"/>
    <w:rsid w:val="00222BF9"/>
    <w:rsid w:val="0022331C"/>
    <w:rsid w:val="002242A1"/>
    <w:rsid w:val="00226610"/>
    <w:rsid w:val="0022691B"/>
    <w:rsid w:val="00231D3A"/>
    <w:rsid w:val="00232163"/>
    <w:rsid w:val="00232827"/>
    <w:rsid w:val="00232BDD"/>
    <w:rsid w:val="002348D7"/>
    <w:rsid w:val="00234F7D"/>
    <w:rsid w:val="002376F8"/>
    <w:rsid w:val="002408E4"/>
    <w:rsid w:val="00241591"/>
    <w:rsid w:val="00243B54"/>
    <w:rsid w:val="00243F09"/>
    <w:rsid w:val="00243F23"/>
    <w:rsid w:val="002465AA"/>
    <w:rsid w:val="0024665D"/>
    <w:rsid w:val="00247337"/>
    <w:rsid w:val="00250B4F"/>
    <w:rsid w:val="00250DFC"/>
    <w:rsid w:val="002520F5"/>
    <w:rsid w:val="00252646"/>
    <w:rsid w:val="0025316D"/>
    <w:rsid w:val="0025762F"/>
    <w:rsid w:val="002613CB"/>
    <w:rsid w:val="00261F22"/>
    <w:rsid w:val="002664EF"/>
    <w:rsid w:val="0027239D"/>
    <w:rsid w:val="00275139"/>
    <w:rsid w:val="002751D0"/>
    <w:rsid w:val="00275563"/>
    <w:rsid w:val="002760B1"/>
    <w:rsid w:val="00276563"/>
    <w:rsid w:val="0028114D"/>
    <w:rsid w:val="00285F6D"/>
    <w:rsid w:val="00287649"/>
    <w:rsid w:val="00287E84"/>
    <w:rsid w:val="0029286C"/>
    <w:rsid w:val="0029300E"/>
    <w:rsid w:val="0029493B"/>
    <w:rsid w:val="002A39F0"/>
    <w:rsid w:val="002A4363"/>
    <w:rsid w:val="002A52C0"/>
    <w:rsid w:val="002A56EE"/>
    <w:rsid w:val="002A5C40"/>
    <w:rsid w:val="002B0C3A"/>
    <w:rsid w:val="002B2116"/>
    <w:rsid w:val="002B2D9B"/>
    <w:rsid w:val="002B5016"/>
    <w:rsid w:val="002B73DE"/>
    <w:rsid w:val="002B742C"/>
    <w:rsid w:val="002B7DBA"/>
    <w:rsid w:val="002B7F4D"/>
    <w:rsid w:val="002C1181"/>
    <w:rsid w:val="002C285C"/>
    <w:rsid w:val="002C2FC3"/>
    <w:rsid w:val="002C5300"/>
    <w:rsid w:val="002C7BE4"/>
    <w:rsid w:val="002D3B21"/>
    <w:rsid w:val="002D417D"/>
    <w:rsid w:val="002D5E5D"/>
    <w:rsid w:val="002D67BD"/>
    <w:rsid w:val="002D69FA"/>
    <w:rsid w:val="002E1B93"/>
    <w:rsid w:val="002E78A0"/>
    <w:rsid w:val="002F0A23"/>
    <w:rsid w:val="002F2687"/>
    <w:rsid w:val="002F3861"/>
    <w:rsid w:val="002F3EEA"/>
    <w:rsid w:val="002F47CC"/>
    <w:rsid w:val="002F48E1"/>
    <w:rsid w:val="002F4F3B"/>
    <w:rsid w:val="002F539A"/>
    <w:rsid w:val="00301E67"/>
    <w:rsid w:val="00304C86"/>
    <w:rsid w:val="00305000"/>
    <w:rsid w:val="003059EB"/>
    <w:rsid w:val="003106C5"/>
    <w:rsid w:val="003116AC"/>
    <w:rsid w:val="00313B2E"/>
    <w:rsid w:val="00313CA4"/>
    <w:rsid w:val="00315567"/>
    <w:rsid w:val="00315939"/>
    <w:rsid w:val="003168D9"/>
    <w:rsid w:val="00321642"/>
    <w:rsid w:val="00324582"/>
    <w:rsid w:val="00327266"/>
    <w:rsid w:val="003273E8"/>
    <w:rsid w:val="00330144"/>
    <w:rsid w:val="00332C8D"/>
    <w:rsid w:val="00334329"/>
    <w:rsid w:val="00334FE9"/>
    <w:rsid w:val="0033529F"/>
    <w:rsid w:val="00335F01"/>
    <w:rsid w:val="00341B60"/>
    <w:rsid w:val="003423A7"/>
    <w:rsid w:val="00344460"/>
    <w:rsid w:val="00345CBA"/>
    <w:rsid w:val="00346245"/>
    <w:rsid w:val="00350E68"/>
    <w:rsid w:val="00356267"/>
    <w:rsid w:val="00356BAD"/>
    <w:rsid w:val="003572A7"/>
    <w:rsid w:val="003605B4"/>
    <w:rsid w:val="003627AC"/>
    <w:rsid w:val="00363AA0"/>
    <w:rsid w:val="00365037"/>
    <w:rsid w:val="00366239"/>
    <w:rsid w:val="00366914"/>
    <w:rsid w:val="003670CD"/>
    <w:rsid w:val="00367D40"/>
    <w:rsid w:val="00372FE3"/>
    <w:rsid w:val="003750AA"/>
    <w:rsid w:val="003755CB"/>
    <w:rsid w:val="00382456"/>
    <w:rsid w:val="00383F85"/>
    <w:rsid w:val="0038435B"/>
    <w:rsid w:val="0038708C"/>
    <w:rsid w:val="00387BA1"/>
    <w:rsid w:val="00390ACA"/>
    <w:rsid w:val="003930CD"/>
    <w:rsid w:val="003A25BB"/>
    <w:rsid w:val="003A306C"/>
    <w:rsid w:val="003A3CC7"/>
    <w:rsid w:val="003A4FD1"/>
    <w:rsid w:val="003A5621"/>
    <w:rsid w:val="003A7DE7"/>
    <w:rsid w:val="003B0E21"/>
    <w:rsid w:val="003B1006"/>
    <w:rsid w:val="003B270A"/>
    <w:rsid w:val="003C0E8D"/>
    <w:rsid w:val="003C3045"/>
    <w:rsid w:val="003C3296"/>
    <w:rsid w:val="003C49AC"/>
    <w:rsid w:val="003C5794"/>
    <w:rsid w:val="003C5F11"/>
    <w:rsid w:val="003C621D"/>
    <w:rsid w:val="003D294B"/>
    <w:rsid w:val="003D2E12"/>
    <w:rsid w:val="003D3352"/>
    <w:rsid w:val="003D6401"/>
    <w:rsid w:val="003D7581"/>
    <w:rsid w:val="003D7928"/>
    <w:rsid w:val="003E1863"/>
    <w:rsid w:val="003E34C2"/>
    <w:rsid w:val="003E64B2"/>
    <w:rsid w:val="003F4EB0"/>
    <w:rsid w:val="003F6A34"/>
    <w:rsid w:val="003F76F1"/>
    <w:rsid w:val="003F7F6E"/>
    <w:rsid w:val="00401DFD"/>
    <w:rsid w:val="00406955"/>
    <w:rsid w:val="004079EA"/>
    <w:rsid w:val="00413BE4"/>
    <w:rsid w:val="0041606D"/>
    <w:rsid w:val="00416962"/>
    <w:rsid w:val="00417B68"/>
    <w:rsid w:val="004206A8"/>
    <w:rsid w:val="00420E9B"/>
    <w:rsid w:val="004221DB"/>
    <w:rsid w:val="00422E39"/>
    <w:rsid w:val="00426A64"/>
    <w:rsid w:val="004320C3"/>
    <w:rsid w:val="004332EB"/>
    <w:rsid w:val="004348CC"/>
    <w:rsid w:val="0044075E"/>
    <w:rsid w:val="004418F5"/>
    <w:rsid w:val="004469DA"/>
    <w:rsid w:val="00450C58"/>
    <w:rsid w:val="00451150"/>
    <w:rsid w:val="00451293"/>
    <w:rsid w:val="00451C58"/>
    <w:rsid w:val="00452845"/>
    <w:rsid w:val="004541D0"/>
    <w:rsid w:val="00454B84"/>
    <w:rsid w:val="00456BC4"/>
    <w:rsid w:val="00461119"/>
    <w:rsid w:val="00461474"/>
    <w:rsid w:val="00461E6A"/>
    <w:rsid w:val="00462991"/>
    <w:rsid w:val="004631FF"/>
    <w:rsid w:val="0046384B"/>
    <w:rsid w:val="004658FF"/>
    <w:rsid w:val="00467192"/>
    <w:rsid w:val="0047099E"/>
    <w:rsid w:val="00472F8C"/>
    <w:rsid w:val="0047330A"/>
    <w:rsid w:val="00474ED7"/>
    <w:rsid w:val="004756E1"/>
    <w:rsid w:val="00476941"/>
    <w:rsid w:val="00477EAB"/>
    <w:rsid w:val="0048008A"/>
    <w:rsid w:val="00480A46"/>
    <w:rsid w:val="00480D7B"/>
    <w:rsid w:val="00483E94"/>
    <w:rsid w:val="00484120"/>
    <w:rsid w:val="004853A0"/>
    <w:rsid w:val="00487A57"/>
    <w:rsid w:val="00491CD9"/>
    <w:rsid w:val="00493BA1"/>
    <w:rsid w:val="00496B5F"/>
    <w:rsid w:val="004976B5"/>
    <w:rsid w:val="004A14EC"/>
    <w:rsid w:val="004A2E10"/>
    <w:rsid w:val="004A798A"/>
    <w:rsid w:val="004B17FF"/>
    <w:rsid w:val="004B1BA0"/>
    <w:rsid w:val="004B1BD5"/>
    <w:rsid w:val="004B3926"/>
    <w:rsid w:val="004B6CEE"/>
    <w:rsid w:val="004C2443"/>
    <w:rsid w:val="004C498F"/>
    <w:rsid w:val="004C5D29"/>
    <w:rsid w:val="004C681A"/>
    <w:rsid w:val="004D27BD"/>
    <w:rsid w:val="004D39C1"/>
    <w:rsid w:val="004D4D8A"/>
    <w:rsid w:val="004E1519"/>
    <w:rsid w:val="004E663E"/>
    <w:rsid w:val="004F0D2B"/>
    <w:rsid w:val="004F2872"/>
    <w:rsid w:val="004F372B"/>
    <w:rsid w:val="004F68EE"/>
    <w:rsid w:val="00501BE0"/>
    <w:rsid w:val="005038D5"/>
    <w:rsid w:val="00510E84"/>
    <w:rsid w:val="00511BA4"/>
    <w:rsid w:val="005149E7"/>
    <w:rsid w:val="005176F3"/>
    <w:rsid w:val="00520F05"/>
    <w:rsid w:val="005232D6"/>
    <w:rsid w:val="00526BEA"/>
    <w:rsid w:val="00526EDF"/>
    <w:rsid w:val="005316C3"/>
    <w:rsid w:val="00532851"/>
    <w:rsid w:val="005333CC"/>
    <w:rsid w:val="005363F1"/>
    <w:rsid w:val="00537C1B"/>
    <w:rsid w:val="00540207"/>
    <w:rsid w:val="00542E49"/>
    <w:rsid w:val="0055007C"/>
    <w:rsid w:val="00551E91"/>
    <w:rsid w:val="0055208D"/>
    <w:rsid w:val="00554922"/>
    <w:rsid w:val="00555282"/>
    <w:rsid w:val="005560E7"/>
    <w:rsid w:val="005612CC"/>
    <w:rsid w:val="0056194F"/>
    <w:rsid w:val="00563029"/>
    <w:rsid w:val="00563297"/>
    <w:rsid w:val="00565946"/>
    <w:rsid w:val="00567D12"/>
    <w:rsid w:val="00570045"/>
    <w:rsid w:val="00574404"/>
    <w:rsid w:val="00576062"/>
    <w:rsid w:val="00580DAD"/>
    <w:rsid w:val="0059559F"/>
    <w:rsid w:val="005A30B2"/>
    <w:rsid w:val="005A49FF"/>
    <w:rsid w:val="005A4CB5"/>
    <w:rsid w:val="005A7634"/>
    <w:rsid w:val="005A7B5C"/>
    <w:rsid w:val="005B0177"/>
    <w:rsid w:val="005B276B"/>
    <w:rsid w:val="005B6F04"/>
    <w:rsid w:val="005C0447"/>
    <w:rsid w:val="005C739F"/>
    <w:rsid w:val="005C73CA"/>
    <w:rsid w:val="005C7469"/>
    <w:rsid w:val="005D14C4"/>
    <w:rsid w:val="005D2579"/>
    <w:rsid w:val="005D3D02"/>
    <w:rsid w:val="005D4768"/>
    <w:rsid w:val="005D6152"/>
    <w:rsid w:val="005D75FF"/>
    <w:rsid w:val="005D7EF0"/>
    <w:rsid w:val="005E2CAB"/>
    <w:rsid w:val="005E429E"/>
    <w:rsid w:val="005E7F7E"/>
    <w:rsid w:val="005F0995"/>
    <w:rsid w:val="005F274A"/>
    <w:rsid w:val="005F6C46"/>
    <w:rsid w:val="00601409"/>
    <w:rsid w:val="00601ED4"/>
    <w:rsid w:val="006030BC"/>
    <w:rsid w:val="00612866"/>
    <w:rsid w:val="00612DB4"/>
    <w:rsid w:val="006131A3"/>
    <w:rsid w:val="006136B7"/>
    <w:rsid w:val="0061531F"/>
    <w:rsid w:val="00616EB5"/>
    <w:rsid w:val="0062263A"/>
    <w:rsid w:val="0062498F"/>
    <w:rsid w:val="006269D4"/>
    <w:rsid w:val="00627A0A"/>
    <w:rsid w:val="0063064A"/>
    <w:rsid w:val="00630F69"/>
    <w:rsid w:val="006313AB"/>
    <w:rsid w:val="006327D8"/>
    <w:rsid w:val="0064070A"/>
    <w:rsid w:val="00640BA6"/>
    <w:rsid w:val="00641DDB"/>
    <w:rsid w:val="00643A01"/>
    <w:rsid w:val="00645CF0"/>
    <w:rsid w:val="00647FF2"/>
    <w:rsid w:val="00651D44"/>
    <w:rsid w:val="006535ED"/>
    <w:rsid w:val="00653DCB"/>
    <w:rsid w:val="006551CC"/>
    <w:rsid w:val="006574D2"/>
    <w:rsid w:val="00657B4F"/>
    <w:rsid w:val="00663563"/>
    <w:rsid w:val="00664237"/>
    <w:rsid w:val="0066447C"/>
    <w:rsid w:val="00665073"/>
    <w:rsid w:val="006676D4"/>
    <w:rsid w:val="00667F41"/>
    <w:rsid w:val="0067054A"/>
    <w:rsid w:val="00673801"/>
    <w:rsid w:val="00674ACA"/>
    <w:rsid w:val="00675356"/>
    <w:rsid w:val="00675535"/>
    <w:rsid w:val="00681359"/>
    <w:rsid w:val="006860E5"/>
    <w:rsid w:val="00687805"/>
    <w:rsid w:val="0069157C"/>
    <w:rsid w:val="00694176"/>
    <w:rsid w:val="00695930"/>
    <w:rsid w:val="00696262"/>
    <w:rsid w:val="006A1940"/>
    <w:rsid w:val="006A4728"/>
    <w:rsid w:val="006A76E0"/>
    <w:rsid w:val="006B144A"/>
    <w:rsid w:val="006B4C98"/>
    <w:rsid w:val="006B52C5"/>
    <w:rsid w:val="006B6960"/>
    <w:rsid w:val="006C20D4"/>
    <w:rsid w:val="006C3A4F"/>
    <w:rsid w:val="006C3DCB"/>
    <w:rsid w:val="006C4845"/>
    <w:rsid w:val="006C4EC0"/>
    <w:rsid w:val="006C6D63"/>
    <w:rsid w:val="006D44AD"/>
    <w:rsid w:val="006D6BC1"/>
    <w:rsid w:val="006E0DD9"/>
    <w:rsid w:val="006E2BFC"/>
    <w:rsid w:val="006E5C57"/>
    <w:rsid w:val="006F22A5"/>
    <w:rsid w:val="006F71AD"/>
    <w:rsid w:val="0070282B"/>
    <w:rsid w:val="00702C73"/>
    <w:rsid w:val="00703820"/>
    <w:rsid w:val="00703F05"/>
    <w:rsid w:val="00704F46"/>
    <w:rsid w:val="0070745E"/>
    <w:rsid w:val="00707CA0"/>
    <w:rsid w:val="00713394"/>
    <w:rsid w:val="0071348E"/>
    <w:rsid w:val="00722203"/>
    <w:rsid w:val="00724677"/>
    <w:rsid w:val="00725AC2"/>
    <w:rsid w:val="007265B0"/>
    <w:rsid w:val="007277B5"/>
    <w:rsid w:val="007307F3"/>
    <w:rsid w:val="00732880"/>
    <w:rsid w:val="00732E25"/>
    <w:rsid w:val="007365F1"/>
    <w:rsid w:val="007372DB"/>
    <w:rsid w:val="00740C37"/>
    <w:rsid w:val="007416B9"/>
    <w:rsid w:val="007422FD"/>
    <w:rsid w:val="00743E46"/>
    <w:rsid w:val="00744EC4"/>
    <w:rsid w:val="00746665"/>
    <w:rsid w:val="00746786"/>
    <w:rsid w:val="00747C45"/>
    <w:rsid w:val="00750208"/>
    <w:rsid w:val="0075021C"/>
    <w:rsid w:val="0075119F"/>
    <w:rsid w:val="007539E1"/>
    <w:rsid w:val="00754D8C"/>
    <w:rsid w:val="0075556C"/>
    <w:rsid w:val="00756FDB"/>
    <w:rsid w:val="00762797"/>
    <w:rsid w:val="007629B6"/>
    <w:rsid w:val="00763A04"/>
    <w:rsid w:val="00764867"/>
    <w:rsid w:val="00764993"/>
    <w:rsid w:val="00764CA0"/>
    <w:rsid w:val="007662EB"/>
    <w:rsid w:val="007665BF"/>
    <w:rsid w:val="00771B2A"/>
    <w:rsid w:val="007757CE"/>
    <w:rsid w:val="00775800"/>
    <w:rsid w:val="00777995"/>
    <w:rsid w:val="0078036F"/>
    <w:rsid w:val="00780F4B"/>
    <w:rsid w:val="00783333"/>
    <w:rsid w:val="007853FC"/>
    <w:rsid w:val="00785BE2"/>
    <w:rsid w:val="0079180E"/>
    <w:rsid w:val="00791D73"/>
    <w:rsid w:val="007931B4"/>
    <w:rsid w:val="00795011"/>
    <w:rsid w:val="007950CC"/>
    <w:rsid w:val="0079538B"/>
    <w:rsid w:val="007961B8"/>
    <w:rsid w:val="00797624"/>
    <w:rsid w:val="007A2B83"/>
    <w:rsid w:val="007A4828"/>
    <w:rsid w:val="007A4FAA"/>
    <w:rsid w:val="007B093D"/>
    <w:rsid w:val="007B13BC"/>
    <w:rsid w:val="007B2069"/>
    <w:rsid w:val="007B35A6"/>
    <w:rsid w:val="007B5CD3"/>
    <w:rsid w:val="007B647A"/>
    <w:rsid w:val="007B6BE7"/>
    <w:rsid w:val="007B6DC9"/>
    <w:rsid w:val="007B77FB"/>
    <w:rsid w:val="007C04A1"/>
    <w:rsid w:val="007C1969"/>
    <w:rsid w:val="007C21FA"/>
    <w:rsid w:val="007C307B"/>
    <w:rsid w:val="007C47DF"/>
    <w:rsid w:val="007C5022"/>
    <w:rsid w:val="007D105B"/>
    <w:rsid w:val="007D13B1"/>
    <w:rsid w:val="007D4351"/>
    <w:rsid w:val="007D4868"/>
    <w:rsid w:val="007D7019"/>
    <w:rsid w:val="007E1650"/>
    <w:rsid w:val="007E18DB"/>
    <w:rsid w:val="007E4CB4"/>
    <w:rsid w:val="007E59AF"/>
    <w:rsid w:val="007E6F1C"/>
    <w:rsid w:val="007E7129"/>
    <w:rsid w:val="007F1A45"/>
    <w:rsid w:val="007F39C9"/>
    <w:rsid w:val="007F4867"/>
    <w:rsid w:val="007F5770"/>
    <w:rsid w:val="007F7DA6"/>
    <w:rsid w:val="00800FC9"/>
    <w:rsid w:val="0080327B"/>
    <w:rsid w:val="00804C69"/>
    <w:rsid w:val="0080711D"/>
    <w:rsid w:val="00807FCA"/>
    <w:rsid w:val="00810946"/>
    <w:rsid w:val="00813048"/>
    <w:rsid w:val="008155CD"/>
    <w:rsid w:val="008156D9"/>
    <w:rsid w:val="00815E98"/>
    <w:rsid w:val="0081723C"/>
    <w:rsid w:val="00823564"/>
    <w:rsid w:val="00826220"/>
    <w:rsid w:val="00831015"/>
    <w:rsid w:val="008325E1"/>
    <w:rsid w:val="00833325"/>
    <w:rsid w:val="008346AE"/>
    <w:rsid w:val="00836A38"/>
    <w:rsid w:val="00840A41"/>
    <w:rsid w:val="00842F3C"/>
    <w:rsid w:val="00843A7C"/>
    <w:rsid w:val="008505D1"/>
    <w:rsid w:val="0085123A"/>
    <w:rsid w:val="00853344"/>
    <w:rsid w:val="00855158"/>
    <w:rsid w:val="008557D1"/>
    <w:rsid w:val="0085689C"/>
    <w:rsid w:val="00856B4B"/>
    <w:rsid w:val="00857EE8"/>
    <w:rsid w:val="00862151"/>
    <w:rsid w:val="0086464B"/>
    <w:rsid w:val="008647FC"/>
    <w:rsid w:val="00864CA8"/>
    <w:rsid w:val="00865E2D"/>
    <w:rsid w:val="00866289"/>
    <w:rsid w:val="00867977"/>
    <w:rsid w:val="00870E6C"/>
    <w:rsid w:val="00875846"/>
    <w:rsid w:val="00884486"/>
    <w:rsid w:val="00886649"/>
    <w:rsid w:val="008871A9"/>
    <w:rsid w:val="0088731F"/>
    <w:rsid w:val="00890D0B"/>
    <w:rsid w:val="008916BA"/>
    <w:rsid w:val="00892176"/>
    <w:rsid w:val="00893D15"/>
    <w:rsid w:val="008A1DB7"/>
    <w:rsid w:val="008A216E"/>
    <w:rsid w:val="008A27A9"/>
    <w:rsid w:val="008A403A"/>
    <w:rsid w:val="008A4C13"/>
    <w:rsid w:val="008A74D0"/>
    <w:rsid w:val="008B1237"/>
    <w:rsid w:val="008B292D"/>
    <w:rsid w:val="008B5B94"/>
    <w:rsid w:val="008B604D"/>
    <w:rsid w:val="008C0B5A"/>
    <w:rsid w:val="008C19A1"/>
    <w:rsid w:val="008C54A9"/>
    <w:rsid w:val="008C7B72"/>
    <w:rsid w:val="008D2FF4"/>
    <w:rsid w:val="008D3CD0"/>
    <w:rsid w:val="008D56D7"/>
    <w:rsid w:val="008D6632"/>
    <w:rsid w:val="008D73C4"/>
    <w:rsid w:val="008E26B4"/>
    <w:rsid w:val="008E670C"/>
    <w:rsid w:val="008E67C3"/>
    <w:rsid w:val="008E7526"/>
    <w:rsid w:val="008F3512"/>
    <w:rsid w:val="008F4077"/>
    <w:rsid w:val="008F589F"/>
    <w:rsid w:val="008F59E5"/>
    <w:rsid w:val="008F69D0"/>
    <w:rsid w:val="008F763C"/>
    <w:rsid w:val="008F76A9"/>
    <w:rsid w:val="008F7E67"/>
    <w:rsid w:val="00900DBF"/>
    <w:rsid w:val="00900DC2"/>
    <w:rsid w:val="009035B2"/>
    <w:rsid w:val="009048B9"/>
    <w:rsid w:val="00904E91"/>
    <w:rsid w:val="00905B59"/>
    <w:rsid w:val="00906AF9"/>
    <w:rsid w:val="00906C83"/>
    <w:rsid w:val="009139B5"/>
    <w:rsid w:val="00914A48"/>
    <w:rsid w:val="00915886"/>
    <w:rsid w:val="0091792A"/>
    <w:rsid w:val="009214DC"/>
    <w:rsid w:val="0092322C"/>
    <w:rsid w:val="00927005"/>
    <w:rsid w:val="00927027"/>
    <w:rsid w:val="00931173"/>
    <w:rsid w:val="00932252"/>
    <w:rsid w:val="00932DB8"/>
    <w:rsid w:val="00933C75"/>
    <w:rsid w:val="00933D81"/>
    <w:rsid w:val="009344BA"/>
    <w:rsid w:val="00934885"/>
    <w:rsid w:val="00937027"/>
    <w:rsid w:val="00941446"/>
    <w:rsid w:val="00942F57"/>
    <w:rsid w:val="00942FF4"/>
    <w:rsid w:val="00946E61"/>
    <w:rsid w:val="00947F78"/>
    <w:rsid w:val="00950CD4"/>
    <w:rsid w:val="0095188C"/>
    <w:rsid w:val="009527E7"/>
    <w:rsid w:val="00953234"/>
    <w:rsid w:val="009536EC"/>
    <w:rsid w:val="0095437C"/>
    <w:rsid w:val="0095454E"/>
    <w:rsid w:val="009572E6"/>
    <w:rsid w:val="00960DD6"/>
    <w:rsid w:val="00961EAF"/>
    <w:rsid w:val="009621C1"/>
    <w:rsid w:val="0096278F"/>
    <w:rsid w:val="00962BD7"/>
    <w:rsid w:val="00963504"/>
    <w:rsid w:val="0096728F"/>
    <w:rsid w:val="0096740D"/>
    <w:rsid w:val="00971197"/>
    <w:rsid w:val="00971370"/>
    <w:rsid w:val="00971D57"/>
    <w:rsid w:val="009726E1"/>
    <w:rsid w:val="00972A04"/>
    <w:rsid w:val="00973555"/>
    <w:rsid w:val="00973630"/>
    <w:rsid w:val="00974EA1"/>
    <w:rsid w:val="009761B6"/>
    <w:rsid w:val="00977591"/>
    <w:rsid w:val="00980E75"/>
    <w:rsid w:val="00981FCB"/>
    <w:rsid w:val="0098310E"/>
    <w:rsid w:val="00983504"/>
    <w:rsid w:val="00994ACE"/>
    <w:rsid w:val="00994BE0"/>
    <w:rsid w:val="009973A7"/>
    <w:rsid w:val="009A25B1"/>
    <w:rsid w:val="009A346D"/>
    <w:rsid w:val="009A4608"/>
    <w:rsid w:val="009A52A1"/>
    <w:rsid w:val="009A617C"/>
    <w:rsid w:val="009A6A57"/>
    <w:rsid w:val="009A70BF"/>
    <w:rsid w:val="009B1A15"/>
    <w:rsid w:val="009B2561"/>
    <w:rsid w:val="009B26EE"/>
    <w:rsid w:val="009B4A3F"/>
    <w:rsid w:val="009B7AC3"/>
    <w:rsid w:val="009C0852"/>
    <w:rsid w:val="009C13CA"/>
    <w:rsid w:val="009C32C6"/>
    <w:rsid w:val="009C665F"/>
    <w:rsid w:val="009C7513"/>
    <w:rsid w:val="009D0456"/>
    <w:rsid w:val="009D2E8B"/>
    <w:rsid w:val="009D3882"/>
    <w:rsid w:val="009D7AB8"/>
    <w:rsid w:val="009D7BC2"/>
    <w:rsid w:val="009D7E38"/>
    <w:rsid w:val="009E095B"/>
    <w:rsid w:val="009E1846"/>
    <w:rsid w:val="009E6AFC"/>
    <w:rsid w:val="009E78FF"/>
    <w:rsid w:val="009F6C6B"/>
    <w:rsid w:val="00A01494"/>
    <w:rsid w:val="00A057E3"/>
    <w:rsid w:val="00A06AD4"/>
    <w:rsid w:val="00A10501"/>
    <w:rsid w:val="00A13B2A"/>
    <w:rsid w:val="00A171DE"/>
    <w:rsid w:val="00A21CDC"/>
    <w:rsid w:val="00A22FA9"/>
    <w:rsid w:val="00A25024"/>
    <w:rsid w:val="00A31DDB"/>
    <w:rsid w:val="00A35F8F"/>
    <w:rsid w:val="00A41377"/>
    <w:rsid w:val="00A4263D"/>
    <w:rsid w:val="00A464CD"/>
    <w:rsid w:val="00A50577"/>
    <w:rsid w:val="00A509B8"/>
    <w:rsid w:val="00A52AB9"/>
    <w:rsid w:val="00A52F6D"/>
    <w:rsid w:val="00A53311"/>
    <w:rsid w:val="00A53765"/>
    <w:rsid w:val="00A5475A"/>
    <w:rsid w:val="00A54B3C"/>
    <w:rsid w:val="00A55126"/>
    <w:rsid w:val="00A5620B"/>
    <w:rsid w:val="00A6033A"/>
    <w:rsid w:val="00A60852"/>
    <w:rsid w:val="00A6210B"/>
    <w:rsid w:val="00A64EBF"/>
    <w:rsid w:val="00A65C02"/>
    <w:rsid w:val="00A71200"/>
    <w:rsid w:val="00A71AF8"/>
    <w:rsid w:val="00A72B87"/>
    <w:rsid w:val="00A7323A"/>
    <w:rsid w:val="00A7535A"/>
    <w:rsid w:val="00A77ECF"/>
    <w:rsid w:val="00A831B4"/>
    <w:rsid w:val="00A84172"/>
    <w:rsid w:val="00A84D95"/>
    <w:rsid w:val="00A86AA6"/>
    <w:rsid w:val="00A90EE9"/>
    <w:rsid w:val="00A90EFE"/>
    <w:rsid w:val="00A93E1D"/>
    <w:rsid w:val="00A93EC6"/>
    <w:rsid w:val="00A965E8"/>
    <w:rsid w:val="00A96E85"/>
    <w:rsid w:val="00A97798"/>
    <w:rsid w:val="00AA02B0"/>
    <w:rsid w:val="00AA0F98"/>
    <w:rsid w:val="00AA5213"/>
    <w:rsid w:val="00AA5EAC"/>
    <w:rsid w:val="00AA65A6"/>
    <w:rsid w:val="00AB3EF0"/>
    <w:rsid w:val="00AB5670"/>
    <w:rsid w:val="00AB57A5"/>
    <w:rsid w:val="00AC014C"/>
    <w:rsid w:val="00AC10D8"/>
    <w:rsid w:val="00AC1D8E"/>
    <w:rsid w:val="00AC25C7"/>
    <w:rsid w:val="00AC46EA"/>
    <w:rsid w:val="00AC48FA"/>
    <w:rsid w:val="00AD0240"/>
    <w:rsid w:val="00AD4137"/>
    <w:rsid w:val="00AD6AE1"/>
    <w:rsid w:val="00AD782C"/>
    <w:rsid w:val="00AD79DC"/>
    <w:rsid w:val="00AE3A4E"/>
    <w:rsid w:val="00AE4151"/>
    <w:rsid w:val="00AF2842"/>
    <w:rsid w:val="00AF2D68"/>
    <w:rsid w:val="00AF36B4"/>
    <w:rsid w:val="00AF4501"/>
    <w:rsid w:val="00AF4CE2"/>
    <w:rsid w:val="00AF4EBD"/>
    <w:rsid w:val="00B03672"/>
    <w:rsid w:val="00B037BA"/>
    <w:rsid w:val="00B042F2"/>
    <w:rsid w:val="00B049A9"/>
    <w:rsid w:val="00B05E19"/>
    <w:rsid w:val="00B06141"/>
    <w:rsid w:val="00B11F03"/>
    <w:rsid w:val="00B15229"/>
    <w:rsid w:val="00B17C3C"/>
    <w:rsid w:val="00B20139"/>
    <w:rsid w:val="00B218DA"/>
    <w:rsid w:val="00B27598"/>
    <w:rsid w:val="00B32797"/>
    <w:rsid w:val="00B32CA0"/>
    <w:rsid w:val="00B342FA"/>
    <w:rsid w:val="00B3506A"/>
    <w:rsid w:val="00B4470B"/>
    <w:rsid w:val="00B464F3"/>
    <w:rsid w:val="00B467BF"/>
    <w:rsid w:val="00B473DF"/>
    <w:rsid w:val="00B47BC0"/>
    <w:rsid w:val="00B53E8B"/>
    <w:rsid w:val="00B550D5"/>
    <w:rsid w:val="00B558E7"/>
    <w:rsid w:val="00B60C12"/>
    <w:rsid w:val="00B62A3D"/>
    <w:rsid w:val="00B6321D"/>
    <w:rsid w:val="00B6343B"/>
    <w:rsid w:val="00B65895"/>
    <w:rsid w:val="00B6696E"/>
    <w:rsid w:val="00B67875"/>
    <w:rsid w:val="00B70877"/>
    <w:rsid w:val="00B71CD2"/>
    <w:rsid w:val="00B71F9E"/>
    <w:rsid w:val="00B72B08"/>
    <w:rsid w:val="00B7516B"/>
    <w:rsid w:val="00B77167"/>
    <w:rsid w:val="00B774D2"/>
    <w:rsid w:val="00B8015A"/>
    <w:rsid w:val="00B801FC"/>
    <w:rsid w:val="00B82A57"/>
    <w:rsid w:val="00B82FB7"/>
    <w:rsid w:val="00B8407D"/>
    <w:rsid w:val="00B85FA4"/>
    <w:rsid w:val="00B8643A"/>
    <w:rsid w:val="00B870CA"/>
    <w:rsid w:val="00B921E4"/>
    <w:rsid w:val="00B926D9"/>
    <w:rsid w:val="00B941B6"/>
    <w:rsid w:val="00BA053B"/>
    <w:rsid w:val="00BA20F1"/>
    <w:rsid w:val="00BA37FA"/>
    <w:rsid w:val="00BA50E1"/>
    <w:rsid w:val="00BA7880"/>
    <w:rsid w:val="00BB1EEA"/>
    <w:rsid w:val="00BB35AE"/>
    <w:rsid w:val="00BB4676"/>
    <w:rsid w:val="00BB5453"/>
    <w:rsid w:val="00BB55EC"/>
    <w:rsid w:val="00BB7AD8"/>
    <w:rsid w:val="00BB7D39"/>
    <w:rsid w:val="00BC03A1"/>
    <w:rsid w:val="00BC0D25"/>
    <w:rsid w:val="00BC18FF"/>
    <w:rsid w:val="00BD00B8"/>
    <w:rsid w:val="00BD1741"/>
    <w:rsid w:val="00BD182B"/>
    <w:rsid w:val="00BD2505"/>
    <w:rsid w:val="00BE2311"/>
    <w:rsid w:val="00BE592D"/>
    <w:rsid w:val="00BF0E6A"/>
    <w:rsid w:val="00BF11DA"/>
    <w:rsid w:val="00BF1984"/>
    <w:rsid w:val="00BF277E"/>
    <w:rsid w:val="00BF52B0"/>
    <w:rsid w:val="00BF5697"/>
    <w:rsid w:val="00BF5A23"/>
    <w:rsid w:val="00BF7611"/>
    <w:rsid w:val="00C05BC1"/>
    <w:rsid w:val="00C1053D"/>
    <w:rsid w:val="00C1124E"/>
    <w:rsid w:val="00C14CCC"/>
    <w:rsid w:val="00C15A64"/>
    <w:rsid w:val="00C1695E"/>
    <w:rsid w:val="00C16B04"/>
    <w:rsid w:val="00C20365"/>
    <w:rsid w:val="00C22C1C"/>
    <w:rsid w:val="00C25535"/>
    <w:rsid w:val="00C3059D"/>
    <w:rsid w:val="00C3177E"/>
    <w:rsid w:val="00C32C70"/>
    <w:rsid w:val="00C33F2E"/>
    <w:rsid w:val="00C3414D"/>
    <w:rsid w:val="00C34936"/>
    <w:rsid w:val="00C34C14"/>
    <w:rsid w:val="00C355B9"/>
    <w:rsid w:val="00C35F89"/>
    <w:rsid w:val="00C3695D"/>
    <w:rsid w:val="00C36B71"/>
    <w:rsid w:val="00C37EF1"/>
    <w:rsid w:val="00C401C4"/>
    <w:rsid w:val="00C41680"/>
    <w:rsid w:val="00C44051"/>
    <w:rsid w:val="00C45126"/>
    <w:rsid w:val="00C46370"/>
    <w:rsid w:val="00C5078B"/>
    <w:rsid w:val="00C513D7"/>
    <w:rsid w:val="00C51929"/>
    <w:rsid w:val="00C54583"/>
    <w:rsid w:val="00C56D5C"/>
    <w:rsid w:val="00C60A25"/>
    <w:rsid w:val="00C60D89"/>
    <w:rsid w:val="00C639F6"/>
    <w:rsid w:val="00C646B7"/>
    <w:rsid w:val="00C654AE"/>
    <w:rsid w:val="00C70A48"/>
    <w:rsid w:val="00C72347"/>
    <w:rsid w:val="00C728CF"/>
    <w:rsid w:val="00C736A5"/>
    <w:rsid w:val="00C765C5"/>
    <w:rsid w:val="00C76A73"/>
    <w:rsid w:val="00C775CE"/>
    <w:rsid w:val="00C8000D"/>
    <w:rsid w:val="00C8011D"/>
    <w:rsid w:val="00C80E47"/>
    <w:rsid w:val="00C82479"/>
    <w:rsid w:val="00C84691"/>
    <w:rsid w:val="00C859A0"/>
    <w:rsid w:val="00C867F0"/>
    <w:rsid w:val="00C91FC1"/>
    <w:rsid w:val="00CA06D8"/>
    <w:rsid w:val="00CA0A5A"/>
    <w:rsid w:val="00CA2AF3"/>
    <w:rsid w:val="00CA345A"/>
    <w:rsid w:val="00CA5490"/>
    <w:rsid w:val="00CA7446"/>
    <w:rsid w:val="00CB0A07"/>
    <w:rsid w:val="00CB15CD"/>
    <w:rsid w:val="00CB49FF"/>
    <w:rsid w:val="00CB5AE2"/>
    <w:rsid w:val="00CB61FA"/>
    <w:rsid w:val="00CC02CF"/>
    <w:rsid w:val="00CC086A"/>
    <w:rsid w:val="00CC0E00"/>
    <w:rsid w:val="00CC11AC"/>
    <w:rsid w:val="00CC2452"/>
    <w:rsid w:val="00CC346E"/>
    <w:rsid w:val="00CD0947"/>
    <w:rsid w:val="00CD0E24"/>
    <w:rsid w:val="00CD0F66"/>
    <w:rsid w:val="00CD2E3B"/>
    <w:rsid w:val="00CD364B"/>
    <w:rsid w:val="00CD4BCE"/>
    <w:rsid w:val="00CE0DA2"/>
    <w:rsid w:val="00CE10C3"/>
    <w:rsid w:val="00CE187E"/>
    <w:rsid w:val="00CE237D"/>
    <w:rsid w:val="00CE23B8"/>
    <w:rsid w:val="00CE284E"/>
    <w:rsid w:val="00CE50D7"/>
    <w:rsid w:val="00CE6527"/>
    <w:rsid w:val="00CF407F"/>
    <w:rsid w:val="00CF4CBE"/>
    <w:rsid w:val="00CF5CE3"/>
    <w:rsid w:val="00D00344"/>
    <w:rsid w:val="00D015AF"/>
    <w:rsid w:val="00D02944"/>
    <w:rsid w:val="00D0501E"/>
    <w:rsid w:val="00D0796A"/>
    <w:rsid w:val="00D07A39"/>
    <w:rsid w:val="00D10A27"/>
    <w:rsid w:val="00D16C68"/>
    <w:rsid w:val="00D1703F"/>
    <w:rsid w:val="00D1754D"/>
    <w:rsid w:val="00D17C11"/>
    <w:rsid w:val="00D21A0E"/>
    <w:rsid w:val="00D2223F"/>
    <w:rsid w:val="00D2267E"/>
    <w:rsid w:val="00D25389"/>
    <w:rsid w:val="00D274A4"/>
    <w:rsid w:val="00D277AF"/>
    <w:rsid w:val="00D31163"/>
    <w:rsid w:val="00D320B1"/>
    <w:rsid w:val="00D33AFD"/>
    <w:rsid w:val="00D35BBC"/>
    <w:rsid w:val="00D36489"/>
    <w:rsid w:val="00D369E9"/>
    <w:rsid w:val="00D42195"/>
    <w:rsid w:val="00D439C5"/>
    <w:rsid w:val="00D43A29"/>
    <w:rsid w:val="00D46FE9"/>
    <w:rsid w:val="00D50704"/>
    <w:rsid w:val="00D5760A"/>
    <w:rsid w:val="00D61410"/>
    <w:rsid w:val="00D62B07"/>
    <w:rsid w:val="00D63012"/>
    <w:rsid w:val="00D6599C"/>
    <w:rsid w:val="00D6724A"/>
    <w:rsid w:val="00D71CDB"/>
    <w:rsid w:val="00D72B9B"/>
    <w:rsid w:val="00D73E6D"/>
    <w:rsid w:val="00D769C5"/>
    <w:rsid w:val="00D77DA4"/>
    <w:rsid w:val="00D801B6"/>
    <w:rsid w:val="00D808C4"/>
    <w:rsid w:val="00D8181D"/>
    <w:rsid w:val="00D82E86"/>
    <w:rsid w:val="00D90F28"/>
    <w:rsid w:val="00D91654"/>
    <w:rsid w:val="00D92BC7"/>
    <w:rsid w:val="00D93ACC"/>
    <w:rsid w:val="00D968D8"/>
    <w:rsid w:val="00D97AD0"/>
    <w:rsid w:val="00DA1798"/>
    <w:rsid w:val="00DA1A87"/>
    <w:rsid w:val="00DA563D"/>
    <w:rsid w:val="00DA5909"/>
    <w:rsid w:val="00DA7277"/>
    <w:rsid w:val="00DB01ED"/>
    <w:rsid w:val="00DB060C"/>
    <w:rsid w:val="00DB15F6"/>
    <w:rsid w:val="00DB3627"/>
    <w:rsid w:val="00DB4724"/>
    <w:rsid w:val="00DB6944"/>
    <w:rsid w:val="00DB6EB4"/>
    <w:rsid w:val="00DB7EE1"/>
    <w:rsid w:val="00DC3DA8"/>
    <w:rsid w:val="00DC3F6D"/>
    <w:rsid w:val="00DC4746"/>
    <w:rsid w:val="00DC6E78"/>
    <w:rsid w:val="00DC7A10"/>
    <w:rsid w:val="00DD2CEB"/>
    <w:rsid w:val="00DD350F"/>
    <w:rsid w:val="00DD36EE"/>
    <w:rsid w:val="00DD5CC5"/>
    <w:rsid w:val="00DD623E"/>
    <w:rsid w:val="00DD6C37"/>
    <w:rsid w:val="00DE2A42"/>
    <w:rsid w:val="00DE30C2"/>
    <w:rsid w:val="00DE7003"/>
    <w:rsid w:val="00DE7149"/>
    <w:rsid w:val="00DF15B8"/>
    <w:rsid w:val="00DF3FFA"/>
    <w:rsid w:val="00DF7918"/>
    <w:rsid w:val="00E0314C"/>
    <w:rsid w:val="00E03B5B"/>
    <w:rsid w:val="00E04BE1"/>
    <w:rsid w:val="00E109FC"/>
    <w:rsid w:val="00E1508F"/>
    <w:rsid w:val="00E1630B"/>
    <w:rsid w:val="00E170DD"/>
    <w:rsid w:val="00E17872"/>
    <w:rsid w:val="00E21623"/>
    <w:rsid w:val="00E2249C"/>
    <w:rsid w:val="00E261DF"/>
    <w:rsid w:val="00E27240"/>
    <w:rsid w:val="00E27E9A"/>
    <w:rsid w:val="00E27EDD"/>
    <w:rsid w:val="00E30584"/>
    <w:rsid w:val="00E310B9"/>
    <w:rsid w:val="00E379B9"/>
    <w:rsid w:val="00E37E1B"/>
    <w:rsid w:val="00E507BC"/>
    <w:rsid w:val="00E51CEE"/>
    <w:rsid w:val="00E5279A"/>
    <w:rsid w:val="00E540B5"/>
    <w:rsid w:val="00E546B1"/>
    <w:rsid w:val="00E54FBE"/>
    <w:rsid w:val="00E562C0"/>
    <w:rsid w:val="00E57FAF"/>
    <w:rsid w:val="00E672D6"/>
    <w:rsid w:val="00E70E80"/>
    <w:rsid w:val="00E71DAE"/>
    <w:rsid w:val="00E76024"/>
    <w:rsid w:val="00E76BAF"/>
    <w:rsid w:val="00E810D2"/>
    <w:rsid w:val="00E8400C"/>
    <w:rsid w:val="00E856A2"/>
    <w:rsid w:val="00E93178"/>
    <w:rsid w:val="00E9367D"/>
    <w:rsid w:val="00E967AD"/>
    <w:rsid w:val="00E96884"/>
    <w:rsid w:val="00E977CF"/>
    <w:rsid w:val="00EA2C7C"/>
    <w:rsid w:val="00EA5435"/>
    <w:rsid w:val="00EA5F47"/>
    <w:rsid w:val="00EA6939"/>
    <w:rsid w:val="00EB455E"/>
    <w:rsid w:val="00EB67B2"/>
    <w:rsid w:val="00EB7493"/>
    <w:rsid w:val="00EB7FC1"/>
    <w:rsid w:val="00EC0C11"/>
    <w:rsid w:val="00EC2F7A"/>
    <w:rsid w:val="00EC62CC"/>
    <w:rsid w:val="00EC79DE"/>
    <w:rsid w:val="00EC7B2E"/>
    <w:rsid w:val="00ED098F"/>
    <w:rsid w:val="00ED2326"/>
    <w:rsid w:val="00ED43A3"/>
    <w:rsid w:val="00ED4ACE"/>
    <w:rsid w:val="00ED6F33"/>
    <w:rsid w:val="00EE1B7B"/>
    <w:rsid w:val="00EE4D35"/>
    <w:rsid w:val="00EF2DA7"/>
    <w:rsid w:val="00F05E5E"/>
    <w:rsid w:val="00F11C8E"/>
    <w:rsid w:val="00F136E1"/>
    <w:rsid w:val="00F1412B"/>
    <w:rsid w:val="00F15BFA"/>
    <w:rsid w:val="00F20359"/>
    <w:rsid w:val="00F2184E"/>
    <w:rsid w:val="00F31B68"/>
    <w:rsid w:val="00F31D5B"/>
    <w:rsid w:val="00F344B0"/>
    <w:rsid w:val="00F34FAB"/>
    <w:rsid w:val="00F356AA"/>
    <w:rsid w:val="00F37612"/>
    <w:rsid w:val="00F435AA"/>
    <w:rsid w:val="00F45F60"/>
    <w:rsid w:val="00F460CB"/>
    <w:rsid w:val="00F465BB"/>
    <w:rsid w:val="00F47419"/>
    <w:rsid w:val="00F56860"/>
    <w:rsid w:val="00F5738A"/>
    <w:rsid w:val="00F60557"/>
    <w:rsid w:val="00F60AC2"/>
    <w:rsid w:val="00F612D4"/>
    <w:rsid w:val="00F61EF8"/>
    <w:rsid w:val="00F6295C"/>
    <w:rsid w:val="00F64926"/>
    <w:rsid w:val="00F66847"/>
    <w:rsid w:val="00F6688C"/>
    <w:rsid w:val="00F6736B"/>
    <w:rsid w:val="00F7389E"/>
    <w:rsid w:val="00F77F1D"/>
    <w:rsid w:val="00F81701"/>
    <w:rsid w:val="00F81FFD"/>
    <w:rsid w:val="00F82801"/>
    <w:rsid w:val="00F86087"/>
    <w:rsid w:val="00F87CCB"/>
    <w:rsid w:val="00F937B9"/>
    <w:rsid w:val="00FA169F"/>
    <w:rsid w:val="00FA33D2"/>
    <w:rsid w:val="00FA3FF9"/>
    <w:rsid w:val="00FA48C7"/>
    <w:rsid w:val="00FB0353"/>
    <w:rsid w:val="00FB30E6"/>
    <w:rsid w:val="00FB3F82"/>
    <w:rsid w:val="00FB51FB"/>
    <w:rsid w:val="00FB73C1"/>
    <w:rsid w:val="00FC053B"/>
    <w:rsid w:val="00FC3DD1"/>
    <w:rsid w:val="00FC4E38"/>
    <w:rsid w:val="00FC5408"/>
    <w:rsid w:val="00FC6FA4"/>
    <w:rsid w:val="00FD7B44"/>
    <w:rsid w:val="00FF1135"/>
    <w:rsid w:val="00FF4BDA"/>
    <w:rsid w:val="00FF4E85"/>
    <w:rsid w:val="00FF6ED6"/>
    <w:rsid w:val="2A8FC9A5"/>
    <w:rsid w:val="3EB13858"/>
    <w:rsid w:val="460FFE18"/>
    <w:rsid w:val="5249C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CABCF53"/>
  <w15:docId w15:val="{908D4003-184E-4806-B524-8D167C979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styleId="UnresolvedMention">
    <w:name w:val="Unresolved Mention"/>
    <w:basedOn w:val="DefaultParagraphFont"/>
    <w:uiPriority w:val="99"/>
    <w:semiHidden/>
    <w:unhideWhenUsed/>
    <w:rsid w:val="00F344B0"/>
    <w:rPr>
      <w:color w:val="605E5C"/>
      <w:shd w:val="clear" w:color="auto" w:fill="E1DFDD"/>
    </w:rPr>
  </w:style>
  <w:style w:type="character" w:customStyle="1" w:styleId="normaltextrun">
    <w:name w:val="normaltextrun"/>
    <w:basedOn w:val="DefaultParagraphFont"/>
    <w:rsid w:val="008B292D"/>
  </w:style>
  <w:style w:type="character" w:customStyle="1" w:styleId="eop">
    <w:name w:val="eop"/>
    <w:basedOn w:val="DefaultParagraphFont"/>
    <w:rsid w:val="008B292D"/>
  </w:style>
  <w:style w:type="paragraph" w:customStyle="1" w:styleId="paragraph">
    <w:name w:val="paragraph"/>
    <w:basedOn w:val="Normal"/>
    <w:rsid w:val="00A93EC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00763">
      <w:bodyDiv w:val="1"/>
      <w:marLeft w:val="0"/>
      <w:marRight w:val="0"/>
      <w:marTop w:val="0"/>
      <w:marBottom w:val="0"/>
      <w:divBdr>
        <w:top w:val="none" w:sz="0" w:space="0" w:color="auto"/>
        <w:left w:val="none" w:sz="0" w:space="0" w:color="auto"/>
        <w:bottom w:val="none" w:sz="0" w:space="0" w:color="auto"/>
        <w:right w:val="none" w:sz="0" w:space="0" w:color="auto"/>
      </w:divBdr>
    </w:div>
    <w:div w:id="252979169">
      <w:bodyDiv w:val="1"/>
      <w:marLeft w:val="0"/>
      <w:marRight w:val="0"/>
      <w:marTop w:val="0"/>
      <w:marBottom w:val="0"/>
      <w:divBdr>
        <w:top w:val="none" w:sz="0" w:space="0" w:color="auto"/>
        <w:left w:val="none" w:sz="0" w:space="0" w:color="auto"/>
        <w:bottom w:val="none" w:sz="0" w:space="0" w:color="auto"/>
        <w:right w:val="none" w:sz="0" w:space="0" w:color="auto"/>
      </w:divBdr>
      <w:divsChild>
        <w:div w:id="160122186">
          <w:marLeft w:val="0"/>
          <w:marRight w:val="0"/>
          <w:marTop w:val="0"/>
          <w:marBottom w:val="0"/>
          <w:divBdr>
            <w:top w:val="none" w:sz="0" w:space="0" w:color="auto"/>
            <w:left w:val="none" w:sz="0" w:space="0" w:color="auto"/>
            <w:bottom w:val="none" w:sz="0" w:space="0" w:color="auto"/>
            <w:right w:val="none" w:sz="0" w:space="0" w:color="auto"/>
          </w:divBdr>
        </w:div>
        <w:div w:id="236866347">
          <w:marLeft w:val="0"/>
          <w:marRight w:val="0"/>
          <w:marTop w:val="0"/>
          <w:marBottom w:val="0"/>
          <w:divBdr>
            <w:top w:val="none" w:sz="0" w:space="0" w:color="auto"/>
            <w:left w:val="none" w:sz="0" w:space="0" w:color="auto"/>
            <w:bottom w:val="none" w:sz="0" w:space="0" w:color="auto"/>
            <w:right w:val="none" w:sz="0" w:space="0" w:color="auto"/>
          </w:divBdr>
        </w:div>
        <w:div w:id="723869863">
          <w:marLeft w:val="0"/>
          <w:marRight w:val="0"/>
          <w:marTop w:val="0"/>
          <w:marBottom w:val="0"/>
          <w:divBdr>
            <w:top w:val="none" w:sz="0" w:space="0" w:color="auto"/>
            <w:left w:val="none" w:sz="0" w:space="0" w:color="auto"/>
            <w:bottom w:val="none" w:sz="0" w:space="0" w:color="auto"/>
            <w:right w:val="none" w:sz="0" w:space="0" w:color="auto"/>
          </w:divBdr>
          <w:divsChild>
            <w:div w:id="283465758">
              <w:marLeft w:val="0"/>
              <w:marRight w:val="0"/>
              <w:marTop w:val="0"/>
              <w:marBottom w:val="0"/>
              <w:divBdr>
                <w:top w:val="none" w:sz="0" w:space="0" w:color="auto"/>
                <w:left w:val="none" w:sz="0" w:space="0" w:color="auto"/>
                <w:bottom w:val="none" w:sz="0" w:space="0" w:color="auto"/>
                <w:right w:val="none" w:sz="0" w:space="0" w:color="auto"/>
              </w:divBdr>
            </w:div>
            <w:div w:id="334765817">
              <w:marLeft w:val="0"/>
              <w:marRight w:val="0"/>
              <w:marTop w:val="0"/>
              <w:marBottom w:val="0"/>
              <w:divBdr>
                <w:top w:val="none" w:sz="0" w:space="0" w:color="auto"/>
                <w:left w:val="none" w:sz="0" w:space="0" w:color="auto"/>
                <w:bottom w:val="none" w:sz="0" w:space="0" w:color="auto"/>
                <w:right w:val="none" w:sz="0" w:space="0" w:color="auto"/>
              </w:divBdr>
            </w:div>
            <w:div w:id="740760519">
              <w:marLeft w:val="0"/>
              <w:marRight w:val="0"/>
              <w:marTop w:val="0"/>
              <w:marBottom w:val="0"/>
              <w:divBdr>
                <w:top w:val="none" w:sz="0" w:space="0" w:color="auto"/>
                <w:left w:val="none" w:sz="0" w:space="0" w:color="auto"/>
                <w:bottom w:val="none" w:sz="0" w:space="0" w:color="auto"/>
                <w:right w:val="none" w:sz="0" w:space="0" w:color="auto"/>
              </w:divBdr>
            </w:div>
            <w:div w:id="1206405043">
              <w:marLeft w:val="0"/>
              <w:marRight w:val="0"/>
              <w:marTop w:val="0"/>
              <w:marBottom w:val="0"/>
              <w:divBdr>
                <w:top w:val="none" w:sz="0" w:space="0" w:color="auto"/>
                <w:left w:val="none" w:sz="0" w:space="0" w:color="auto"/>
                <w:bottom w:val="none" w:sz="0" w:space="0" w:color="auto"/>
                <w:right w:val="none" w:sz="0" w:space="0" w:color="auto"/>
              </w:divBdr>
            </w:div>
            <w:div w:id="1880627677">
              <w:marLeft w:val="0"/>
              <w:marRight w:val="0"/>
              <w:marTop w:val="0"/>
              <w:marBottom w:val="0"/>
              <w:divBdr>
                <w:top w:val="none" w:sz="0" w:space="0" w:color="auto"/>
                <w:left w:val="none" w:sz="0" w:space="0" w:color="auto"/>
                <w:bottom w:val="none" w:sz="0" w:space="0" w:color="auto"/>
                <w:right w:val="none" w:sz="0" w:space="0" w:color="auto"/>
              </w:divBdr>
            </w:div>
          </w:divsChild>
        </w:div>
        <w:div w:id="1004210053">
          <w:marLeft w:val="0"/>
          <w:marRight w:val="0"/>
          <w:marTop w:val="0"/>
          <w:marBottom w:val="0"/>
          <w:divBdr>
            <w:top w:val="none" w:sz="0" w:space="0" w:color="auto"/>
            <w:left w:val="none" w:sz="0" w:space="0" w:color="auto"/>
            <w:bottom w:val="none" w:sz="0" w:space="0" w:color="auto"/>
            <w:right w:val="none" w:sz="0" w:space="0" w:color="auto"/>
          </w:divBdr>
        </w:div>
        <w:div w:id="1371106852">
          <w:marLeft w:val="0"/>
          <w:marRight w:val="0"/>
          <w:marTop w:val="0"/>
          <w:marBottom w:val="0"/>
          <w:divBdr>
            <w:top w:val="none" w:sz="0" w:space="0" w:color="auto"/>
            <w:left w:val="none" w:sz="0" w:space="0" w:color="auto"/>
            <w:bottom w:val="none" w:sz="0" w:space="0" w:color="auto"/>
            <w:right w:val="none" w:sz="0" w:space="0" w:color="auto"/>
          </w:divBdr>
        </w:div>
        <w:div w:id="1400901195">
          <w:marLeft w:val="0"/>
          <w:marRight w:val="0"/>
          <w:marTop w:val="0"/>
          <w:marBottom w:val="0"/>
          <w:divBdr>
            <w:top w:val="none" w:sz="0" w:space="0" w:color="auto"/>
            <w:left w:val="none" w:sz="0" w:space="0" w:color="auto"/>
            <w:bottom w:val="none" w:sz="0" w:space="0" w:color="auto"/>
            <w:right w:val="none" w:sz="0" w:space="0" w:color="auto"/>
          </w:divBdr>
        </w:div>
        <w:div w:id="1424304096">
          <w:marLeft w:val="0"/>
          <w:marRight w:val="0"/>
          <w:marTop w:val="0"/>
          <w:marBottom w:val="0"/>
          <w:divBdr>
            <w:top w:val="none" w:sz="0" w:space="0" w:color="auto"/>
            <w:left w:val="none" w:sz="0" w:space="0" w:color="auto"/>
            <w:bottom w:val="none" w:sz="0" w:space="0" w:color="auto"/>
            <w:right w:val="none" w:sz="0" w:space="0" w:color="auto"/>
          </w:divBdr>
          <w:divsChild>
            <w:div w:id="410080628">
              <w:marLeft w:val="0"/>
              <w:marRight w:val="0"/>
              <w:marTop w:val="0"/>
              <w:marBottom w:val="0"/>
              <w:divBdr>
                <w:top w:val="none" w:sz="0" w:space="0" w:color="auto"/>
                <w:left w:val="none" w:sz="0" w:space="0" w:color="auto"/>
                <w:bottom w:val="none" w:sz="0" w:space="0" w:color="auto"/>
                <w:right w:val="none" w:sz="0" w:space="0" w:color="auto"/>
              </w:divBdr>
            </w:div>
            <w:div w:id="702092163">
              <w:marLeft w:val="0"/>
              <w:marRight w:val="0"/>
              <w:marTop w:val="0"/>
              <w:marBottom w:val="0"/>
              <w:divBdr>
                <w:top w:val="none" w:sz="0" w:space="0" w:color="auto"/>
                <w:left w:val="none" w:sz="0" w:space="0" w:color="auto"/>
                <w:bottom w:val="none" w:sz="0" w:space="0" w:color="auto"/>
                <w:right w:val="none" w:sz="0" w:space="0" w:color="auto"/>
              </w:divBdr>
            </w:div>
            <w:div w:id="936718260">
              <w:marLeft w:val="0"/>
              <w:marRight w:val="0"/>
              <w:marTop w:val="0"/>
              <w:marBottom w:val="0"/>
              <w:divBdr>
                <w:top w:val="none" w:sz="0" w:space="0" w:color="auto"/>
                <w:left w:val="none" w:sz="0" w:space="0" w:color="auto"/>
                <w:bottom w:val="none" w:sz="0" w:space="0" w:color="auto"/>
                <w:right w:val="none" w:sz="0" w:space="0" w:color="auto"/>
              </w:divBdr>
            </w:div>
            <w:div w:id="1208372030">
              <w:marLeft w:val="0"/>
              <w:marRight w:val="0"/>
              <w:marTop w:val="0"/>
              <w:marBottom w:val="0"/>
              <w:divBdr>
                <w:top w:val="none" w:sz="0" w:space="0" w:color="auto"/>
                <w:left w:val="none" w:sz="0" w:space="0" w:color="auto"/>
                <w:bottom w:val="none" w:sz="0" w:space="0" w:color="auto"/>
                <w:right w:val="none" w:sz="0" w:space="0" w:color="auto"/>
              </w:divBdr>
            </w:div>
            <w:div w:id="1423839578">
              <w:marLeft w:val="0"/>
              <w:marRight w:val="0"/>
              <w:marTop w:val="0"/>
              <w:marBottom w:val="0"/>
              <w:divBdr>
                <w:top w:val="none" w:sz="0" w:space="0" w:color="auto"/>
                <w:left w:val="none" w:sz="0" w:space="0" w:color="auto"/>
                <w:bottom w:val="none" w:sz="0" w:space="0" w:color="auto"/>
                <w:right w:val="none" w:sz="0" w:space="0" w:color="auto"/>
              </w:divBdr>
            </w:div>
          </w:divsChild>
        </w:div>
        <w:div w:id="1455908192">
          <w:marLeft w:val="0"/>
          <w:marRight w:val="0"/>
          <w:marTop w:val="0"/>
          <w:marBottom w:val="0"/>
          <w:divBdr>
            <w:top w:val="none" w:sz="0" w:space="0" w:color="auto"/>
            <w:left w:val="none" w:sz="0" w:space="0" w:color="auto"/>
            <w:bottom w:val="none" w:sz="0" w:space="0" w:color="auto"/>
            <w:right w:val="none" w:sz="0" w:space="0" w:color="auto"/>
          </w:divBdr>
        </w:div>
        <w:div w:id="1900968619">
          <w:marLeft w:val="0"/>
          <w:marRight w:val="0"/>
          <w:marTop w:val="0"/>
          <w:marBottom w:val="0"/>
          <w:divBdr>
            <w:top w:val="none" w:sz="0" w:space="0" w:color="auto"/>
            <w:left w:val="none" w:sz="0" w:space="0" w:color="auto"/>
            <w:bottom w:val="none" w:sz="0" w:space="0" w:color="auto"/>
            <w:right w:val="none" w:sz="0" w:space="0" w:color="auto"/>
          </w:divBdr>
        </w:div>
      </w:divsChild>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55745927">
      <w:bodyDiv w:val="1"/>
      <w:marLeft w:val="0"/>
      <w:marRight w:val="0"/>
      <w:marTop w:val="0"/>
      <w:marBottom w:val="0"/>
      <w:divBdr>
        <w:top w:val="none" w:sz="0" w:space="0" w:color="auto"/>
        <w:left w:val="none" w:sz="0" w:space="0" w:color="auto"/>
        <w:bottom w:val="none" w:sz="0" w:space="0" w:color="auto"/>
        <w:right w:val="none" w:sz="0" w:space="0" w:color="auto"/>
      </w:divBdr>
    </w:div>
    <w:div w:id="810905369">
      <w:bodyDiv w:val="1"/>
      <w:marLeft w:val="0"/>
      <w:marRight w:val="0"/>
      <w:marTop w:val="0"/>
      <w:marBottom w:val="0"/>
      <w:divBdr>
        <w:top w:val="none" w:sz="0" w:space="0" w:color="auto"/>
        <w:left w:val="none" w:sz="0" w:space="0" w:color="auto"/>
        <w:bottom w:val="none" w:sz="0" w:space="0" w:color="auto"/>
        <w:right w:val="none" w:sz="0" w:space="0" w:color="auto"/>
      </w:divBdr>
    </w:div>
    <w:div w:id="1028024533">
      <w:bodyDiv w:val="1"/>
      <w:marLeft w:val="0"/>
      <w:marRight w:val="0"/>
      <w:marTop w:val="0"/>
      <w:marBottom w:val="0"/>
      <w:divBdr>
        <w:top w:val="none" w:sz="0" w:space="0" w:color="auto"/>
        <w:left w:val="none" w:sz="0" w:space="0" w:color="auto"/>
        <w:bottom w:val="none" w:sz="0" w:space="0" w:color="auto"/>
        <w:right w:val="none" w:sz="0" w:space="0" w:color="auto"/>
      </w:divBdr>
    </w:div>
    <w:div w:id="1029140760">
      <w:bodyDiv w:val="1"/>
      <w:marLeft w:val="0"/>
      <w:marRight w:val="0"/>
      <w:marTop w:val="0"/>
      <w:marBottom w:val="0"/>
      <w:divBdr>
        <w:top w:val="none" w:sz="0" w:space="0" w:color="auto"/>
        <w:left w:val="none" w:sz="0" w:space="0" w:color="auto"/>
        <w:bottom w:val="none" w:sz="0" w:space="0" w:color="auto"/>
        <w:right w:val="none" w:sz="0" w:space="0" w:color="auto"/>
      </w:divBdr>
    </w:div>
    <w:div w:id="10858025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74751316">
      <w:bodyDiv w:val="1"/>
      <w:marLeft w:val="0"/>
      <w:marRight w:val="0"/>
      <w:marTop w:val="0"/>
      <w:marBottom w:val="0"/>
      <w:divBdr>
        <w:top w:val="none" w:sz="0" w:space="0" w:color="auto"/>
        <w:left w:val="none" w:sz="0" w:space="0" w:color="auto"/>
        <w:bottom w:val="none" w:sz="0" w:space="0" w:color="auto"/>
        <w:right w:val="none" w:sz="0" w:space="0" w:color="auto"/>
      </w:divBdr>
    </w:div>
    <w:div w:id="199020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ms.gov/Medicare/Coding/ICD10/2012-ICD-10-CM-and-GEMs.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092A8FB1D6E440E19C9DD15124126BDA"/>
        <w:category>
          <w:name w:val="General"/>
          <w:gallery w:val="placeholder"/>
        </w:category>
        <w:types>
          <w:type w:val="bbPlcHdr"/>
        </w:types>
        <w:behaviors>
          <w:behavior w:val="content"/>
        </w:behaviors>
        <w:guid w:val="{1D06FDF2-1170-473E-A14E-0435DFF78F9F}"/>
      </w:docPartPr>
      <w:docPartBody>
        <w:p w:rsidR="00243F98" w:rsidRDefault="00243F98">
          <w:pPr>
            <w:pStyle w:val="092A8FB1D6E440E19C9DD15124126BDA"/>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A6356"/>
    <w:rsid w:val="000C0BC1"/>
    <w:rsid w:val="00127222"/>
    <w:rsid w:val="001736D7"/>
    <w:rsid w:val="00190AF4"/>
    <w:rsid w:val="001F54A6"/>
    <w:rsid w:val="00223FA3"/>
    <w:rsid w:val="00243F98"/>
    <w:rsid w:val="002A288F"/>
    <w:rsid w:val="002C65A7"/>
    <w:rsid w:val="002F052A"/>
    <w:rsid w:val="002F46C2"/>
    <w:rsid w:val="00350176"/>
    <w:rsid w:val="003840F0"/>
    <w:rsid w:val="00437537"/>
    <w:rsid w:val="004D785E"/>
    <w:rsid w:val="00513FC9"/>
    <w:rsid w:val="0053654E"/>
    <w:rsid w:val="00610196"/>
    <w:rsid w:val="00632A7E"/>
    <w:rsid w:val="00632AB6"/>
    <w:rsid w:val="006B0532"/>
    <w:rsid w:val="00730B33"/>
    <w:rsid w:val="00772B2A"/>
    <w:rsid w:val="007C672A"/>
    <w:rsid w:val="007D4368"/>
    <w:rsid w:val="00822666"/>
    <w:rsid w:val="00823ECC"/>
    <w:rsid w:val="00826796"/>
    <w:rsid w:val="00866C97"/>
    <w:rsid w:val="009017AE"/>
    <w:rsid w:val="009B31B1"/>
    <w:rsid w:val="009C542D"/>
    <w:rsid w:val="00A01A18"/>
    <w:rsid w:val="00A95183"/>
    <w:rsid w:val="00AB4AF7"/>
    <w:rsid w:val="00AD7C4F"/>
    <w:rsid w:val="00B445F5"/>
    <w:rsid w:val="00B646F4"/>
    <w:rsid w:val="00BD40CB"/>
    <w:rsid w:val="00BE7B02"/>
    <w:rsid w:val="00C00816"/>
    <w:rsid w:val="00C362A2"/>
    <w:rsid w:val="00C40F6B"/>
    <w:rsid w:val="00C90121"/>
    <w:rsid w:val="00C96E73"/>
    <w:rsid w:val="00CA1FE8"/>
    <w:rsid w:val="00CA344F"/>
    <w:rsid w:val="00CA660C"/>
    <w:rsid w:val="00D1676E"/>
    <w:rsid w:val="00DB6FB1"/>
    <w:rsid w:val="00DC0246"/>
    <w:rsid w:val="00E6518A"/>
    <w:rsid w:val="00F540AB"/>
    <w:rsid w:val="00F915BA"/>
    <w:rsid w:val="00FF1A58"/>
    <w:rsid w:val="00FF2E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092A8FB1D6E440E19C9DD15124126BDA">
    <w:name w:val="092A8FB1D6E440E19C9DD15124126BD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C1526228-F369-4A18-AC2C-D2AB8973C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0C901-3C40-4C03-AF30-8401D54B3554}">
  <ds:schemaRefs>
    <ds:schemaRef ds:uri="http://purl.org/dc/dcmitype/"/>
    <ds:schemaRef ds:uri="http://schemas.microsoft.com/office/2006/documentManagement/types"/>
    <ds:schemaRef ds:uri="http://purl.org/dc/elements/1.1/"/>
    <ds:schemaRef ds:uri="http://schemas.microsoft.com/office/infopath/2007/PartnerControls"/>
    <ds:schemaRef ds:uri="64615f93-1352-4a7e-b7a8-3b07e39b2009"/>
    <ds:schemaRef ds:uri="http://schemas.openxmlformats.org/package/2006/metadata/core-properties"/>
    <ds:schemaRef ds:uri="http://schemas.microsoft.com/office/2006/metadata/properties"/>
    <ds:schemaRef ds:uri="76bce2c7-2e52-4525-a6e0-24f8a73e605d"/>
    <ds:schemaRef ds:uri="http://www.w3.org/XML/1998/namespace"/>
    <ds:schemaRef ds:uri="http://purl.org/dc/terms/"/>
  </ds:schemaRefs>
</ds:datastoreItem>
</file>

<file path=customXml/itemProps4.xml><?xml version="1.0" encoding="utf-8"?>
<ds:datastoreItem xmlns:ds="http://schemas.openxmlformats.org/officeDocument/2006/customXml" ds:itemID="{A91F5338-36A2-49E3-A4B8-BF9C7979D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16</Pages>
  <Words>6435</Words>
  <Characters>36685</Characters>
  <Application>Microsoft Office Word</Application>
  <DocSecurity>0</DocSecurity>
  <Lines>305</Lines>
  <Paragraphs>86</Paragraphs>
  <ScaleCrop>false</ScaleCrop>
  <Company>National Quality Forum</Company>
  <LinksUpToDate>false</LinksUpToDate>
  <CharactersWithSpaces>43034</CharactersWithSpaces>
  <SharedDoc>false</SharedDoc>
  <HLinks>
    <vt:vector size="72" baseType="variant">
      <vt:variant>
        <vt:i4>5898249</vt:i4>
      </vt:variant>
      <vt:variant>
        <vt:i4>33</vt:i4>
      </vt:variant>
      <vt:variant>
        <vt:i4>0</vt:i4>
      </vt:variant>
      <vt:variant>
        <vt:i4>5</vt:i4>
      </vt:variant>
      <vt:variant>
        <vt:lpwstr/>
      </vt:variant>
      <vt:variant>
        <vt:lpwstr>question2b49</vt:lpwstr>
      </vt:variant>
      <vt:variant>
        <vt:i4>7929973</vt:i4>
      </vt:variant>
      <vt:variant>
        <vt:i4>30</vt:i4>
      </vt:variant>
      <vt:variant>
        <vt:i4>0</vt:i4>
      </vt:variant>
      <vt:variant>
        <vt:i4>5</vt:i4>
      </vt:variant>
      <vt:variant>
        <vt:lpwstr/>
      </vt:variant>
      <vt:variant>
        <vt:lpwstr>section2b5</vt:lpwstr>
      </vt:variant>
      <vt:variant>
        <vt:i4>7864437</vt:i4>
      </vt:variant>
      <vt:variant>
        <vt:i4>27</vt:i4>
      </vt:variant>
      <vt:variant>
        <vt:i4>0</vt:i4>
      </vt:variant>
      <vt:variant>
        <vt:i4>5</vt:i4>
      </vt:variant>
      <vt:variant>
        <vt:lpwstr/>
      </vt:variant>
      <vt:variant>
        <vt:lpwstr>section2b4</vt:lpwstr>
      </vt:variant>
      <vt:variant>
        <vt:i4>983115</vt:i4>
      </vt:variant>
      <vt:variant>
        <vt:i4>24</vt:i4>
      </vt:variant>
      <vt:variant>
        <vt:i4>0</vt:i4>
      </vt:variant>
      <vt:variant>
        <vt:i4>5</vt:i4>
      </vt:variant>
      <vt:variant>
        <vt:lpwstr>http://www.cms.gov/Medicare/Coding/ICD10/2012-ICD-10-CM-and-GEMs.html</vt:lpwstr>
      </vt:variant>
      <vt:variant>
        <vt:lpwstr/>
      </vt:variant>
      <vt:variant>
        <vt:i4>3932203</vt:i4>
      </vt:variant>
      <vt:variant>
        <vt:i4>21</vt:i4>
      </vt:variant>
      <vt:variant>
        <vt:i4>0</vt:i4>
      </vt:variant>
      <vt:variant>
        <vt:i4>5</vt:i4>
      </vt:variant>
      <vt:variant>
        <vt:lpwstr/>
      </vt:variant>
      <vt:variant>
        <vt:lpwstr>Note16</vt:lpwstr>
      </vt:variant>
      <vt:variant>
        <vt:i4>4128811</vt:i4>
      </vt:variant>
      <vt:variant>
        <vt:i4>18</vt:i4>
      </vt:variant>
      <vt:variant>
        <vt:i4>0</vt:i4>
      </vt:variant>
      <vt:variant>
        <vt:i4>5</vt:i4>
      </vt:variant>
      <vt:variant>
        <vt:lpwstr/>
      </vt:variant>
      <vt:variant>
        <vt:lpwstr>Note15</vt:lpwstr>
      </vt:variant>
      <vt:variant>
        <vt:i4>4063275</vt:i4>
      </vt:variant>
      <vt:variant>
        <vt:i4>15</vt:i4>
      </vt:variant>
      <vt:variant>
        <vt:i4>0</vt:i4>
      </vt:variant>
      <vt:variant>
        <vt:i4>5</vt:i4>
      </vt:variant>
      <vt:variant>
        <vt:lpwstr/>
      </vt:variant>
      <vt:variant>
        <vt:lpwstr>Note14</vt:lpwstr>
      </vt:variant>
      <vt:variant>
        <vt:i4>3735595</vt:i4>
      </vt:variant>
      <vt:variant>
        <vt:i4>12</vt:i4>
      </vt:variant>
      <vt:variant>
        <vt:i4>0</vt:i4>
      </vt:variant>
      <vt:variant>
        <vt:i4>5</vt:i4>
      </vt:variant>
      <vt:variant>
        <vt:lpwstr/>
      </vt:variant>
      <vt:variant>
        <vt:lpwstr>Note13</vt:lpwstr>
      </vt:variant>
      <vt:variant>
        <vt:i4>3670059</vt:i4>
      </vt:variant>
      <vt:variant>
        <vt:i4>9</vt:i4>
      </vt:variant>
      <vt:variant>
        <vt:i4>0</vt:i4>
      </vt:variant>
      <vt:variant>
        <vt:i4>5</vt:i4>
      </vt:variant>
      <vt:variant>
        <vt:lpwstr/>
      </vt:variant>
      <vt:variant>
        <vt:lpwstr>Note12</vt:lpwstr>
      </vt:variant>
      <vt:variant>
        <vt:i4>3866667</vt:i4>
      </vt:variant>
      <vt:variant>
        <vt:i4>6</vt:i4>
      </vt:variant>
      <vt:variant>
        <vt:i4>0</vt:i4>
      </vt:variant>
      <vt:variant>
        <vt:i4>5</vt:i4>
      </vt:variant>
      <vt:variant>
        <vt:lpwstr/>
      </vt:variant>
      <vt:variant>
        <vt:lpwstr>Note11</vt:lpwstr>
      </vt:variant>
      <vt:variant>
        <vt:i4>3801131</vt:i4>
      </vt:variant>
      <vt:variant>
        <vt:i4>3</vt:i4>
      </vt:variant>
      <vt:variant>
        <vt:i4>0</vt:i4>
      </vt:variant>
      <vt:variant>
        <vt:i4>5</vt:i4>
      </vt:variant>
      <vt:variant>
        <vt:lpwstr/>
      </vt:variant>
      <vt:variant>
        <vt:lpwstr>Note10</vt:lpwstr>
      </vt:variant>
      <vt:variant>
        <vt:i4>5177423</vt:i4>
      </vt:variant>
      <vt:variant>
        <vt:i4>0</vt:i4>
      </vt:variant>
      <vt:variant>
        <vt:i4>0</vt:i4>
      </vt:variant>
      <vt:variant>
        <vt:i4>5</vt:i4>
      </vt:variant>
      <vt:variant>
        <vt:lpwstr>http://www.qualityforum.org/Measuring_Performance/Submitting_Standards.aspx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cp:lastModifiedBy>Laetitia Beyegue</cp:lastModifiedBy>
  <cp:revision>564</cp:revision>
  <dcterms:created xsi:type="dcterms:W3CDTF">2017-10-11T18:02:00Z</dcterms:created>
  <dcterms:modified xsi:type="dcterms:W3CDTF">2019-11-21T17:01:00Z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