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6AF8" w:rsidRPr="001A6D05" w:rsidRDefault="00603D47" w:rsidP="001A196B">
      <w:pPr>
        <w:jc w:val="center"/>
        <w:rPr>
          <w:b/>
          <w:noProof/>
          <w:sz w:val="24"/>
          <w:szCs w:val="24"/>
        </w:rPr>
      </w:pPr>
      <w:r>
        <w:rPr>
          <w:b/>
          <w:smallCaps/>
          <w:noProof/>
          <w:sz w:val="24"/>
          <w:szCs w:val="24"/>
        </w:rPr>
        <w:t>Na</w:t>
      </w:r>
      <w:r w:rsidR="002F20A7" w:rsidRPr="001A6D05">
        <w:rPr>
          <w:b/>
          <w:smallCaps/>
          <w:noProof/>
          <w:sz w:val="24"/>
          <w:szCs w:val="24"/>
        </w:rPr>
        <w:t>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3B1CC5">
            <w:rPr>
              <w:rStyle w:val="PlaceholderText"/>
            </w:rPr>
            <w:t>Click here to enter NQF number</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howingPlcHdr/>
        </w:sdtPr>
        <w:sdtEndPr>
          <w:rPr>
            <w:rStyle w:val="DefaultParagraphFont"/>
            <w:noProof/>
            <w:color w:val="auto"/>
          </w:rPr>
        </w:sdtEndPr>
        <w:sdtContent>
          <w:r w:rsidRPr="003B1CC5">
            <w:rPr>
              <w:rStyle w:val="PlaceholderText"/>
              <w:rFonts w:cstheme="minorHAnsi"/>
              <w:color w:val="A6A6A6" w:themeColor="background1" w:themeShade="A6"/>
            </w:rPr>
            <w:t>Click here to enter measure title</w:t>
          </w:r>
        </w:sdtContent>
      </w:sdt>
    </w:p>
    <w:p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showingPlcHdr/>
          <w:date>
            <w:dateFormat w:val="M/d/yyyy"/>
            <w:lid w:val="en-US"/>
            <w:storeMappedDataAs w:val="dateTime"/>
            <w:calendar w:val="gregorian"/>
          </w:date>
        </w:sdtPr>
        <w:sdtEndPr>
          <w:rPr>
            <w:rStyle w:val="DefaultParagraphFont"/>
            <w:noProof/>
            <w:color w:val="auto"/>
            <w:u w:val="none"/>
          </w:rPr>
        </w:sdtEndPr>
        <w:sdtContent>
          <w:r w:rsidRPr="003B1CC5">
            <w:rPr>
              <w:rStyle w:val="PlaceholderText"/>
              <w:rFonts w:cstheme="minorHAnsi"/>
              <w:color w:val="A6A6A6" w:themeColor="background1" w:themeShade="A6"/>
            </w:rPr>
            <w:t>Click here to enter a date</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t>
            </w:r>
            <w:proofErr w:type="gramStart"/>
            <w:r w:rsidRPr="003B1CC5">
              <w:rPr>
                <w:i/>
                <w:sz w:val="22"/>
                <w:szCs w:val="22"/>
              </w:rPr>
              <w:t>were studied</w:t>
            </w:r>
            <w:proofErr w:type="gramEnd"/>
            <w:r w:rsidRPr="003B1CC5">
              <w:rPr>
                <w:i/>
                <w:sz w:val="22"/>
                <w:szCs w:val="22"/>
              </w:rPr>
              <w:t xml:space="preserve">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w:t>
            </w:r>
            <w:proofErr w:type="gramStart"/>
            <w:r w:rsidRPr="003B1CC5">
              <w:rPr>
                <w:i/>
                <w:sz w:val="22"/>
                <w:szCs w:val="22"/>
              </w:rPr>
              <w:t>is submitted</w:t>
            </w:r>
            <w:proofErr w:type="gramEnd"/>
            <w:r w:rsidRPr="003B1CC5">
              <w:rPr>
                <w:i/>
                <w:sz w:val="22"/>
                <w:szCs w:val="22"/>
              </w:rPr>
              <w:t xml:space="preserve"> as an individual performance measure, attach the evidence form to the individual measure submission.</w:t>
            </w:r>
          </w:p>
          <w:p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w:t>
            </w:r>
            <w:proofErr w:type="gramStart"/>
            <w:r w:rsidRPr="003B1CC5">
              <w:t>may be submitted</w:t>
            </w:r>
            <w:proofErr w:type="gramEnd"/>
            <w:r w:rsidRPr="003B1CC5">
              <w:t>,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rsidTr="00F81FE3">
        <w:trPr>
          <w:jc w:val="center"/>
        </w:trPr>
        <w:tc>
          <w:tcPr>
            <w:tcW w:w="10534"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 xml:space="preserve">The information provided in this form </w:t>
            </w:r>
            <w:proofErr w:type="gramStart"/>
            <w:r w:rsidR="008B652E" w:rsidRPr="003B1CC5">
              <w:rPr>
                <w:b/>
                <w:bCs/>
                <w:sz w:val="20"/>
                <w:szCs w:val="20"/>
              </w:rPr>
              <w:t>is intended</w:t>
            </w:r>
            <w:proofErr w:type="gramEnd"/>
            <w:r w:rsidR="008B652E" w:rsidRPr="003B1CC5">
              <w:rPr>
                <w:b/>
                <w:bCs/>
                <w:sz w:val="20"/>
                <w:szCs w:val="20"/>
              </w:rPr>
              <w:t xml:space="preserve">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0" w:name="Note2"/>
            <w:bookmarkEnd w:id="0"/>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proofErr w:type="gramStart"/>
              <w:r w:rsidR="00CB1E41" w:rsidRPr="003B1CC5">
                <w:rPr>
                  <w:rStyle w:val="Hyperlink"/>
                  <w:rFonts w:eastAsia="Calibri" w:cs="Calibri"/>
                  <w:b/>
                  <w:sz w:val="20"/>
                  <w:szCs w:val="20"/>
                  <w:vertAlign w:val="superscript"/>
                </w:rPr>
                <w:t>3</w:t>
              </w:r>
              <w:proofErr w:type="gramEnd"/>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w:t>
            </w:r>
            <w:proofErr w:type="gramStart"/>
            <w:r w:rsidRPr="00B35C5F">
              <w:rPr>
                <w:rFonts w:eastAsia="Calibri" w:cs="Calibri"/>
                <w:sz w:val="20"/>
                <w:szCs w:val="20"/>
              </w:rPr>
              <w:t>can be used</w:t>
            </w:r>
            <w:proofErr w:type="gramEnd"/>
            <w:r w:rsidRPr="00B35C5F">
              <w:rPr>
                <w:rFonts w:eastAsia="Calibri" w:cs="Calibri"/>
                <w:sz w:val="20"/>
                <w:szCs w:val="20"/>
              </w:rPr>
              <w:t xml:space="preserve"> as evidence, assuming the data are from a robust number of providers and results are not subject to systematic bias.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proofErr w:type="gramStart"/>
              <w:r w:rsidRPr="003B1CC5">
                <w:rPr>
                  <w:rStyle w:val="Hyperlink"/>
                  <w:rFonts w:eastAsia="Calibri" w:cs="Calibri"/>
                  <w:b/>
                  <w:sz w:val="20"/>
                  <w:szCs w:val="20"/>
                  <w:vertAlign w:val="superscript"/>
                </w:rPr>
                <w:t>5</w:t>
              </w:r>
              <w:proofErr w:type="gramEnd"/>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proofErr w:type="gramStart"/>
              <w:r w:rsidR="00CB1E41" w:rsidRPr="003B1CC5">
                <w:rPr>
                  <w:rStyle w:val="Hyperlink"/>
                  <w:rFonts w:eastAsia="Calibri" w:cs="Calibri"/>
                  <w:b/>
                  <w:sz w:val="20"/>
                  <w:szCs w:val="20"/>
                  <w:vertAlign w:val="superscript"/>
                </w:rPr>
                <w:t>4</w:t>
              </w:r>
              <w:proofErr w:type="gramEnd"/>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proofErr w:type="gramEnd"/>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w:t>
            </w:r>
            <w:proofErr w:type="gramStart"/>
            <w:r w:rsidRPr="003B1CC5">
              <w:rPr>
                <w:rFonts w:eastAsia="Calibri" w:cs="Calibri"/>
                <w:sz w:val="20"/>
                <w:szCs w:val="20"/>
              </w:rPr>
              <w:t>are compared</w:t>
            </w:r>
            <w:proofErr w:type="gramEnd"/>
            <w:r w:rsidRPr="003B1CC5">
              <w:rPr>
                <w:rFonts w:eastAsia="Calibri" w:cs="Calibri"/>
                <w:sz w:val="20"/>
                <w:szCs w:val="20"/>
              </w:rPr>
              <w:t xml:space="preserve">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w:t>
            </w:r>
            <w:proofErr w:type="gramStart"/>
            <w:r w:rsidRPr="003B1CC5">
              <w:rPr>
                <w:rFonts w:eastAsia="Calibri" w:cs="Calibri"/>
                <w:sz w:val="20"/>
                <w:szCs w:val="20"/>
              </w:rPr>
              <w:t xml:space="preserve">one </w:t>
            </w:r>
            <w:r w:rsidRPr="003B1CC5">
              <w:rPr>
                <w:rFonts w:eastAsia="Calibri" w:cs="Calibri"/>
                <w:sz w:val="20"/>
                <w:szCs w:val="20"/>
              </w:rPr>
              <w:lastRenderedPageBreak/>
              <w:t>step</w:t>
            </w:r>
            <w:proofErr w:type="gramEnd"/>
            <w:r w:rsidRPr="003B1CC5">
              <w:rPr>
                <w:rFonts w:eastAsia="Calibri" w:cs="Calibri"/>
                <w:sz w:val="20"/>
                <w:szCs w:val="20"/>
              </w:rPr>
              <w:t xml:space="preserve">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F81FE3" w:rsidRDefault="00F81FE3" w:rsidP="002E2177">
      <w:pPr>
        <w:ind w:left="0" w:firstLine="0"/>
        <w:rPr>
          <w:b/>
          <w:bCs/>
          <w:color w:val="0000FF"/>
        </w:rPr>
      </w:pPr>
    </w:p>
    <w:p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w:t>
      </w:r>
      <w:proofErr w:type="gramStart"/>
      <w:r w:rsidRPr="003B1CC5">
        <w:rPr>
          <w:b/>
          <w:bCs/>
        </w:rPr>
        <w:t>of</w:t>
      </w:r>
      <w:r w:rsidRPr="003B1CC5">
        <w:rPr>
          <w:bCs/>
        </w:rPr>
        <w:t>:</w:t>
      </w:r>
      <w:proofErr w:type="gramEnd"/>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Default="00E7532C"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2A3C13">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A3C13" w:rsidRPr="003B1CC5" w:rsidRDefault="002A3C13" w:rsidP="00A9011D">
      <w:pPr>
        <w:ind w:left="432" w:hanging="432"/>
        <w:rPr>
          <w:rStyle w:val="Style2"/>
          <w:rFonts w:cstheme="minorHAnsi"/>
        </w:rPr>
      </w:pPr>
      <w:r>
        <w:rPr>
          <w:rFonts w:ascii="MS Gothic" w:eastAsia="MS Gothic" w:hAnsi="MS Gothic" w:hint="eastAsia"/>
          <w:bCs/>
          <w:color w:val="0000FF"/>
          <w:u w:val="single"/>
        </w:rPr>
        <w:t>PRO</w:t>
      </w:r>
    </w:p>
    <w:p w:rsidR="00236F87" w:rsidRDefault="00E7532C" w:rsidP="00A9011D">
      <w:pPr>
        <w:ind w:left="864" w:hanging="432"/>
        <w:rPr>
          <w:rStyle w:val="Style2"/>
          <w:rFonts w:cstheme="minorHAnsi"/>
        </w:rPr>
      </w:pPr>
      <w:sdt>
        <w:sdtPr>
          <w:rPr>
            <w:bCs/>
            <w:color w:val="0000FF"/>
          </w:rPr>
          <w:id w:val="-1541041819"/>
          <w14:checkbox>
            <w14:checked w14:val="1"/>
            <w14:checkedState w14:val="2612" w14:font="MS Gothic"/>
            <w14:uncheckedState w14:val="2610" w14:font="MS Gothic"/>
          </w14:checkbox>
        </w:sdtPr>
        <w:sdtEndPr/>
        <w:sdtContent>
          <w:r w:rsidR="002A3C13">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2A3C13" w:rsidRPr="003B1CC5" w:rsidRDefault="002A3C13" w:rsidP="00A9011D">
      <w:pPr>
        <w:ind w:left="864" w:hanging="432"/>
        <w:rPr>
          <w:b/>
          <w:bCs/>
        </w:rPr>
      </w:pPr>
      <w:r>
        <w:rPr>
          <w:rStyle w:val="Style2"/>
          <w:rFonts w:cstheme="minorHAnsi"/>
        </w:rPr>
        <w:t>Experience with care</w:t>
      </w:r>
    </w:p>
    <w:p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w:t>
      </w:r>
      <w:proofErr w:type="gramStart"/>
      <w:r w:rsidR="0061327A" w:rsidRPr="0061327A">
        <w:rPr>
          <w:rFonts w:eastAsia="Calibri" w:cs="Calibri"/>
          <w:i/>
        </w:rPr>
        <w:t>may be collected</w:t>
      </w:r>
      <w:proofErr w:type="gramEnd"/>
      <w:r w:rsidR="0061327A" w:rsidRPr="0061327A">
        <w:rPr>
          <w:rFonts w:eastAsia="Calibri" w:cs="Calibri"/>
          <w:i/>
        </w:rPr>
        <w:t xml:space="preserve"> using a survey instrument to construct a PRO measure.)</w:t>
      </w:r>
    </w:p>
    <w:p w:rsidR="00496AF8" w:rsidRPr="003B1CC5" w:rsidRDefault="00E7532C"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D73685" w:rsidRDefault="00E7532C"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 xml:space="preserve">Click here to name what </w:t>
          </w:r>
          <w:proofErr w:type="gramStart"/>
          <w:r w:rsidR="00D73685" w:rsidRPr="003B1CC5">
            <w:rPr>
              <w:rStyle w:val="PlaceholderText"/>
              <w:rFonts w:cstheme="minorHAnsi"/>
              <w:color w:val="A6A6A6" w:themeColor="background1" w:themeShade="A6"/>
            </w:rPr>
            <w:t>is being measured</w:t>
          </w:r>
          <w:proofErr w:type="gramEnd"/>
        </w:sdtContent>
      </w:sdt>
    </w:p>
    <w:p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 xml:space="preserve">Click here to name what </w:t>
          </w:r>
          <w:proofErr w:type="gramStart"/>
          <w:r w:rsidRPr="003B1CC5">
            <w:rPr>
              <w:rStyle w:val="PlaceholderText"/>
              <w:rFonts w:cstheme="minorHAnsi"/>
              <w:color w:val="A6A6A6" w:themeColor="background1" w:themeShade="A6"/>
            </w:rPr>
            <w:t>is being measured</w:t>
          </w:r>
          <w:proofErr w:type="gramEnd"/>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rsidR="00496AF8" w:rsidRPr="003B1CC5" w:rsidRDefault="00E7532C"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E7532C"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 xml:space="preserve">Click here to name what </w:t>
          </w:r>
          <w:proofErr w:type="gramStart"/>
          <w:r w:rsidR="00496AF8" w:rsidRPr="003B1CC5">
            <w:rPr>
              <w:rStyle w:val="PlaceholderText"/>
              <w:rFonts w:cstheme="minorHAnsi"/>
              <w:color w:val="A6A6A6" w:themeColor="background1" w:themeShade="A6"/>
            </w:rPr>
            <w:t>is being measured</w:t>
          </w:r>
          <w:proofErr w:type="gramEnd"/>
        </w:sdtContent>
      </w:sdt>
    </w:p>
    <w:p w:rsidR="00496AF8" w:rsidRPr="003B1CC5" w:rsidRDefault="00496AF8" w:rsidP="002E2177">
      <w:pPr>
        <w:ind w:left="0" w:firstLine="0"/>
        <w:rPr>
          <w:bCs/>
        </w:rPr>
      </w:pPr>
    </w:p>
    <w:p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xml:space="preserve">. </w:t>
      </w:r>
      <w:proofErr w:type="gramStart"/>
      <w:r w:rsidRPr="00676BD4">
        <w:rPr>
          <w:iCs/>
        </w:rPr>
        <w:t>The relationship</w:t>
      </w:r>
      <w:r>
        <w:rPr>
          <w:iCs/>
        </w:rPr>
        <w:t>s</w:t>
      </w:r>
      <w:r w:rsidRPr="00676BD4">
        <w:rPr>
          <w:iCs/>
        </w:rPr>
        <w:t xml:space="preserve"> in the diagram should be easily understood by general, non-technical audiences</w:t>
      </w:r>
      <w:proofErr w:type="gramEnd"/>
      <w:r w:rsidRPr="00676BD4">
        <w:rPr>
          <w:iCs/>
        </w:rPr>
        <w:t>.</w:t>
      </w:r>
      <w:r>
        <w:rPr>
          <w:iCs/>
        </w:rPr>
        <w:t xml:space="preserve"> Indicate the </w:t>
      </w:r>
      <w:r w:rsidR="00F90F82">
        <w:rPr>
          <w:iCs/>
        </w:rPr>
        <w:t xml:space="preserve">structure, </w:t>
      </w:r>
      <w:r>
        <w:rPr>
          <w:iCs/>
        </w:rPr>
        <w:t>process o</w:t>
      </w:r>
      <w:r w:rsidRPr="00676BD4">
        <w:rPr>
          <w:iCs/>
        </w:rPr>
        <w:t xml:space="preserve">r outcome </w:t>
      </w:r>
      <w:proofErr w:type="gramStart"/>
      <w:r w:rsidRPr="00676BD4">
        <w:rPr>
          <w:iCs/>
        </w:rPr>
        <w:t>being measured</w:t>
      </w:r>
      <w:proofErr w:type="gramEnd"/>
      <w:r w:rsidRPr="00676BD4">
        <w:rPr>
          <w:iCs/>
        </w:rPr>
        <w:t>.</w:t>
      </w:r>
    </w:p>
    <w:p w:rsidR="00516D7C" w:rsidRDefault="00516D7C" w:rsidP="00516D7C">
      <w:pPr>
        <w:pStyle w:val="PlainText"/>
        <w:rPr>
          <w:rFonts w:ascii="Palatino Linotype" w:hAnsi="Palatino Linotype"/>
          <w:i/>
          <w:sz w:val="22"/>
          <w:szCs w:val="22"/>
        </w:rPr>
      </w:pPr>
    </w:p>
    <w:p w:rsidR="00516D7C" w:rsidRDefault="00516D7C" w:rsidP="00516D7C">
      <w:pPr>
        <w:pStyle w:val="PlainText"/>
        <w:rPr>
          <w:rFonts w:ascii="Palatino Linotype" w:hAnsi="Palatino Linotype"/>
          <w:i/>
          <w:sz w:val="22"/>
          <w:szCs w:val="22"/>
        </w:rPr>
      </w:pPr>
      <w:r w:rsidRPr="006A1FE8">
        <w:rPr>
          <w:rFonts w:ascii="Palatino Linotype" w:hAnsi="Palatino Linotype"/>
          <w:i/>
          <w:sz w:val="22"/>
          <w:szCs w:val="22"/>
        </w:rPr>
        <w:t>NARRATIVE EXPLANATION</w:t>
      </w:r>
      <w:r>
        <w:rPr>
          <w:rFonts w:ascii="Palatino Linotype" w:hAnsi="Palatino Linotype"/>
          <w:i/>
          <w:sz w:val="22"/>
          <w:szCs w:val="22"/>
        </w:rPr>
        <w:t xml:space="preserve"> of HCAHPS Logic</w:t>
      </w:r>
      <w:r w:rsidRPr="006A1FE8">
        <w:rPr>
          <w:rFonts w:ascii="Palatino Linotype" w:hAnsi="Palatino Linotype"/>
          <w:i/>
          <w:sz w:val="22"/>
          <w:szCs w:val="22"/>
        </w:rPr>
        <w:t>:</w:t>
      </w:r>
    </w:p>
    <w:p w:rsidR="00516D7C" w:rsidRPr="006A1FE8" w:rsidRDefault="00516D7C" w:rsidP="00516D7C">
      <w:pPr>
        <w:pStyle w:val="PlainText"/>
        <w:rPr>
          <w:rFonts w:ascii="Palatino Linotype" w:hAnsi="Palatino Linotype"/>
          <w:i/>
          <w:sz w:val="22"/>
          <w:szCs w:val="22"/>
        </w:rPr>
      </w:pPr>
    </w:p>
    <w:p w:rsidR="00516D7C" w:rsidRPr="006A1FE8" w:rsidRDefault="00516D7C" w:rsidP="00516D7C">
      <w:pPr>
        <w:pStyle w:val="PlainText"/>
        <w:rPr>
          <w:rFonts w:ascii="Palatino Linotype" w:hAnsi="Palatino Linotype"/>
          <w:i/>
          <w:sz w:val="22"/>
          <w:szCs w:val="22"/>
        </w:rPr>
      </w:pPr>
      <w:r w:rsidRPr="006A1FE8">
        <w:rPr>
          <w:rFonts w:ascii="Palatino Linotype" w:hAnsi="Palatino Linotype"/>
          <w:i/>
          <w:sz w:val="22"/>
          <w:szCs w:val="22"/>
        </w:rPr>
        <w:t>The boxes represent structures, processes and outcomes of hospital care.  Ovals represent HCAHPS measure domains</w:t>
      </w:r>
      <w:r>
        <w:rPr>
          <w:rFonts w:ascii="Palatino Linotype" w:hAnsi="Palatino Linotype"/>
          <w:i/>
          <w:sz w:val="22"/>
          <w:szCs w:val="22"/>
        </w:rPr>
        <w:t xml:space="preserve">; please see below. </w:t>
      </w:r>
    </w:p>
    <w:p w:rsidR="00516D7C" w:rsidRPr="006A1FE8" w:rsidRDefault="00516D7C" w:rsidP="00516D7C">
      <w:pPr>
        <w:pStyle w:val="PlainText"/>
        <w:rPr>
          <w:rFonts w:ascii="Palatino Linotype" w:hAnsi="Palatino Linotype"/>
          <w:i/>
          <w:sz w:val="22"/>
          <w:szCs w:val="22"/>
        </w:rPr>
      </w:pPr>
    </w:p>
    <w:p w:rsidR="00516D7C" w:rsidRDefault="00516D7C" w:rsidP="00516D7C">
      <w:pPr>
        <w:pStyle w:val="PlainText"/>
        <w:rPr>
          <w:rFonts w:ascii="Palatino Linotype" w:hAnsi="Palatino Linotype"/>
          <w:i/>
          <w:sz w:val="22"/>
          <w:szCs w:val="22"/>
        </w:rPr>
      </w:pPr>
      <w:r w:rsidRPr="006A1FE8">
        <w:rPr>
          <w:rFonts w:ascii="Palatino Linotype" w:hAnsi="Palatino Linotype"/>
          <w:i/>
          <w:sz w:val="22"/>
          <w:szCs w:val="22"/>
        </w:rPr>
        <w:t xml:space="preserve">On the left </w:t>
      </w:r>
      <w:r>
        <w:rPr>
          <w:rFonts w:ascii="Palatino Linotype" w:hAnsi="Palatino Linotype"/>
          <w:i/>
          <w:sz w:val="22"/>
          <w:szCs w:val="22"/>
        </w:rPr>
        <w:t xml:space="preserve">side of the model </w:t>
      </w:r>
      <w:r w:rsidRPr="006A1FE8">
        <w:rPr>
          <w:rFonts w:ascii="Palatino Linotype" w:hAnsi="Palatino Linotype"/>
          <w:i/>
          <w:sz w:val="22"/>
          <w:szCs w:val="22"/>
        </w:rPr>
        <w:t xml:space="preserve">are </w:t>
      </w:r>
      <w:r>
        <w:rPr>
          <w:rFonts w:ascii="Palatino Linotype" w:hAnsi="Palatino Linotype"/>
          <w:i/>
          <w:sz w:val="22"/>
          <w:szCs w:val="22"/>
        </w:rPr>
        <w:t xml:space="preserve">three </w:t>
      </w:r>
      <w:r w:rsidRPr="006A1FE8">
        <w:rPr>
          <w:rFonts w:ascii="Palatino Linotype" w:hAnsi="Palatino Linotype"/>
          <w:i/>
          <w:sz w:val="22"/>
          <w:szCs w:val="22"/>
        </w:rPr>
        <w:t xml:space="preserve">boxes that represent major structural determinants: </w:t>
      </w:r>
    </w:p>
    <w:p w:rsidR="00516D7C" w:rsidRDefault="00516D7C" w:rsidP="00516D7C">
      <w:pPr>
        <w:pStyle w:val="PlainText"/>
        <w:rPr>
          <w:rFonts w:ascii="Palatino Linotype" w:hAnsi="Palatino Linotype"/>
          <w:i/>
          <w:sz w:val="22"/>
          <w:szCs w:val="22"/>
        </w:rPr>
      </w:pPr>
      <w:r w:rsidRPr="006A1FE8">
        <w:rPr>
          <w:rFonts w:ascii="Palatino Linotype" w:hAnsi="Palatino Linotype"/>
          <w:i/>
          <w:sz w:val="22"/>
          <w:szCs w:val="22"/>
        </w:rPr>
        <w:t xml:space="preserve">Adequacy of Supply and Skills of Staff; </w:t>
      </w:r>
    </w:p>
    <w:p w:rsidR="00516D7C" w:rsidRDefault="00516D7C" w:rsidP="00516D7C">
      <w:pPr>
        <w:pStyle w:val="PlainText"/>
        <w:rPr>
          <w:rFonts w:ascii="Palatino Linotype" w:hAnsi="Palatino Linotype"/>
          <w:i/>
          <w:sz w:val="22"/>
          <w:szCs w:val="22"/>
        </w:rPr>
      </w:pPr>
      <w:r w:rsidRPr="006A1FE8">
        <w:rPr>
          <w:rFonts w:ascii="Palatino Linotype" w:hAnsi="Palatino Linotype"/>
          <w:i/>
          <w:color w:val="1F497D"/>
          <w:sz w:val="22"/>
          <w:szCs w:val="22"/>
        </w:rPr>
        <w:t xml:space="preserve">Appropriate Protocols &amp; Procedures; Culture of Patient-Centered Care; Workplace Culture; </w:t>
      </w:r>
      <w:r w:rsidRPr="006A1FE8">
        <w:rPr>
          <w:rFonts w:ascii="Palatino Linotype" w:hAnsi="Palatino Linotype"/>
          <w:i/>
          <w:sz w:val="22"/>
          <w:szCs w:val="22"/>
        </w:rPr>
        <w:t xml:space="preserve">and </w:t>
      </w:r>
    </w:p>
    <w:p w:rsidR="00516D7C" w:rsidRPr="006A1FE8" w:rsidRDefault="00516D7C" w:rsidP="00516D7C">
      <w:pPr>
        <w:pStyle w:val="PlainText"/>
        <w:rPr>
          <w:rFonts w:ascii="Palatino Linotype" w:hAnsi="Palatino Linotype"/>
          <w:i/>
          <w:sz w:val="22"/>
          <w:szCs w:val="22"/>
        </w:rPr>
      </w:pPr>
      <w:r w:rsidRPr="006A1FE8">
        <w:rPr>
          <w:rFonts w:ascii="Palatino Linotype" w:hAnsi="Palatino Linotype"/>
          <w:i/>
          <w:sz w:val="22"/>
          <w:szCs w:val="22"/>
        </w:rPr>
        <w:t>Hospital Physical Plant.</w:t>
      </w:r>
    </w:p>
    <w:p w:rsidR="00516D7C" w:rsidRPr="006A1FE8" w:rsidRDefault="00516D7C" w:rsidP="00516D7C">
      <w:pPr>
        <w:pStyle w:val="PlainText"/>
        <w:rPr>
          <w:rFonts w:ascii="Palatino Linotype" w:hAnsi="Palatino Linotype"/>
          <w:i/>
          <w:sz w:val="22"/>
          <w:szCs w:val="22"/>
        </w:rPr>
      </w:pPr>
    </w:p>
    <w:p w:rsidR="00516D7C" w:rsidRPr="006A1FE8" w:rsidRDefault="00516D7C" w:rsidP="00516D7C">
      <w:pPr>
        <w:pStyle w:val="PlainText"/>
        <w:rPr>
          <w:rFonts w:ascii="Palatino Linotype" w:hAnsi="Palatino Linotype"/>
          <w:i/>
          <w:sz w:val="22"/>
          <w:szCs w:val="22"/>
        </w:rPr>
      </w:pPr>
      <w:r w:rsidRPr="006A1FE8">
        <w:rPr>
          <w:rFonts w:ascii="Palatino Linotype" w:hAnsi="Palatino Linotype"/>
          <w:i/>
          <w:sz w:val="22"/>
          <w:szCs w:val="22"/>
        </w:rPr>
        <w:t xml:space="preserve">The central box characterizes communications and responsiveness of hospital staff as the generalized processes that are most visible to patients; </w:t>
      </w:r>
      <w:proofErr w:type="gramStart"/>
      <w:r w:rsidRPr="006A1FE8">
        <w:rPr>
          <w:rFonts w:ascii="Palatino Linotype" w:hAnsi="Palatino Linotype"/>
          <w:i/>
          <w:sz w:val="22"/>
          <w:szCs w:val="22"/>
        </w:rPr>
        <w:t>hence</w:t>
      </w:r>
      <w:proofErr w:type="gramEnd"/>
      <w:r w:rsidRPr="006A1FE8">
        <w:rPr>
          <w:rFonts w:ascii="Palatino Linotype" w:hAnsi="Palatino Linotype"/>
          <w:i/>
          <w:sz w:val="22"/>
          <w:szCs w:val="22"/>
        </w:rPr>
        <w:t xml:space="preserve"> these processes are linked directly to the corresponding HCAHPS measures</w:t>
      </w:r>
      <w:r>
        <w:rPr>
          <w:rFonts w:ascii="Palatino Linotype" w:hAnsi="Palatino Linotype"/>
          <w:i/>
          <w:sz w:val="22"/>
          <w:szCs w:val="22"/>
        </w:rPr>
        <w:t>: HCAHPS Communication &amp; Responsiveness Measures, and HCAHPS Quietness and Cleanliness Measures</w:t>
      </w:r>
      <w:r w:rsidRPr="006A1FE8">
        <w:rPr>
          <w:rFonts w:ascii="Palatino Linotype" w:hAnsi="Palatino Linotype"/>
          <w:i/>
          <w:sz w:val="22"/>
          <w:szCs w:val="22"/>
        </w:rPr>
        <w:t>.  (</w:t>
      </w:r>
      <w:r>
        <w:rPr>
          <w:rFonts w:ascii="Palatino Linotype" w:hAnsi="Palatino Linotype"/>
          <w:i/>
          <w:sz w:val="22"/>
          <w:szCs w:val="22"/>
        </w:rPr>
        <w:t>While t</w:t>
      </w:r>
      <w:r w:rsidRPr="006A1FE8">
        <w:rPr>
          <w:rFonts w:ascii="Palatino Linotype" w:hAnsi="Palatino Linotype"/>
          <w:i/>
          <w:sz w:val="22"/>
          <w:szCs w:val="22"/>
        </w:rPr>
        <w:t xml:space="preserve">he match of processes to measures is evident, for legibility we do not break them out into separate boxes and arrows).  </w:t>
      </w:r>
    </w:p>
    <w:p w:rsidR="00516D7C" w:rsidRPr="006A1FE8" w:rsidRDefault="00516D7C" w:rsidP="00516D7C">
      <w:pPr>
        <w:pStyle w:val="PlainText"/>
        <w:rPr>
          <w:rFonts w:ascii="Palatino Linotype" w:hAnsi="Palatino Linotype"/>
          <w:i/>
          <w:sz w:val="22"/>
          <w:szCs w:val="22"/>
        </w:rPr>
      </w:pPr>
    </w:p>
    <w:p w:rsidR="00516D7C" w:rsidRPr="006A1FE8" w:rsidRDefault="00516D7C" w:rsidP="00516D7C">
      <w:pPr>
        <w:pStyle w:val="PlainText"/>
        <w:rPr>
          <w:rFonts w:ascii="Palatino Linotype" w:hAnsi="Palatino Linotype"/>
          <w:i/>
          <w:sz w:val="22"/>
          <w:szCs w:val="22"/>
        </w:rPr>
      </w:pPr>
      <w:r>
        <w:rPr>
          <w:rFonts w:ascii="Palatino Linotype" w:hAnsi="Palatino Linotype"/>
          <w:i/>
          <w:sz w:val="22"/>
          <w:szCs w:val="22"/>
        </w:rPr>
        <w:t xml:space="preserve">On the right side of the </w:t>
      </w:r>
      <w:proofErr w:type="gramStart"/>
      <w:r>
        <w:rPr>
          <w:rFonts w:ascii="Palatino Linotype" w:hAnsi="Palatino Linotype"/>
          <w:i/>
          <w:sz w:val="22"/>
          <w:szCs w:val="22"/>
        </w:rPr>
        <w:t>graphic</w:t>
      </w:r>
      <w:proofErr w:type="gramEnd"/>
      <w:r>
        <w:rPr>
          <w:rFonts w:ascii="Palatino Linotype" w:hAnsi="Palatino Linotype"/>
          <w:i/>
          <w:sz w:val="22"/>
          <w:szCs w:val="22"/>
        </w:rPr>
        <w:t xml:space="preserve"> </w:t>
      </w:r>
      <w:r w:rsidRPr="006A1FE8">
        <w:rPr>
          <w:rFonts w:ascii="Palatino Linotype" w:hAnsi="Palatino Linotype"/>
          <w:i/>
          <w:sz w:val="22"/>
          <w:szCs w:val="22"/>
        </w:rPr>
        <w:t>we see the outcomes that the structures and processes promote, both clinical outcomes (</w:t>
      </w:r>
      <w:r w:rsidRPr="006A1FE8">
        <w:rPr>
          <w:rFonts w:ascii="Palatino Linotype" w:hAnsi="Palatino Linotype"/>
          <w:i/>
          <w:color w:val="1F497D"/>
          <w:sz w:val="22"/>
          <w:szCs w:val="22"/>
        </w:rPr>
        <w:t xml:space="preserve">Clinical Responsiveness, Diagnostic Accuracy, Timely &amp; Effective Treatment Decisions; Patient Adherence to Treatment; Patient Safety) </w:t>
      </w:r>
      <w:r w:rsidRPr="006A1FE8">
        <w:rPr>
          <w:rFonts w:ascii="Palatino Linotype" w:hAnsi="Palatino Linotype"/>
          <w:i/>
          <w:sz w:val="22"/>
          <w:szCs w:val="22"/>
        </w:rPr>
        <w:t xml:space="preserve">and patient experience as an outcome of value in itself (Patient Comfort &amp; Engagement).   </w:t>
      </w:r>
    </w:p>
    <w:p w:rsidR="00516D7C" w:rsidRPr="006A1FE8" w:rsidRDefault="00516D7C" w:rsidP="00516D7C">
      <w:pPr>
        <w:pStyle w:val="PlainText"/>
        <w:rPr>
          <w:rFonts w:ascii="Palatino Linotype" w:hAnsi="Palatino Linotype"/>
          <w:i/>
          <w:sz w:val="22"/>
          <w:szCs w:val="22"/>
        </w:rPr>
      </w:pPr>
      <w:r w:rsidRPr="006A1FE8">
        <w:rPr>
          <w:rFonts w:ascii="Palatino Linotype" w:hAnsi="Palatino Linotype"/>
          <w:i/>
          <w:sz w:val="22"/>
          <w:szCs w:val="22"/>
        </w:rPr>
        <w:lastRenderedPageBreak/>
        <w:t xml:space="preserve">Note that the arrows passing through central box (Communication, Responsiveness etc.) indicate that the effect of the structure on the left on the outcome to the right </w:t>
      </w:r>
      <w:proofErr w:type="gramStart"/>
      <w:r w:rsidRPr="006A1FE8">
        <w:rPr>
          <w:rFonts w:ascii="Palatino Linotype" w:hAnsi="Palatino Linotype"/>
          <w:i/>
          <w:sz w:val="22"/>
          <w:szCs w:val="22"/>
        </w:rPr>
        <w:t>is partially mediated</w:t>
      </w:r>
      <w:proofErr w:type="gramEnd"/>
      <w:r w:rsidRPr="006A1FE8">
        <w:rPr>
          <w:rFonts w:ascii="Palatino Linotype" w:hAnsi="Palatino Linotype"/>
          <w:i/>
          <w:sz w:val="22"/>
          <w:szCs w:val="22"/>
        </w:rPr>
        <w:t xml:space="preserve"> through the processes in the center.  The structure may also have an additional effect on outcomes passing through processes not visible to the patient, such as execution of procedures with technical skill, as indicated by the arrows from structure (Hospital Physical Plant) to outcome (Patient Comfort &amp; Engagement) not passing through the central box.  Nonetheless, if some of the structural characteristics (e.g. adequate staffing) measured indirectly through </w:t>
      </w:r>
      <w:proofErr w:type="gramStart"/>
      <w:r w:rsidRPr="006A1FE8">
        <w:rPr>
          <w:rFonts w:ascii="Palatino Linotype" w:hAnsi="Palatino Linotype"/>
          <w:i/>
          <w:sz w:val="22"/>
          <w:szCs w:val="22"/>
        </w:rPr>
        <w:t>HCAHPS</w:t>
      </w:r>
      <w:proofErr w:type="gramEnd"/>
      <w:r w:rsidRPr="006A1FE8">
        <w:rPr>
          <w:rFonts w:ascii="Palatino Linotype" w:hAnsi="Palatino Linotype"/>
          <w:i/>
          <w:sz w:val="22"/>
          <w:szCs w:val="22"/>
        </w:rPr>
        <w:t xml:space="preserve"> process measures also have effects through unmeasured process pathways, the measures gain broader significance.</w:t>
      </w:r>
    </w:p>
    <w:p w:rsidR="00516D7C" w:rsidRDefault="00516D7C" w:rsidP="00516D7C"/>
    <w:p w:rsidR="00516D7C" w:rsidRDefault="00516D7C" w:rsidP="00516D7C">
      <w:r>
        <w:object w:dxaOrig="13273" w:dyaOrig="10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78.45pt" o:ole="">
            <v:imagedata r:id="rId16" o:title=""/>
          </v:shape>
          <o:OLEObject Type="Embed" ProgID="Visio.Drawing.15" ShapeID="_x0000_i1025" DrawAspect="Content" ObjectID="_1617621129" r:id="rId17"/>
        </w:object>
      </w:r>
    </w:p>
    <w:p w:rsidR="00516D7C" w:rsidRDefault="00516D7C" w:rsidP="00516D7C">
      <w:pPr>
        <w:rPr>
          <w:b/>
        </w:rPr>
      </w:pPr>
    </w:p>
    <w:p w:rsidR="002B06BD" w:rsidRPr="003B1CC5" w:rsidRDefault="002B06BD" w:rsidP="002E2177">
      <w:pPr>
        <w:ind w:left="432" w:hanging="432"/>
        <w:rPr>
          <w:color w:val="0000FF"/>
        </w:rPr>
      </w:pPr>
    </w:p>
    <w:p w:rsidR="00676BD4" w:rsidRDefault="00676BD4" w:rsidP="002E2177">
      <w:pPr>
        <w:ind w:left="432" w:hanging="432"/>
        <w:rPr>
          <w:b/>
          <w:color w:val="0000FF"/>
        </w:rPr>
      </w:pPr>
    </w:p>
    <w:p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w:t>
      </w:r>
      <w:proofErr w:type="gramStart"/>
      <w:r>
        <w:rPr>
          <w:iCs/>
        </w:rPr>
        <w:t xml:space="preserve">is </w:t>
      </w:r>
      <w:r w:rsidRPr="004922E4">
        <w:rPr>
          <w:iCs/>
        </w:rPr>
        <w:t>derived</w:t>
      </w:r>
      <w:proofErr w:type="gramEnd"/>
      <w:r w:rsidRPr="004922E4">
        <w:rPr>
          <w:iCs/>
        </w:rPr>
        <w:t xml:space="preserve">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t>
      </w:r>
      <w:proofErr w:type="gramStart"/>
      <w:r w:rsidRPr="004922E4">
        <w:rPr>
          <w:iCs/>
        </w:rPr>
        <w:t>was obtained</w:t>
      </w:r>
      <w:proofErr w:type="gramEnd"/>
      <w:r w:rsidRPr="004922E4">
        <w:rPr>
          <w:iCs/>
        </w:rPr>
        <w:t>.)</w:t>
      </w:r>
    </w:p>
    <w:p w:rsidR="004922E4" w:rsidRDefault="004922E4" w:rsidP="002E2177">
      <w:pPr>
        <w:ind w:left="432" w:hanging="432"/>
        <w:rPr>
          <w:b/>
          <w:color w:val="0000FF"/>
        </w:rPr>
      </w:pPr>
    </w:p>
    <w:p w:rsidR="008E767D" w:rsidRPr="001A07BD" w:rsidRDefault="008E767D" w:rsidP="008E767D">
      <w:pPr>
        <w:autoSpaceDE w:val="0"/>
        <w:autoSpaceDN w:val="0"/>
        <w:adjustRightInd w:val="0"/>
        <w:ind w:firstLine="0"/>
        <w:rPr>
          <w:rFonts w:ascii="Palatino Linotype" w:hAnsi="Palatino Linotype" w:cs="Calibri"/>
          <w:i/>
        </w:rPr>
      </w:pPr>
      <w:r w:rsidRPr="001A07BD">
        <w:rPr>
          <w:rFonts w:ascii="Palatino Linotype" w:hAnsi="Palatino Linotype" w:cs="Calibri"/>
          <w:i/>
        </w:rPr>
        <w:lastRenderedPageBreak/>
        <w:t xml:space="preserve">Each stage of HCAHPS development process has considered the value of the HCAHPS items to patients. The development of the questionnaire included a process to solicit input on the content of the questionnaire and the methods for sampling, data collection, and analysis. Input from stakeholders </w:t>
      </w:r>
      <w:proofErr w:type="gramStart"/>
      <w:r w:rsidRPr="001A07BD">
        <w:rPr>
          <w:rFonts w:ascii="Palatino Linotype" w:hAnsi="Palatino Linotype" w:cs="Calibri"/>
          <w:i/>
        </w:rPr>
        <w:t>was garnered</w:t>
      </w:r>
      <w:proofErr w:type="gramEnd"/>
      <w:r w:rsidRPr="001A07BD">
        <w:rPr>
          <w:rFonts w:ascii="Palatino Linotype" w:hAnsi="Palatino Linotype" w:cs="Calibri"/>
          <w:i/>
        </w:rPr>
        <w:t xml:space="preserve"> through a variety of venues, including a literature review, one-on-one meetings, and focus groups with target consumers (Darby et al. 2005). In focus groups of recent hospital inpatients, participants reported that </w:t>
      </w:r>
      <w:r w:rsidRPr="001A07BD">
        <w:rPr>
          <w:rFonts w:ascii="Palatino Linotype" w:hAnsi="Palatino Linotype"/>
          <w:i/>
          <w:lang w:val="en"/>
        </w:rPr>
        <w:t>a very high proportion of the items being considered for the CAHPS Hospital Survey to be so important they would consider changing hospitals in response to information about them (</w:t>
      </w:r>
      <w:proofErr w:type="spellStart"/>
      <w:r w:rsidRPr="001A07BD">
        <w:rPr>
          <w:rFonts w:ascii="Palatino Linotype" w:hAnsi="Palatino Linotype"/>
          <w:i/>
          <w:lang w:val="en"/>
        </w:rPr>
        <w:t>Sofaer</w:t>
      </w:r>
      <w:proofErr w:type="spellEnd"/>
      <w:r w:rsidRPr="001A07BD">
        <w:rPr>
          <w:rFonts w:ascii="Palatino Linotype" w:hAnsi="Palatino Linotype"/>
          <w:i/>
          <w:lang w:val="en"/>
        </w:rPr>
        <w:t xml:space="preserve"> et al. 2005). </w:t>
      </w:r>
      <w:r w:rsidRPr="001A07BD">
        <w:rPr>
          <w:rFonts w:ascii="Palatino Linotype" w:hAnsi="Palatino Linotype" w:cs="Calibri"/>
          <w:i/>
        </w:rPr>
        <w:t xml:space="preserve"> Edgman-Levitan and Cleary (1996) asked patients what was important to them and what affects them.  Key dimensions patients identified were respect for patients’ values, preferences, and expressed needs; coordination of care; information, communication, and education; physical comfort and pain management; emotional support and alleviation of fear and anxiety; involvement of family and friends; and transition and continuity to the home or community.  Multiple focus groups conducted with Department of Veterans Affairs (VA) patients from different geographic regions confirmed these dimensions of quality as being most important to patients (Edgman-Levitan and Cleary 1996).  During the course of its development, CMS provided three opportunities for the public to comment on HCAHPS, resulting in well over one thousand comments (CMS.gov).  This process resulted in an initial HCAHPS survey.  </w:t>
      </w:r>
    </w:p>
    <w:p w:rsidR="008E767D" w:rsidRPr="001A07BD" w:rsidRDefault="008E767D" w:rsidP="008E767D">
      <w:pPr>
        <w:autoSpaceDE w:val="0"/>
        <w:autoSpaceDN w:val="0"/>
        <w:adjustRightInd w:val="0"/>
        <w:rPr>
          <w:rFonts w:ascii="Palatino Linotype" w:hAnsi="Palatino Linotype" w:cs="Calibri"/>
          <w:i/>
        </w:rPr>
      </w:pPr>
    </w:p>
    <w:p w:rsidR="008E767D" w:rsidRPr="001A07BD" w:rsidRDefault="008E767D" w:rsidP="008E767D">
      <w:pPr>
        <w:autoSpaceDE w:val="0"/>
        <w:autoSpaceDN w:val="0"/>
        <w:adjustRightInd w:val="0"/>
        <w:ind w:firstLine="0"/>
        <w:rPr>
          <w:rFonts w:ascii="Palatino Linotype" w:hAnsi="Palatino Linotype"/>
          <w:i/>
        </w:rPr>
      </w:pPr>
      <w:r w:rsidRPr="001A07BD">
        <w:rPr>
          <w:rFonts w:ascii="Palatino Linotype" w:hAnsi="Palatino Linotype" w:cs="Calibri"/>
          <w:i/>
        </w:rPr>
        <w:t>The second phase involved streamlining the survey. To determine which items to keep in the shortened CAHPS hospital questionnaire, we examined their importance from three perspectives: the degree to which they were indicators of the composite; their relationships to patients’ overall evaluation of the</w:t>
      </w:r>
      <w:r w:rsidRPr="001A07BD">
        <w:rPr>
          <w:rFonts w:ascii="Palatino Linotype" w:hAnsi="Palatino Linotype"/>
          <w:i/>
        </w:rPr>
        <w:t xml:space="preserve"> hospital; and their relative ranking, according to what patients and their loved ones told us in focus groups (Keller et al. 2005).   </w:t>
      </w:r>
    </w:p>
    <w:p w:rsidR="008E767D" w:rsidRPr="001A07BD" w:rsidRDefault="008E767D" w:rsidP="008E767D">
      <w:pPr>
        <w:autoSpaceDE w:val="0"/>
        <w:autoSpaceDN w:val="0"/>
        <w:adjustRightInd w:val="0"/>
        <w:rPr>
          <w:rFonts w:ascii="Palatino Linotype" w:hAnsi="Palatino Linotype" w:cs="RealpageGDY1"/>
          <w:i/>
        </w:rPr>
      </w:pPr>
    </w:p>
    <w:p w:rsidR="008E767D" w:rsidRPr="001A07BD" w:rsidRDefault="008E767D" w:rsidP="008E767D">
      <w:pPr>
        <w:autoSpaceDE w:val="0"/>
        <w:autoSpaceDN w:val="0"/>
        <w:adjustRightInd w:val="0"/>
        <w:ind w:firstLine="0"/>
        <w:rPr>
          <w:rFonts w:ascii="Palatino Linotype" w:eastAsia="Calibri" w:hAnsi="Palatino Linotype" w:cs="Times New Roman"/>
          <w:i/>
        </w:rPr>
      </w:pPr>
      <w:r w:rsidRPr="001A07BD">
        <w:rPr>
          <w:rFonts w:ascii="Palatino Linotype" w:hAnsi="Palatino Linotype"/>
          <w:i/>
        </w:rPr>
        <w:t xml:space="preserve">The results of focus groups are valuable because certain themes emerge consistently.  </w:t>
      </w:r>
      <w:proofErr w:type="gramStart"/>
      <w:r w:rsidRPr="001A07BD">
        <w:rPr>
          <w:rFonts w:ascii="Palatino Linotype" w:hAnsi="Palatino Linotype"/>
          <w:i/>
        </w:rPr>
        <w:t>But</w:t>
      </w:r>
      <w:proofErr w:type="gramEnd"/>
      <w:r w:rsidRPr="001A07BD">
        <w:rPr>
          <w:rFonts w:ascii="Palatino Linotype" w:hAnsi="Palatino Linotype"/>
          <w:i/>
        </w:rPr>
        <w:t xml:space="preserve"> they are limited in part because they cannot provide information about how generalizable the results are. Results from survey data can address this limitation. CAHPS measures, developed to complement more technical quality measures, are measures for which the patients are the best or only source of</w:t>
      </w:r>
      <w:r w:rsidRPr="001A07BD">
        <w:rPr>
          <w:rFonts w:ascii="Palatino Linotype" w:eastAsia="Calibri" w:hAnsi="Palatino Linotype" w:cs="Times New Roman"/>
          <w:i/>
        </w:rPr>
        <w:t xml:space="preserve"> information and/or perspective, such as the degree to which patients felt that their care was patient-centered (</w:t>
      </w:r>
      <w:proofErr w:type="spellStart"/>
      <w:r w:rsidRPr="001A07BD">
        <w:rPr>
          <w:rFonts w:ascii="Palatino Linotype" w:eastAsia="Calibri" w:hAnsi="Palatino Linotype" w:cs="Times New Roman"/>
          <w:i/>
        </w:rPr>
        <w:t>Anhang</w:t>
      </w:r>
      <w:proofErr w:type="spellEnd"/>
      <w:r w:rsidRPr="001A07BD">
        <w:rPr>
          <w:rFonts w:ascii="Palatino Linotype" w:eastAsia="Calibri" w:hAnsi="Palatino Linotype" w:cs="Times New Roman"/>
          <w:i/>
        </w:rPr>
        <w:t xml:space="preserve"> Price et al. 2014). Several studies provide evidence that patients value the CAHPS measures and find them meaningful. For example, </w:t>
      </w:r>
      <w:proofErr w:type="spellStart"/>
      <w:r w:rsidRPr="001A07BD">
        <w:rPr>
          <w:rFonts w:ascii="Palatino Linotype" w:eastAsia="Calibri" w:hAnsi="Palatino Linotype" w:cs="Times New Roman"/>
          <w:i/>
        </w:rPr>
        <w:t>Safran</w:t>
      </w:r>
      <w:proofErr w:type="spellEnd"/>
      <w:r w:rsidRPr="001A07BD">
        <w:rPr>
          <w:rFonts w:ascii="Palatino Linotype" w:eastAsia="Calibri" w:hAnsi="Palatino Linotype" w:cs="Times New Roman"/>
          <w:i/>
        </w:rPr>
        <w:t xml:space="preserve"> et al. (2001) found that patients who reported the poorest-quality relationships with their physicians were three times more likely to voluntarily leave the physicians’ practice than patients with the highest-quality </w:t>
      </w:r>
      <w:proofErr w:type="gramStart"/>
      <w:r w:rsidRPr="001A07BD">
        <w:rPr>
          <w:rFonts w:ascii="Palatino Linotype" w:eastAsia="Calibri" w:hAnsi="Palatino Linotype" w:cs="Times New Roman"/>
          <w:i/>
        </w:rPr>
        <w:t>relationships</w:t>
      </w:r>
      <w:proofErr w:type="gramEnd"/>
      <w:r w:rsidRPr="001A07BD">
        <w:rPr>
          <w:rFonts w:ascii="Palatino Linotype" w:eastAsia="Calibri" w:hAnsi="Palatino Linotype" w:cs="Times New Roman"/>
          <w:i/>
        </w:rPr>
        <w:t xml:space="preserve">. Patients also use information from patient experience measures to make decisions about their healthcare providers and plans. One study found that seeing publicly reported quality information was a determinant of choosing higher quality-rated health plans, although the weight given to quality information also depended on other features, such as cost and provider choice (Faber et al., 2009).  </w:t>
      </w:r>
    </w:p>
    <w:p w:rsidR="008E767D" w:rsidRPr="001A07BD" w:rsidRDefault="008E767D" w:rsidP="008E767D">
      <w:pPr>
        <w:rPr>
          <w:rFonts w:ascii="Palatino Linotype" w:eastAsia="Calibri" w:hAnsi="Palatino Linotype" w:cs="Times New Roman"/>
          <w:i/>
        </w:rPr>
      </w:pPr>
    </w:p>
    <w:p w:rsidR="008E767D" w:rsidRPr="001A07BD" w:rsidRDefault="008E767D" w:rsidP="008E767D">
      <w:pPr>
        <w:ind w:firstLine="0"/>
        <w:rPr>
          <w:rFonts w:ascii="Palatino Linotype" w:eastAsia="Calibri" w:hAnsi="Palatino Linotype" w:cs="Times New Roman"/>
          <w:i/>
        </w:rPr>
      </w:pPr>
      <w:r w:rsidRPr="001A07BD">
        <w:rPr>
          <w:rFonts w:ascii="Palatino Linotype" w:eastAsia="Calibri" w:hAnsi="Palatino Linotype" w:cs="Times New Roman"/>
          <w:i/>
        </w:rPr>
        <w:t xml:space="preserve">Consumers may weigh HCAHPS scores more in their hospital choice decision than other sources of quality information, demonstrating the value of this information to consumers.  </w:t>
      </w:r>
      <w:proofErr w:type="gramStart"/>
      <w:r w:rsidRPr="001A07BD">
        <w:rPr>
          <w:rFonts w:ascii="Palatino Linotype" w:eastAsia="Calibri" w:hAnsi="Palatino Linotype" w:cs="Times New Roman"/>
          <w:i/>
        </w:rPr>
        <w:t>An experimental study comparing the effects of HCAHPS scores and word-of-mouth narratives on consumer’s hospital choice (</w:t>
      </w:r>
      <w:proofErr w:type="spellStart"/>
      <w:r w:rsidRPr="001A07BD">
        <w:rPr>
          <w:rFonts w:ascii="Palatino Linotype" w:eastAsia="Calibri" w:hAnsi="Palatino Linotype" w:cs="Times New Roman"/>
          <w:i/>
        </w:rPr>
        <w:t>Huppertz</w:t>
      </w:r>
      <w:proofErr w:type="spellEnd"/>
      <w:r w:rsidRPr="001A07BD">
        <w:rPr>
          <w:rFonts w:ascii="Palatino Linotype" w:eastAsia="Calibri" w:hAnsi="Palatino Linotype" w:cs="Times New Roman"/>
          <w:i/>
        </w:rPr>
        <w:t xml:space="preserve"> and Carlson, 2010) showed that when HCAHPS scores and word-of-mouth narratives reinforced one another, they had strong effects on consumers hospital choices; however, </w:t>
      </w:r>
      <w:r w:rsidRPr="001A07BD">
        <w:rPr>
          <w:rFonts w:ascii="Palatino Linotype" w:eastAsia="Calibri" w:hAnsi="Palatino Linotype" w:cs="Times New Roman"/>
          <w:i/>
        </w:rPr>
        <w:lastRenderedPageBreak/>
        <w:t>when HCAHPS scores and word-of-mouth narratives were inconsistent, patients more heavily weighted information from HCAHPS scores in their hospital choice decision.</w:t>
      </w:r>
      <w:proofErr w:type="gramEnd"/>
      <w:r w:rsidRPr="001A07BD">
        <w:rPr>
          <w:rFonts w:ascii="Palatino Linotype" w:eastAsia="Calibri" w:hAnsi="Palatino Linotype" w:cs="Times New Roman"/>
          <w:i/>
        </w:rPr>
        <w:t xml:space="preserve"> </w:t>
      </w:r>
    </w:p>
    <w:p w:rsidR="008E767D" w:rsidRPr="001A07BD" w:rsidRDefault="008E767D" w:rsidP="008E767D">
      <w:pPr>
        <w:rPr>
          <w:rFonts w:ascii="Palatino Linotype" w:hAnsi="Palatino Linotype" w:cs="Arial"/>
          <w:i/>
          <w:shd w:val="clear" w:color="auto" w:fill="FFFFFF"/>
        </w:rPr>
      </w:pPr>
    </w:p>
    <w:p w:rsidR="008E767D" w:rsidRPr="001A07BD" w:rsidRDefault="008E767D" w:rsidP="008E767D">
      <w:pPr>
        <w:rPr>
          <w:rFonts w:ascii="Palatino Linotype" w:eastAsia="Calibri" w:hAnsi="Palatino Linotype" w:cs="Times New Roman"/>
          <w:b/>
          <w:i/>
        </w:rPr>
      </w:pPr>
      <w:r w:rsidRPr="001A07BD">
        <w:rPr>
          <w:rFonts w:ascii="Palatino Linotype" w:eastAsia="Calibri" w:hAnsi="Palatino Linotype" w:cs="Times New Roman"/>
          <w:b/>
          <w:i/>
        </w:rPr>
        <w:t>References</w:t>
      </w:r>
    </w:p>
    <w:p w:rsidR="008E767D" w:rsidRPr="001A07BD" w:rsidRDefault="008E767D" w:rsidP="008E767D">
      <w:pPr>
        <w:rPr>
          <w:rFonts w:ascii="Palatino Linotype" w:eastAsia="Calibri" w:hAnsi="Palatino Linotype" w:cs="Calibri"/>
          <w:i/>
        </w:rPr>
      </w:pPr>
    </w:p>
    <w:p w:rsidR="008E767D" w:rsidRPr="001A07BD" w:rsidRDefault="008E767D" w:rsidP="008E767D">
      <w:pPr>
        <w:rPr>
          <w:rFonts w:ascii="Palatino Linotype" w:eastAsia="Calibri" w:hAnsi="Palatino Linotype" w:cs="Times New Roman"/>
          <w:i/>
        </w:rPr>
      </w:pPr>
      <w:proofErr w:type="spellStart"/>
      <w:r w:rsidRPr="001A07BD">
        <w:rPr>
          <w:rFonts w:ascii="Palatino Linotype" w:eastAsia="Calibri" w:hAnsi="Palatino Linotype" w:cs="Times New Roman"/>
          <w:i/>
        </w:rPr>
        <w:t>Anhang</w:t>
      </w:r>
      <w:proofErr w:type="spellEnd"/>
      <w:r w:rsidRPr="001A07BD">
        <w:rPr>
          <w:rFonts w:ascii="Palatino Linotype" w:eastAsia="Calibri" w:hAnsi="Palatino Linotype" w:cs="Times New Roman"/>
          <w:i/>
        </w:rPr>
        <w:t xml:space="preserve"> Price R, Elliott MN, Zaslavsky AM, Hays RD, Lehrman WG, Rybowski L, Edgman-Levitan S, Cleary PD. (2014) Examining the role of patient experience surveys in measuring health care quality. Med Care Res Rev 71 (5):522-54.</w:t>
      </w:r>
    </w:p>
    <w:p w:rsidR="008E767D" w:rsidRPr="001A07BD" w:rsidRDefault="008E767D" w:rsidP="008E767D">
      <w:pPr>
        <w:rPr>
          <w:rFonts w:ascii="Palatino Linotype" w:eastAsia="Calibri" w:hAnsi="Palatino Linotype" w:cs="Times New Roman"/>
          <w:i/>
        </w:rPr>
      </w:pPr>
    </w:p>
    <w:p w:rsidR="008E767D" w:rsidRPr="001A07BD" w:rsidRDefault="008E767D" w:rsidP="008E767D">
      <w:pPr>
        <w:rPr>
          <w:rFonts w:ascii="Palatino Linotype" w:eastAsia="Calibri" w:hAnsi="Palatino Linotype" w:cs="Times New Roman"/>
          <w:i/>
        </w:rPr>
      </w:pPr>
      <w:r w:rsidRPr="001A07BD">
        <w:rPr>
          <w:rFonts w:ascii="Palatino Linotype" w:eastAsia="Calibri" w:hAnsi="Palatino Linotype" w:cs="Times New Roman"/>
          <w:i/>
        </w:rPr>
        <w:t xml:space="preserve">CMS (Centers for Medicare &amp; Medicaid Services).  </w:t>
      </w:r>
      <w:hyperlink r:id="rId18" w:history="1">
        <w:r w:rsidRPr="001A07BD">
          <w:rPr>
            <w:rFonts w:ascii="Palatino Linotype" w:eastAsia="Calibri" w:hAnsi="Palatino Linotype" w:cs="Times New Roman"/>
            <w:i/>
          </w:rPr>
          <w:t>https://www.cms.gov/Medicare/Quality-Initiatives-patient-assessment-instruments/hospitalqualityinits/hospitalhcahps.html</w:t>
        </w:r>
      </w:hyperlink>
    </w:p>
    <w:p w:rsidR="008E767D" w:rsidRPr="001A07BD" w:rsidRDefault="008E767D" w:rsidP="008E767D">
      <w:pPr>
        <w:rPr>
          <w:rFonts w:ascii="Palatino Linotype" w:eastAsia="Calibri" w:hAnsi="Palatino Linotype" w:cs="Times New Roman"/>
          <w:i/>
        </w:rPr>
      </w:pPr>
    </w:p>
    <w:p w:rsidR="008E767D" w:rsidRPr="001A07BD" w:rsidRDefault="008E767D" w:rsidP="008E767D">
      <w:pPr>
        <w:rPr>
          <w:rFonts w:ascii="Palatino Linotype" w:eastAsia="Calibri" w:hAnsi="Palatino Linotype" w:cs="Times New Roman"/>
          <w:i/>
        </w:rPr>
      </w:pPr>
      <w:r w:rsidRPr="001A07BD">
        <w:rPr>
          <w:rFonts w:ascii="Palatino Linotype" w:eastAsia="Calibri" w:hAnsi="Palatino Linotype" w:cs="Times New Roman"/>
          <w:i/>
        </w:rPr>
        <w:t xml:space="preserve">Darby C, Hays R, </w:t>
      </w:r>
      <w:proofErr w:type="spellStart"/>
      <w:r w:rsidRPr="001A07BD">
        <w:rPr>
          <w:rFonts w:ascii="Palatino Linotype" w:eastAsia="Calibri" w:hAnsi="Palatino Linotype" w:cs="Times New Roman"/>
          <w:i/>
        </w:rPr>
        <w:t>Kletke</w:t>
      </w:r>
      <w:proofErr w:type="spellEnd"/>
      <w:r w:rsidRPr="001A07BD">
        <w:rPr>
          <w:rFonts w:ascii="Palatino Linotype" w:eastAsia="Calibri" w:hAnsi="Palatino Linotype" w:cs="Times New Roman"/>
          <w:i/>
        </w:rPr>
        <w:t>, P.  Development and Evaluation of the CAHPS Hospital Survey.  Health Services Research, 40 (6 Pt. 2), 1973-1976.</w:t>
      </w:r>
    </w:p>
    <w:p w:rsidR="008E767D" w:rsidRPr="001A07BD" w:rsidRDefault="008E767D" w:rsidP="008E767D">
      <w:pPr>
        <w:rPr>
          <w:rFonts w:ascii="Palatino Linotype" w:eastAsia="Calibri" w:hAnsi="Palatino Linotype" w:cs="Times New Roman"/>
          <w:i/>
        </w:rPr>
      </w:pPr>
    </w:p>
    <w:p w:rsidR="008E767D" w:rsidRPr="001A07BD" w:rsidRDefault="008E767D" w:rsidP="008E767D">
      <w:pPr>
        <w:rPr>
          <w:rFonts w:ascii="Palatino Linotype" w:hAnsi="Palatino Linotype"/>
          <w:i/>
        </w:rPr>
      </w:pPr>
      <w:r w:rsidRPr="001A07BD">
        <w:rPr>
          <w:rFonts w:ascii="Palatino Linotype" w:hAnsi="Palatino Linotype" w:cs="Arial"/>
          <w:i/>
          <w:shd w:val="clear" w:color="auto" w:fill="FFFFFF"/>
        </w:rPr>
        <w:t>Edgman-Levitan, S. &amp; Cleary, P. D. (1996). What Information Do Consumers Want and Need? A synthesis of research to date, plus interviews with health plan managers and consumer advocates. </w:t>
      </w:r>
      <w:r w:rsidRPr="001A07BD">
        <w:rPr>
          <w:rFonts w:ascii="Palatino Linotype" w:hAnsi="Palatino Linotype" w:cs="Arial"/>
          <w:i/>
          <w:iCs/>
          <w:shd w:val="clear" w:color="auto" w:fill="FFFFFF"/>
        </w:rPr>
        <w:t>Health Affairs</w:t>
      </w:r>
      <w:r w:rsidRPr="001A07BD">
        <w:rPr>
          <w:rFonts w:ascii="Palatino Linotype" w:hAnsi="Palatino Linotype" w:cs="Arial"/>
          <w:i/>
          <w:shd w:val="clear" w:color="auto" w:fill="FFFFFF"/>
        </w:rPr>
        <w:t>, </w:t>
      </w:r>
      <w:r w:rsidRPr="001A07BD">
        <w:rPr>
          <w:rFonts w:ascii="Palatino Linotype" w:hAnsi="Palatino Linotype" w:cs="Arial"/>
          <w:i/>
          <w:iCs/>
          <w:shd w:val="clear" w:color="auto" w:fill="FFFFFF"/>
        </w:rPr>
        <w:t>15</w:t>
      </w:r>
      <w:r w:rsidRPr="001A07BD">
        <w:rPr>
          <w:rFonts w:ascii="Palatino Linotype" w:hAnsi="Palatino Linotype" w:cs="Arial"/>
          <w:i/>
          <w:shd w:val="clear" w:color="auto" w:fill="FFFFFF"/>
        </w:rPr>
        <w:t>(4), 42-56.</w:t>
      </w:r>
    </w:p>
    <w:p w:rsidR="008E767D" w:rsidRPr="001A07BD" w:rsidRDefault="008E767D" w:rsidP="008E767D">
      <w:pPr>
        <w:rPr>
          <w:rFonts w:ascii="Palatino Linotype" w:eastAsia="Calibri" w:hAnsi="Palatino Linotype" w:cs="Times New Roman"/>
          <w:i/>
        </w:rPr>
      </w:pPr>
      <w:r w:rsidRPr="001A07BD">
        <w:rPr>
          <w:rFonts w:ascii="Palatino Linotype" w:eastAsia="Calibri" w:hAnsi="Palatino Linotype" w:cs="Times New Roman"/>
          <w:i/>
        </w:rPr>
        <w:t xml:space="preserve">Faber M, Bosch M, </w:t>
      </w:r>
      <w:proofErr w:type="spellStart"/>
      <w:r w:rsidRPr="001A07BD">
        <w:rPr>
          <w:rFonts w:ascii="Palatino Linotype" w:eastAsia="Calibri" w:hAnsi="Palatino Linotype" w:cs="Times New Roman"/>
          <w:i/>
        </w:rPr>
        <w:t>Wollersheim</w:t>
      </w:r>
      <w:proofErr w:type="spellEnd"/>
      <w:r w:rsidRPr="001A07BD">
        <w:rPr>
          <w:rFonts w:ascii="Palatino Linotype" w:eastAsia="Calibri" w:hAnsi="Palatino Linotype" w:cs="Times New Roman"/>
          <w:i/>
        </w:rPr>
        <w:t xml:space="preserve"> H, Leatherman S, </w:t>
      </w:r>
      <w:proofErr w:type="spellStart"/>
      <w:r w:rsidRPr="001A07BD">
        <w:rPr>
          <w:rFonts w:ascii="Palatino Linotype" w:eastAsia="Calibri" w:hAnsi="Palatino Linotype" w:cs="Times New Roman"/>
          <w:i/>
        </w:rPr>
        <w:t>Grol</w:t>
      </w:r>
      <w:proofErr w:type="spellEnd"/>
      <w:r w:rsidRPr="001A07BD">
        <w:rPr>
          <w:rFonts w:ascii="Palatino Linotype" w:eastAsia="Calibri" w:hAnsi="Palatino Linotype" w:cs="Times New Roman"/>
          <w:i/>
        </w:rPr>
        <w:t xml:space="preserve"> R.  Public reporting in health care: How do consumers use quality-of-care information? A systematic review. Med Care. 2009</w:t>
      </w:r>
      <w:proofErr w:type="gramStart"/>
      <w:r w:rsidRPr="001A07BD">
        <w:rPr>
          <w:rFonts w:ascii="Palatino Linotype" w:eastAsia="Calibri" w:hAnsi="Palatino Linotype" w:cs="Times New Roman"/>
          <w:i/>
        </w:rPr>
        <w:t>;</w:t>
      </w:r>
      <w:proofErr w:type="gramEnd"/>
      <w:r w:rsidRPr="001A07BD">
        <w:rPr>
          <w:rFonts w:ascii="Palatino Linotype" w:eastAsia="Calibri" w:hAnsi="Palatino Linotype" w:cs="Times New Roman"/>
          <w:i/>
        </w:rPr>
        <w:t> 47 (1): 1–8.</w:t>
      </w:r>
    </w:p>
    <w:p w:rsidR="008E767D" w:rsidRPr="001A07BD" w:rsidRDefault="008E767D" w:rsidP="008E767D">
      <w:pPr>
        <w:rPr>
          <w:rFonts w:ascii="Palatino Linotype" w:eastAsia="Calibri" w:hAnsi="Palatino Linotype" w:cs="Times New Roman"/>
          <w:i/>
        </w:rPr>
      </w:pPr>
    </w:p>
    <w:p w:rsidR="008E767D" w:rsidRPr="001A07BD" w:rsidRDefault="008E767D" w:rsidP="008E767D">
      <w:pPr>
        <w:rPr>
          <w:rFonts w:ascii="Palatino Linotype" w:eastAsia="Calibri" w:hAnsi="Palatino Linotype" w:cs="Times New Roman"/>
          <w:i/>
        </w:rPr>
      </w:pPr>
      <w:proofErr w:type="spellStart"/>
      <w:r w:rsidRPr="001A07BD">
        <w:rPr>
          <w:rFonts w:ascii="Palatino Linotype" w:eastAsia="Calibri" w:hAnsi="Palatino Linotype" w:cs="Times New Roman"/>
          <w:i/>
        </w:rPr>
        <w:t>Huppertz</w:t>
      </w:r>
      <w:proofErr w:type="spellEnd"/>
      <w:r w:rsidRPr="001A07BD">
        <w:rPr>
          <w:rFonts w:ascii="Palatino Linotype" w:eastAsia="Calibri" w:hAnsi="Palatino Linotype" w:cs="Times New Roman"/>
          <w:i/>
        </w:rPr>
        <w:t>, J. W., &amp; Carlson, J. P. (2010). Consumers' Use of HCAHPS Ratings and Word‐of‐Mouth in Hospital Choice. Health Services Research, 45 (6 Pt. 1), 1602-1613.</w:t>
      </w:r>
    </w:p>
    <w:p w:rsidR="008E767D" w:rsidRPr="001A07BD" w:rsidRDefault="008E767D" w:rsidP="008E767D">
      <w:pPr>
        <w:rPr>
          <w:rFonts w:ascii="Palatino Linotype" w:eastAsia="Calibri" w:hAnsi="Palatino Linotype" w:cs="Times New Roman"/>
          <w:i/>
        </w:rPr>
      </w:pPr>
    </w:p>
    <w:p w:rsidR="008E767D" w:rsidRPr="001A07BD" w:rsidRDefault="008E767D" w:rsidP="008E767D">
      <w:pPr>
        <w:rPr>
          <w:rFonts w:ascii="Palatino Linotype" w:eastAsia="Calibri" w:hAnsi="Palatino Linotype" w:cs="Times New Roman"/>
          <w:i/>
        </w:rPr>
      </w:pPr>
      <w:r w:rsidRPr="001A07BD">
        <w:rPr>
          <w:rFonts w:ascii="Palatino Linotype" w:eastAsia="Calibri" w:hAnsi="Palatino Linotype" w:cs="Times New Roman"/>
          <w:i/>
        </w:rPr>
        <w:t xml:space="preserve">Keller, S., O’Malley, A. J., Hays, R.D., Matthew, R.A., Zaslavsky, A.M., </w:t>
      </w:r>
      <w:proofErr w:type="spellStart"/>
      <w:r w:rsidRPr="001A07BD">
        <w:rPr>
          <w:rFonts w:ascii="Palatino Linotype" w:eastAsia="Calibri" w:hAnsi="Palatino Linotype" w:cs="Times New Roman"/>
          <w:i/>
        </w:rPr>
        <w:t>Hepner</w:t>
      </w:r>
      <w:proofErr w:type="spellEnd"/>
      <w:r w:rsidRPr="001A07BD">
        <w:rPr>
          <w:rFonts w:ascii="Palatino Linotype" w:eastAsia="Calibri" w:hAnsi="Palatino Linotype" w:cs="Times New Roman"/>
          <w:i/>
        </w:rPr>
        <w:t>, K.A., &amp; Cleary, P.D.  (2005). Methods used to streamline the CAHPS Hospital Survey.  Health Services Research, 40 (6 Pt. 2), 2057-2077. PMCID: PMC1361248</w:t>
      </w:r>
    </w:p>
    <w:p w:rsidR="008E767D" w:rsidRPr="001A07BD" w:rsidRDefault="008E767D" w:rsidP="008E767D">
      <w:pPr>
        <w:rPr>
          <w:rFonts w:ascii="Palatino Linotype" w:eastAsia="Calibri" w:hAnsi="Palatino Linotype" w:cs="Times New Roman"/>
          <w:i/>
        </w:rPr>
      </w:pPr>
    </w:p>
    <w:p w:rsidR="008E767D" w:rsidRPr="001A07BD" w:rsidRDefault="008E767D" w:rsidP="008E767D">
      <w:pPr>
        <w:rPr>
          <w:rFonts w:ascii="Palatino Linotype" w:eastAsia="Calibri" w:hAnsi="Palatino Linotype" w:cs="Times New Roman"/>
          <w:i/>
        </w:rPr>
      </w:pPr>
      <w:proofErr w:type="spellStart"/>
      <w:r w:rsidRPr="001A07BD">
        <w:rPr>
          <w:rFonts w:ascii="Palatino Linotype" w:eastAsia="Calibri" w:hAnsi="Palatino Linotype" w:cs="Times New Roman"/>
          <w:i/>
        </w:rPr>
        <w:t>Safran</w:t>
      </w:r>
      <w:proofErr w:type="spellEnd"/>
      <w:r w:rsidRPr="001A07BD">
        <w:rPr>
          <w:rFonts w:ascii="Palatino Linotype" w:eastAsia="Calibri" w:hAnsi="Palatino Linotype" w:cs="Times New Roman"/>
          <w:i/>
        </w:rPr>
        <w:t xml:space="preserve"> DG, Montgomery JE, Chang H, Murphy J, Rogers WH. (2001). Switching doctors: Predictors of voluntary disenrollment from a primary physician’s practice.  J </w:t>
      </w:r>
      <w:proofErr w:type="gramStart"/>
      <w:r w:rsidRPr="001A07BD">
        <w:rPr>
          <w:rFonts w:ascii="Palatino Linotype" w:eastAsia="Calibri" w:hAnsi="Palatino Linotype" w:cs="Times New Roman"/>
          <w:i/>
        </w:rPr>
        <w:t>Fam</w:t>
      </w:r>
      <w:proofErr w:type="gramEnd"/>
      <w:r w:rsidRPr="001A07BD">
        <w:rPr>
          <w:rFonts w:ascii="Palatino Linotype" w:eastAsia="Calibri" w:hAnsi="Palatino Linotype" w:cs="Times New Roman"/>
          <w:i/>
        </w:rPr>
        <w:t xml:space="preserve"> Practice. </w:t>
      </w:r>
      <w:proofErr w:type="gramStart"/>
      <w:r w:rsidRPr="001A07BD">
        <w:rPr>
          <w:rFonts w:ascii="Palatino Linotype" w:eastAsia="Calibri" w:hAnsi="Palatino Linotype" w:cs="Times New Roman"/>
          <w:i/>
        </w:rPr>
        <w:t>50</w:t>
      </w:r>
      <w:proofErr w:type="gramEnd"/>
      <w:r w:rsidRPr="001A07BD">
        <w:rPr>
          <w:rFonts w:ascii="Palatino Linotype" w:eastAsia="Calibri" w:hAnsi="Palatino Linotype" w:cs="Times New Roman"/>
          <w:i/>
        </w:rPr>
        <w:t xml:space="preserve"> (2):130–6.</w:t>
      </w:r>
    </w:p>
    <w:p w:rsidR="008E767D" w:rsidRPr="001A07BD" w:rsidRDefault="008E767D" w:rsidP="008E767D">
      <w:pPr>
        <w:rPr>
          <w:rFonts w:ascii="Palatino Linotype" w:eastAsia="Calibri" w:hAnsi="Palatino Linotype" w:cs="Times New Roman"/>
          <w:i/>
        </w:rPr>
      </w:pPr>
    </w:p>
    <w:p w:rsidR="008E767D" w:rsidRPr="001A07BD" w:rsidRDefault="008E767D" w:rsidP="008E767D">
      <w:pPr>
        <w:rPr>
          <w:rFonts w:ascii="Palatino Linotype" w:eastAsia="Calibri" w:hAnsi="Palatino Linotype" w:cs="Times New Roman"/>
          <w:i/>
        </w:rPr>
      </w:pPr>
      <w:proofErr w:type="spellStart"/>
      <w:r w:rsidRPr="001A07BD">
        <w:rPr>
          <w:rFonts w:ascii="Palatino Linotype" w:eastAsia="Calibri" w:hAnsi="Palatino Linotype" w:cs="Times New Roman"/>
          <w:i/>
        </w:rPr>
        <w:t>Sofaer</w:t>
      </w:r>
      <w:proofErr w:type="spellEnd"/>
      <w:r w:rsidRPr="001A07BD">
        <w:rPr>
          <w:rFonts w:ascii="Palatino Linotype" w:eastAsia="Calibri" w:hAnsi="Palatino Linotype" w:cs="Times New Roman"/>
          <w:i/>
        </w:rPr>
        <w:t xml:space="preserve">, S., Crofton, C., Goldstein, E., Hoy, E., &amp; </w:t>
      </w:r>
      <w:proofErr w:type="spellStart"/>
      <w:r w:rsidRPr="001A07BD">
        <w:rPr>
          <w:rFonts w:ascii="Palatino Linotype" w:eastAsia="Calibri" w:hAnsi="Palatino Linotype" w:cs="Times New Roman"/>
          <w:i/>
        </w:rPr>
        <w:t>Crabb</w:t>
      </w:r>
      <w:proofErr w:type="spellEnd"/>
      <w:r w:rsidRPr="001A07BD">
        <w:rPr>
          <w:rFonts w:ascii="Palatino Linotype" w:eastAsia="Calibri" w:hAnsi="Palatino Linotype" w:cs="Times New Roman"/>
          <w:i/>
        </w:rPr>
        <w:t>, J. (2005).  What do consumers want to know about the quality of care in hospitals? Health Services Research, 40 (6 Pt 2), 2018–2036. doi:10.1111/j.1475-6773.2005.00473.x</w:t>
      </w:r>
    </w:p>
    <w:p w:rsidR="008E767D" w:rsidRDefault="008E767D" w:rsidP="002E2177">
      <w:pPr>
        <w:ind w:left="432" w:hanging="432"/>
        <w:rPr>
          <w:b/>
          <w:color w:val="0000FF"/>
        </w:rPr>
      </w:pPr>
    </w:p>
    <w:p w:rsidR="00676BD4" w:rsidRDefault="00676BD4" w:rsidP="002E2177">
      <w:pPr>
        <w:ind w:left="432" w:hanging="432"/>
        <w:rPr>
          <w:b/>
          <w:color w:val="0000FF"/>
        </w:rPr>
      </w:pPr>
    </w:p>
    <w:p w:rsidR="00F90F82" w:rsidRDefault="00F90F82" w:rsidP="002E2177">
      <w:pPr>
        <w:ind w:left="432" w:hanging="432"/>
        <w:rPr>
          <w:b/>
          <w:color w:val="0000FF"/>
        </w:rPr>
      </w:pPr>
    </w:p>
    <w:p w:rsidR="00676BD4" w:rsidRDefault="00676BD4" w:rsidP="00A9011D">
      <w:pPr>
        <w:ind w:left="0" w:firstLine="0"/>
        <w:rPr>
          <w:b/>
          <w:color w:val="0000FF"/>
        </w:rPr>
      </w:pPr>
    </w:p>
    <w:p w:rsidR="00676BD4" w:rsidRDefault="00676BD4" w:rsidP="002E2177">
      <w:pPr>
        <w:ind w:left="432" w:hanging="432"/>
        <w:rPr>
          <w:b/>
          <w:color w:val="0000FF"/>
        </w:rPr>
      </w:pPr>
    </w:p>
    <w:p w:rsidR="00676BD4" w:rsidRDefault="00C41794" w:rsidP="002E2177">
      <w:pPr>
        <w:ind w:left="432" w:hanging="432"/>
        <w:rPr>
          <w:b/>
          <w:color w:val="0000FF"/>
        </w:rPr>
      </w:pPr>
      <w:r>
        <w:rPr>
          <w:b/>
          <w:color w:val="0000FF"/>
        </w:rPr>
        <w:t xml:space="preserve">**RESPOND TO ONLY ONE SECTION </w:t>
      </w:r>
      <w:r w:rsidR="004E7215">
        <w:rPr>
          <w:b/>
          <w:color w:val="0000FF"/>
        </w:rPr>
        <w:t xml:space="preserve">BELOW </w:t>
      </w:r>
      <w:proofErr w:type="gramStart"/>
      <w:r w:rsidR="004E7215">
        <w:rPr>
          <w:b/>
          <w:color w:val="0000FF"/>
        </w:rPr>
        <w:t>-</w:t>
      </w:r>
      <w:r>
        <w:rPr>
          <w:b/>
          <w:color w:val="0000FF"/>
        </w:rPr>
        <w:t>EITHER 1a.2,</w:t>
      </w:r>
      <w:proofErr w:type="gramEnd"/>
      <w:r>
        <w:rPr>
          <w:b/>
          <w:color w:val="0000FF"/>
        </w:rPr>
        <w:t xml:space="preserve"> 1a.3 or 1a.4) </w:t>
      </w:r>
      <w:r w:rsidR="00AB4ECE">
        <w:rPr>
          <w:b/>
          <w:color w:val="0000FF"/>
        </w:rPr>
        <w:t>**</w:t>
      </w:r>
    </w:p>
    <w:p w:rsidR="00676BD4" w:rsidRDefault="00676BD4" w:rsidP="002E2177">
      <w:pPr>
        <w:ind w:left="432" w:hanging="432"/>
        <w:rPr>
          <w:b/>
          <w:color w:val="0000FF"/>
        </w:rPr>
      </w:pPr>
    </w:p>
    <w:p w:rsidR="00496AF8" w:rsidRDefault="00B058A6" w:rsidP="00C41794">
      <w:pPr>
        <w:ind w:left="432" w:hanging="432"/>
        <w:rPr>
          <w:b/>
          <w:iCs/>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rsidR="00E7532C" w:rsidRDefault="00E7532C" w:rsidP="008E767D">
      <w:pPr>
        <w:ind w:firstLine="0"/>
        <w:rPr>
          <w:rFonts w:ascii="Palatino Linotype" w:hAnsi="Palatino Linotype"/>
          <w:i/>
          <w:shd w:val="clear" w:color="auto" w:fill="FFFFFF"/>
        </w:rPr>
      </w:pPr>
    </w:p>
    <w:p w:rsidR="008E767D" w:rsidRPr="00F24DF2" w:rsidRDefault="008E767D" w:rsidP="008E767D">
      <w:pPr>
        <w:ind w:firstLine="0"/>
        <w:rPr>
          <w:rFonts w:ascii="Palatino Linotype" w:hAnsi="Palatino Linotype"/>
          <w:i/>
          <w:shd w:val="clear" w:color="auto" w:fill="FFFFFF"/>
        </w:rPr>
      </w:pPr>
      <w:r w:rsidRPr="00F24DF2">
        <w:rPr>
          <w:rFonts w:ascii="Palatino Linotype" w:hAnsi="Palatino Linotype"/>
          <w:i/>
          <w:shd w:val="clear" w:color="auto" w:fill="FFFFFF"/>
        </w:rPr>
        <w:t>Public reporting of HCAHPS scores have resulted in quality improvement initiatives aimed at patient experiences with care (Faber et al. 2009),</w:t>
      </w:r>
      <w:proofErr w:type="gramStart"/>
      <w:r w:rsidRPr="00F24DF2">
        <w:rPr>
          <w:rFonts w:ascii="Palatino Linotype" w:hAnsi="Palatino Linotype"/>
          <w:i/>
          <w:shd w:val="clear" w:color="auto" w:fill="FFFFFF"/>
        </w:rPr>
        <w:t> </w:t>
      </w:r>
      <w:r w:rsidRPr="00F24DF2" w:rsidDel="00386B6B">
        <w:rPr>
          <w:rStyle w:val="Hyperlink"/>
          <w:rFonts w:ascii="Palatino Linotype" w:hAnsi="Palatino Linotype"/>
          <w:i/>
          <w:shd w:val="clear" w:color="auto" w:fill="FFFFFF"/>
          <w:vertAlign w:val="superscript"/>
        </w:rPr>
        <w:t xml:space="preserve"> </w:t>
      </w:r>
      <w:r w:rsidRPr="00F24DF2">
        <w:rPr>
          <w:rFonts w:ascii="Palatino Linotype" w:hAnsi="Palatino Linotype"/>
          <w:i/>
          <w:shd w:val="clear" w:color="auto" w:fill="FFFFFF"/>
        </w:rPr>
        <w:t>and</w:t>
      </w:r>
      <w:proofErr w:type="gramEnd"/>
      <w:r w:rsidRPr="00F24DF2">
        <w:rPr>
          <w:rFonts w:ascii="Palatino Linotype" w:hAnsi="Palatino Linotype"/>
          <w:i/>
          <w:shd w:val="clear" w:color="auto" w:fill="FFFFFF"/>
        </w:rPr>
        <w:t xml:space="preserve"> there is evidence of improvement in HCAHPS scores (Elliott et al. 2010). HCAHPS data from the second and third HCAHPS implementation years (2008-2009), when hospitals participated on a voluntary basis, showed that all but one HCAHPS measure improved significantly nationally (Elliott et al. 2010).  Five years later, meaningful and statistically significant improvement continued for all hospitals, especially among initially low-performing hospitals, reducing some gaps in hospital performance (Elliott et al. 2015).  Focusing on 7-year (2007 to 2013) change in doctor communication, Mann et al. (2016) also report evidence of improvement and narrowing of the gap between the lowest- and highest-quartile hospitals.  They recommend the further narrowing of the gap </w:t>
      </w:r>
      <w:proofErr w:type="gramStart"/>
      <w:r w:rsidRPr="00F24DF2">
        <w:rPr>
          <w:rFonts w:ascii="Palatino Linotype" w:hAnsi="Palatino Linotype"/>
          <w:i/>
          <w:shd w:val="clear" w:color="auto" w:fill="FFFFFF"/>
        </w:rPr>
        <w:t>may be improved</w:t>
      </w:r>
      <w:proofErr w:type="gramEnd"/>
      <w:r w:rsidRPr="00F24DF2">
        <w:rPr>
          <w:rFonts w:ascii="Palatino Linotype" w:hAnsi="Palatino Linotype"/>
          <w:i/>
          <w:shd w:val="clear" w:color="auto" w:fill="FFFFFF"/>
        </w:rPr>
        <w:t xml:space="preserve"> through sharing of best practices. </w:t>
      </w:r>
    </w:p>
    <w:p w:rsidR="008E767D" w:rsidRPr="00F24DF2" w:rsidRDefault="008E767D" w:rsidP="008E767D">
      <w:pPr>
        <w:rPr>
          <w:rFonts w:ascii="Palatino Linotype" w:hAnsi="Palatino Linotype"/>
          <w:i/>
          <w:shd w:val="clear" w:color="auto" w:fill="FFFFFF"/>
        </w:rPr>
      </w:pPr>
    </w:p>
    <w:p w:rsidR="008E767D" w:rsidRPr="00F24DF2" w:rsidRDefault="008E767D" w:rsidP="008E767D">
      <w:pPr>
        <w:ind w:firstLine="0"/>
        <w:rPr>
          <w:rFonts w:ascii="Palatino Linotype" w:eastAsia="Calibri" w:hAnsi="Palatino Linotype" w:cs="Times New Roman"/>
          <w:i/>
        </w:rPr>
      </w:pPr>
      <w:r w:rsidRPr="00F24DF2">
        <w:rPr>
          <w:rFonts w:ascii="Palatino Linotype" w:hAnsi="Palatino Linotype"/>
          <w:i/>
          <w:shd w:val="clear" w:color="auto" w:fill="FFFFFF"/>
        </w:rPr>
        <w:t xml:space="preserve">HCAHPS public reporting </w:t>
      </w:r>
      <w:proofErr w:type="gramStart"/>
      <w:r w:rsidRPr="00F24DF2">
        <w:rPr>
          <w:rFonts w:ascii="Palatino Linotype" w:hAnsi="Palatino Linotype"/>
          <w:i/>
          <w:shd w:val="clear" w:color="auto" w:fill="FFFFFF"/>
        </w:rPr>
        <w:t>has been used</w:t>
      </w:r>
      <w:proofErr w:type="gramEnd"/>
      <w:r w:rsidRPr="00F24DF2">
        <w:rPr>
          <w:rFonts w:ascii="Palatino Linotype" w:hAnsi="Palatino Linotype"/>
          <w:i/>
          <w:shd w:val="clear" w:color="auto" w:fill="FFFFFF"/>
        </w:rPr>
        <w:t xml:space="preserve"> to promote specific quality improvement activities tied to cultural competency efforts.  </w:t>
      </w:r>
      <w:proofErr w:type="gramStart"/>
      <w:r w:rsidRPr="00F24DF2">
        <w:rPr>
          <w:rFonts w:ascii="Palatino Linotype" w:hAnsi="Palatino Linotype"/>
          <w:i/>
          <w:shd w:val="clear" w:color="auto" w:fill="FFFFFF"/>
        </w:rPr>
        <w:t>Cultural competence is defined by the National Quality Forum (2008) as the ongoing capacity of healthcare organizations and professionals to provide high-quality, safe, patient</w:t>
      </w:r>
      <w:proofErr w:type="gramEnd"/>
      <w:r w:rsidRPr="00F24DF2">
        <w:rPr>
          <w:rFonts w:ascii="Palatino Linotype" w:hAnsi="Palatino Linotype"/>
          <w:i/>
          <w:shd w:val="clear" w:color="auto" w:fill="FFFFFF"/>
        </w:rPr>
        <w:t xml:space="preserve"> and family centered, evidence-based, and equitable care. Cultural </w:t>
      </w:r>
      <w:proofErr w:type="gramStart"/>
      <w:r w:rsidRPr="00F24DF2">
        <w:rPr>
          <w:rFonts w:ascii="Palatino Linotype" w:hAnsi="Palatino Linotype"/>
          <w:i/>
          <w:shd w:val="clear" w:color="auto" w:fill="FFFFFF"/>
        </w:rPr>
        <w:t>competency quality improvement activities</w:t>
      </w:r>
      <w:proofErr w:type="gramEnd"/>
      <w:r w:rsidRPr="00F24DF2">
        <w:rPr>
          <w:rFonts w:ascii="Palatino Linotype" w:hAnsi="Palatino Linotype"/>
          <w:i/>
          <w:shd w:val="clear" w:color="auto" w:fill="FFFFFF"/>
        </w:rPr>
        <w:t xml:space="preserve"> show notable promise for improving all HCAHPS scores, but particular promise for hospitals with significant racial/ethnic/language minority patient populations, which may reduce disparities in patient experiences (</w:t>
      </w:r>
      <w:proofErr w:type="spellStart"/>
      <w:r w:rsidRPr="00F24DF2">
        <w:rPr>
          <w:rFonts w:ascii="Palatino Linotype" w:hAnsi="Palatino Linotype"/>
          <w:i/>
          <w:shd w:val="clear" w:color="auto" w:fill="FFFFFF"/>
        </w:rPr>
        <w:t>Weech</w:t>
      </w:r>
      <w:proofErr w:type="spellEnd"/>
      <w:r w:rsidRPr="00F24DF2">
        <w:rPr>
          <w:rFonts w:ascii="Palatino Linotype" w:hAnsi="Palatino Linotype"/>
          <w:i/>
          <w:shd w:val="clear" w:color="auto" w:fill="FFFFFF"/>
        </w:rPr>
        <w:t xml:space="preserve">-Maldonado et al. 2012). </w:t>
      </w:r>
    </w:p>
    <w:p w:rsidR="008E767D" w:rsidRPr="00F24DF2" w:rsidRDefault="008E767D" w:rsidP="008E767D">
      <w:pPr>
        <w:rPr>
          <w:rFonts w:ascii="Palatino Linotype" w:hAnsi="Palatino Linotype"/>
          <w:i/>
          <w:shd w:val="clear" w:color="auto" w:fill="FFFFFF"/>
        </w:rPr>
      </w:pPr>
    </w:p>
    <w:p w:rsidR="008E767D" w:rsidRPr="00F24DF2" w:rsidRDefault="008E767D" w:rsidP="008E767D">
      <w:pPr>
        <w:ind w:firstLine="0"/>
        <w:rPr>
          <w:rFonts w:ascii="Palatino Linotype" w:hAnsi="Palatino Linotype"/>
          <w:i/>
          <w:shd w:val="clear" w:color="auto" w:fill="FFFFFF"/>
        </w:rPr>
      </w:pPr>
      <w:r w:rsidRPr="00F24DF2">
        <w:rPr>
          <w:rFonts w:ascii="Palatino Linotype" w:hAnsi="Palatino Linotype"/>
          <w:i/>
          <w:shd w:val="clear" w:color="auto" w:fill="FFFFFF"/>
        </w:rPr>
        <w:t xml:space="preserve">In addition, </w:t>
      </w:r>
      <w:proofErr w:type="gramStart"/>
      <w:r w:rsidRPr="00F24DF2">
        <w:rPr>
          <w:rFonts w:ascii="Palatino Linotype" w:hAnsi="Palatino Linotype"/>
          <w:i/>
          <w:shd w:val="clear" w:color="auto" w:fill="FFFFFF"/>
        </w:rPr>
        <w:t>there are several published guides that</w:t>
      </w:r>
      <w:proofErr w:type="gramEnd"/>
      <w:r w:rsidRPr="00F24DF2">
        <w:rPr>
          <w:rFonts w:ascii="Palatino Linotype" w:hAnsi="Palatino Linotype"/>
          <w:i/>
          <w:shd w:val="clear" w:color="auto" w:fill="FFFFFF"/>
        </w:rPr>
        <w:t xml:space="preserve"> instruct hospitals on how to improve patient experience of care as measured by the HCAHPS Survey.  </w:t>
      </w:r>
      <w:proofErr w:type="gramStart"/>
      <w:r w:rsidRPr="00F24DF2">
        <w:rPr>
          <w:rFonts w:ascii="Palatino Linotype" w:hAnsi="Palatino Linotype"/>
          <w:i/>
          <w:shd w:val="clear" w:color="auto" w:fill="FFFFFF"/>
        </w:rPr>
        <w:t>These resources include information for hospital managers on how to improve HCAHPS scores (Brady 2009), a study of HCAHPS best practices in critical access hospitals, compiled in part from patient focus groups (</w:t>
      </w:r>
      <w:proofErr w:type="spellStart"/>
      <w:r w:rsidRPr="00F24DF2">
        <w:rPr>
          <w:rFonts w:ascii="Palatino Linotype" w:hAnsi="Palatino Linotype"/>
          <w:i/>
          <w:shd w:val="clear" w:color="auto" w:fill="FFFFFF"/>
        </w:rPr>
        <w:t>StratisHealth</w:t>
      </w:r>
      <w:proofErr w:type="spellEnd"/>
      <w:r w:rsidRPr="00F24DF2">
        <w:rPr>
          <w:rFonts w:ascii="Palatino Linotype" w:hAnsi="Palatino Linotype"/>
          <w:i/>
          <w:shd w:val="clear" w:color="auto" w:fill="FFFFFF"/>
        </w:rPr>
        <w:t xml:space="preserve"> 2017), tactics for hospitals seeking to improve their HCAHPS scores (</w:t>
      </w:r>
      <w:proofErr w:type="spellStart"/>
      <w:r w:rsidRPr="00F24DF2">
        <w:rPr>
          <w:rFonts w:ascii="Palatino Linotype" w:hAnsi="Palatino Linotype"/>
          <w:i/>
          <w:shd w:val="clear" w:color="auto" w:fill="FFFFFF"/>
        </w:rPr>
        <w:t>Studer</w:t>
      </w:r>
      <w:proofErr w:type="spellEnd"/>
      <w:r w:rsidRPr="00F24DF2">
        <w:rPr>
          <w:rFonts w:ascii="Palatino Linotype" w:hAnsi="Palatino Linotype"/>
          <w:i/>
          <w:shd w:val="clear" w:color="auto" w:fill="FFFFFF"/>
        </w:rPr>
        <w:t xml:space="preserve"> et al. 2010; Cook et al. 2014), and a growing series of guides and podcasts created and maintained by the federal Agency for Healthcare Research and Quality (AHRQ) to assist healthcare providers, including hospitals, in the improvement of patient experience of care (AHRQ, 2019).</w:t>
      </w:r>
      <w:proofErr w:type="gramEnd"/>
      <w:r w:rsidRPr="00F24DF2">
        <w:rPr>
          <w:rFonts w:ascii="Palatino Linotype" w:hAnsi="Palatino Linotype"/>
          <w:i/>
          <w:shd w:val="clear" w:color="auto" w:fill="FFFFFF"/>
        </w:rPr>
        <w:t xml:space="preserve"> </w:t>
      </w:r>
    </w:p>
    <w:p w:rsidR="008E767D" w:rsidRPr="00F24DF2" w:rsidRDefault="008E767D" w:rsidP="008E767D">
      <w:pPr>
        <w:rPr>
          <w:rFonts w:ascii="Palatino Linotype" w:hAnsi="Palatino Linotype"/>
          <w:i/>
        </w:rPr>
      </w:pPr>
    </w:p>
    <w:p w:rsidR="008E767D" w:rsidRPr="00F24DF2" w:rsidRDefault="008E767D" w:rsidP="008E767D">
      <w:pPr>
        <w:rPr>
          <w:rFonts w:ascii="Palatino Linotype" w:eastAsia="Calibri" w:hAnsi="Palatino Linotype" w:cs="Times New Roman"/>
          <w:b/>
          <w:i/>
        </w:rPr>
      </w:pPr>
      <w:r w:rsidRPr="00F24DF2">
        <w:rPr>
          <w:rFonts w:ascii="Palatino Linotype" w:eastAsia="Calibri" w:hAnsi="Palatino Linotype" w:cs="Times New Roman"/>
          <w:b/>
          <w:i/>
        </w:rPr>
        <w:t>References</w:t>
      </w:r>
    </w:p>
    <w:p w:rsidR="008E767D" w:rsidRPr="00F24DF2" w:rsidRDefault="008E767D" w:rsidP="008E767D">
      <w:pPr>
        <w:rPr>
          <w:rFonts w:ascii="Palatino Linotype" w:eastAsia="Calibri" w:hAnsi="Palatino Linotype" w:cs="Times New Roman"/>
          <w:i/>
        </w:rPr>
      </w:pPr>
    </w:p>
    <w:p w:rsidR="008E767D" w:rsidRPr="00F24DF2" w:rsidRDefault="008E767D" w:rsidP="008E767D">
      <w:pPr>
        <w:rPr>
          <w:rFonts w:ascii="Palatino Linotype" w:eastAsia="Calibri" w:hAnsi="Palatino Linotype" w:cs="Times New Roman"/>
          <w:i/>
        </w:rPr>
      </w:pPr>
      <w:r w:rsidRPr="00F24DF2">
        <w:rPr>
          <w:rFonts w:ascii="Palatino Linotype" w:eastAsia="Calibri" w:hAnsi="Palatino Linotype" w:cs="Times New Roman"/>
          <w:i/>
        </w:rPr>
        <w:t xml:space="preserve">AHRQ (Agency for Healthcare Research and Quality). </w:t>
      </w:r>
      <w:r>
        <w:rPr>
          <w:rFonts w:ascii="Palatino Linotype" w:eastAsia="Calibri" w:hAnsi="Palatino Linotype" w:cs="Times New Roman"/>
          <w:i/>
        </w:rPr>
        <w:t xml:space="preserve"> </w:t>
      </w:r>
      <w:r w:rsidRPr="00F24DF2">
        <w:rPr>
          <w:rFonts w:ascii="Palatino Linotype" w:hAnsi="Palatino Linotype"/>
          <w:bCs/>
          <w:i/>
          <w:lang w:val="en"/>
        </w:rPr>
        <w:t xml:space="preserve">Creative Strategies </w:t>
      </w:r>
      <w:proofErr w:type="gramStart"/>
      <w:r w:rsidRPr="00F24DF2">
        <w:rPr>
          <w:rFonts w:ascii="Palatino Linotype" w:hAnsi="Palatino Linotype"/>
          <w:bCs/>
          <w:i/>
          <w:lang w:val="en"/>
        </w:rPr>
        <w:t>To</w:t>
      </w:r>
      <w:proofErr w:type="gramEnd"/>
      <w:r w:rsidRPr="00F24DF2">
        <w:rPr>
          <w:rFonts w:ascii="Palatino Linotype" w:hAnsi="Palatino Linotype"/>
          <w:bCs/>
          <w:i/>
          <w:lang w:val="en"/>
        </w:rPr>
        <w:t xml:space="preserve"> Improve Patient Care Experience. </w:t>
      </w:r>
      <w:r w:rsidRPr="00F24DF2">
        <w:rPr>
          <w:rFonts w:ascii="Palatino Linotype" w:eastAsia="Calibri" w:hAnsi="Palatino Linotype" w:cs="Times New Roman"/>
          <w:i/>
        </w:rPr>
        <w:t xml:space="preserve"> April 2019.  </w:t>
      </w:r>
      <w:hyperlink r:id="rId19" w:history="1">
        <w:r w:rsidRPr="00F24DF2">
          <w:rPr>
            <w:rStyle w:val="Hyperlink"/>
            <w:rFonts w:ascii="Palatino Linotype" w:eastAsia="Calibri" w:hAnsi="Palatino Linotype" w:cs="Times New Roman"/>
            <w:i/>
          </w:rPr>
          <w:t>https://www.ahrq.gov/cahps/news-and-events/podcasts/index.html</w:t>
        </w:r>
      </w:hyperlink>
    </w:p>
    <w:p w:rsidR="008E767D" w:rsidRPr="00F24DF2" w:rsidRDefault="008E767D" w:rsidP="008E767D">
      <w:pPr>
        <w:rPr>
          <w:rFonts w:ascii="Palatino Linotype" w:eastAsia="Calibri" w:hAnsi="Palatino Linotype" w:cs="Times New Roman"/>
          <w:i/>
        </w:rPr>
      </w:pPr>
    </w:p>
    <w:p w:rsidR="008E767D" w:rsidRPr="00F24DF2" w:rsidRDefault="008E767D" w:rsidP="008E767D">
      <w:pPr>
        <w:rPr>
          <w:rFonts w:ascii="Palatino Linotype" w:eastAsia="Calibri" w:hAnsi="Palatino Linotype" w:cs="Times New Roman"/>
          <w:i/>
        </w:rPr>
      </w:pPr>
      <w:r w:rsidRPr="00F24DF2">
        <w:rPr>
          <w:rFonts w:ascii="Palatino Linotype" w:eastAsia="Calibri" w:hAnsi="Palatino Linotype" w:cs="Times New Roman"/>
          <w:i/>
        </w:rPr>
        <w:t xml:space="preserve">Brady, C.  HCAHPS Basics: A resource guide for healthcare managers.  </w:t>
      </w:r>
      <w:proofErr w:type="spellStart"/>
      <w:r w:rsidRPr="00F24DF2">
        <w:rPr>
          <w:rFonts w:ascii="Palatino Linotype" w:eastAsia="Calibri" w:hAnsi="Palatino Linotype" w:cs="Times New Roman"/>
          <w:i/>
        </w:rPr>
        <w:t>HCPro</w:t>
      </w:r>
      <w:proofErr w:type="spellEnd"/>
      <w:r w:rsidRPr="00F24DF2">
        <w:rPr>
          <w:rFonts w:ascii="Palatino Linotype" w:eastAsia="Calibri" w:hAnsi="Palatino Linotype" w:cs="Times New Roman"/>
          <w:i/>
        </w:rPr>
        <w:t xml:space="preserve">. 2009.    </w:t>
      </w:r>
    </w:p>
    <w:p w:rsidR="008E767D" w:rsidRPr="00F24DF2" w:rsidRDefault="008E767D" w:rsidP="008E767D">
      <w:pPr>
        <w:rPr>
          <w:rFonts w:ascii="Palatino Linotype" w:eastAsia="Calibri" w:hAnsi="Palatino Linotype" w:cs="Times New Roman"/>
          <w:i/>
        </w:rPr>
      </w:pPr>
    </w:p>
    <w:p w:rsidR="008E767D" w:rsidRPr="00F24DF2" w:rsidRDefault="008E767D" w:rsidP="008E767D">
      <w:pPr>
        <w:rPr>
          <w:rFonts w:ascii="Palatino Linotype" w:eastAsia="Calibri" w:hAnsi="Palatino Linotype" w:cs="Times New Roman"/>
          <w:i/>
        </w:rPr>
      </w:pPr>
      <w:r w:rsidRPr="00F24DF2">
        <w:rPr>
          <w:rFonts w:ascii="Palatino Linotype" w:hAnsi="Palatino Linotype"/>
          <w:i/>
        </w:rPr>
        <w:t xml:space="preserve">Cook K, </w:t>
      </w:r>
      <w:proofErr w:type="spellStart"/>
      <w:r w:rsidRPr="00F24DF2">
        <w:rPr>
          <w:rFonts w:ascii="Palatino Linotype" w:hAnsi="Palatino Linotype"/>
          <w:i/>
        </w:rPr>
        <w:t>Ketelsen</w:t>
      </w:r>
      <w:proofErr w:type="spellEnd"/>
      <w:r w:rsidRPr="00F24DF2">
        <w:rPr>
          <w:rFonts w:ascii="Palatino Linotype" w:hAnsi="Palatino Linotype"/>
          <w:i/>
        </w:rPr>
        <w:t xml:space="preserve"> K &amp; Kennedy, B. The HCAHPS Handbook 2nd Edition: Tactics to Improve Quality and the Patient Experience.  Fire Starter Publishing. 2014.</w:t>
      </w:r>
    </w:p>
    <w:p w:rsidR="008E767D" w:rsidRPr="00F24DF2" w:rsidRDefault="008E767D" w:rsidP="008E767D">
      <w:pPr>
        <w:rPr>
          <w:rFonts w:ascii="Palatino Linotype" w:eastAsia="Calibri" w:hAnsi="Palatino Linotype" w:cs="Times New Roman"/>
          <w:i/>
        </w:rPr>
      </w:pPr>
    </w:p>
    <w:p w:rsidR="008E767D" w:rsidRPr="00F24DF2" w:rsidRDefault="008E767D" w:rsidP="008E767D">
      <w:pPr>
        <w:spacing w:after="120"/>
        <w:rPr>
          <w:rStyle w:val="element-citation"/>
          <w:rFonts w:ascii="Palatino Linotype" w:hAnsi="Palatino Linotype"/>
          <w:i/>
          <w:lang w:val="en"/>
        </w:rPr>
      </w:pPr>
      <w:r w:rsidRPr="00F24DF2">
        <w:rPr>
          <w:rStyle w:val="element-citation"/>
          <w:rFonts w:ascii="Palatino Linotype" w:hAnsi="Palatino Linotype"/>
          <w:i/>
          <w:lang w:val="en"/>
        </w:rPr>
        <w:t xml:space="preserve">Elliott MN, Lehrman WG, Goldstein EH, et al. Hospital survey shows improvements </w:t>
      </w:r>
      <w:proofErr w:type="gramStart"/>
      <w:r w:rsidRPr="00F24DF2">
        <w:rPr>
          <w:rStyle w:val="element-citation"/>
          <w:rFonts w:ascii="Palatino Linotype" w:hAnsi="Palatino Linotype"/>
          <w:i/>
          <w:lang w:val="en"/>
        </w:rPr>
        <w:t>in patient</w:t>
      </w:r>
      <w:proofErr w:type="gramEnd"/>
      <w:r w:rsidRPr="00F24DF2">
        <w:rPr>
          <w:rStyle w:val="element-citation"/>
          <w:rFonts w:ascii="Palatino Linotype" w:hAnsi="Palatino Linotype"/>
          <w:i/>
          <w:lang w:val="en"/>
        </w:rPr>
        <w:t xml:space="preserve"> experience. </w:t>
      </w:r>
      <w:r w:rsidRPr="00F24DF2">
        <w:rPr>
          <w:rStyle w:val="ref-journal"/>
          <w:rFonts w:ascii="Palatino Linotype" w:hAnsi="Palatino Linotype"/>
          <w:i/>
          <w:lang w:val="en"/>
        </w:rPr>
        <w:t xml:space="preserve">Health Affair. </w:t>
      </w:r>
      <w:r w:rsidRPr="00F24DF2">
        <w:rPr>
          <w:rStyle w:val="element-citation"/>
          <w:rFonts w:ascii="Palatino Linotype" w:hAnsi="Palatino Linotype"/>
          <w:i/>
          <w:lang w:val="en"/>
        </w:rPr>
        <w:t xml:space="preserve">2010. </w:t>
      </w:r>
      <w:r w:rsidRPr="00F24DF2">
        <w:rPr>
          <w:rStyle w:val="ref-vol"/>
          <w:rFonts w:ascii="Palatino Linotype" w:hAnsi="Palatino Linotype"/>
          <w:i/>
          <w:lang w:val="en"/>
        </w:rPr>
        <w:t xml:space="preserve">29 </w:t>
      </w:r>
      <w:r w:rsidRPr="00F24DF2">
        <w:rPr>
          <w:rStyle w:val="element-citation"/>
          <w:rFonts w:ascii="Palatino Linotype" w:hAnsi="Palatino Linotype"/>
          <w:i/>
          <w:lang w:val="en"/>
        </w:rPr>
        <w:t>(11):2061–2067.</w:t>
      </w:r>
    </w:p>
    <w:p w:rsidR="008E767D" w:rsidRPr="00F24DF2" w:rsidRDefault="008E767D" w:rsidP="008E767D">
      <w:pPr>
        <w:spacing w:after="120"/>
        <w:rPr>
          <w:rFonts w:ascii="Palatino Linotype" w:hAnsi="Palatino Linotype" w:cs="Arial"/>
          <w:i/>
          <w:shd w:val="clear" w:color="auto" w:fill="FFFFFF"/>
        </w:rPr>
      </w:pPr>
      <w:r w:rsidRPr="00F24DF2">
        <w:rPr>
          <w:rFonts w:ascii="Palatino Linotype" w:hAnsi="Palatino Linotype" w:cs="Arial"/>
          <w:i/>
          <w:shd w:val="clear" w:color="auto" w:fill="FFFFFF"/>
        </w:rPr>
        <w:t>Elliott, M.N., Cohea, C.W., Lehrman, W.G., Goldstein, E.H., Cleary, P.D., Giordano, L.A., &amp; Zaslavsky, A.M. (2015). Accelerating improvement and narrowing gaps: Trends in patients' experiences with hospital care reflected in HCAHPS public reporting. </w:t>
      </w:r>
      <w:r w:rsidRPr="00F24DF2">
        <w:rPr>
          <w:rFonts w:ascii="Palatino Linotype" w:hAnsi="Palatino Linotype" w:cs="Arial"/>
          <w:i/>
          <w:iCs/>
          <w:shd w:val="clear" w:color="auto" w:fill="FFFFFF"/>
        </w:rPr>
        <w:t>Health Services Research</w:t>
      </w:r>
      <w:r w:rsidRPr="00F24DF2">
        <w:rPr>
          <w:rFonts w:ascii="Palatino Linotype" w:hAnsi="Palatino Linotype" w:cs="Arial"/>
          <w:i/>
          <w:shd w:val="clear" w:color="auto" w:fill="FFFFFF"/>
        </w:rPr>
        <w:t>, </w:t>
      </w:r>
      <w:r w:rsidRPr="00F24DF2">
        <w:rPr>
          <w:rFonts w:ascii="Palatino Linotype" w:hAnsi="Palatino Linotype" w:cs="Arial"/>
          <w:i/>
          <w:iCs/>
          <w:shd w:val="clear" w:color="auto" w:fill="FFFFFF"/>
        </w:rPr>
        <w:t>50</w:t>
      </w:r>
      <w:r w:rsidRPr="00F24DF2">
        <w:rPr>
          <w:rFonts w:ascii="Palatino Linotype" w:hAnsi="Palatino Linotype" w:cs="Arial"/>
          <w:i/>
          <w:shd w:val="clear" w:color="auto" w:fill="FFFFFF"/>
        </w:rPr>
        <w:t>(6), 1850-1867.</w:t>
      </w:r>
    </w:p>
    <w:p w:rsidR="008E767D" w:rsidRPr="00F24DF2" w:rsidRDefault="008E767D" w:rsidP="008E767D">
      <w:pPr>
        <w:rPr>
          <w:rFonts w:ascii="Palatino Linotype" w:eastAsia="Calibri" w:hAnsi="Palatino Linotype" w:cs="Times New Roman"/>
          <w:i/>
        </w:rPr>
      </w:pPr>
      <w:r w:rsidRPr="00F24DF2">
        <w:rPr>
          <w:rFonts w:ascii="Palatino Linotype" w:eastAsia="Calibri" w:hAnsi="Palatino Linotype" w:cs="Times New Roman"/>
          <w:i/>
        </w:rPr>
        <w:lastRenderedPageBreak/>
        <w:t xml:space="preserve">Faber M, Bosch M, </w:t>
      </w:r>
      <w:proofErr w:type="spellStart"/>
      <w:r w:rsidRPr="00F24DF2">
        <w:rPr>
          <w:rFonts w:ascii="Palatino Linotype" w:eastAsia="Calibri" w:hAnsi="Palatino Linotype" w:cs="Times New Roman"/>
          <w:i/>
        </w:rPr>
        <w:t>Wollersheim</w:t>
      </w:r>
      <w:proofErr w:type="spellEnd"/>
      <w:r w:rsidRPr="00F24DF2">
        <w:rPr>
          <w:rFonts w:ascii="Palatino Linotype" w:eastAsia="Calibri" w:hAnsi="Palatino Linotype" w:cs="Times New Roman"/>
          <w:i/>
        </w:rPr>
        <w:t xml:space="preserve"> H, Leatherman S, </w:t>
      </w:r>
      <w:proofErr w:type="spellStart"/>
      <w:r w:rsidRPr="00F24DF2">
        <w:rPr>
          <w:rFonts w:ascii="Palatino Linotype" w:eastAsia="Calibri" w:hAnsi="Palatino Linotype" w:cs="Times New Roman"/>
          <w:i/>
        </w:rPr>
        <w:t>Grol</w:t>
      </w:r>
      <w:proofErr w:type="spellEnd"/>
      <w:r w:rsidRPr="00F24DF2">
        <w:rPr>
          <w:rFonts w:ascii="Palatino Linotype" w:eastAsia="Calibri" w:hAnsi="Palatino Linotype" w:cs="Times New Roman"/>
          <w:i/>
        </w:rPr>
        <w:t xml:space="preserve"> R.  Public reporting in health care: How do consumers use quality-of-care information? A systematic review. Med Care. 2009</w:t>
      </w:r>
      <w:proofErr w:type="gramStart"/>
      <w:r w:rsidRPr="00F24DF2">
        <w:rPr>
          <w:rFonts w:ascii="Palatino Linotype" w:eastAsia="Calibri" w:hAnsi="Palatino Linotype" w:cs="Times New Roman"/>
          <w:i/>
        </w:rPr>
        <w:t>;</w:t>
      </w:r>
      <w:proofErr w:type="gramEnd"/>
      <w:r w:rsidRPr="00F24DF2">
        <w:rPr>
          <w:rFonts w:ascii="Palatino Linotype" w:eastAsia="Calibri" w:hAnsi="Palatino Linotype" w:cs="Times New Roman"/>
          <w:i/>
        </w:rPr>
        <w:t> 47 (1): 1-8.</w:t>
      </w:r>
    </w:p>
    <w:p w:rsidR="008E767D" w:rsidRDefault="008E767D" w:rsidP="008E767D">
      <w:pPr>
        <w:spacing w:after="120"/>
        <w:rPr>
          <w:rFonts w:ascii="Palatino Linotype" w:hAnsi="Palatino Linotype"/>
          <w:i/>
        </w:rPr>
      </w:pPr>
    </w:p>
    <w:p w:rsidR="008E767D" w:rsidRPr="00F24DF2" w:rsidRDefault="008E767D" w:rsidP="008E767D">
      <w:pPr>
        <w:spacing w:after="120"/>
        <w:rPr>
          <w:rFonts w:ascii="Palatino Linotype" w:hAnsi="Palatino Linotype"/>
          <w:i/>
        </w:rPr>
      </w:pPr>
      <w:r w:rsidRPr="00F24DF2">
        <w:rPr>
          <w:rFonts w:ascii="Palatino Linotype" w:hAnsi="Palatino Linotype"/>
          <w:i/>
        </w:rPr>
        <w:t xml:space="preserve">Mann, R.K., Siddiqui, Z., </w:t>
      </w:r>
      <w:proofErr w:type="spellStart"/>
      <w:r w:rsidRPr="00F24DF2">
        <w:rPr>
          <w:rFonts w:ascii="Palatino Linotype" w:hAnsi="Palatino Linotype"/>
          <w:i/>
        </w:rPr>
        <w:t>Kurbanova</w:t>
      </w:r>
      <w:proofErr w:type="spellEnd"/>
      <w:r w:rsidRPr="00F24DF2">
        <w:rPr>
          <w:rFonts w:ascii="Palatino Linotype" w:hAnsi="Palatino Linotype"/>
          <w:i/>
        </w:rPr>
        <w:t xml:space="preserve">, N. &amp; </w:t>
      </w:r>
      <w:proofErr w:type="spellStart"/>
      <w:r w:rsidRPr="00F24DF2">
        <w:rPr>
          <w:rFonts w:ascii="Palatino Linotype" w:hAnsi="Palatino Linotype"/>
          <w:i/>
        </w:rPr>
        <w:t>Qayyum</w:t>
      </w:r>
      <w:proofErr w:type="spellEnd"/>
      <w:r w:rsidRPr="00F24DF2">
        <w:rPr>
          <w:rFonts w:ascii="Palatino Linotype" w:hAnsi="Palatino Linotype"/>
          <w:i/>
        </w:rPr>
        <w:t xml:space="preserve">, R. (2016). Effect of HCAHPS reporting on patient satisfaction with physician communication. </w:t>
      </w:r>
      <w:r w:rsidRPr="00F24DF2">
        <w:rPr>
          <w:rFonts w:ascii="Palatino Linotype" w:hAnsi="Palatino Linotype"/>
          <w:i/>
          <w:iCs/>
        </w:rPr>
        <w:t>Journal of Hospital Medicine</w:t>
      </w:r>
      <w:r w:rsidRPr="00F24DF2">
        <w:rPr>
          <w:rFonts w:ascii="Palatino Linotype" w:hAnsi="Palatino Linotype"/>
          <w:i/>
        </w:rPr>
        <w:t xml:space="preserve">, </w:t>
      </w:r>
      <w:r w:rsidRPr="00F24DF2">
        <w:rPr>
          <w:rFonts w:ascii="Palatino Linotype" w:hAnsi="Palatino Linotype"/>
          <w:i/>
          <w:iCs/>
        </w:rPr>
        <w:t xml:space="preserve">11 </w:t>
      </w:r>
      <w:r w:rsidRPr="00F24DF2">
        <w:rPr>
          <w:rFonts w:ascii="Palatino Linotype" w:hAnsi="Palatino Linotype"/>
          <w:i/>
        </w:rPr>
        <w:t>(2), 105-110.</w:t>
      </w:r>
    </w:p>
    <w:p w:rsidR="008E767D" w:rsidRPr="00F24DF2" w:rsidRDefault="008E767D" w:rsidP="008E767D">
      <w:pPr>
        <w:rPr>
          <w:rFonts w:ascii="Palatino Linotype" w:hAnsi="Palatino Linotype" w:cs="Calibri"/>
          <w:i/>
          <w:u w:val="single"/>
        </w:rPr>
      </w:pPr>
      <w:r w:rsidRPr="00F24DF2">
        <w:rPr>
          <w:rFonts w:ascii="Palatino Linotype" w:hAnsi="Palatino Linotype" w:cs="Calibri"/>
          <w:i/>
          <w:shd w:val="clear" w:color="auto" w:fill="FFFFFF"/>
        </w:rPr>
        <w:t>National Quality Forum. </w:t>
      </w:r>
      <w:r w:rsidRPr="00F24DF2">
        <w:rPr>
          <w:rStyle w:val="ref-journal"/>
          <w:rFonts w:ascii="Palatino Linotype" w:hAnsi="Palatino Linotype" w:cs="Calibri"/>
          <w:i/>
          <w:shd w:val="clear" w:color="auto" w:fill="FFFFFF"/>
        </w:rPr>
        <w:t>Endorsing a Framework and Preferred Practices for Measuring and Reporting Culturally Competent Care Quality.</w:t>
      </w:r>
      <w:r w:rsidRPr="00F24DF2">
        <w:rPr>
          <w:rFonts w:ascii="Palatino Linotype" w:hAnsi="Palatino Linotype" w:cs="Calibri"/>
          <w:i/>
          <w:shd w:val="clear" w:color="auto" w:fill="FFFFFF"/>
        </w:rPr>
        <w:t> Washington DC: National Quality Forum; 2008.</w:t>
      </w:r>
    </w:p>
    <w:p w:rsidR="008E767D" w:rsidRPr="00F24DF2" w:rsidRDefault="008E767D" w:rsidP="008E767D">
      <w:pPr>
        <w:rPr>
          <w:rFonts w:ascii="Palatino Linotype" w:hAnsi="Palatino Linotype" w:cs="Calibri"/>
          <w:i/>
          <w:shd w:val="clear" w:color="auto" w:fill="FFFFFF"/>
        </w:rPr>
      </w:pPr>
    </w:p>
    <w:p w:rsidR="008E767D" w:rsidRPr="00F24DF2" w:rsidRDefault="008E767D" w:rsidP="008E767D">
      <w:pPr>
        <w:rPr>
          <w:rFonts w:ascii="Palatino Linotype" w:hAnsi="Palatino Linotype" w:cs="Calibri"/>
          <w:i/>
          <w:shd w:val="clear" w:color="auto" w:fill="FFFFFF"/>
        </w:rPr>
      </w:pPr>
      <w:proofErr w:type="spellStart"/>
      <w:r w:rsidRPr="00F24DF2">
        <w:rPr>
          <w:rFonts w:ascii="Palatino Linotype" w:hAnsi="Palatino Linotype" w:cs="Calibri"/>
          <w:i/>
          <w:shd w:val="clear" w:color="auto" w:fill="FFFFFF"/>
        </w:rPr>
        <w:t>StratisHealth</w:t>
      </w:r>
      <w:proofErr w:type="spellEnd"/>
      <w:r w:rsidRPr="00F24DF2">
        <w:rPr>
          <w:rFonts w:ascii="Palatino Linotype" w:hAnsi="Palatino Linotype" w:cs="Calibri"/>
          <w:i/>
          <w:shd w:val="clear" w:color="auto" w:fill="FFFFFF"/>
        </w:rPr>
        <w:t xml:space="preserve"> (2017).  A study of HCAHPS best practices in high performing Critical Access Hospitals.   National Rural Health Resource Center. </w:t>
      </w:r>
      <w:hyperlink r:id="rId20" w:history="1">
        <w:r w:rsidRPr="00F24DF2">
          <w:rPr>
            <w:rStyle w:val="Hyperlink"/>
            <w:rFonts w:ascii="Palatino Linotype" w:hAnsi="Palatino Linotype" w:cs="Calibri"/>
            <w:i/>
            <w:shd w:val="clear" w:color="auto" w:fill="FFFFFF"/>
          </w:rPr>
          <w:t>https://www.ruralcenter.org/resource-library/study-of-hcahps-best-practices-in-high-performing-cahs</w:t>
        </w:r>
      </w:hyperlink>
      <w:r w:rsidRPr="00F24DF2">
        <w:rPr>
          <w:rFonts w:ascii="Palatino Linotype" w:hAnsi="Palatino Linotype" w:cs="Calibri"/>
          <w:i/>
          <w:shd w:val="clear" w:color="auto" w:fill="FFFFFF"/>
        </w:rPr>
        <w:t xml:space="preserve">  </w:t>
      </w:r>
    </w:p>
    <w:p w:rsidR="008E767D" w:rsidRPr="00F24DF2" w:rsidRDefault="008E767D" w:rsidP="008E767D">
      <w:pPr>
        <w:rPr>
          <w:rFonts w:ascii="Palatino Linotype" w:hAnsi="Palatino Linotype" w:cs="Calibri"/>
          <w:i/>
          <w:shd w:val="clear" w:color="auto" w:fill="FFFFFF"/>
        </w:rPr>
      </w:pPr>
    </w:p>
    <w:p w:rsidR="008E767D" w:rsidRPr="00F24DF2" w:rsidRDefault="008E767D" w:rsidP="008E767D">
      <w:pPr>
        <w:rPr>
          <w:rFonts w:ascii="Palatino Linotype" w:hAnsi="Palatino Linotype" w:cs="Calibri"/>
          <w:i/>
          <w:shd w:val="clear" w:color="auto" w:fill="FFFFFF"/>
        </w:rPr>
      </w:pPr>
      <w:proofErr w:type="spellStart"/>
      <w:r w:rsidRPr="00F24DF2">
        <w:rPr>
          <w:rStyle w:val="a-size-extra-large"/>
          <w:rFonts w:ascii="Palatino Linotype" w:hAnsi="Palatino Linotype"/>
          <w:i/>
        </w:rPr>
        <w:t>Studer</w:t>
      </w:r>
      <w:proofErr w:type="spellEnd"/>
      <w:r w:rsidRPr="00F24DF2">
        <w:rPr>
          <w:rStyle w:val="a-size-extra-large"/>
          <w:rFonts w:ascii="Palatino Linotype" w:hAnsi="Palatino Linotype"/>
          <w:i/>
        </w:rPr>
        <w:t xml:space="preserve"> Q., Robinson B.C. &amp; Cook K.  The HCAHPS Handbook: Hardwire Your Hospital for Pay-For-Performance Success.  </w:t>
      </w:r>
      <w:proofErr w:type="spellStart"/>
      <w:r w:rsidRPr="00F24DF2">
        <w:rPr>
          <w:rStyle w:val="a-size-extra-large"/>
          <w:rFonts w:ascii="Palatino Linotype" w:hAnsi="Palatino Linotype"/>
          <w:i/>
        </w:rPr>
        <w:t>Studer</w:t>
      </w:r>
      <w:proofErr w:type="spellEnd"/>
      <w:r w:rsidRPr="00F24DF2">
        <w:rPr>
          <w:rStyle w:val="a-size-extra-large"/>
          <w:rFonts w:ascii="Palatino Linotype" w:hAnsi="Palatino Linotype"/>
          <w:i/>
        </w:rPr>
        <w:t xml:space="preserve"> Group.  2010. </w:t>
      </w:r>
    </w:p>
    <w:p w:rsidR="008E767D" w:rsidRPr="00F24DF2" w:rsidRDefault="008E767D" w:rsidP="008E767D">
      <w:pPr>
        <w:rPr>
          <w:rFonts w:ascii="Palatino Linotype" w:hAnsi="Palatino Linotype" w:cs="Calibri"/>
          <w:i/>
          <w:shd w:val="clear" w:color="auto" w:fill="FFFFFF"/>
        </w:rPr>
      </w:pPr>
    </w:p>
    <w:p w:rsidR="008E767D" w:rsidRPr="00F24DF2" w:rsidRDefault="008E767D" w:rsidP="008E767D">
      <w:pPr>
        <w:rPr>
          <w:rFonts w:ascii="Palatino Linotype" w:hAnsi="Palatino Linotype"/>
          <w:i/>
        </w:rPr>
      </w:pPr>
      <w:proofErr w:type="spellStart"/>
      <w:r w:rsidRPr="00F24DF2">
        <w:rPr>
          <w:rFonts w:ascii="Palatino Linotype" w:hAnsi="Palatino Linotype" w:cs="Calibri"/>
          <w:i/>
          <w:shd w:val="clear" w:color="auto" w:fill="FFFFFF"/>
        </w:rPr>
        <w:t>Weech</w:t>
      </w:r>
      <w:proofErr w:type="spellEnd"/>
      <w:r w:rsidRPr="00F24DF2">
        <w:rPr>
          <w:rFonts w:ascii="Palatino Linotype" w:hAnsi="Palatino Linotype" w:cs="Calibri"/>
          <w:i/>
          <w:shd w:val="clear" w:color="auto" w:fill="FFFFFF"/>
        </w:rPr>
        <w:t>-Maldonado, R., Elliott, M.N., Pradhan, R., Schiller, C., Hall, A. &amp; Hays, R.D. (2012). Can hospital cultural competency reduce disparities in patient experiences with care? </w:t>
      </w:r>
      <w:r w:rsidRPr="00F24DF2">
        <w:rPr>
          <w:rFonts w:ascii="Palatino Linotype" w:hAnsi="Palatino Linotype" w:cs="Calibri"/>
          <w:i/>
          <w:iCs/>
          <w:shd w:val="clear" w:color="auto" w:fill="FFFFFF"/>
        </w:rPr>
        <w:t>Medical Care</w:t>
      </w:r>
      <w:r w:rsidRPr="00F24DF2">
        <w:rPr>
          <w:rFonts w:ascii="Palatino Linotype" w:hAnsi="Palatino Linotype" w:cs="Calibri"/>
          <w:i/>
          <w:shd w:val="clear" w:color="auto" w:fill="FFFFFF"/>
        </w:rPr>
        <w:t>, </w:t>
      </w:r>
      <w:r w:rsidRPr="00F24DF2">
        <w:rPr>
          <w:rFonts w:ascii="Palatino Linotype" w:hAnsi="Palatino Linotype" w:cs="Calibri"/>
          <w:i/>
          <w:iCs/>
          <w:shd w:val="clear" w:color="auto" w:fill="FFFFFF"/>
        </w:rPr>
        <w:t>50</w:t>
      </w:r>
      <w:r w:rsidRPr="00F24DF2">
        <w:rPr>
          <w:rFonts w:ascii="Palatino Linotype" w:hAnsi="Palatino Linotype" w:cs="Calibri"/>
          <w:i/>
          <w:shd w:val="clear" w:color="auto" w:fill="FFFFFF"/>
        </w:rPr>
        <w:t>, S48.</w:t>
      </w:r>
    </w:p>
    <w:p w:rsidR="00676BD4" w:rsidRDefault="00676BD4" w:rsidP="002E2177">
      <w:pPr>
        <w:ind w:left="0" w:firstLine="0"/>
        <w:rPr>
          <w:i/>
          <w:iCs/>
          <w:highlight w:val="green"/>
          <w:u w:val="single"/>
        </w:rPr>
      </w:pPr>
    </w:p>
    <w:p w:rsidR="008E767D" w:rsidRDefault="008E767D" w:rsidP="002E2177">
      <w:pPr>
        <w:ind w:left="0" w:firstLine="0"/>
        <w:rPr>
          <w:i/>
          <w:iCs/>
          <w:highlight w:val="green"/>
          <w:u w:val="single"/>
        </w:rPr>
      </w:pPr>
    </w:p>
    <w:p w:rsidR="00C41794" w:rsidRPr="003B1CC5" w:rsidRDefault="002B06BD" w:rsidP="00C41794">
      <w:pPr>
        <w:ind w:left="0" w:firstLine="0"/>
        <w:rPr>
          <w:b/>
          <w:iCs/>
        </w:rPr>
      </w:pPr>
      <w:bookmarkStart w:id="5" w:name="Section1a3"/>
      <w:bookmarkEnd w:id="5"/>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rsidR="00496AF8" w:rsidRDefault="00496AF8" w:rsidP="002E2177">
      <w:pPr>
        <w:ind w:left="0" w:firstLine="0"/>
        <w:rPr>
          <w:i/>
          <w:iCs/>
        </w:rPr>
      </w:pPr>
    </w:p>
    <w:p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similar but separate studies. It may include a quantitative synthesis (meta-analysis), depending on the available data. (IOM)</w:t>
      </w:r>
    </w:p>
    <w:p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rsidR="00A9011D" w:rsidRDefault="00A9011D" w:rsidP="002E2177">
      <w:pPr>
        <w:ind w:left="0" w:firstLine="0"/>
        <w:rPr>
          <w:i/>
          <w:iCs/>
        </w:rPr>
      </w:pPr>
    </w:p>
    <w:p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rsidTr="00F90F82">
        <w:tc>
          <w:tcPr>
            <w:tcW w:w="4068" w:type="dxa"/>
          </w:tcPr>
          <w:p w:rsidR="00AB4ECE" w:rsidRPr="00AB4ECE" w:rsidRDefault="00AB4ECE" w:rsidP="002E2177">
            <w:pPr>
              <w:ind w:left="0" w:firstLine="0"/>
              <w:rPr>
                <w:b/>
              </w:rPr>
            </w:pPr>
            <w:r w:rsidRPr="00AB4ECE">
              <w:rPr>
                <w:b/>
              </w:rPr>
              <w:t>Source of Systematic Review:</w:t>
            </w:r>
          </w:p>
          <w:p w:rsidR="00AB4ECE" w:rsidRPr="00AB4ECE" w:rsidRDefault="00AB4ECE" w:rsidP="00AB4ECE">
            <w:pPr>
              <w:pStyle w:val="ListParagraph"/>
              <w:numPr>
                <w:ilvl w:val="0"/>
                <w:numId w:val="9"/>
              </w:numPr>
              <w:rPr>
                <w:b/>
              </w:rPr>
            </w:pPr>
            <w:r w:rsidRPr="00AB4ECE">
              <w:rPr>
                <w:b/>
              </w:rPr>
              <w:t>Title</w:t>
            </w:r>
          </w:p>
          <w:p w:rsidR="00AB4ECE" w:rsidRPr="00AB4ECE" w:rsidRDefault="00AB4ECE" w:rsidP="00AB4ECE">
            <w:pPr>
              <w:pStyle w:val="ListParagraph"/>
              <w:numPr>
                <w:ilvl w:val="0"/>
                <w:numId w:val="9"/>
              </w:numPr>
              <w:rPr>
                <w:b/>
              </w:rPr>
            </w:pPr>
            <w:r w:rsidRPr="00AB4ECE">
              <w:rPr>
                <w:b/>
              </w:rPr>
              <w:t>Author</w:t>
            </w:r>
          </w:p>
          <w:p w:rsidR="00AB4ECE" w:rsidRPr="00AB4ECE" w:rsidRDefault="00AB4ECE" w:rsidP="00AB4ECE">
            <w:pPr>
              <w:pStyle w:val="ListParagraph"/>
              <w:numPr>
                <w:ilvl w:val="0"/>
                <w:numId w:val="9"/>
              </w:numPr>
              <w:rPr>
                <w:b/>
              </w:rPr>
            </w:pPr>
            <w:r w:rsidRPr="00AB4ECE">
              <w:rPr>
                <w:b/>
              </w:rPr>
              <w:t>Date</w:t>
            </w:r>
          </w:p>
          <w:p w:rsidR="00AB4ECE" w:rsidRPr="00AB4ECE" w:rsidRDefault="00AB4ECE" w:rsidP="00AB4ECE">
            <w:pPr>
              <w:pStyle w:val="ListParagraph"/>
              <w:numPr>
                <w:ilvl w:val="0"/>
                <w:numId w:val="9"/>
              </w:numPr>
              <w:rPr>
                <w:b/>
              </w:rPr>
            </w:pPr>
            <w:r w:rsidRPr="00AB4ECE">
              <w:rPr>
                <w:b/>
              </w:rPr>
              <w:t>Citation, including page number</w:t>
            </w:r>
          </w:p>
          <w:p w:rsidR="00AB4ECE" w:rsidRPr="00AB4ECE" w:rsidRDefault="00AB4ECE" w:rsidP="00AB4ECE">
            <w:pPr>
              <w:pStyle w:val="ListParagraph"/>
              <w:numPr>
                <w:ilvl w:val="0"/>
                <w:numId w:val="9"/>
              </w:numPr>
              <w:rPr>
                <w:b/>
              </w:rPr>
            </w:pPr>
            <w:r w:rsidRPr="00AB4ECE">
              <w:rPr>
                <w:b/>
              </w:rPr>
              <w:lastRenderedPageBreak/>
              <w:t>URL</w:t>
            </w:r>
          </w:p>
        </w:tc>
        <w:tc>
          <w:tcPr>
            <w:tcW w:w="5130" w:type="dxa"/>
          </w:tcPr>
          <w:p w:rsidR="00AB4ECE" w:rsidRPr="00AB4ECE" w:rsidRDefault="00AB4ECE" w:rsidP="002E2177">
            <w:pPr>
              <w:ind w:left="0" w:firstLine="0"/>
              <w:rPr>
                <w:b/>
              </w:rPr>
            </w:pPr>
          </w:p>
        </w:tc>
      </w:tr>
      <w:tr w:rsidR="00AB4ECE" w:rsidTr="00F90F82">
        <w:tc>
          <w:tcPr>
            <w:tcW w:w="4068" w:type="dxa"/>
          </w:tcPr>
          <w:p w:rsidR="00AB4ECE" w:rsidRDefault="00AB4ECE" w:rsidP="002E2177">
            <w:pPr>
              <w:ind w:left="0" w:firstLine="0"/>
            </w:pPr>
            <w:r>
              <w:t xml:space="preserve">Quote the guideline or recommendation verbatim about the process, structure or intermediate outcome </w:t>
            </w:r>
            <w:proofErr w:type="gramStart"/>
            <w:r>
              <w:t>being measured</w:t>
            </w:r>
            <w:proofErr w:type="gramEnd"/>
            <w:r>
              <w:t>.</w:t>
            </w:r>
            <w:r w:rsidR="000E5C93">
              <w:t xml:space="preserve"> If not a guideline, summarize the conclusions from the SR.</w:t>
            </w:r>
          </w:p>
        </w:tc>
        <w:tc>
          <w:tcPr>
            <w:tcW w:w="5130" w:type="dxa"/>
          </w:tcPr>
          <w:p w:rsidR="00AB4ECE" w:rsidRDefault="00AB4ECE" w:rsidP="002E2177">
            <w:pPr>
              <w:ind w:left="0" w:firstLine="0"/>
            </w:pPr>
          </w:p>
        </w:tc>
      </w:tr>
      <w:tr w:rsidR="00AB4ECE" w:rsidTr="00F90F82">
        <w:tc>
          <w:tcPr>
            <w:tcW w:w="4068" w:type="dxa"/>
          </w:tcPr>
          <w:p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rsidR="00AB4ECE" w:rsidRDefault="00AB4ECE" w:rsidP="002E2177">
            <w:pPr>
              <w:ind w:left="0" w:firstLine="0"/>
            </w:pPr>
          </w:p>
        </w:tc>
      </w:tr>
      <w:tr w:rsidR="00AB4ECE" w:rsidTr="00F90F82">
        <w:tc>
          <w:tcPr>
            <w:tcW w:w="4068" w:type="dxa"/>
          </w:tcPr>
          <w:p w:rsidR="00AB4ECE" w:rsidRDefault="00AB4ECE" w:rsidP="00E42FAA">
            <w:pPr>
              <w:ind w:left="0" w:firstLine="0"/>
            </w:pPr>
            <w:r>
              <w:t>Provide all other grades and definitions from the evidence grading system</w:t>
            </w:r>
          </w:p>
        </w:tc>
        <w:tc>
          <w:tcPr>
            <w:tcW w:w="5130" w:type="dxa"/>
          </w:tcPr>
          <w:p w:rsidR="00AB4ECE" w:rsidRDefault="00AB4ECE" w:rsidP="002E2177">
            <w:pPr>
              <w:ind w:left="0" w:firstLine="0"/>
            </w:pPr>
          </w:p>
        </w:tc>
      </w:tr>
      <w:tr w:rsidR="00AB4ECE" w:rsidTr="00F90F82">
        <w:tc>
          <w:tcPr>
            <w:tcW w:w="4068" w:type="dxa"/>
          </w:tcPr>
          <w:p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rsidR="00AB4ECE" w:rsidRDefault="00AB4ECE" w:rsidP="002E2177">
            <w:pPr>
              <w:ind w:left="0" w:firstLine="0"/>
            </w:pPr>
          </w:p>
        </w:tc>
      </w:tr>
      <w:tr w:rsidR="00AB4ECE" w:rsidTr="00F90F82">
        <w:tc>
          <w:tcPr>
            <w:tcW w:w="4068" w:type="dxa"/>
          </w:tcPr>
          <w:p w:rsidR="00AB4ECE" w:rsidRDefault="00AB4ECE" w:rsidP="00E42FAA">
            <w:pPr>
              <w:ind w:left="0" w:firstLine="0"/>
            </w:pPr>
            <w:r>
              <w:t>Provide all other grades and definitions from the recommendation grading system</w:t>
            </w:r>
          </w:p>
        </w:tc>
        <w:tc>
          <w:tcPr>
            <w:tcW w:w="5130" w:type="dxa"/>
          </w:tcPr>
          <w:p w:rsidR="00AB4ECE" w:rsidRDefault="00AB4ECE" w:rsidP="002E2177">
            <w:pPr>
              <w:ind w:left="0" w:firstLine="0"/>
            </w:pPr>
          </w:p>
        </w:tc>
      </w:tr>
      <w:tr w:rsidR="00AB4ECE" w:rsidTr="00F90F82">
        <w:tc>
          <w:tcPr>
            <w:tcW w:w="4068" w:type="dxa"/>
          </w:tcPr>
          <w:p w:rsidR="00AB4ECE" w:rsidRDefault="000E5C93" w:rsidP="002E2177">
            <w:pPr>
              <w:ind w:left="0" w:firstLine="0"/>
            </w:pPr>
            <w:r>
              <w:t>Body of evidence:</w:t>
            </w:r>
          </w:p>
          <w:p w:rsidR="000E5C93" w:rsidRDefault="000E5C93" w:rsidP="000E5C93">
            <w:pPr>
              <w:pStyle w:val="ListParagraph"/>
              <w:numPr>
                <w:ilvl w:val="0"/>
                <w:numId w:val="10"/>
              </w:numPr>
            </w:pPr>
            <w:r>
              <w:t>Quantity – how many studies?</w:t>
            </w:r>
          </w:p>
          <w:p w:rsidR="000E5C93" w:rsidRDefault="000E5C93" w:rsidP="000E5C93">
            <w:pPr>
              <w:pStyle w:val="ListParagraph"/>
              <w:numPr>
                <w:ilvl w:val="0"/>
                <w:numId w:val="10"/>
              </w:numPr>
            </w:pPr>
            <w:r>
              <w:t>Quality – what type of studies?</w:t>
            </w:r>
          </w:p>
        </w:tc>
        <w:tc>
          <w:tcPr>
            <w:tcW w:w="5130" w:type="dxa"/>
          </w:tcPr>
          <w:p w:rsidR="00AB4ECE" w:rsidRDefault="00AB4ECE" w:rsidP="002E2177">
            <w:pPr>
              <w:ind w:left="0" w:firstLine="0"/>
            </w:pPr>
          </w:p>
        </w:tc>
      </w:tr>
      <w:tr w:rsidR="00AB4ECE" w:rsidTr="00F90F82">
        <w:tc>
          <w:tcPr>
            <w:tcW w:w="4068" w:type="dxa"/>
          </w:tcPr>
          <w:p w:rsidR="00AB4ECE" w:rsidRDefault="000E5C93" w:rsidP="002E2177">
            <w:pPr>
              <w:ind w:left="0" w:firstLine="0"/>
            </w:pPr>
            <w:r>
              <w:t xml:space="preserve">Estimates of benefit and consistency across studies </w:t>
            </w:r>
          </w:p>
        </w:tc>
        <w:tc>
          <w:tcPr>
            <w:tcW w:w="5130" w:type="dxa"/>
          </w:tcPr>
          <w:p w:rsidR="00AB4ECE" w:rsidRDefault="00AB4ECE" w:rsidP="002E2177">
            <w:pPr>
              <w:ind w:left="0" w:firstLine="0"/>
            </w:pPr>
          </w:p>
        </w:tc>
      </w:tr>
      <w:tr w:rsidR="000E5C93" w:rsidTr="00F90F82">
        <w:tc>
          <w:tcPr>
            <w:tcW w:w="4068" w:type="dxa"/>
          </w:tcPr>
          <w:p w:rsidR="000E5C93" w:rsidRDefault="000E5C93" w:rsidP="002E2177">
            <w:pPr>
              <w:ind w:left="0" w:firstLine="0"/>
            </w:pPr>
            <w:r>
              <w:t>What harms were identified?</w:t>
            </w:r>
          </w:p>
        </w:tc>
        <w:tc>
          <w:tcPr>
            <w:tcW w:w="5130" w:type="dxa"/>
          </w:tcPr>
          <w:p w:rsidR="000E5C93" w:rsidRDefault="000E5C93" w:rsidP="002E2177">
            <w:pPr>
              <w:ind w:left="0" w:firstLine="0"/>
            </w:pPr>
          </w:p>
        </w:tc>
      </w:tr>
      <w:tr w:rsidR="000E5C93" w:rsidTr="00F90F82">
        <w:tc>
          <w:tcPr>
            <w:tcW w:w="4068" w:type="dxa"/>
          </w:tcPr>
          <w:p w:rsidR="000E5C93" w:rsidRDefault="000E5C93" w:rsidP="000E5C93">
            <w:pPr>
              <w:ind w:left="0" w:firstLine="0"/>
            </w:pPr>
            <w:r>
              <w:t>Identify any new studies conducted since the SR. Do the new studies change the conclusions from the SR?</w:t>
            </w:r>
          </w:p>
        </w:tc>
        <w:tc>
          <w:tcPr>
            <w:tcW w:w="5130" w:type="dxa"/>
          </w:tcPr>
          <w:p w:rsidR="000E5C93" w:rsidRDefault="000E5C93" w:rsidP="002E2177">
            <w:pPr>
              <w:ind w:left="0" w:firstLine="0"/>
            </w:pPr>
          </w:p>
        </w:tc>
      </w:tr>
    </w:tbl>
    <w:p w:rsidR="007C1887" w:rsidRPr="003B1CC5" w:rsidRDefault="007C1887" w:rsidP="002E2177">
      <w:pPr>
        <w:ind w:left="0" w:firstLine="0"/>
      </w:pPr>
    </w:p>
    <w:p w:rsidR="0094689F" w:rsidRPr="003B1CC5" w:rsidRDefault="00925F11" w:rsidP="002E2177">
      <w:pPr>
        <w:ind w:left="0" w:firstLine="0"/>
        <w:rPr>
          <w:b/>
          <w:color w:val="0070C0"/>
        </w:rPr>
      </w:pPr>
      <w:r w:rsidRPr="003B1CC5">
        <w:rPr>
          <w:b/>
          <w:iCs/>
          <w:caps/>
        </w:rPr>
        <w:t>________________________</w:t>
      </w:r>
    </w:p>
    <w:p w:rsidR="00837121" w:rsidRPr="003B1CC5" w:rsidRDefault="000E5C93" w:rsidP="002E2177">
      <w:pPr>
        <w:ind w:left="0" w:firstLine="0"/>
        <w:rPr>
          <w:b/>
        </w:rPr>
      </w:pPr>
      <w:bookmarkStart w:id="6" w:name="Section1a8"/>
      <w:bookmarkEnd w:id="6"/>
      <w:r>
        <w:rPr>
          <w:b/>
          <w:color w:val="0000FF"/>
        </w:rPr>
        <w:t>1a.4</w:t>
      </w:r>
      <w:r w:rsidR="00837121" w:rsidRPr="003B1CC5">
        <w:rPr>
          <w:b/>
          <w:color w:val="0000FF"/>
        </w:rPr>
        <w:t xml:space="preserve"> </w:t>
      </w:r>
      <w:r w:rsidR="00837121"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proofErr w:type="gramStart"/>
      <w:r w:rsidRPr="000E5C93">
        <w:rPr>
          <w:b/>
        </w:rPr>
        <w:t>B</w:t>
      </w:r>
      <w:r>
        <w:rPr>
          <w:b/>
        </w:rPr>
        <w:t>riefly</w:t>
      </w:r>
      <w:proofErr w:type="gramEnd"/>
      <w:r>
        <w:rPr>
          <w:b/>
        </w:rPr>
        <w:t xml:space="preserve">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rsidR="000E5C93" w:rsidRDefault="000E5C93" w:rsidP="002E2177">
      <w:pPr>
        <w:ind w:left="0" w:firstLine="0"/>
        <w:rPr>
          <w:b/>
        </w:rPr>
      </w:pPr>
    </w:p>
    <w:p w:rsidR="00837121" w:rsidRPr="003B1CC5" w:rsidRDefault="000E5C93" w:rsidP="002E2177">
      <w:pPr>
        <w:ind w:left="0" w:firstLine="0"/>
      </w:pPr>
      <w:r w:rsidRPr="000E5C93">
        <w:rPr>
          <w:b/>
          <w:color w:val="244061" w:themeColor="accent1" w:themeShade="80"/>
        </w:rPr>
        <w:t xml:space="preserve">1a.4.2 </w:t>
      </w:r>
      <w:proofErr w:type="gramStart"/>
      <w:r w:rsidR="00837121" w:rsidRPr="003B1CC5">
        <w:rPr>
          <w:b/>
        </w:rPr>
        <w:t>What</w:t>
      </w:r>
      <w:proofErr w:type="gramEnd"/>
      <w:r w:rsidR="00837121" w:rsidRPr="003B1CC5">
        <w:rPr>
          <w:b/>
        </w:rPr>
        <w:t xml:space="preserve"> process was used to identify the evidence?</w:t>
      </w:r>
    </w:p>
    <w:p w:rsidR="00837121" w:rsidRPr="003B1CC5" w:rsidRDefault="00837121" w:rsidP="002E2177">
      <w:pPr>
        <w:ind w:left="0" w:firstLine="0"/>
      </w:pPr>
    </w:p>
    <w:p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bookmarkStart w:id="7" w:name="_GoBack"/>
      <w:bookmarkEnd w:id="7"/>
    </w:p>
    <w:sectPr w:rsidR="00837121" w:rsidRPr="001B772D">
      <w:headerReference w:type="default" r:id="rId21"/>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2A00" w:rsidRDefault="005A2A00" w:rsidP="007E37A5">
      <w:r>
        <w:separator/>
      </w:r>
    </w:p>
  </w:endnote>
  <w:endnote w:type="continuationSeparator" w:id="0">
    <w:p w:rsidR="005A2A00" w:rsidRDefault="005A2A00"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Palatino Linotype">
    <w:panose1 w:val="02040502050505030304"/>
    <w:charset w:val="00"/>
    <w:family w:val="roman"/>
    <w:pitch w:val="variable"/>
    <w:sig w:usb0="E0000287" w:usb1="40000013" w:usb2="00000000" w:usb3="00000000" w:csb0="0000019F" w:csb1="00000000"/>
  </w:font>
  <w:font w:name="RealpageGDY1">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E7532C">
      <w:rPr>
        <w:noProof/>
      </w:rPr>
      <w:t>8</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2A00" w:rsidRDefault="005A2A00" w:rsidP="007E37A5">
      <w:r>
        <w:separator/>
      </w:r>
    </w:p>
  </w:footnote>
  <w:footnote w:type="continuationSeparator" w:id="0">
    <w:p w:rsidR="005A2A00" w:rsidRDefault="005A2A00"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3C1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4E39"/>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6AF8"/>
    <w:rsid w:val="004A575D"/>
    <w:rsid w:val="004B65C6"/>
    <w:rsid w:val="004D1DC7"/>
    <w:rsid w:val="004E7215"/>
    <w:rsid w:val="004F7D7E"/>
    <w:rsid w:val="00500B0C"/>
    <w:rsid w:val="00516D7C"/>
    <w:rsid w:val="00537150"/>
    <w:rsid w:val="00540984"/>
    <w:rsid w:val="00543851"/>
    <w:rsid w:val="0055559D"/>
    <w:rsid w:val="005569AE"/>
    <w:rsid w:val="005857F8"/>
    <w:rsid w:val="005A2A00"/>
    <w:rsid w:val="005B0D18"/>
    <w:rsid w:val="005B12C3"/>
    <w:rsid w:val="005B409D"/>
    <w:rsid w:val="005D0FDB"/>
    <w:rsid w:val="005D25E9"/>
    <w:rsid w:val="005D6D59"/>
    <w:rsid w:val="00603D47"/>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7F7CEC"/>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E767D"/>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7532C"/>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C4EEFE"/>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styleId="PlainText">
    <w:name w:val="Plain Text"/>
    <w:basedOn w:val="Normal"/>
    <w:link w:val="PlainTextChar"/>
    <w:uiPriority w:val="99"/>
    <w:semiHidden/>
    <w:unhideWhenUsed/>
    <w:rsid w:val="00516D7C"/>
    <w:pPr>
      <w:ind w:left="0" w:firstLine="0"/>
    </w:pPr>
    <w:rPr>
      <w:rFonts w:ascii="Calibri" w:eastAsia="Times New Roman" w:hAnsi="Calibri" w:cs="Times New Roman"/>
      <w:sz w:val="28"/>
      <w:szCs w:val="21"/>
    </w:rPr>
  </w:style>
  <w:style w:type="character" w:customStyle="1" w:styleId="PlainTextChar">
    <w:name w:val="Plain Text Char"/>
    <w:basedOn w:val="DefaultParagraphFont"/>
    <w:link w:val="PlainText"/>
    <w:uiPriority w:val="99"/>
    <w:semiHidden/>
    <w:rsid w:val="00516D7C"/>
    <w:rPr>
      <w:rFonts w:ascii="Calibri" w:eastAsia="Times New Roman" w:hAnsi="Calibri" w:cs="Times New Roman"/>
      <w:sz w:val="28"/>
      <w:szCs w:val="21"/>
    </w:rPr>
  </w:style>
  <w:style w:type="character" w:customStyle="1" w:styleId="ref-journal">
    <w:name w:val="ref-journal"/>
    <w:basedOn w:val="DefaultParagraphFont"/>
    <w:rsid w:val="008E767D"/>
  </w:style>
  <w:style w:type="character" w:customStyle="1" w:styleId="element-citation">
    <w:name w:val="element-citation"/>
    <w:basedOn w:val="DefaultParagraphFont"/>
    <w:rsid w:val="008E767D"/>
  </w:style>
  <w:style w:type="character" w:customStyle="1" w:styleId="ref-vol">
    <w:name w:val="ref-vol"/>
    <w:basedOn w:val="DefaultParagraphFont"/>
    <w:rsid w:val="008E767D"/>
  </w:style>
  <w:style w:type="character" w:customStyle="1" w:styleId="a-size-extra-large">
    <w:name w:val="a-size-extra-large"/>
    <w:basedOn w:val="DefaultParagraphFont"/>
    <w:rsid w:val="008E7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yperlink" Target="https://www.cms.gov/Medicare/Quality-Initiatives-patient-assessment-instruments/hospitalqualityinits/hospitalhcahps.html"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yperlink" Target="https://www.ruralcenter.org/resource-library/study-of-hcahps-best-practices-in-high-performing-cah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ahrq.gov/cahps/news-and-events/podcasts/index.htm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Palatino Linotype">
    <w:panose1 w:val="02040502050505030304"/>
    <w:charset w:val="00"/>
    <w:family w:val="roman"/>
    <w:pitch w:val="variable"/>
    <w:sig w:usb0="E0000287" w:usb1="40000013" w:usb2="00000000" w:usb3="00000000" w:csb0="0000019F" w:csb1="00000000"/>
  </w:font>
  <w:font w:name="RealpageGDY1">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F21F3"/>
    <w:rsid w:val="00613333"/>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3.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4.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5.xml><?xml version="1.0" encoding="utf-8"?>
<ds:datastoreItem xmlns:ds="http://schemas.openxmlformats.org/officeDocument/2006/customXml" ds:itemID="{B4AD8162-D970-4B5C-87D3-F6F31E847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3145</Words>
  <Characters>17931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William Lehrman</cp:lastModifiedBy>
  <cp:revision>7</cp:revision>
  <cp:lastPrinted>2019-04-24T18:25:00Z</cp:lastPrinted>
  <dcterms:created xsi:type="dcterms:W3CDTF">2019-04-24T18:15:00Z</dcterms:created>
  <dcterms:modified xsi:type="dcterms:W3CDTF">2019-04-24T18:26:00Z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