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E04638">
            <w:rPr>
              <w:rStyle w:val="Style1"/>
            </w:rPr>
            <w:t>0166</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E04638">
            <w:rPr>
              <w:rStyle w:val="Style1"/>
              <w:rFonts w:cstheme="minorHAnsi"/>
            </w:rPr>
            <w:t xml:space="preserve">HCAHPS </w:t>
          </w:r>
          <w:r w:rsidR="00DB19E1">
            <w:rPr>
              <w:rStyle w:val="Style1"/>
              <w:rFonts w:cstheme="minorHAnsi"/>
            </w:rPr>
            <w:t xml:space="preserve">(Hospital Consumer Assessment of Healthcare Providers and Systems) Survey   </w:t>
          </w:r>
        </w:sdtContent>
      </w:sdt>
    </w:p>
    <w:p w:rsidR="00BB7EA2"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r w:rsidR="00E25B25">
        <w:rPr>
          <w:rStyle w:val="Style2"/>
          <w:rFonts w:cstheme="minorHAnsi"/>
        </w:rPr>
        <w:t>1/7/2019</w:t>
      </w:r>
      <w:r w:rsidR="004266FF">
        <w:rPr>
          <w:rStyle w:val="Style2"/>
          <w:rFonts w:cstheme="minorHAnsi"/>
        </w:rPr>
        <w:t>; 1/24/</w:t>
      </w:r>
      <w:r w:rsidR="00A314FD">
        <w:rPr>
          <w:rStyle w:val="Style2"/>
          <w:rFonts w:cstheme="minorHAnsi"/>
        </w:rPr>
        <w:t>20</w:t>
      </w:r>
      <w:r w:rsidR="004266FF">
        <w:rPr>
          <w:rStyle w:val="Style2"/>
          <w:rFonts w:cstheme="minorHAnsi"/>
        </w:rPr>
        <w:t>19</w:t>
      </w:r>
      <w:r w:rsidR="00E814D1">
        <w:rPr>
          <w:rStyle w:val="Style2"/>
          <w:rFonts w:cstheme="minorHAnsi"/>
        </w:rPr>
        <w:t>; 1/28/2019</w:t>
      </w:r>
    </w:p>
    <w:p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rsidTr="000B7D57">
        <w:trPr>
          <w:jc w:val="center"/>
        </w:trPr>
        <w:tc>
          <w:tcPr>
            <w:tcW w:w="2513" w:type="pct"/>
          </w:tcPr>
          <w:p w:rsidR="000B7D57" w:rsidRPr="00C775CE" w:rsidRDefault="00244A95"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E04638">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rsidR="000B7D57" w:rsidRPr="00C775CE" w:rsidRDefault="00244A95"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rsidTr="000B7D57">
        <w:trPr>
          <w:jc w:val="center"/>
        </w:trPr>
        <w:tc>
          <w:tcPr>
            <w:tcW w:w="2513" w:type="pct"/>
          </w:tcPr>
          <w:p w:rsidR="000B7D57" w:rsidRPr="00C775CE" w:rsidRDefault="00244A95"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rsidR="000B7D57" w:rsidRPr="00C775CE" w:rsidRDefault="00244A95"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rsidTr="000B7D57">
        <w:trPr>
          <w:jc w:val="center"/>
        </w:trPr>
        <w:tc>
          <w:tcPr>
            <w:tcW w:w="2513" w:type="pct"/>
          </w:tcPr>
          <w:p w:rsidR="000B7D57" w:rsidRPr="00C775CE" w:rsidRDefault="00244A95"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rsidR="000B7D57" w:rsidRPr="00C775CE" w:rsidRDefault="00244A95"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rsidTr="000B7D57">
        <w:trPr>
          <w:jc w:val="center"/>
        </w:trPr>
        <w:tc>
          <w:tcPr>
            <w:tcW w:w="2513" w:type="pct"/>
          </w:tcPr>
          <w:p w:rsidR="000B7D57" w:rsidRPr="00C775CE" w:rsidRDefault="00244A95"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rsidR="000B7D57" w:rsidRDefault="000B7D57" w:rsidP="00CD364B">
            <w:pPr>
              <w:autoSpaceDE w:val="0"/>
              <w:autoSpaceDN w:val="0"/>
              <w:adjustRightInd w:val="0"/>
              <w:rPr>
                <w:rFonts w:cstheme="minorHAnsi"/>
                <w:bCs/>
                <w:color w:val="0000FF"/>
              </w:rPr>
            </w:pP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1" w:name="_Toc256067249"/>
          </w:p>
          <w:p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lastRenderedPageBreak/>
              <w:t xml:space="preserve">AND </w:t>
            </w:r>
          </w:p>
          <w:p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rsidR="00145149" w:rsidRPr="000F034A" w:rsidRDefault="00145149" w:rsidP="00145149">
            <w:pPr>
              <w:rPr>
                <w:rFonts w:cstheme="minorHAnsi"/>
                <w:b/>
                <w:bCs/>
              </w:rPr>
            </w:pPr>
          </w:p>
          <w:bookmarkEnd w:id="2"/>
          <w:p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1"/>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r w:rsidR="00402FBE" w:rsidRPr="00A831B4">
              <w:rPr>
                <w:rFonts w:cstheme="minorHAnsi"/>
                <w:sz w:val="20"/>
                <w:szCs w:val="20"/>
              </w:rPr>
              <w:t>received smoking</w:t>
            </w:r>
            <w:r w:rsidR="00145149" w:rsidRPr="00A831B4">
              <w:rPr>
                <w:rFonts w:cstheme="minorHAnsi"/>
                <w:sz w:val="20"/>
                <w:szCs w:val="20"/>
              </w:rPr>
              <w:t xml:space="preserve">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lastRenderedPageBreak/>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244A95"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244A95"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0F1B7A" w:rsidRDefault="00244A95"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rsidR="00A01494" w:rsidRPr="000F1B7A" w:rsidRDefault="00244A95"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rsidTr="0014773C">
        <w:trPr>
          <w:jc w:val="center"/>
        </w:trPr>
        <w:tc>
          <w:tcPr>
            <w:tcW w:w="5208" w:type="dxa"/>
          </w:tcPr>
          <w:p w:rsidR="00A01494" w:rsidRPr="000F1B7A" w:rsidRDefault="00244A95"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rsidR="00A01494" w:rsidRPr="000F1B7A" w:rsidRDefault="00244A95"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rsidTr="0014773C">
        <w:trPr>
          <w:jc w:val="center"/>
        </w:trPr>
        <w:tc>
          <w:tcPr>
            <w:tcW w:w="5208" w:type="dxa"/>
          </w:tcPr>
          <w:p w:rsidR="00A01494" w:rsidRPr="000F1B7A" w:rsidRDefault="00244A95"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rsidR="00A01494" w:rsidRPr="000F1B7A" w:rsidRDefault="00244A95"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rsidTr="0014773C">
        <w:trPr>
          <w:jc w:val="center"/>
        </w:trPr>
        <w:tc>
          <w:tcPr>
            <w:tcW w:w="5208" w:type="dxa"/>
          </w:tcPr>
          <w:p w:rsidR="00A01494" w:rsidRPr="000F1B7A" w:rsidRDefault="00244A95"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rsidR="00A01494" w:rsidRPr="000F1B7A" w:rsidRDefault="00244A95"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rsidTr="0014773C">
        <w:trPr>
          <w:jc w:val="center"/>
        </w:trPr>
        <w:tc>
          <w:tcPr>
            <w:tcW w:w="5208" w:type="dxa"/>
          </w:tcPr>
          <w:p w:rsidR="00A01494" w:rsidRPr="000F1B7A" w:rsidRDefault="00244A95" w:rsidP="00E04638">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E0463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E04638">
                  <w:rPr>
                    <w:rStyle w:val="Style1"/>
                  </w:rPr>
                  <w:t>Patient survey</w:t>
                </w:r>
              </w:sdtContent>
            </w:sdt>
          </w:p>
        </w:tc>
        <w:tc>
          <w:tcPr>
            <w:tcW w:w="4847" w:type="dxa"/>
          </w:tcPr>
          <w:p w:rsidR="00A01494" w:rsidRPr="000F1B7A" w:rsidRDefault="00244A95" w:rsidP="00E04638">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E0463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E04638">
                  <w:rPr>
                    <w:rStyle w:val="Style1"/>
                  </w:rPr>
                  <w:t>Patient survey</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C355B9" w:rsidRDefault="002B5016" w:rsidP="00DB3627">
      <w:pPr>
        <w:autoSpaceDE w:val="0"/>
        <w:autoSpaceDN w:val="0"/>
        <w:adjustRightInd w:val="0"/>
        <w:spacing w:after="0" w:line="240" w:lineRule="auto"/>
        <w:rPr>
          <w:rFonts w:cstheme="minorHAnsi"/>
          <w:bCs/>
        </w:rPr>
      </w:pPr>
      <w:r w:rsidRPr="004E4B23">
        <w:rPr>
          <w:rFonts w:cstheme="minorHAnsi"/>
          <w:b/>
          <w:bCs/>
        </w:rPr>
        <w:t>1</w:t>
      </w:r>
      <w:r w:rsidR="00927027" w:rsidRPr="004E4B23">
        <w:rPr>
          <w:rFonts w:cstheme="minorHAnsi"/>
          <w:b/>
          <w:bCs/>
        </w:rPr>
        <w:t>.</w:t>
      </w:r>
      <w:r w:rsidR="00DB3627" w:rsidRPr="004E4B23">
        <w:rPr>
          <w:rFonts w:cstheme="minorHAnsi"/>
          <w:b/>
          <w:bCs/>
        </w:rPr>
        <w:t xml:space="preserve">2. </w:t>
      </w:r>
      <w:r w:rsidR="004348CC" w:rsidRPr="004E4B23">
        <w:rPr>
          <w:rFonts w:cstheme="minorHAnsi"/>
          <w:b/>
          <w:bCs/>
        </w:rPr>
        <w:t>If an existing data</w:t>
      </w:r>
      <w:r w:rsidR="006327D8" w:rsidRPr="004E4B23">
        <w:rPr>
          <w:rFonts w:cstheme="minorHAnsi"/>
          <w:b/>
          <w:bCs/>
        </w:rPr>
        <w:t>set</w:t>
      </w:r>
      <w:r w:rsidR="003605B4" w:rsidRPr="004E4B23">
        <w:rPr>
          <w:rFonts w:cstheme="minorHAnsi"/>
          <w:b/>
          <w:bCs/>
        </w:rPr>
        <w:t xml:space="preserve"> was used</w:t>
      </w:r>
      <w:r w:rsidR="004348CC" w:rsidRPr="004E4B23">
        <w:rPr>
          <w:rFonts w:cstheme="minorHAnsi"/>
          <w:b/>
          <w:bCs/>
        </w:rPr>
        <w:t xml:space="preserve">, identify the </w:t>
      </w:r>
      <w:r w:rsidR="009E1846" w:rsidRPr="004E4B23">
        <w:rPr>
          <w:rFonts w:cstheme="minorHAnsi"/>
          <w:b/>
          <w:bCs/>
        </w:rPr>
        <w:t xml:space="preserve">specific </w:t>
      </w:r>
      <w:r w:rsidR="004348CC" w:rsidRPr="004E4B23">
        <w:rPr>
          <w:rFonts w:cstheme="minorHAnsi"/>
          <w:b/>
          <w:bCs/>
        </w:rPr>
        <w:t>data</w:t>
      </w:r>
      <w:r w:rsidR="006327D8" w:rsidRPr="004E4B23">
        <w:rPr>
          <w:rFonts w:cstheme="minorHAnsi"/>
          <w:b/>
          <w:bCs/>
        </w:rPr>
        <w:t>set</w:t>
      </w:r>
      <w:r w:rsidR="00DB3627" w:rsidRPr="004E4B23">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AE060B" w:rsidRDefault="00AE060B" w:rsidP="00DB3627">
      <w:pPr>
        <w:autoSpaceDE w:val="0"/>
        <w:autoSpaceDN w:val="0"/>
        <w:adjustRightInd w:val="0"/>
        <w:spacing w:after="0" w:line="240" w:lineRule="auto"/>
        <w:rPr>
          <w:rFonts w:cstheme="minorHAnsi"/>
          <w:bCs/>
        </w:rPr>
      </w:pPr>
    </w:p>
    <w:p w:rsidR="009E1846" w:rsidRPr="008C4D75" w:rsidRDefault="00E04638" w:rsidP="00DB3627">
      <w:pPr>
        <w:autoSpaceDE w:val="0"/>
        <w:autoSpaceDN w:val="0"/>
        <w:adjustRightInd w:val="0"/>
        <w:spacing w:after="0" w:line="240" w:lineRule="auto"/>
        <w:rPr>
          <w:rFonts w:ascii="Palatino Linotype" w:hAnsi="Palatino Linotype" w:cstheme="minorHAnsi"/>
          <w:i/>
          <w:sz w:val="20"/>
          <w:szCs w:val="20"/>
        </w:rPr>
      </w:pPr>
      <w:r w:rsidRPr="008C4D75">
        <w:rPr>
          <w:rFonts w:ascii="Palatino Linotype" w:hAnsi="Palatino Linotype" w:cstheme="minorHAnsi"/>
          <w:i/>
          <w:sz w:val="20"/>
          <w:szCs w:val="20"/>
        </w:rPr>
        <w:t xml:space="preserve">The data used for all measures are from </w:t>
      </w:r>
      <w:r w:rsidR="00DB1189">
        <w:rPr>
          <w:rFonts w:ascii="Palatino Linotype" w:hAnsi="Palatino Linotype" w:cstheme="minorHAnsi"/>
          <w:i/>
          <w:sz w:val="20"/>
          <w:szCs w:val="20"/>
        </w:rPr>
        <w:t xml:space="preserve">all </w:t>
      </w:r>
      <w:r w:rsidR="006A46BB" w:rsidRPr="008C4D75">
        <w:rPr>
          <w:rFonts w:ascii="Palatino Linotype" w:hAnsi="Palatino Linotype" w:cstheme="minorHAnsi"/>
          <w:i/>
          <w:sz w:val="20"/>
          <w:szCs w:val="20"/>
        </w:rPr>
        <w:t xml:space="preserve">patients who completed the HCAHPS Survey in </w:t>
      </w:r>
      <w:r w:rsidRPr="008C4D75">
        <w:rPr>
          <w:rFonts w:ascii="Palatino Linotype" w:hAnsi="Palatino Linotype" w:cstheme="minorHAnsi"/>
          <w:i/>
          <w:sz w:val="20"/>
          <w:szCs w:val="20"/>
        </w:rPr>
        <w:t>2016</w:t>
      </w:r>
      <w:r w:rsidR="006F6112">
        <w:rPr>
          <w:rFonts w:ascii="Palatino Linotype" w:hAnsi="Palatino Linotype" w:cstheme="minorHAnsi"/>
          <w:i/>
          <w:sz w:val="20"/>
          <w:szCs w:val="20"/>
        </w:rPr>
        <w:t>, except where noted</w:t>
      </w:r>
      <w:r w:rsidRPr="008C4D75">
        <w:rPr>
          <w:rFonts w:ascii="Palatino Linotype" w:hAnsi="Palatino Linotype" w:cstheme="minorHAnsi"/>
          <w:i/>
          <w:sz w:val="20"/>
          <w:szCs w:val="20"/>
        </w:rPr>
        <w:t xml:space="preserve">.  </w:t>
      </w:r>
      <w:r w:rsidR="00DB1189">
        <w:rPr>
          <w:rFonts w:ascii="Palatino Linotype" w:hAnsi="Palatino Linotype" w:cstheme="minorHAnsi"/>
          <w:i/>
          <w:sz w:val="20"/>
          <w:szCs w:val="20"/>
        </w:rPr>
        <w:t>The data set has no specific name but consists of all HCAHPS Survey</w:t>
      </w:r>
      <w:r w:rsidR="00662EBE">
        <w:rPr>
          <w:rFonts w:ascii="Palatino Linotype" w:hAnsi="Palatino Linotype" w:cstheme="minorHAnsi"/>
          <w:i/>
          <w:sz w:val="20"/>
          <w:szCs w:val="20"/>
        </w:rPr>
        <w:t>s</w:t>
      </w:r>
      <w:r w:rsidR="00DB1189">
        <w:rPr>
          <w:rFonts w:ascii="Palatino Linotype" w:hAnsi="Palatino Linotype" w:cstheme="minorHAnsi"/>
          <w:i/>
          <w:sz w:val="20"/>
          <w:szCs w:val="20"/>
        </w:rPr>
        <w:t xml:space="preserve"> from </w:t>
      </w:r>
      <w:r w:rsidR="00662EBE">
        <w:rPr>
          <w:rFonts w:ascii="Palatino Linotype" w:hAnsi="Palatino Linotype" w:cstheme="minorHAnsi"/>
          <w:i/>
          <w:sz w:val="20"/>
          <w:szCs w:val="20"/>
        </w:rPr>
        <w:t xml:space="preserve">calendar year </w:t>
      </w:r>
      <w:r w:rsidR="00DB1189">
        <w:rPr>
          <w:rFonts w:ascii="Palatino Linotype" w:hAnsi="Palatino Linotype" w:cstheme="minorHAnsi"/>
          <w:i/>
          <w:sz w:val="20"/>
          <w:szCs w:val="20"/>
        </w:rPr>
        <w:t xml:space="preserve">2016 (21,839,718 eligible patients; 12,839,718 patients sampled; 3,109,558 completed surveys, from 4,345 hospitals across the USA). </w:t>
      </w:r>
    </w:p>
    <w:p w:rsidR="00E04638" w:rsidRDefault="00E04638" w:rsidP="00DB3627">
      <w:pPr>
        <w:autoSpaceDE w:val="0"/>
        <w:autoSpaceDN w:val="0"/>
        <w:adjustRightInd w:val="0"/>
        <w:spacing w:after="0" w:line="240" w:lineRule="auto"/>
        <w:rPr>
          <w:rFonts w:cstheme="minorHAnsi"/>
          <w:b/>
        </w:rPr>
      </w:pPr>
    </w:p>
    <w:p w:rsidR="00071EC0"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rsidR="006A46BB" w:rsidRPr="006A46BB" w:rsidRDefault="006A46BB" w:rsidP="00DB3627">
      <w:pPr>
        <w:autoSpaceDE w:val="0"/>
        <w:autoSpaceDN w:val="0"/>
        <w:adjustRightInd w:val="0"/>
        <w:spacing w:after="0" w:line="240" w:lineRule="auto"/>
        <w:rPr>
          <w:rFonts w:ascii="Palatino Linotype" w:hAnsi="Palatino Linotype" w:cstheme="minorHAnsi"/>
        </w:rPr>
      </w:pPr>
    </w:p>
    <w:p w:rsidR="0004593A" w:rsidRPr="008C4D75" w:rsidRDefault="00244A95" w:rsidP="00DB3627">
      <w:pPr>
        <w:autoSpaceDE w:val="0"/>
        <w:autoSpaceDN w:val="0"/>
        <w:adjustRightInd w:val="0"/>
        <w:spacing w:after="0" w:line="240" w:lineRule="auto"/>
        <w:rPr>
          <w:rFonts w:ascii="Palatino Linotype" w:eastAsia="MS Mincho" w:hAnsi="Palatino Linotype" w:cs="Calibri"/>
          <w:i/>
          <w:sz w:val="20"/>
          <w:szCs w:val="20"/>
        </w:rPr>
      </w:pPr>
      <w:sdt>
        <w:sdtPr>
          <w:rPr>
            <w:rFonts w:ascii="Palatino Linotype" w:eastAsia="MS Mincho" w:hAnsi="Palatino Linotype" w:cs="Calibri"/>
            <w:i/>
            <w:sz w:val="20"/>
            <w:szCs w:val="20"/>
          </w:rPr>
          <w:id w:val="950514773"/>
          <w:text/>
        </w:sdtPr>
        <w:sdtEndPr/>
        <w:sdtContent>
          <w:r w:rsidR="006F6112" w:rsidRPr="008C4D75">
            <w:rPr>
              <w:rFonts w:ascii="Palatino Linotype" w:eastAsia="MS Mincho" w:hAnsi="Palatino Linotype" w:cs="Calibri"/>
              <w:i/>
              <w:sz w:val="20"/>
              <w:szCs w:val="20"/>
            </w:rPr>
            <w:t>Th</w:t>
          </w:r>
          <w:r w:rsidR="006F6112">
            <w:rPr>
              <w:rFonts w:ascii="Palatino Linotype" w:eastAsia="MS Mincho" w:hAnsi="Palatino Linotype" w:cs="Calibri"/>
              <w:i/>
              <w:sz w:val="20"/>
              <w:szCs w:val="20"/>
            </w:rPr>
            <w:t>e data used for all measures</w:t>
          </w:r>
          <w:r w:rsidR="006F6112" w:rsidRPr="008C4D75">
            <w:rPr>
              <w:rFonts w:ascii="Palatino Linotype" w:eastAsia="MS Mincho" w:hAnsi="Palatino Linotype" w:cs="Calibri"/>
              <w:i/>
              <w:sz w:val="20"/>
              <w:szCs w:val="20"/>
            </w:rPr>
            <w:t xml:space="preserve"> are from 1/1/2016 to 12/31/2016</w:t>
          </w:r>
          <w:r w:rsidR="006F6112">
            <w:rPr>
              <w:rFonts w:ascii="Palatino Linotype" w:eastAsia="MS Mincho" w:hAnsi="Palatino Linotype" w:cs="Calibri"/>
              <w:i/>
              <w:sz w:val="20"/>
              <w:szCs w:val="20"/>
            </w:rPr>
            <w:t>, except where noted</w:t>
          </w:r>
          <w:r w:rsidR="006F6112" w:rsidRPr="008C4D75">
            <w:rPr>
              <w:rFonts w:ascii="Palatino Linotype" w:eastAsia="MS Mincho" w:hAnsi="Palatino Linotype" w:cs="Calibri"/>
              <w:i/>
              <w:sz w:val="20"/>
              <w:szCs w:val="20"/>
            </w:rPr>
            <w:t>.</w:t>
          </w:r>
        </w:sdtContent>
      </w:sdt>
    </w:p>
    <w:p w:rsidR="006A46BB" w:rsidRPr="006A46BB" w:rsidRDefault="006A46BB" w:rsidP="00DB3627">
      <w:pPr>
        <w:autoSpaceDE w:val="0"/>
        <w:autoSpaceDN w:val="0"/>
        <w:adjustRightInd w:val="0"/>
        <w:spacing w:after="0" w:line="240" w:lineRule="auto"/>
        <w:rPr>
          <w:rFonts w:ascii="Palatino Linotype" w:hAnsi="Palatino Linotype" w:cstheme="minorHAnsi"/>
          <w:bCs/>
          <w:i/>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244A95"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244A95"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244A95"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244A95"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244A95"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071EC0">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244A95"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071EC0">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244A95"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244A95"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244A95"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244A95"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B37C85" w:rsidRDefault="00B37C85" w:rsidP="00DB3627">
      <w:pPr>
        <w:autoSpaceDE w:val="0"/>
        <w:autoSpaceDN w:val="0"/>
        <w:adjustRightInd w:val="0"/>
        <w:spacing w:after="0" w:line="240" w:lineRule="auto"/>
        <w:rPr>
          <w:rFonts w:cstheme="minorHAnsi"/>
          <w:bCs/>
        </w:rPr>
      </w:pPr>
    </w:p>
    <w:p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rsidR="00AE060B" w:rsidRPr="00AE060B" w:rsidRDefault="00AE060B" w:rsidP="00DB3627">
      <w:pPr>
        <w:autoSpaceDE w:val="0"/>
        <w:autoSpaceDN w:val="0"/>
        <w:adjustRightInd w:val="0"/>
        <w:spacing w:after="0" w:line="240" w:lineRule="auto"/>
        <w:rPr>
          <w:rFonts w:ascii="Palatino Linotype" w:hAnsi="Palatino Linotype" w:cstheme="minorHAnsi"/>
          <w:bCs/>
        </w:rPr>
      </w:pPr>
    </w:p>
    <w:p w:rsidR="00071EC0" w:rsidRPr="008C4D75" w:rsidRDefault="00071EC0" w:rsidP="00071EC0">
      <w:pPr>
        <w:autoSpaceDE w:val="0"/>
        <w:autoSpaceDN w:val="0"/>
        <w:adjustRightInd w:val="0"/>
        <w:spacing w:after="0" w:line="240" w:lineRule="auto"/>
        <w:rPr>
          <w:rFonts w:ascii="Palatino Linotype" w:hAnsi="Palatino Linotype" w:cstheme="minorHAnsi"/>
          <w:i/>
          <w:sz w:val="20"/>
          <w:szCs w:val="20"/>
        </w:rPr>
      </w:pPr>
      <w:r w:rsidRPr="008C4D75">
        <w:rPr>
          <w:rFonts w:ascii="Palatino Linotype" w:hAnsi="Palatino Linotype" w:cstheme="minorHAnsi"/>
          <w:i/>
          <w:sz w:val="20"/>
          <w:szCs w:val="20"/>
        </w:rPr>
        <w:t>For all measures</w:t>
      </w:r>
      <w:r w:rsidR="00B7785E">
        <w:rPr>
          <w:rFonts w:ascii="Palatino Linotype" w:hAnsi="Palatino Linotype" w:cstheme="minorHAnsi"/>
          <w:i/>
          <w:sz w:val="20"/>
          <w:szCs w:val="20"/>
        </w:rPr>
        <w:t>:</w:t>
      </w:r>
      <w:r w:rsidR="00DC62E2">
        <w:rPr>
          <w:rFonts w:ascii="Palatino Linotype" w:hAnsi="Palatino Linotype" w:cstheme="minorHAnsi"/>
          <w:i/>
          <w:sz w:val="20"/>
          <w:szCs w:val="20"/>
        </w:rPr>
        <w:t xml:space="preserve"> more than</w:t>
      </w:r>
      <w:r w:rsidRPr="008C4D75">
        <w:rPr>
          <w:rFonts w:ascii="Palatino Linotype" w:hAnsi="Palatino Linotype" w:cstheme="minorHAnsi"/>
          <w:i/>
          <w:sz w:val="20"/>
          <w:szCs w:val="20"/>
        </w:rPr>
        <w:t xml:space="preserve"> 4,200 hospitals from across the USA</w:t>
      </w:r>
      <w:r w:rsidR="006F6112">
        <w:rPr>
          <w:rFonts w:ascii="Palatino Linotype" w:hAnsi="Palatino Linotype" w:cstheme="minorHAnsi"/>
          <w:i/>
          <w:sz w:val="20"/>
          <w:szCs w:val="20"/>
        </w:rPr>
        <w:t>, except where noted</w:t>
      </w:r>
      <w:r w:rsidRPr="008C4D75">
        <w:rPr>
          <w:rFonts w:ascii="Palatino Linotype" w:hAnsi="Palatino Linotype" w:cstheme="minorHAnsi"/>
          <w:i/>
          <w:sz w:val="20"/>
          <w:szCs w:val="20"/>
        </w:rPr>
        <w:t xml:space="preserve">.  </w:t>
      </w:r>
    </w:p>
    <w:p w:rsidR="00071EC0" w:rsidRDefault="00071EC0" w:rsidP="00DB3627">
      <w:pPr>
        <w:autoSpaceDE w:val="0"/>
        <w:autoSpaceDN w:val="0"/>
        <w:adjustRightInd w:val="0"/>
        <w:spacing w:after="0" w:line="240" w:lineRule="auto"/>
        <w:rPr>
          <w:rFonts w:cstheme="minorHAnsi"/>
          <w:bCs/>
        </w:rPr>
      </w:pPr>
    </w:p>
    <w:p w:rsidR="00E9501C"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rsidR="00E9501C" w:rsidRPr="00583F9E" w:rsidRDefault="00E9501C" w:rsidP="00DB3627">
      <w:pPr>
        <w:autoSpaceDE w:val="0"/>
        <w:autoSpaceDN w:val="0"/>
        <w:adjustRightInd w:val="0"/>
        <w:spacing w:after="0" w:line="240" w:lineRule="auto"/>
        <w:rPr>
          <w:rFonts w:cstheme="minorHAnsi"/>
          <w:bCs/>
        </w:rPr>
      </w:pPr>
    </w:p>
    <w:p w:rsidR="00DE49BB" w:rsidRPr="00BB7EA2" w:rsidRDefault="0086319D" w:rsidP="00DB3627">
      <w:pPr>
        <w:autoSpaceDE w:val="0"/>
        <w:autoSpaceDN w:val="0"/>
        <w:adjustRightInd w:val="0"/>
        <w:spacing w:after="0" w:line="240" w:lineRule="auto"/>
        <w:rPr>
          <w:rFonts w:cstheme="minorHAnsi"/>
          <w:b/>
          <w:bCs/>
          <w:sz w:val="20"/>
          <w:szCs w:val="20"/>
        </w:rPr>
      </w:pPr>
      <w:r w:rsidRPr="00BB7EA2">
        <w:rPr>
          <w:rFonts w:cstheme="minorHAnsi"/>
          <w:b/>
          <w:bCs/>
          <w:sz w:val="20"/>
          <w:szCs w:val="20"/>
        </w:rPr>
        <w:t xml:space="preserve">Number and Percent of Completed HCAHPS Surveys by Patients’ Age, Race/Ethnicity, Education, Language Spoken at Home and Service Line, 2016 (~4,300 Hospitals) </w:t>
      </w:r>
    </w:p>
    <w:tbl>
      <w:tblPr>
        <w:tblW w:w="8892" w:type="dxa"/>
        <w:tblInd w:w="-594" w:type="dxa"/>
        <w:tblLayout w:type="fixed"/>
        <w:tblLook w:val="04A0" w:firstRow="1" w:lastRow="0" w:firstColumn="1" w:lastColumn="0" w:noHBand="0" w:noVBand="1"/>
        <w:tblCaption w:val="Table with Number and Percent of Completed HCAHPS Surveys"/>
        <w:tblDescription w:val="Number and Percent of Completed HCAHPS Surveys by Patients’ Age, Race/Ethnicity, Education, Language Spoken at Home and Service Line, 2016, approximately 4,300 Hospitals"/>
      </w:tblPr>
      <w:tblGrid>
        <w:gridCol w:w="1713"/>
        <w:gridCol w:w="1800"/>
        <w:gridCol w:w="2689"/>
        <w:gridCol w:w="2690"/>
      </w:tblGrid>
      <w:tr w:rsidR="00031E63" w:rsidRPr="001450FF" w:rsidTr="00031E63">
        <w:trPr>
          <w:trHeight w:val="284"/>
        </w:trPr>
        <w:tc>
          <w:tcPr>
            <w:tcW w:w="3513"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31E63" w:rsidRPr="001450FF" w:rsidRDefault="00031E63" w:rsidP="00C66F8B">
            <w:pPr>
              <w:spacing w:after="0" w:line="240" w:lineRule="auto"/>
              <w:jc w:val="center"/>
              <w:rPr>
                <w:rFonts w:ascii="Arial" w:eastAsia="Times New Roman" w:hAnsi="Arial" w:cs="Arial"/>
                <w:b/>
                <w:bCs/>
                <w:color w:val="000000"/>
                <w:sz w:val="16"/>
                <w:szCs w:val="16"/>
              </w:rPr>
            </w:pPr>
            <w:r w:rsidRPr="001450FF">
              <w:rPr>
                <w:rFonts w:ascii="Arial" w:eastAsia="Times New Roman" w:hAnsi="Arial" w:cs="Arial"/>
                <w:b/>
                <w:bCs/>
                <w:color w:val="000000"/>
                <w:sz w:val="16"/>
                <w:szCs w:val="16"/>
              </w:rPr>
              <w:t>Population Group</w:t>
            </w:r>
          </w:p>
        </w:tc>
        <w:tc>
          <w:tcPr>
            <w:tcW w:w="5379" w:type="dxa"/>
            <w:gridSpan w:val="2"/>
            <w:tcBorders>
              <w:top w:val="single" w:sz="8" w:space="0" w:color="auto"/>
              <w:left w:val="nil"/>
              <w:bottom w:val="single" w:sz="8" w:space="0" w:color="auto"/>
              <w:right w:val="single" w:sz="8" w:space="0" w:color="000000"/>
            </w:tcBorders>
            <w:shd w:val="clear" w:color="auto" w:fill="auto"/>
            <w:noWrap/>
            <w:vAlign w:val="center"/>
            <w:hideMark/>
          </w:tcPr>
          <w:p w:rsidR="00031E63" w:rsidRPr="001450FF" w:rsidRDefault="00031E63" w:rsidP="00C66F8B">
            <w:pPr>
              <w:spacing w:after="0" w:line="240" w:lineRule="auto"/>
              <w:jc w:val="center"/>
              <w:rPr>
                <w:rFonts w:ascii="Arial" w:eastAsia="Times New Roman" w:hAnsi="Arial" w:cs="Arial"/>
                <w:b/>
                <w:bCs/>
                <w:color w:val="000000"/>
                <w:sz w:val="16"/>
                <w:szCs w:val="16"/>
              </w:rPr>
            </w:pPr>
            <w:r w:rsidRPr="001450FF">
              <w:rPr>
                <w:rFonts w:ascii="Arial" w:eastAsia="Times New Roman" w:hAnsi="Arial" w:cs="Arial"/>
                <w:b/>
                <w:bCs/>
                <w:color w:val="000000"/>
                <w:sz w:val="16"/>
                <w:szCs w:val="16"/>
              </w:rPr>
              <w:t>TOTAL</w:t>
            </w:r>
          </w:p>
        </w:tc>
      </w:tr>
      <w:tr w:rsidR="00031E63" w:rsidRPr="001450FF" w:rsidTr="00031E63">
        <w:trPr>
          <w:trHeight w:val="284"/>
        </w:trPr>
        <w:tc>
          <w:tcPr>
            <w:tcW w:w="3513" w:type="dxa"/>
            <w:gridSpan w:val="2"/>
            <w:vMerge/>
            <w:tcBorders>
              <w:top w:val="single" w:sz="8" w:space="0" w:color="auto"/>
              <w:left w:val="single" w:sz="8" w:space="0" w:color="auto"/>
              <w:bottom w:val="single" w:sz="8" w:space="0" w:color="000000"/>
              <w:right w:val="single" w:sz="8" w:space="0" w:color="000000"/>
            </w:tcBorders>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p>
        </w:tc>
        <w:tc>
          <w:tcPr>
            <w:tcW w:w="2689" w:type="dxa"/>
            <w:tcBorders>
              <w:top w:val="nil"/>
              <w:left w:val="nil"/>
              <w:bottom w:val="single" w:sz="8" w:space="0" w:color="auto"/>
              <w:right w:val="single" w:sz="4" w:space="0" w:color="auto"/>
            </w:tcBorders>
            <w:shd w:val="clear" w:color="auto" w:fill="auto"/>
            <w:noWrap/>
            <w:vAlign w:val="center"/>
            <w:hideMark/>
          </w:tcPr>
          <w:p w:rsidR="00031E63" w:rsidRPr="001450FF" w:rsidRDefault="00031E63" w:rsidP="00C66F8B">
            <w:pPr>
              <w:spacing w:after="0" w:line="240" w:lineRule="auto"/>
              <w:jc w:val="center"/>
              <w:rPr>
                <w:rFonts w:ascii="Arial" w:eastAsia="Times New Roman" w:hAnsi="Arial" w:cs="Arial"/>
                <w:b/>
                <w:bCs/>
                <w:color w:val="000000"/>
                <w:sz w:val="16"/>
                <w:szCs w:val="16"/>
              </w:rPr>
            </w:pPr>
            <w:r w:rsidRPr="001450FF">
              <w:rPr>
                <w:rFonts w:ascii="Arial" w:eastAsia="Times New Roman" w:hAnsi="Arial" w:cs="Arial"/>
                <w:b/>
                <w:bCs/>
                <w:color w:val="000000"/>
                <w:sz w:val="16"/>
                <w:szCs w:val="16"/>
              </w:rPr>
              <w:t>N</w:t>
            </w:r>
          </w:p>
        </w:tc>
        <w:tc>
          <w:tcPr>
            <w:tcW w:w="2690" w:type="dxa"/>
            <w:tcBorders>
              <w:top w:val="nil"/>
              <w:left w:val="nil"/>
              <w:bottom w:val="single" w:sz="8" w:space="0" w:color="auto"/>
              <w:right w:val="single" w:sz="8" w:space="0" w:color="auto"/>
            </w:tcBorders>
            <w:shd w:val="clear" w:color="auto" w:fill="auto"/>
            <w:noWrap/>
            <w:vAlign w:val="center"/>
            <w:hideMark/>
          </w:tcPr>
          <w:p w:rsidR="00031E63" w:rsidRPr="001450FF" w:rsidRDefault="00031E63" w:rsidP="00C66F8B">
            <w:pPr>
              <w:spacing w:after="0" w:line="240" w:lineRule="auto"/>
              <w:jc w:val="center"/>
              <w:rPr>
                <w:rFonts w:ascii="Arial" w:eastAsia="Times New Roman" w:hAnsi="Arial" w:cs="Arial"/>
                <w:b/>
                <w:bCs/>
                <w:color w:val="000000"/>
                <w:sz w:val="16"/>
                <w:szCs w:val="16"/>
              </w:rPr>
            </w:pPr>
            <w:r>
              <w:rPr>
                <w:rFonts w:ascii="Arial" w:eastAsia="Times New Roman" w:hAnsi="Arial" w:cs="Arial"/>
                <w:b/>
                <w:bCs/>
                <w:color w:val="000000"/>
                <w:sz w:val="16"/>
                <w:szCs w:val="16"/>
              </w:rPr>
              <w:t>%</w:t>
            </w:r>
          </w:p>
        </w:tc>
      </w:tr>
      <w:tr w:rsidR="00031E63" w:rsidRPr="00D72D9A" w:rsidTr="00031E63">
        <w:trPr>
          <w:trHeight w:val="284"/>
        </w:trPr>
        <w:tc>
          <w:tcPr>
            <w:tcW w:w="171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r w:rsidRPr="001450FF">
              <w:rPr>
                <w:rFonts w:ascii="Arial" w:eastAsia="Times New Roman" w:hAnsi="Arial" w:cs="Arial"/>
                <w:b/>
                <w:bCs/>
                <w:color w:val="000000"/>
                <w:sz w:val="16"/>
                <w:szCs w:val="16"/>
              </w:rPr>
              <w:t>Age</w:t>
            </w:r>
          </w:p>
        </w:tc>
        <w:tc>
          <w:tcPr>
            <w:tcW w:w="1800" w:type="dxa"/>
            <w:tcBorders>
              <w:top w:val="nil"/>
              <w:left w:val="nil"/>
              <w:bottom w:val="single" w:sz="4" w:space="0" w:color="auto"/>
              <w:right w:val="single" w:sz="8" w:space="0" w:color="auto"/>
            </w:tcBorders>
            <w:shd w:val="clear" w:color="auto" w:fill="auto"/>
            <w:noWrap/>
            <w:vAlign w:val="bottom"/>
            <w:hideMark/>
          </w:tcPr>
          <w:p w:rsidR="00031E63" w:rsidRPr="001450FF" w:rsidRDefault="00031E63" w:rsidP="00C66F8B">
            <w:pPr>
              <w:spacing w:after="0" w:line="240" w:lineRule="auto"/>
              <w:rPr>
                <w:rFonts w:ascii="Arial" w:eastAsia="Times New Roman" w:hAnsi="Arial" w:cs="Arial"/>
                <w:color w:val="000000"/>
                <w:sz w:val="16"/>
                <w:szCs w:val="16"/>
              </w:rPr>
            </w:pPr>
            <w:r w:rsidRPr="001450FF">
              <w:rPr>
                <w:rFonts w:ascii="Arial" w:eastAsia="Times New Roman" w:hAnsi="Arial" w:cs="Arial"/>
                <w:color w:val="000000"/>
                <w:sz w:val="16"/>
                <w:szCs w:val="16"/>
              </w:rPr>
              <w:t>18-44</w:t>
            </w:r>
          </w:p>
        </w:tc>
        <w:tc>
          <w:tcPr>
            <w:tcW w:w="2689" w:type="dxa"/>
            <w:tcBorders>
              <w:top w:val="nil"/>
              <w:left w:val="nil"/>
              <w:bottom w:val="single" w:sz="4" w:space="0" w:color="auto"/>
              <w:right w:val="single" w:sz="4" w:space="0" w:color="auto"/>
            </w:tcBorders>
            <w:shd w:val="clear" w:color="auto" w:fill="auto"/>
            <w:noWrap/>
            <w:vAlign w:val="center"/>
            <w:hideMark/>
          </w:tcPr>
          <w:p w:rsidR="00031E63" w:rsidRPr="001450FF" w:rsidRDefault="00031E63"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623,421</w:t>
            </w:r>
          </w:p>
        </w:tc>
        <w:tc>
          <w:tcPr>
            <w:tcW w:w="2690" w:type="dxa"/>
            <w:tcBorders>
              <w:top w:val="nil"/>
              <w:left w:val="nil"/>
              <w:bottom w:val="single" w:sz="4" w:space="0" w:color="auto"/>
              <w:right w:val="single" w:sz="8" w:space="0" w:color="auto"/>
            </w:tcBorders>
            <w:shd w:val="clear" w:color="auto" w:fill="auto"/>
            <w:noWrap/>
            <w:vAlign w:val="center"/>
          </w:tcPr>
          <w:p w:rsidR="00031E63" w:rsidRPr="00D72D9A" w:rsidRDefault="00031E63" w:rsidP="00C66F8B">
            <w:pPr>
              <w:spacing w:after="0" w:line="240" w:lineRule="auto"/>
              <w:jc w:val="center"/>
              <w:rPr>
                <w:rFonts w:ascii="Arial" w:eastAsia="Times New Roman" w:hAnsi="Arial" w:cs="Arial"/>
                <w:color w:val="000000"/>
                <w:sz w:val="16"/>
                <w:szCs w:val="16"/>
              </w:rPr>
            </w:pPr>
            <w:r w:rsidRPr="00D72D9A">
              <w:rPr>
                <w:rFonts w:ascii="Arial" w:eastAsia="Times New Roman" w:hAnsi="Arial" w:cs="Arial"/>
                <w:color w:val="000000"/>
                <w:sz w:val="16"/>
                <w:szCs w:val="16"/>
              </w:rPr>
              <w:t>20.00%</w:t>
            </w:r>
          </w:p>
        </w:tc>
      </w:tr>
      <w:tr w:rsidR="00031E63" w:rsidRPr="00D72D9A" w:rsidTr="00031E63">
        <w:trPr>
          <w:trHeight w:val="284"/>
        </w:trPr>
        <w:tc>
          <w:tcPr>
            <w:tcW w:w="1713" w:type="dxa"/>
            <w:vMerge/>
            <w:tcBorders>
              <w:top w:val="nil"/>
              <w:left w:val="single" w:sz="8" w:space="0" w:color="auto"/>
              <w:bottom w:val="single" w:sz="8" w:space="0" w:color="000000"/>
              <w:right w:val="single" w:sz="8" w:space="0" w:color="auto"/>
            </w:tcBorders>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4" w:space="0" w:color="auto"/>
              <w:right w:val="single" w:sz="8" w:space="0" w:color="auto"/>
            </w:tcBorders>
            <w:shd w:val="clear" w:color="auto" w:fill="auto"/>
            <w:noWrap/>
            <w:vAlign w:val="bottom"/>
            <w:hideMark/>
          </w:tcPr>
          <w:p w:rsidR="00031E63" w:rsidRPr="001450FF" w:rsidRDefault="00031E63" w:rsidP="00C66F8B">
            <w:pPr>
              <w:spacing w:after="0" w:line="240" w:lineRule="auto"/>
              <w:rPr>
                <w:rFonts w:ascii="Arial" w:eastAsia="Times New Roman" w:hAnsi="Arial" w:cs="Arial"/>
                <w:color w:val="000000"/>
                <w:sz w:val="16"/>
                <w:szCs w:val="16"/>
              </w:rPr>
            </w:pPr>
            <w:r w:rsidRPr="001450FF">
              <w:rPr>
                <w:rFonts w:ascii="Arial" w:eastAsia="Times New Roman" w:hAnsi="Arial" w:cs="Arial"/>
                <w:color w:val="000000"/>
                <w:sz w:val="16"/>
                <w:szCs w:val="16"/>
              </w:rPr>
              <w:t>45-64</w:t>
            </w:r>
          </w:p>
        </w:tc>
        <w:tc>
          <w:tcPr>
            <w:tcW w:w="2689" w:type="dxa"/>
            <w:tcBorders>
              <w:top w:val="nil"/>
              <w:left w:val="nil"/>
              <w:bottom w:val="single" w:sz="4" w:space="0" w:color="auto"/>
              <w:right w:val="single" w:sz="4" w:space="0" w:color="auto"/>
            </w:tcBorders>
            <w:shd w:val="clear" w:color="auto" w:fill="auto"/>
            <w:noWrap/>
            <w:vAlign w:val="center"/>
            <w:hideMark/>
          </w:tcPr>
          <w:p w:rsidR="00031E63" w:rsidRPr="001450FF" w:rsidRDefault="00031E63"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892,322</w:t>
            </w:r>
          </w:p>
        </w:tc>
        <w:tc>
          <w:tcPr>
            <w:tcW w:w="2690" w:type="dxa"/>
            <w:tcBorders>
              <w:top w:val="nil"/>
              <w:left w:val="nil"/>
              <w:bottom w:val="single" w:sz="4" w:space="0" w:color="auto"/>
              <w:right w:val="single" w:sz="8" w:space="0" w:color="auto"/>
            </w:tcBorders>
            <w:shd w:val="clear" w:color="auto" w:fill="auto"/>
            <w:noWrap/>
            <w:vAlign w:val="center"/>
          </w:tcPr>
          <w:p w:rsidR="00031E63" w:rsidRPr="00D72D9A" w:rsidRDefault="00031E63" w:rsidP="00C66F8B">
            <w:pPr>
              <w:spacing w:after="0" w:line="240" w:lineRule="auto"/>
              <w:jc w:val="center"/>
              <w:rPr>
                <w:rFonts w:ascii="Arial" w:eastAsia="Times New Roman" w:hAnsi="Arial" w:cs="Arial"/>
                <w:color w:val="000000"/>
                <w:sz w:val="16"/>
                <w:szCs w:val="16"/>
              </w:rPr>
            </w:pPr>
            <w:r w:rsidRPr="00D72D9A">
              <w:rPr>
                <w:rFonts w:ascii="Arial" w:eastAsia="Times New Roman" w:hAnsi="Arial" w:cs="Arial"/>
                <w:color w:val="000000"/>
                <w:sz w:val="16"/>
                <w:szCs w:val="16"/>
              </w:rPr>
              <w:t>28.63%</w:t>
            </w:r>
          </w:p>
        </w:tc>
      </w:tr>
      <w:tr w:rsidR="00031E63" w:rsidRPr="00D72D9A" w:rsidTr="00031E63">
        <w:trPr>
          <w:trHeight w:val="284"/>
        </w:trPr>
        <w:tc>
          <w:tcPr>
            <w:tcW w:w="1713" w:type="dxa"/>
            <w:vMerge/>
            <w:tcBorders>
              <w:top w:val="nil"/>
              <w:left w:val="single" w:sz="8" w:space="0" w:color="auto"/>
              <w:bottom w:val="single" w:sz="8" w:space="0" w:color="000000"/>
              <w:right w:val="single" w:sz="8" w:space="0" w:color="auto"/>
            </w:tcBorders>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4" w:space="0" w:color="auto"/>
              <w:right w:val="single" w:sz="8" w:space="0" w:color="auto"/>
            </w:tcBorders>
            <w:shd w:val="clear" w:color="auto" w:fill="auto"/>
            <w:noWrap/>
            <w:vAlign w:val="bottom"/>
            <w:hideMark/>
          </w:tcPr>
          <w:p w:rsidR="00031E63" w:rsidRPr="001450FF" w:rsidRDefault="00031E63" w:rsidP="00C66F8B">
            <w:pPr>
              <w:spacing w:after="0" w:line="240" w:lineRule="auto"/>
              <w:rPr>
                <w:rFonts w:ascii="Arial" w:eastAsia="Times New Roman" w:hAnsi="Arial" w:cs="Arial"/>
                <w:color w:val="000000"/>
                <w:sz w:val="16"/>
                <w:szCs w:val="16"/>
              </w:rPr>
            </w:pPr>
            <w:r w:rsidRPr="001450FF">
              <w:rPr>
                <w:rFonts w:ascii="Arial" w:eastAsia="Times New Roman" w:hAnsi="Arial" w:cs="Arial"/>
                <w:color w:val="000000"/>
                <w:sz w:val="16"/>
                <w:szCs w:val="16"/>
              </w:rPr>
              <w:t>65 and over</w:t>
            </w:r>
          </w:p>
        </w:tc>
        <w:tc>
          <w:tcPr>
            <w:tcW w:w="2689" w:type="dxa"/>
            <w:tcBorders>
              <w:top w:val="nil"/>
              <w:left w:val="nil"/>
              <w:bottom w:val="single" w:sz="4" w:space="0" w:color="auto"/>
              <w:right w:val="single" w:sz="4" w:space="0" w:color="auto"/>
            </w:tcBorders>
            <w:shd w:val="clear" w:color="auto" w:fill="auto"/>
            <w:noWrap/>
            <w:vAlign w:val="center"/>
            <w:hideMark/>
          </w:tcPr>
          <w:p w:rsidR="00031E63" w:rsidRPr="001450FF" w:rsidRDefault="00031E63" w:rsidP="00C66F8B">
            <w:pPr>
              <w:spacing w:after="0" w:line="240" w:lineRule="auto"/>
              <w:jc w:val="center"/>
              <w:rPr>
                <w:rFonts w:ascii="Arial" w:eastAsia="Times New Roman" w:hAnsi="Arial" w:cs="Arial"/>
                <w:color w:val="000000"/>
                <w:sz w:val="16"/>
                <w:szCs w:val="16"/>
              </w:rPr>
            </w:pPr>
            <w:r w:rsidRPr="001450FF">
              <w:rPr>
                <w:rFonts w:ascii="Arial" w:eastAsia="Times New Roman" w:hAnsi="Arial" w:cs="Arial"/>
                <w:color w:val="000000"/>
                <w:sz w:val="16"/>
                <w:szCs w:val="16"/>
              </w:rPr>
              <w:t>1,</w:t>
            </w:r>
            <w:r>
              <w:rPr>
                <w:rFonts w:ascii="Arial" w:eastAsia="Times New Roman" w:hAnsi="Arial" w:cs="Arial"/>
                <w:color w:val="000000"/>
                <w:sz w:val="16"/>
                <w:szCs w:val="16"/>
              </w:rPr>
              <w:t>599,342</w:t>
            </w:r>
          </w:p>
        </w:tc>
        <w:tc>
          <w:tcPr>
            <w:tcW w:w="2690" w:type="dxa"/>
            <w:tcBorders>
              <w:top w:val="nil"/>
              <w:left w:val="nil"/>
              <w:bottom w:val="single" w:sz="4" w:space="0" w:color="auto"/>
              <w:right w:val="single" w:sz="8" w:space="0" w:color="auto"/>
            </w:tcBorders>
            <w:shd w:val="clear" w:color="auto" w:fill="auto"/>
            <w:noWrap/>
            <w:vAlign w:val="center"/>
          </w:tcPr>
          <w:p w:rsidR="00031E63" w:rsidRPr="00D72D9A" w:rsidRDefault="00031E63" w:rsidP="00C66F8B">
            <w:pPr>
              <w:spacing w:after="0" w:line="240" w:lineRule="auto"/>
              <w:jc w:val="center"/>
              <w:rPr>
                <w:rFonts w:ascii="Arial" w:eastAsia="Times New Roman" w:hAnsi="Arial" w:cs="Arial"/>
                <w:color w:val="000000"/>
                <w:sz w:val="16"/>
                <w:szCs w:val="16"/>
              </w:rPr>
            </w:pPr>
            <w:r w:rsidRPr="00D72D9A">
              <w:rPr>
                <w:rFonts w:ascii="Arial" w:eastAsia="Times New Roman" w:hAnsi="Arial" w:cs="Arial"/>
                <w:color w:val="000000"/>
                <w:sz w:val="16"/>
                <w:szCs w:val="16"/>
              </w:rPr>
              <w:t>51.31%</w:t>
            </w:r>
          </w:p>
        </w:tc>
      </w:tr>
      <w:tr w:rsidR="00031E63" w:rsidRPr="00D72D9A" w:rsidTr="00031E63">
        <w:trPr>
          <w:trHeight w:val="284"/>
        </w:trPr>
        <w:tc>
          <w:tcPr>
            <w:tcW w:w="1713" w:type="dxa"/>
            <w:vMerge/>
            <w:tcBorders>
              <w:top w:val="nil"/>
              <w:left w:val="single" w:sz="8" w:space="0" w:color="auto"/>
              <w:bottom w:val="single" w:sz="8" w:space="0" w:color="000000"/>
              <w:right w:val="single" w:sz="8" w:space="0" w:color="auto"/>
            </w:tcBorders>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8" w:space="0" w:color="auto"/>
              <w:right w:val="single" w:sz="8" w:space="0" w:color="auto"/>
            </w:tcBorders>
            <w:shd w:val="clear" w:color="auto" w:fill="auto"/>
            <w:noWrap/>
            <w:vAlign w:val="bottom"/>
            <w:hideMark/>
          </w:tcPr>
          <w:p w:rsidR="00031E63" w:rsidRPr="001450FF" w:rsidRDefault="00031E63" w:rsidP="00C66F8B">
            <w:pPr>
              <w:spacing w:after="0" w:line="240" w:lineRule="auto"/>
              <w:rPr>
                <w:rFonts w:ascii="Arial" w:eastAsia="Times New Roman" w:hAnsi="Arial" w:cs="Arial"/>
                <w:color w:val="000000"/>
                <w:sz w:val="16"/>
                <w:szCs w:val="16"/>
              </w:rPr>
            </w:pPr>
            <w:r w:rsidRPr="001450FF">
              <w:rPr>
                <w:rFonts w:ascii="Arial" w:eastAsia="Times New Roman" w:hAnsi="Arial" w:cs="Arial"/>
                <w:color w:val="000000"/>
                <w:sz w:val="16"/>
                <w:szCs w:val="16"/>
              </w:rPr>
              <w:t>Missing</w:t>
            </w:r>
          </w:p>
        </w:tc>
        <w:tc>
          <w:tcPr>
            <w:tcW w:w="2689" w:type="dxa"/>
            <w:tcBorders>
              <w:top w:val="nil"/>
              <w:left w:val="nil"/>
              <w:bottom w:val="single" w:sz="8" w:space="0" w:color="auto"/>
              <w:right w:val="single" w:sz="4" w:space="0" w:color="auto"/>
            </w:tcBorders>
            <w:shd w:val="clear" w:color="auto" w:fill="auto"/>
            <w:noWrap/>
            <w:vAlign w:val="center"/>
            <w:hideMark/>
          </w:tcPr>
          <w:p w:rsidR="00031E63" w:rsidRPr="001450FF" w:rsidRDefault="00031E63"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1,778</w:t>
            </w:r>
          </w:p>
        </w:tc>
        <w:tc>
          <w:tcPr>
            <w:tcW w:w="2690" w:type="dxa"/>
            <w:tcBorders>
              <w:top w:val="nil"/>
              <w:left w:val="nil"/>
              <w:bottom w:val="single" w:sz="8" w:space="0" w:color="auto"/>
              <w:right w:val="single" w:sz="8" w:space="0" w:color="auto"/>
            </w:tcBorders>
            <w:shd w:val="clear" w:color="auto" w:fill="auto"/>
            <w:noWrap/>
            <w:vAlign w:val="center"/>
          </w:tcPr>
          <w:p w:rsidR="00031E63" w:rsidRPr="00D72D9A" w:rsidRDefault="00031E63" w:rsidP="00C66F8B">
            <w:pPr>
              <w:spacing w:after="0" w:line="240" w:lineRule="auto"/>
              <w:jc w:val="center"/>
              <w:rPr>
                <w:rFonts w:ascii="Arial" w:eastAsia="Times New Roman" w:hAnsi="Arial" w:cs="Arial"/>
                <w:color w:val="000000"/>
                <w:sz w:val="16"/>
                <w:szCs w:val="16"/>
              </w:rPr>
            </w:pPr>
            <w:r w:rsidRPr="00D72D9A">
              <w:rPr>
                <w:rFonts w:ascii="Arial" w:eastAsia="Times New Roman" w:hAnsi="Arial" w:cs="Arial"/>
                <w:color w:val="000000"/>
                <w:sz w:val="16"/>
                <w:szCs w:val="16"/>
              </w:rPr>
              <w:t>0.06%</w:t>
            </w:r>
          </w:p>
        </w:tc>
      </w:tr>
      <w:tr w:rsidR="0096462D" w:rsidRPr="00D72D9A" w:rsidTr="00CD6510">
        <w:trPr>
          <w:trHeight w:val="284"/>
        </w:trPr>
        <w:tc>
          <w:tcPr>
            <w:tcW w:w="1713" w:type="dxa"/>
            <w:vMerge w:val="restart"/>
            <w:tcBorders>
              <w:top w:val="nil"/>
              <w:left w:val="single" w:sz="8" w:space="0" w:color="auto"/>
              <w:right w:val="single" w:sz="8" w:space="0" w:color="auto"/>
            </w:tcBorders>
            <w:shd w:val="clear" w:color="auto" w:fill="auto"/>
            <w:noWrap/>
            <w:vAlign w:val="center"/>
            <w:hideMark/>
          </w:tcPr>
          <w:p w:rsidR="0096462D" w:rsidRPr="001450FF" w:rsidRDefault="0096462D" w:rsidP="00C66F8B">
            <w:pPr>
              <w:spacing w:after="0" w:line="240" w:lineRule="auto"/>
              <w:rPr>
                <w:rFonts w:ascii="Arial" w:eastAsia="Times New Roman" w:hAnsi="Arial" w:cs="Arial"/>
                <w:b/>
                <w:bCs/>
                <w:color w:val="000000"/>
                <w:sz w:val="16"/>
                <w:szCs w:val="16"/>
              </w:rPr>
            </w:pPr>
            <w:r>
              <w:rPr>
                <w:rFonts w:ascii="Arial" w:eastAsia="Times New Roman" w:hAnsi="Arial" w:cs="Arial"/>
                <w:b/>
                <w:bCs/>
                <w:color w:val="000000"/>
                <w:sz w:val="16"/>
                <w:szCs w:val="16"/>
              </w:rPr>
              <w:t>Race/</w:t>
            </w:r>
            <w:r w:rsidRPr="001450FF">
              <w:rPr>
                <w:rFonts w:ascii="Arial" w:eastAsia="Times New Roman" w:hAnsi="Arial" w:cs="Arial"/>
                <w:b/>
                <w:bCs/>
                <w:color w:val="000000"/>
                <w:sz w:val="16"/>
                <w:szCs w:val="16"/>
              </w:rPr>
              <w:t>Ethnicity</w:t>
            </w:r>
          </w:p>
        </w:tc>
        <w:tc>
          <w:tcPr>
            <w:tcW w:w="1800" w:type="dxa"/>
            <w:tcBorders>
              <w:top w:val="nil"/>
              <w:left w:val="nil"/>
              <w:bottom w:val="single" w:sz="4" w:space="0" w:color="auto"/>
              <w:right w:val="single" w:sz="8" w:space="0" w:color="auto"/>
            </w:tcBorders>
            <w:shd w:val="clear" w:color="auto" w:fill="auto"/>
            <w:noWrap/>
            <w:vAlign w:val="bottom"/>
          </w:tcPr>
          <w:p w:rsidR="0096462D" w:rsidRPr="001450FF" w:rsidRDefault="0096462D" w:rsidP="00C66F8B">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Non-Hispanic White</w:t>
            </w:r>
          </w:p>
        </w:tc>
        <w:tc>
          <w:tcPr>
            <w:tcW w:w="2689" w:type="dxa"/>
            <w:tcBorders>
              <w:top w:val="nil"/>
              <w:left w:val="nil"/>
              <w:bottom w:val="single" w:sz="4" w:space="0" w:color="auto"/>
              <w:right w:val="single" w:sz="4" w:space="0" w:color="auto"/>
            </w:tcBorders>
            <w:shd w:val="clear" w:color="auto" w:fill="auto"/>
            <w:noWrap/>
            <w:vAlign w:val="center"/>
          </w:tcPr>
          <w:p w:rsidR="0096462D" w:rsidRPr="001450FF" w:rsidRDefault="0096462D"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2,161,529</w:t>
            </w:r>
          </w:p>
        </w:tc>
        <w:tc>
          <w:tcPr>
            <w:tcW w:w="2690" w:type="dxa"/>
            <w:tcBorders>
              <w:top w:val="nil"/>
              <w:left w:val="nil"/>
              <w:bottom w:val="single" w:sz="4" w:space="0" w:color="auto"/>
              <w:right w:val="single" w:sz="8" w:space="0" w:color="auto"/>
            </w:tcBorders>
            <w:shd w:val="clear" w:color="auto" w:fill="auto"/>
            <w:noWrap/>
            <w:vAlign w:val="center"/>
          </w:tcPr>
          <w:p w:rsidR="0096462D" w:rsidRPr="00D72D9A" w:rsidRDefault="0096462D"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69.35%</w:t>
            </w:r>
          </w:p>
        </w:tc>
      </w:tr>
      <w:tr w:rsidR="0096462D" w:rsidRPr="00D72D9A" w:rsidTr="00CD6510">
        <w:trPr>
          <w:trHeight w:val="284"/>
        </w:trPr>
        <w:tc>
          <w:tcPr>
            <w:tcW w:w="1713" w:type="dxa"/>
            <w:vMerge/>
            <w:tcBorders>
              <w:left w:val="single" w:sz="8" w:space="0" w:color="auto"/>
              <w:right w:val="single" w:sz="8" w:space="0" w:color="auto"/>
            </w:tcBorders>
            <w:vAlign w:val="center"/>
            <w:hideMark/>
          </w:tcPr>
          <w:p w:rsidR="0096462D" w:rsidRPr="001450FF" w:rsidRDefault="0096462D"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4" w:space="0" w:color="auto"/>
              <w:right w:val="single" w:sz="8" w:space="0" w:color="auto"/>
            </w:tcBorders>
            <w:shd w:val="clear" w:color="auto" w:fill="auto"/>
            <w:noWrap/>
            <w:vAlign w:val="bottom"/>
            <w:hideMark/>
          </w:tcPr>
          <w:p w:rsidR="0096462D" w:rsidRPr="001450FF" w:rsidRDefault="0096462D" w:rsidP="00C66F8B">
            <w:pPr>
              <w:spacing w:after="0" w:line="240" w:lineRule="auto"/>
              <w:rPr>
                <w:rFonts w:ascii="Arial" w:eastAsia="Times New Roman" w:hAnsi="Arial" w:cs="Arial"/>
                <w:color w:val="000000"/>
                <w:sz w:val="16"/>
                <w:szCs w:val="16"/>
              </w:rPr>
            </w:pPr>
            <w:r w:rsidRPr="001450FF">
              <w:rPr>
                <w:rFonts w:ascii="Arial" w:eastAsia="Times New Roman" w:hAnsi="Arial" w:cs="Arial"/>
                <w:color w:val="000000"/>
                <w:sz w:val="16"/>
                <w:szCs w:val="16"/>
              </w:rPr>
              <w:t>Hispanic</w:t>
            </w:r>
          </w:p>
        </w:tc>
        <w:tc>
          <w:tcPr>
            <w:tcW w:w="2689" w:type="dxa"/>
            <w:tcBorders>
              <w:top w:val="nil"/>
              <w:left w:val="nil"/>
              <w:bottom w:val="single" w:sz="4" w:space="0" w:color="auto"/>
              <w:right w:val="single" w:sz="4" w:space="0" w:color="auto"/>
            </w:tcBorders>
            <w:shd w:val="clear" w:color="auto" w:fill="auto"/>
            <w:noWrap/>
            <w:vAlign w:val="center"/>
            <w:hideMark/>
          </w:tcPr>
          <w:p w:rsidR="0096462D" w:rsidRPr="001450FF" w:rsidRDefault="0096462D"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291,421</w:t>
            </w:r>
          </w:p>
        </w:tc>
        <w:tc>
          <w:tcPr>
            <w:tcW w:w="2690" w:type="dxa"/>
            <w:tcBorders>
              <w:top w:val="nil"/>
              <w:left w:val="nil"/>
              <w:bottom w:val="single" w:sz="4" w:space="0" w:color="auto"/>
              <w:right w:val="single" w:sz="8" w:space="0" w:color="auto"/>
            </w:tcBorders>
            <w:shd w:val="clear" w:color="auto" w:fill="auto"/>
            <w:noWrap/>
            <w:vAlign w:val="center"/>
          </w:tcPr>
          <w:p w:rsidR="0096462D" w:rsidRPr="00D72D9A" w:rsidRDefault="0096462D" w:rsidP="00C66F8B">
            <w:pPr>
              <w:spacing w:after="0" w:line="240" w:lineRule="auto"/>
              <w:jc w:val="center"/>
              <w:rPr>
                <w:rFonts w:ascii="Arial" w:eastAsia="Times New Roman" w:hAnsi="Arial" w:cs="Arial"/>
                <w:color w:val="000000"/>
                <w:sz w:val="16"/>
                <w:szCs w:val="16"/>
              </w:rPr>
            </w:pPr>
            <w:r w:rsidRPr="00D72D9A">
              <w:rPr>
                <w:rFonts w:ascii="Arial" w:eastAsia="Times New Roman" w:hAnsi="Arial" w:cs="Arial"/>
                <w:color w:val="000000"/>
                <w:sz w:val="16"/>
                <w:szCs w:val="16"/>
              </w:rPr>
              <w:t>9.35%</w:t>
            </w:r>
          </w:p>
        </w:tc>
      </w:tr>
      <w:tr w:rsidR="0096462D" w:rsidRPr="00D72D9A" w:rsidTr="00CD6510">
        <w:trPr>
          <w:trHeight w:val="284"/>
        </w:trPr>
        <w:tc>
          <w:tcPr>
            <w:tcW w:w="1713" w:type="dxa"/>
            <w:vMerge/>
            <w:tcBorders>
              <w:left w:val="single" w:sz="8" w:space="0" w:color="auto"/>
              <w:right w:val="single" w:sz="8" w:space="0" w:color="auto"/>
            </w:tcBorders>
            <w:vAlign w:val="center"/>
            <w:hideMark/>
          </w:tcPr>
          <w:p w:rsidR="0096462D" w:rsidRPr="001450FF" w:rsidRDefault="0096462D"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8" w:space="0" w:color="auto"/>
              <w:right w:val="single" w:sz="8" w:space="0" w:color="auto"/>
            </w:tcBorders>
            <w:shd w:val="clear" w:color="auto" w:fill="auto"/>
            <w:noWrap/>
            <w:vAlign w:val="bottom"/>
          </w:tcPr>
          <w:p w:rsidR="0096462D" w:rsidRPr="001450FF" w:rsidRDefault="0096462D" w:rsidP="00C66F8B">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Black</w:t>
            </w:r>
          </w:p>
        </w:tc>
        <w:tc>
          <w:tcPr>
            <w:tcW w:w="2689" w:type="dxa"/>
            <w:tcBorders>
              <w:top w:val="nil"/>
              <w:left w:val="nil"/>
              <w:bottom w:val="single" w:sz="8" w:space="0" w:color="auto"/>
              <w:right w:val="single" w:sz="4" w:space="0" w:color="auto"/>
            </w:tcBorders>
            <w:shd w:val="clear" w:color="auto" w:fill="auto"/>
            <w:noWrap/>
            <w:vAlign w:val="center"/>
          </w:tcPr>
          <w:p w:rsidR="0096462D" w:rsidRPr="001450FF" w:rsidRDefault="0096462D"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244,519</w:t>
            </w:r>
          </w:p>
        </w:tc>
        <w:tc>
          <w:tcPr>
            <w:tcW w:w="2690" w:type="dxa"/>
            <w:tcBorders>
              <w:top w:val="nil"/>
              <w:left w:val="nil"/>
              <w:bottom w:val="single" w:sz="8" w:space="0" w:color="auto"/>
              <w:right w:val="single" w:sz="8" w:space="0" w:color="auto"/>
            </w:tcBorders>
            <w:shd w:val="clear" w:color="auto" w:fill="auto"/>
            <w:noWrap/>
            <w:vAlign w:val="center"/>
          </w:tcPr>
          <w:p w:rsidR="0096462D" w:rsidRPr="00D72D9A" w:rsidRDefault="0096462D"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7.85%</w:t>
            </w:r>
          </w:p>
        </w:tc>
      </w:tr>
      <w:tr w:rsidR="0096462D" w:rsidRPr="00D72D9A" w:rsidTr="00CD6510">
        <w:trPr>
          <w:trHeight w:val="284"/>
        </w:trPr>
        <w:tc>
          <w:tcPr>
            <w:tcW w:w="1713" w:type="dxa"/>
            <w:vMerge/>
            <w:tcBorders>
              <w:left w:val="single" w:sz="8" w:space="0" w:color="auto"/>
              <w:right w:val="single" w:sz="8" w:space="0" w:color="auto"/>
            </w:tcBorders>
            <w:vAlign w:val="center"/>
          </w:tcPr>
          <w:p w:rsidR="0096462D" w:rsidRPr="001450FF" w:rsidRDefault="0096462D"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8" w:space="0" w:color="auto"/>
              <w:right w:val="single" w:sz="8" w:space="0" w:color="auto"/>
            </w:tcBorders>
            <w:shd w:val="clear" w:color="auto" w:fill="auto"/>
            <w:noWrap/>
            <w:vAlign w:val="bottom"/>
          </w:tcPr>
          <w:p w:rsidR="0096462D" w:rsidRDefault="0096462D" w:rsidP="00C66F8B">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Asian</w:t>
            </w:r>
          </w:p>
        </w:tc>
        <w:tc>
          <w:tcPr>
            <w:tcW w:w="2689" w:type="dxa"/>
            <w:tcBorders>
              <w:top w:val="nil"/>
              <w:left w:val="nil"/>
              <w:bottom w:val="single" w:sz="8" w:space="0" w:color="auto"/>
              <w:right w:val="single" w:sz="4" w:space="0" w:color="auto"/>
            </w:tcBorders>
            <w:shd w:val="clear" w:color="auto" w:fill="auto"/>
            <w:noWrap/>
            <w:vAlign w:val="center"/>
          </w:tcPr>
          <w:p w:rsidR="0096462D" w:rsidRPr="001450FF" w:rsidRDefault="0096462D"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73,808</w:t>
            </w:r>
          </w:p>
        </w:tc>
        <w:tc>
          <w:tcPr>
            <w:tcW w:w="2690" w:type="dxa"/>
            <w:tcBorders>
              <w:top w:val="nil"/>
              <w:left w:val="nil"/>
              <w:bottom w:val="single" w:sz="8" w:space="0" w:color="auto"/>
              <w:right w:val="single" w:sz="8" w:space="0" w:color="auto"/>
            </w:tcBorders>
            <w:shd w:val="clear" w:color="auto" w:fill="auto"/>
            <w:noWrap/>
            <w:vAlign w:val="center"/>
          </w:tcPr>
          <w:p w:rsidR="0096462D" w:rsidRPr="00D72D9A" w:rsidRDefault="0096462D"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2.37%</w:t>
            </w:r>
          </w:p>
        </w:tc>
      </w:tr>
      <w:tr w:rsidR="0096462D" w:rsidRPr="00D72D9A" w:rsidTr="00CD6510">
        <w:trPr>
          <w:trHeight w:val="284"/>
        </w:trPr>
        <w:tc>
          <w:tcPr>
            <w:tcW w:w="1713" w:type="dxa"/>
            <w:vMerge/>
            <w:tcBorders>
              <w:left w:val="single" w:sz="8" w:space="0" w:color="auto"/>
              <w:right w:val="single" w:sz="8" w:space="0" w:color="auto"/>
            </w:tcBorders>
            <w:vAlign w:val="center"/>
          </w:tcPr>
          <w:p w:rsidR="0096462D" w:rsidRPr="001450FF" w:rsidRDefault="0096462D"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8" w:space="0" w:color="auto"/>
              <w:right w:val="single" w:sz="8" w:space="0" w:color="auto"/>
            </w:tcBorders>
            <w:shd w:val="clear" w:color="auto" w:fill="auto"/>
            <w:noWrap/>
            <w:vAlign w:val="bottom"/>
          </w:tcPr>
          <w:p w:rsidR="0096462D" w:rsidRDefault="0096462D" w:rsidP="00C66F8B">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AI/AN</w:t>
            </w:r>
          </w:p>
        </w:tc>
        <w:tc>
          <w:tcPr>
            <w:tcW w:w="2689" w:type="dxa"/>
            <w:tcBorders>
              <w:top w:val="nil"/>
              <w:left w:val="nil"/>
              <w:bottom w:val="single" w:sz="8" w:space="0" w:color="auto"/>
              <w:right w:val="single" w:sz="4" w:space="0" w:color="auto"/>
            </w:tcBorders>
            <w:shd w:val="clear" w:color="auto" w:fill="auto"/>
            <w:noWrap/>
            <w:vAlign w:val="center"/>
          </w:tcPr>
          <w:p w:rsidR="0096462D" w:rsidRPr="001450FF" w:rsidRDefault="0096462D"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21,625</w:t>
            </w:r>
          </w:p>
        </w:tc>
        <w:tc>
          <w:tcPr>
            <w:tcW w:w="2690" w:type="dxa"/>
            <w:tcBorders>
              <w:top w:val="nil"/>
              <w:left w:val="nil"/>
              <w:bottom w:val="single" w:sz="8" w:space="0" w:color="auto"/>
              <w:right w:val="single" w:sz="8" w:space="0" w:color="auto"/>
            </w:tcBorders>
            <w:shd w:val="clear" w:color="auto" w:fill="auto"/>
            <w:noWrap/>
            <w:vAlign w:val="center"/>
          </w:tcPr>
          <w:p w:rsidR="0096462D" w:rsidRPr="00D72D9A" w:rsidRDefault="0096462D"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0.69%</w:t>
            </w:r>
          </w:p>
        </w:tc>
      </w:tr>
      <w:tr w:rsidR="0096462D" w:rsidRPr="00D72D9A" w:rsidTr="00CD6510">
        <w:trPr>
          <w:trHeight w:val="284"/>
        </w:trPr>
        <w:tc>
          <w:tcPr>
            <w:tcW w:w="1713" w:type="dxa"/>
            <w:vMerge/>
            <w:tcBorders>
              <w:left w:val="single" w:sz="8" w:space="0" w:color="auto"/>
              <w:right w:val="single" w:sz="8" w:space="0" w:color="auto"/>
            </w:tcBorders>
            <w:vAlign w:val="center"/>
          </w:tcPr>
          <w:p w:rsidR="0096462D" w:rsidRPr="001450FF" w:rsidRDefault="0096462D"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8" w:space="0" w:color="auto"/>
              <w:right w:val="single" w:sz="8" w:space="0" w:color="auto"/>
            </w:tcBorders>
            <w:shd w:val="clear" w:color="auto" w:fill="auto"/>
            <w:noWrap/>
            <w:vAlign w:val="bottom"/>
          </w:tcPr>
          <w:p w:rsidR="0096462D" w:rsidRDefault="0096462D" w:rsidP="00C66F8B">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NHOPI</w:t>
            </w:r>
          </w:p>
        </w:tc>
        <w:tc>
          <w:tcPr>
            <w:tcW w:w="2689" w:type="dxa"/>
            <w:tcBorders>
              <w:top w:val="nil"/>
              <w:left w:val="nil"/>
              <w:bottom w:val="single" w:sz="8" w:space="0" w:color="auto"/>
              <w:right w:val="single" w:sz="4" w:space="0" w:color="auto"/>
            </w:tcBorders>
            <w:shd w:val="clear" w:color="auto" w:fill="auto"/>
            <w:noWrap/>
            <w:vAlign w:val="center"/>
          </w:tcPr>
          <w:p w:rsidR="0096462D" w:rsidRPr="001450FF" w:rsidRDefault="0096462D"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7,540</w:t>
            </w:r>
          </w:p>
        </w:tc>
        <w:tc>
          <w:tcPr>
            <w:tcW w:w="2690" w:type="dxa"/>
            <w:tcBorders>
              <w:top w:val="nil"/>
              <w:left w:val="nil"/>
              <w:bottom w:val="single" w:sz="8" w:space="0" w:color="auto"/>
              <w:right w:val="single" w:sz="8" w:space="0" w:color="auto"/>
            </w:tcBorders>
            <w:shd w:val="clear" w:color="auto" w:fill="auto"/>
            <w:noWrap/>
            <w:vAlign w:val="center"/>
          </w:tcPr>
          <w:p w:rsidR="0096462D" w:rsidRPr="00D72D9A" w:rsidRDefault="0096462D"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0.24%</w:t>
            </w:r>
          </w:p>
        </w:tc>
      </w:tr>
      <w:tr w:rsidR="0096462D" w:rsidRPr="00D72D9A" w:rsidTr="00CD6510">
        <w:trPr>
          <w:trHeight w:val="284"/>
        </w:trPr>
        <w:tc>
          <w:tcPr>
            <w:tcW w:w="1713" w:type="dxa"/>
            <w:vMerge/>
            <w:tcBorders>
              <w:left w:val="single" w:sz="8" w:space="0" w:color="auto"/>
              <w:right w:val="single" w:sz="8" w:space="0" w:color="auto"/>
            </w:tcBorders>
            <w:shd w:val="clear" w:color="auto" w:fill="auto"/>
            <w:noWrap/>
            <w:vAlign w:val="center"/>
          </w:tcPr>
          <w:p w:rsidR="0096462D" w:rsidRPr="001450FF" w:rsidRDefault="0096462D"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4" w:space="0" w:color="auto"/>
              <w:right w:val="single" w:sz="8" w:space="0" w:color="auto"/>
            </w:tcBorders>
            <w:shd w:val="clear" w:color="auto" w:fill="auto"/>
            <w:noWrap/>
            <w:vAlign w:val="bottom"/>
          </w:tcPr>
          <w:p w:rsidR="0096462D" w:rsidRPr="001450FF" w:rsidRDefault="0096462D" w:rsidP="00C66F8B">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Multiracial</w:t>
            </w:r>
          </w:p>
        </w:tc>
        <w:tc>
          <w:tcPr>
            <w:tcW w:w="2689" w:type="dxa"/>
            <w:tcBorders>
              <w:top w:val="nil"/>
              <w:left w:val="nil"/>
              <w:bottom w:val="single" w:sz="4" w:space="0" w:color="auto"/>
              <w:right w:val="single" w:sz="4" w:space="0" w:color="auto"/>
            </w:tcBorders>
            <w:shd w:val="clear" w:color="auto" w:fill="auto"/>
            <w:noWrap/>
            <w:vAlign w:val="center"/>
          </w:tcPr>
          <w:p w:rsidR="0096462D" w:rsidRDefault="0096462D"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95,593</w:t>
            </w:r>
          </w:p>
        </w:tc>
        <w:tc>
          <w:tcPr>
            <w:tcW w:w="2690" w:type="dxa"/>
            <w:tcBorders>
              <w:top w:val="nil"/>
              <w:left w:val="nil"/>
              <w:bottom w:val="single" w:sz="4" w:space="0" w:color="auto"/>
              <w:right w:val="single" w:sz="8" w:space="0" w:color="auto"/>
            </w:tcBorders>
            <w:shd w:val="clear" w:color="auto" w:fill="auto"/>
            <w:noWrap/>
            <w:vAlign w:val="center"/>
          </w:tcPr>
          <w:p w:rsidR="0096462D" w:rsidRPr="00D72D9A" w:rsidRDefault="0096462D"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3.07%</w:t>
            </w:r>
          </w:p>
        </w:tc>
      </w:tr>
      <w:tr w:rsidR="0096462D" w:rsidRPr="00D72D9A" w:rsidTr="00CD6510">
        <w:trPr>
          <w:trHeight w:val="284"/>
        </w:trPr>
        <w:tc>
          <w:tcPr>
            <w:tcW w:w="1713" w:type="dxa"/>
            <w:vMerge/>
            <w:tcBorders>
              <w:left w:val="single" w:sz="8" w:space="0" w:color="auto"/>
              <w:bottom w:val="single" w:sz="8" w:space="0" w:color="000000"/>
              <w:right w:val="single" w:sz="8" w:space="0" w:color="auto"/>
            </w:tcBorders>
            <w:shd w:val="clear" w:color="auto" w:fill="auto"/>
            <w:noWrap/>
            <w:vAlign w:val="center"/>
          </w:tcPr>
          <w:p w:rsidR="0096462D" w:rsidRPr="001450FF" w:rsidRDefault="0096462D"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4" w:space="0" w:color="auto"/>
              <w:right w:val="single" w:sz="8" w:space="0" w:color="auto"/>
            </w:tcBorders>
            <w:shd w:val="clear" w:color="auto" w:fill="auto"/>
            <w:noWrap/>
            <w:vAlign w:val="bottom"/>
          </w:tcPr>
          <w:p w:rsidR="0096462D" w:rsidRPr="001450FF" w:rsidRDefault="0096462D" w:rsidP="00C66F8B">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Missing</w:t>
            </w:r>
          </w:p>
        </w:tc>
        <w:tc>
          <w:tcPr>
            <w:tcW w:w="2689" w:type="dxa"/>
            <w:tcBorders>
              <w:top w:val="nil"/>
              <w:left w:val="nil"/>
              <w:bottom w:val="single" w:sz="4" w:space="0" w:color="auto"/>
              <w:right w:val="single" w:sz="4" w:space="0" w:color="auto"/>
            </w:tcBorders>
            <w:shd w:val="clear" w:color="auto" w:fill="auto"/>
            <w:noWrap/>
            <w:vAlign w:val="center"/>
          </w:tcPr>
          <w:p w:rsidR="0096462D" w:rsidRDefault="0096462D"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220,828</w:t>
            </w:r>
          </w:p>
        </w:tc>
        <w:tc>
          <w:tcPr>
            <w:tcW w:w="2690" w:type="dxa"/>
            <w:tcBorders>
              <w:top w:val="nil"/>
              <w:left w:val="nil"/>
              <w:bottom w:val="single" w:sz="4" w:space="0" w:color="auto"/>
              <w:right w:val="single" w:sz="8" w:space="0" w:color="auto"/>
            </w:tcBorders>
            <w:shd w:val="clear" w:color="auto" w:fill="auto"/>
            <w:noWrap/>
            <w:vAlign w:val="center"/>
          </w:tcPr>
          <w:p w:rsidR="0096462D" w:rsidRPr="00D72D9A" w:rsidRDefault="0096462D"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7.08%</w:t>
            </w:r>
          </w:p>
        </w:tc>
      </w:tr>
      <w:tr w:rsidR="00031E63" w:rsidRPr="00D72D9A" w:rsidTr="00031E63">
        <w:trPr>
          <w:trHeight w:val="284"/>
        </w:trPr>
        <w:tc>
          <w:tcPr>
            <w:tcW w:w="171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r w:rsidRPr="001450FF">
              <w:rPr>
                <w:rFonts w:ascii="Arial" w:eastAsia="Times New Roman" w:hAnsi="Arial" w:cs="Arial"/>
                <w:b/>
                <w:bCs/>
                <w:color w:val="000000"/>
                <w:sz w:val="16"/>
                <w:szCs w:val="16"/>
              </w:rPr>
              <w:t>Education</w:t>
            </w:r>
          </w:p>
        </w:tc>
        <w:tc>
          <w:tcPr>
            <w:tcW w:w="1800" w:type="dxa"/>
            <w:tcBorders>
              <w:top w:val="nil"/>
              <w:left w:val="nil"/>
              <w:bottom w:val="single" w:sz="4" w:space="0" w:color="auto"/>
              <w:right w:val="single" w:sz="8" w:space="0" w:color="auto"/>
            </w:tcBorders>
            <w:shd w:val="clear" w:color="auto" w:fill="auto"/>
            <w:noWrap/>
            <w:vAlign w:val="bottom"/>
            <w:hideMark/>
          </w:tcPr>
          <w:p w:rsidR="00031E63" w:rsidRPr="001450FF" w:rsidRDefault="00031E63" w:rsidP="00C66F8B">
            <w:pPr>
              <w:spacing w:after="0" w:line="240" w:lineRule="auto"/>
              <w:rPr>
                <w:rFonts w:ascii="Arial" w:eastAsia="Times New Roman" w:hAnsi="Arial" w:cs="Arial"/>
                <w:color w:val="000000"/>
                <w:sz w:val="16"/>
                <w:szCs w:val="16"/>
              </w:rPr>
            </w:pPr>
            <w:r w:rsidRPr="001450FF">
              <w:rPr>
                <w:rFonts w:ascii="Arial" w:eastAsia="Times New Roman" w:hAnsi="Arial" w:cs="Arial"/>
                <w:color w:val="000000"/>
                <w:sz w:val="16"/>
                <w:szCs w:val="16"/>
              </w:rPr>
              <w:t>Less than high school</w:t>
            </w:r>
          </w:p>
        </w:tc>
        <w:tc>
          <w:tcPr>
            <w:tcW w:w="2689" w:type="dxa"/>
            <w:tcBorders>
              <w:top w:val="nil"/>
              <w:left w:val="nil"/>
              <w:bottom w:val="single" w:sz="4" w:space="0" w:color="auto"/>
              <w:right w:val="single" w:sz="4" w:space="0" w:color="auto"/>
            </w:tcBorders>
            <w:shd w:val="clear" w:color="auto" w:fill="auto"/>
            <w:noWrap/>
            <w:vAlign w:val="center"/>
          </w:tcPr>
          <w:p w:rsidR="00031E63" w:rsidRPr="001450FF" w:rsidRDefault="00031E63"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370,359</w:t>
            </w:r>
          </w:p>
        </w:tc>
        <w:tc>
          <w:tcPr>
            <w:tcW w:w="2690" w:type="dxa"/>
            <w:tcBorders>
              <w:top w:val="nil"/>
              <w:left w:val="nil"/>
              <w:bottom w:val="single" w:sz="4" w:space="0" w:color="auto"/>
              <w:right w:val="single" w:sz="8" w:space="0" w:color="auto"/>
            </w:tcBorders>
            <w:shd w:val="clear" w:color="auto" w:fill="auto"/>
            <w:noWrap/>
            <w:vAlign w:val="center"/>
          </w:tcPr>
          <w:p w:rsidR="00031E63" w:rsidRPr="00D72D9A" w:rsidRDefault="00031E63" w:rsidP="00C66F8B">
            <w:pPr>
              <w:spacing w:after="0" w:line="240" w:lineRule="auto"/>
              <w:jc w:val="center"/>
              <w:rPr>
                <w:rFonts w:ascii="Arial" w:eastAsia="Times New Roman" w:hAnsi="Arial" w:cs="Arial"/>
                <w:color w:val="000000"/>
                <w:sz w:val="16"/>
                <w:szCs w:val="16"/>
              </w:rPr>
            </w:pPr>
            <w:r w:rsidRPr="00D72D9A">
              <w:rPr>
                <w:rFonts w:ascii="Arial" w:eastAsia="Times New Roman" w:hAnsi="Arial" w:cs="Arial"/>
                <w:color w:val="000000"/>
                <w:sz w:val="16"/>
                <w:szCs w:val="16"/>
              </w:rPr>
              <w:t>11.88%</w:t>
            </w:r>
          </w:p>
        </w:tc>
      </w:tr>
      <w:tr w:rsidR="00031E63" w:rsidRPr="00D72D9A" w:rsidTr="00031E63">
        <w:trPr>
          <w:trHeight w:val="284"/>
        </w:trPr>
        <w:tc>
          <w:tcPr>
            <w:tcW w:w="1713" w:type="dxa"/>
            <w:vMerge/>
            <w:tcBorders>
              <w:top w:val="nil"/>
              <w:left w:val="single" w:sz="8" w:space="0" w:color="auto"/>
              <w:bottom w:val="single" w:sz="8" w:space="0" w:color="000000"/>
              <w:right w:val="single" w:sz="8" w:space="0" w:color="auto"/>
            </w:tcBorders>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4" w:space="0" w:color="auto"/>
              <w:right w:val="single" w:sz="8" w:space="0" w:color="auto"/>
            </w:tcBorders>
            <w:shd w:val="clear" w:color="auto" w:fill="auto"/>
            <w:noWrap/>
            <w:vAlign w:val="bottom"/>
            <w:hideMark/>
          </w:tcPr>
          <w:p w:rsidR="00031E63" w:rsidRPr="001450FF" w:rsidRDefault="00031E63" w:rsidP="00C66F8B">
            <w:pPr>
              <w:spacing w:after="0" w:line="240" w:lineRule="auto"/>
              <w:rPr>
                <w:rFonts w:ascii="Arial" w:eastAsia="Times New Roman" w:hAnsi="Arial" w:cs="Arial"/>
                <w:color w:val="000000"/>
                <w:sz w:val="16"/>
                <w:szCs w:val="16"/>
              </w:rPr>
            </w:pPr>
            <w:r w:rsidRPr="001450FF">
              <w:rPr>
                <w:rFonts w:ascii="Arial" w:eastAsia="Times New Roman" w:hAnsi="Arial" w:cs="Arial"/>
                <w:color w:val="000000"/>
                <w:sz w:val="16"/>
                <w:szCs w:val="16"/>
              </w:rPr>
              <w:t>High school graduate</w:t>
            </w:r>
          </w:p>
        </w:tc>
        <w:tc>
          <w:tcPr>
            <w:tcW w:w="2689" w:type="dxa"/>
            <w:tcBorders>
              <w:top w:val="nil"/>
              <w:left w:val="nil"/>
              <w:bottom w:val="single" w:sz="4" w:space="0" w:color="auto"/>
              <w:right w:val="single" w:sz="4" w:space="0" w:color="auto"/>
            </w:tcBorders>
            <w:shd w:val="clear" w:color="auto" w:fill="auto"/>
            <w:noWrap/>
            <w:vAlign w:val="center"/>
          </w:tcPr>
          <w:p w:rsidR="00031E63" w:rsidRPr="001450FF" w:rsidRDefault="00031E63"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894,349</w:t>
            </w:r>
          </w:p>
        </w:tc>
        <w:tc>
          <w:tcPr>
            <w:tcW w:w="2690" w:type="dxa"/>
            <w:tcBorders>
              <w:top w:val="nil"/>
              <w:left w:val="nil"/>
              <w:bottom w:val="single" w:sz="4" w:space="0" w:color="auto"/>
              <w:right w:val="single" w:sz="8" w:space="0" w:color="auto"/>
            </w:tcBorders>
            <w:shd w:val="clear" w:color="auto" w:fill="auto"/>
            <w:noWrap/>
            <w:vAlign w:val="center"/>
          </w:tcPr>
          <w:p w:rsidR="00031E63" w:rsidRPr="00D72D9A" w:rsidRDefault="00031E63" w:rsidP="00C66F8B">
            <w:pPr>
              <w:spacing w:after="0" w:line="240" w:lineRule="auto"/>
              <w:jc w:val="center"/>
              <w:rPr>
                <w:rFonts w:ascii="Arial" w:eastAsia="Times New Roman" w:hAnsi="Arial" w:cs="Arial"/>
                <w:color w:val="000000"/>
                <w:sz w:val="16"/>
                <w:szCs w:val="16"/>
              </w:rPr>
            </w:pPr>
            <w:r w:rsidRPr="00D72D9A">
              <w:rPr>
                <w:rFonts w:ascii="Arial" w:eastAsia="Times New Roman" w:hAnsi="Arial" w:cs="Arial"/>
                <w:color w:val="000000"/>
                <w:sz w:val="16"/>
                <w:szCs w:val="16"/>
              </w:rPr>
              <w:t>28.69%</w:t>
            </w:r>
          </w:p>
        </w:tc>
      </w:tr>
      <w:tr w:rsidR="00031E63" w:rsidRPr="00D72D9A" w:rsidTr="00031E63">
        <w:trPr>
          <w:trHeight w:val="284"/>
        </w:trPr>
        <w:tc>
          <w:tcPr>
            <w:tcW w:w="1713" w:type="dxa"/>
            <w:vMerge/>
            <w:tcBorders>
              <w:top w:val="nil"/>
              <w:left w:val="single" w:sz="8" w:space="0" w:color="auto"/>
              <w:bottom w:val="single" w:sz="8" w:space="0" w:color="000000"/>
              <w:right w:val="single" w:sz="8" w:space="0" w:color="auto"/>
            </w:tcBorders>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4" w:space="0" w:color="auto"/>
              <w:right w:val="single" w:sz="8" w:space="0" w:color="auto"/>
            </w:tcBorders>
            <w:shd w:val="clear" w:color="auto" w:fill="auto"/>
            <w:noWrap/>
            <w:vAlign w:val="bottom"/>
            <w:hideMark/>
          </w:tcPr>
          <w:p w:rsidR="00031E63" w:rsidRPr="001450FF" w:rsidRDefault="00031E63" w:rsidP="00C66F8B">
            <w:pPr>
              <w:spacing w:after="0" w:line="240" w:lineRule="auto"/>
              <w:rPr>
                <w:rFonts w:ascii="Arial" w:eastAsia="Times New Roman" w:hAnsi="Arial" w:cs="Arial"/>
                <w:color w:val="000000"/>
                <w:sz w:val="16"/>
                <w:szCs w:val="16"/>
              </w:rPr>
            </w:pPr>
            <w:r w:rsidRPr="001450FF">
              <w:rPr>
                <w:rFonts w:ascii="Arial" w:eastAsia="Times New Roman" w:hAnsi="Arial" w:cs="Arial"/>
                <w:color w:val="000000"/>
                <w:sz w:val="16"/>
                <w:szCs w:val="16"/>
              </w:rPr>
              <w:t>At least some college</w:t>
            </w:r>
          </w:p>
        </w:tc>
        <w:tc>
          <w:tcPr>
            <w:tcW w:w="2689" w:type="dxa"/>
            <w:tcBorders>
              <w:top w:val="nil"/>
              <w:left w:val="nil"/>
              <w:bottom w:val="single" w:sz="4" w:space="0" w:color="auto"/>
              <w:right w:val="single" w:sz="4" w:space="0" w:color="auto"/>
            </w:tcBorders>
            <w:shd w:val="clear" w:color="auto" w:fill="auto"/>
            <w:noWrap/>
            <w:vAlign w:val="center"/>
          </w:tcPr>
          <w:p w:rsidR="00031E63" w:rsidRPr="001450FF" w:rsidRDefault="00031E63"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1,647,872</w:t>
            </w:r>
          </w:p>
        </w:tc>
        <w:tc>
          <w:tcPr>
            <w:tcW w:w="2690" w:type="dxa"/>
            <w:tcBorders>
              <w:top w:val="nil"/>
              <w:left w:val="nil"/>
              <w:bottom w:val="single" w:sz="4" w:space="0" w:color="auto"/>
              <w:right w:val="single" w:sz="8" w:space="0" w:color="auto"/>
            </w:tcBorders>
            <w:shd w:val="clear" w:color="auto" w:fill="auto"/>
            <w:noWrap/>
            <w:vAlign w:val="center"/>
          </w:tcPr>
          <w:p w:rsidR="00031E63" w:rsidRPr="00D72D9A" w:rsidRDefault="00031E63" w:rsidP="00C66F8B">
            <w:pPr>
              <w:spacing w:after="0" w:line="240" w:lineRule="auto"/>
              <w:jc w:val="center"/>
              <w:rPr>
                <w:rFonts w:ascii="Arial" w:eastAsia="Times New Roman" w:hAnsi="Arial" w:cs="Arial"/>
                <w:color w:val="000000"/>
                <w:sz w:val="16"/>
                <w:szCs w:val="16"/>
              </w:rPr>
            </w:pPr>
            <w:r w:rsidRPr="00D72D9A">
              <w:rPr>
                <w:rFonts w:ascii="Arial" w:eastAsia="Times New Roman" w:hAnsi="Arial" w:cs="Arial"/>
                <w:color w:val="000000"/>
                <w:sz w:val="16"/>
                <w:szCs w:val="16"/>
              </w:rPr>
              <w:t>52.87%</w:t>
            </w:r>
          </w:p>
        </w:tc>
      </w:tr>
      <w:tr w:rsidR="00031E63" w:rsidRPr="00D72D9A" w:rsidTr="00031E63">
        <w:trPr>
          <w:trHeight w:val="284"/>
        </w:trPr>
        <w:tc>
          <w:tcPr>
            <w:tcW w:w="1713" w:type="dxa"/>
            <w:vMerge/>
            <w:tcBorders>
              <w:top w:val="nil"/>
              <w:left w:val="single" w:sz="8" w:space="0" w:color="auto"/>
              <w:bottom w:val="single" w:sz="8" w:space="0" w:color="000000"/>
              <w:right w:val="single" w:sz="8" w:space="0" w:color="auto"/>
            </w:tcBorders>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8" w:space="0" w:color="auto"/>
              <w:right w:val="single" w:sz="8" w:space="0" w:color="auto"/>
            </w:tcBorders>
            <w:shd w:val="clear" w:color="auto" w:fill="auto"/>
            <w:noWrap/>
            <w:vAlign w:val="bottom"/>
            <w:hideMark/>
          </w:tcPr>
          <w:p w:rsidR="00031E63" w:rsidRPr="001450FF" w:rsidRDefault="00031E63" w:rsidP="00C66F8B">
            <w:pPr>
              <w:spacing w:after="0" w:line="240" w:lineRule="auto"/>
              <w:rPr>
                <w:rFonts w:ascii="Arial" w:eastAsia="Times New Roman" w:hAnsi="Arial" w:cs="Arial"/>
                <w:color w:val="000000"/>
                <w:sz w:val="16"/>
                <w:szCs w:val="16"/>
              </w:rPr>
            </w:pPr>
            <w:r w:rsidRPr="001450FF">
              <w:rPr>
                <w:rFonts w:ascii="Arial" w:eastAsia="Times New Roman" w:hAnsi="Arial" w:cs="Arial"/>
                <w:color w:val="000000"/>
                <w:sz w:val="16"/>
                <w:szCs w:val="16"/>
              </w:rPr>
              <w:t>Missing</w:t>
            </w:r>
          </w:p>
        </w:tc>
        <w:tc>
          <w:tcPr>
            <w:tcW w:w="2689" w:type="dxa"/>
            <w:tcBorders>
              <w:top w:val="nil"/>
              <w:left w:val="nil"/>
              <w:bottom w:val="single" w:sz="8" w:space="0" w:color="auto"/>
              <w:right w:val="single" w:sz="4" w:space="0" w:color="auto"/>
            </w:tcBorders>
            <w:shd w:val="clear" w:color="auto" w:fill="auto"/>
            <w:noWrap/>
            <w:vAlign w:val="center"/>
          </w:tcPr>
          <w:p w:rsidR="00031E63" w:rsidRPr="001450FF" w:rsidRDefault="00031E63"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204,283</w:t>
            </w:r>
          </w:p>
        </w:tc>
        <w:tc>
          <w:tcPr>
            <w:tcW w:w="2690" w:type="dxa"/>
            <w:tcBorders>
              <w:top w:val="nil"/>
              <w:left w:val="nil"/>
              <w:bottom w:val="single" w:sz="8" w:space="0" w:color="auto"/>
              <w:right w:val="single" w:sz="8" w:space="0" w:color="auto"/>
            </w:tcBorders>
            <w:shd w:val="clear" w:color="auto" w:fill="auto"/>
            <w:noWrap/>
            <w:vAlign w:val="center"/>
          </w:tcPr>
          <w:p w:rsidR="00031E63" w:rsidRPr="00D72D9A" w:rsidRDefault="00031E63" w:rsidP="00C66F8B">
            <w:pPr>
              <w:spacing w:after="0" w:line="240" w:lineRule="auto"/>
              <w:jc w:val="center"/>
              <w:rPr>
                <w:rFonts w:ascii="Arial" w:eastAsia="Times New Roman" w:hAnsi="Arial" w:cs="Arial"/>
                <w:color w:val="000000"/>
                <w:sz w:val="16"/>
                <w:szCs w:val="16"/>
              </w:rPr>
            </w:pPr>
            <w:r w:rsidRPr="00D72D9A">
              <w:rPr>
                <w:rFonts w:ascii="Arial" w:eastAsia="Times New Roman" w:hAnsi="Arial" w:cs="Arial"/>
                <w:color w:val="000000"/>
                <w:sz w:val="16"/>
                <w:szCs w:val="16"/>
              </w:rPr>
              <w:t>6.55%</w:t>
            </w:r>
          </w:p>
        </w:tc>
      </w:tr>
      <w:tr w:rsidR="00031E63" w:rsidRPr="00D72D9A" w:rsidTr="00031E63">
        <w:trPr>
          <w:trHeight w:val="284"/>
        </w:trPr>
        <w:tc>
          <w:tcPr>
            <w:tcW w:w="171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r w:rsidRPr="001450FF">
              <w:rPr>
                <w:rFonts w:ascii="Arial" w:eastAsia="Times New Roman" w:hAnsi="Arial" w:cs="Arial"/>
                <w:b/>
                <w:bCs/>
                <w:color w:val="000000"/>
                <w:sz w:val="16"/>
                <w:szCs w:val="16"/>
              </w:rPr>
              <w:t>Language at home</w:t>
            </w:r>
          </w:p>
        </w:tc>
        <w:tc>
          <w:tcPr>
            <w:tcW w:w="1800" w:type="dxa"/>
            <w:tcBorders>
              <w:top w:val="nil"/>
              <w:left w:val="nil"/>
              <w:bottom w:val="single" w:sz="4" w:space="0" w:color="auto"/>
              <w:right w:val="single" w:sz="8" w:space="0" w:color="auto"/>
            </w:tcBorders>
            <w:shd w:val="clear" w:color="auto" w:fill="auto"/>
            <w:noWrap/>
            <w:vAlign w:val="bottom"/>
            <w:hideMark/>
          </w:tcPr>
          <w:p w:rsidR="00031E63" w:rsidRPr="001450FF" w:rsidRDefault="00031E63" w:rsidP="00C66F8B">
            <w:pPr>
              <w:spacing w:after="0" w:line="240" w:lineRule="auto"/>
              <w:rPr>
                <w:rFonts w:ascii="Arial" w:eastAsia="Times New Roman" w:hAnsi="Arial" w:cs="Arial"/>
                <w:color w:val="000000"/>
                <w:sz w:val="16"/>
                <w:szCs w:val="16"/>
              </w:rPr>
            </w:pPr>
            <w:r w:rsidRPr="001450FF">
              <w:rPr>
                <w:rFonts w:ascii="Arial" w:eastAsia="Times New Roman" w:hAnsi="Arial" w:cs="Arial"/>
                <w:color w:val="000000"/>
                <w:sz w:val="16"/>
                <w:szCs w:val="16"/>
              </w:rPr>
              <w:t>English</w:t>
            </w:r>
          </w:p>
        </w:tc>
        <w:tc>
          <w:tcPr>
            <w:tcW w:w="2689" w:type="dxa"/>
            <w:tcBorders>
              <w:top w:val="nil"/>
              <w:left w:val="nil"/>
              <w:bottom w:val="single" w:sz="4" w:space="0" w:color="auto"/>
              <w:right w:val="single" w:sz="4" w:space="0" w:color="auto"/>
            </w:tcBorders>
            <w:shd w:val="clear" w:color="auto" w:fill="auto"/>
            <w:noWrap/>
            <w:vAlign w:val="center"/>
          </w:tcPr>
          <w:p w:rsidR="00031E63" w:rsidRPr="001450FF" w:rsidRDefault="00031E63" w:rsidP="00C66F8B">
            <w:pPr>
              <w:spacing w:after="0" w:line="240" w:lineRule="auto"/>
              <w:jc w:val="center"/>
              <w:rPr>
                <w:rFonts w:ascii="Arial" w:eastAsia="Times New Roman" w:hAnsi="Arial" w:cs="Arial"/>
                <w:color w:val="000000"/>
                <w:sz w:val="16"/>
                <w:szCs w:val="16"/>
              </w:rPr>
            </w:pPr>
            <w:r w:rsidRPr="001450FF">
              <w:rPr>
                <w:rFonts w:ascii="Arial" w:eastAsia="Times New Roman" w:hAnsi="Arial" w:cs="Arial"/>
                <w:color w:val="000000"/>
                <w:sz w:val="16"/>
                <w:szCs w:val="16"/>
              </w:rPr>
              <w:t>2</w:t>
            </w:r>
            <w:r>
              <w:rPr>
                <w:rFonts w:ascii="Arial" w:eastAsia="Times New Roman" w:hAnsi="Arial" w:cs="Arial"/>
                <w:color w:val="000000"/>
                <w:sz w:val="16"/>
                <w:szCs w:val="16"/>
              </w:rPr>
              <w:t>,676,451</w:t>
            </w:r>
          </w:p>
        </w:tc>
        <w:tc>
          <w:tcPr>
            <w:tcW w:w="2690" w:type="dxa"/>
            <w:tcBorders>
              <w:top w:val="nil"/>
              <w:left w:val="nil"/>
              <w:bottom w:val="single" w:sz="4" w:space="0" w:color="auto"/>
              <w:right w:val="single" w:sz="8" w:space="0" w:color="auto"/>
            </w:tcBorders>
            <w:shd w:val="clear" w:color="auto" w:fill="auto"/>
            <w:noWrap/>
            <w:vAlign w:val="center"/>
          </w:tcPr>
          <w:p w:rsidR="00031E63" w:rsidRPr="00D72D9A" w:rsidRDefault="00031E63" w:rsidP="00C66F8B">
            <w:pPr>
              <w:spacing w:after="0" w:line="240" w:lineRule="auto"/>
              <w:jc w:val="center"/>
              <w:rPr>
                <w:rFonts w:ascii="Arial" w:eastAsia="Times New Roman" w:hAnsi="Arial" w:cs="Arial"/>
                <w:color w:val="000000"/>
                <w:sz w:val="16"/>
                <w:szCs w:val="16"/>
              </w:rPr>
            </w:pPr>
            <w:r w:rsidRPr="00D72D9A">
              <w:rPr>
                <w:rFonts w:ascii="Arial" w:eastAsia="Times New Roman" w:hAnsi="Arial" w:cs="Arial"/>
                <w:color w:val="000000"/>
                <w:sz w:val="16"/>
                <w:szCs w:val="16"/>
              </w:rPr>
              <w:t>85.87%</w:t>
            </w:r>
          </w:p>
        </w:tc>
      </w:tr>
      <w:tr w:rsidR="00031E63" w:rsidRPr="00D72D9A" w:rsidTr="00031E63">
        <w:trPr>
          <w:trHeight w:val="284"/>
        </w:trPr>
        <w:tc>
          <w:tcPr>
            <w:tcW w:w="1713" w:type="dxa"/>
            <w:vMerge/>
            <w:tcBorders>
              <w:top w:val="nil"/>
              <w:left w:val="single" w:sz="8" w:space="0" w:color="auto"/>
              <w:bottom w:val="single" w:sz="8" w:space="0" w:color="000000"/>
              <w:right w:val="single" w:sz="8" w:space="0" w:color="auto"/>
            </w:tcBorders>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4" w:space="0" w:color="auto"/>
              <w:right w:val="single" w:sz="8" w:space="0" w:color="auto"/>
            </w:tcBorders>
            <w:shd w:val="clear" w:color="auto" w:fill="auto"/>
            <w:noWrap/>
            <w:vAlign w:val="bottom"/>
            <w:hideMark/>
          </w:tcPr>
          <w:p w:rsidR="00031E63" w:rsidRPr="001450FF" w:rsidRDefault="00031E63" w:rsidP="00C66F8B">
            <w:pPr>
              <w:spacing w:after="0" w:line="240" w:lineRule="auto"/>
              <w:rPr>
                <w:rFonts w:ascii="Arial" w:eastAsia="Times New Roman" w:hAnsi="Arial" w:cs="Arial"/>
                <w:color w:val="000000"/>
                <w:sz w:val="16"/>
                <w:szCs w:val="16"/>
              </w:rPr>
            </w:pPr>
            <w:r w:rsidRPr="001450FF">
              <w:rPr>
                <w:rFonts w:ascii="Arial" w:eastAsia="Times New Roman" w:hAnsi="Arial" w:cs="Arial"/>
                <w:color w:val="000000"/>
                <w:sz w:val="16"/>
                <w:szCs w:val="16"/>
              </w:rPr>
              <w:t>Spanish</w:t>
            </w:r>
          </w:p>
        </w:tc>
        <w:tc>
          <w:tcPr>
            <w:tcW w:w="2689" w:type="dxa"/>
            <w:tcBorders>
              <w:top w:val="nil"/>
              <w:left w:val="nil"/>
              <w:bottom w:val="single" w:sz="4" w:space="0" w:color="auto"/>
              <w:right w:val="single" w:sz="4" w:space="0" w:color="auto"/>
            </w:tcBorders>
            <w:shd w:val="clear" w:color="auto" w:fill="auto"/>
            <w:noWrap/>
            <w:vAlign w:val="center"/>
          </w:tcPr>
          <w:p w:rsidR="00031E63" w:rsidRPr="001450FF" w:rsidRDefault="00031E63"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140,753</w:t>
            </w:r>
          </w:p>
        </w:tc>
        <w:tc>
          <w:tcPr>
            <w:tcW w:w="2690" w:type="dxa"/>
            <w:tcBorders>
              <w:top w:val="nil"/>
              <w:left w:val="nil"/>
              <w:bottom w:val="single" w:sz="4" w:space="0" w:color="auto"/>
              <w:right w:val="single" w:sz="8" w:space="0" w:color="auto"/>
            </w:tcBorders>
            <w:shd w:val="clear" w:color="auto" w:fill="auto"/>
            <w:noWrap/>
            <w:vAlign w:val="center"/>
          </w:tcPr>
          <w:p w:rsidR="00031E63" w:rsidRPr="00D72D9A" w:rsidRDefault="00031E63" w:rsidP="00C66F8B">
            <w:pPr>
              <w:spacing w:after="0" w:line="240" w:lineRule="auto"/>
              <w:jc w:val="center"/>
              <w:rPr>
                <w:rFonts w:ascii="Arial" w:eastAsia="Times New Roman" w:hAnsi="Arial" w:cs="Arial"/>
                <w:color w:val="000000"/>
                <w:sz w:val="16"/>
                <w:szCs w:val="16"/>
              </w:rPr>
            </w:pPr>
            <w:r w:rsidRPr="00D72D9A">
              <w:rPr>
                <w:rFonts w:ascii="Arial" w:eastAsia="Times New Roman" w:hAnsi="Arial" w:cs="Arial"/>
                <w:color w:val="000000"/>
                <w:sz w:val="16"/>
                <w:szCs w:val="16"/>
              </w:rPr>
              <w:t>4.52%</w:t>
            </w:r>
          </w:p>
        </w:tc>
      </w:tr>
      <w:tr w:rsidR="00031E63" w:rsidRPr="00D72D9A" w:rsidTr="00031E63">
        <w:trPr>
          <w:trHeight w:val="284"/>
        </w:trPr>
        <w:tc>
          <w:tcPr>
            <w:tcW w:w="1713" w:type="dxa"/>
            <w:vMerge/>
            <w:tcBorders>
              <w:top w:val="nil"/>
              <w:left w:val="single" w:sz="8" w:space="0" w:color="auto"/>
              <w:bottom w:val="single" w:sz="8" w:space="0" w:color="000000"/>
              <w:right w:val="single" w:sz="8" w:space="0" w:color="auto"/>
            </w:tcBorders>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4" w:space="0" w:color="auto"/>
              <w:right w:val="single" w:sz="8" w:space="0" w:color="auto"/>
            </w:tcBorders>
            <w:shd w:val="clear" w:color="auto" w:fill="auto"/>
            <w:noWrap/>
            <w:vAlign w:val="bottom"/>
            <w:hideMark/>
          </w:tcPr>
          <w:p w:rsidR="00031E63" w:rsidRPr="001450FF" w:rsidRDefault="00031E63" w:rsidP="00C66F8B">
            <w:pPr>
              <w:spacing w:after="0" w:line="240" w:lineRule="auto"/>
              <w:rPr>
                <w:rFonts w:ascii="Arial" w:eastAsia="Times New Roman" w:hAnsi="Arial" w:cs="Arial"/>
                <w:color w:val="000000"/>
                <w:sz w:val="16"/>
                <w:szCs w:val="16"/>
              </w:rPr>
            </w:pPr>
            <w:r w:rsidRPr="001450FF">
              <w:rPr>
                <w:rFonts w:ascii="Arial" w:eastAsia="Times New Roman" w:hAnsi="Arial" w:cs="Arial"/>
                <w:color w:val="000000"/>
                <w:sz w:val="16"/>
                <w:szCs w:val="16"/>
              </w:rPr>
              <w:t>Chinese</w:t>
            </w:r>
          </w:p>
        </w:tc>
        <w:tc>
          <w:tcPr>
            <w:tcW w:w="2689" w:type="dxa"/>
            <w:tcBorders>
              <w:top w:val="nil"/>
              <w:left w:val="nil"/>
              <w:bottom w:val="single" w:sz="4" w:space="0" w:color="auto"/>
              <w:right w:val="single" w:sz="4" w:space="0" w:color="auto"/>
            </w:tcBorders>
            <w:shd w:val="clear" w:color="auto" w:fill="auto"/>
            <w:noWrap/>
            <w:vAlign w:val="center"/>
          </w:tcPr>
          <w:p w:rsidR="00031E63" w:rsidRPr="001450FF" w:rsidRDefault="00031E63"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10,091</w:t>
            </w:r>
          </w:p>
        </w:tc>
        <w:tc>
          <w:tcPr>
            <w:tcW w:w="2690" w:type="dxa"/>
            <w:tcBorders>
              <w:top w:val="nil"/>
              <w:left w:val="nil"/>
              <w:bottom w:val="single" w:sz="4" w:space="0" w:color="auto"/>
              <w:right w:val="single" w:sz="8" w:space="0" w:color="auto"/>
            </w:tcBorders>
            <w:shd w:val="clear" w:color="auto" w:fill="auto"/>
            <w:noWrap/>
            <w:vAlign w:val="center"/>
          </w:tcPr>
          <w:p w:rsidR="00031E63" w:rsidRPr="00D72D9A" w:rsidRDefault="00031E63" w:rsidP="00C66F8B">
            <w:pPr>
              <w:spacing w:after="0" w:line="240" w:lineRule="auto"/>
              <w:jc w:val="center"/>
              <w:rPr>
                <w:rFonts w:ascii="Arial" w:eastAsia="Times New Roman" w:hAnsi="Arial" w:cs="Arial"/>
                <w:color w:val="000000"/>
                <w:sz w:val="16"/>
                <w:szCs w:val="16"/>
              </w:rPr>
            </w:pPr>
            <w:r w:rsidRPr="00D72D9A">
              <w:rPr>
                <w:rFonts w:ascii="Arial" w:eastAsia="Times New Roman" w:hAnsi="Arial" w:cs="Arial"/>
                <w:color w:val="000000"/>
                <w:sz w:val="16"/>
                <w:szCs w:val="16"/>
              </w:rPr>
              <w:t>0.32%</w:t>
            </w:r>
          </w:p>
        </w:tc>
      </w:tr>
      <w:tr w:rsidR="00031E63" w:rsidRPr="00D72D9A" w:rsidTr="00031E63">
        <w:trPr>
          <w:trHeight w:val="284"/>
        </w:trPr>
        <w:tc>
          <w:tcPr>
            <w:tcW w:w="1713" w:type="dxa"/>
            <w:vMerge/>
            <w:tcBorders>
              <w:top w:val="nil"/>
              <w:left w:val="single" w:sz="8" w:space="0" w:color="auto"/>
              <w:bottom w:val="single" w:sz="8" w:space="0" w:color="000000"/>
              <w:right w:val="single" w:sz="8" w:space="0" w:color="auto"/>
            </w:tcBorders>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4" w:space="0" w:color="auto"/>
              <w:right w:val="single" w:sz="8" w:space="0" w:color="auto"/>
            </w:tcBorders>
            <w:shd w:val="clear" w:color="auto" w:fill="auto"/>
            <w:noWrap/>
            <w:vAlign w:val="bottom"/>
            <w:hideMark/>
          </w:tcPr>
          <w:p w:rsidR="00031E63" w:rsidRPr="001450FF" w:rsidRDefault="00031E63" w:rsidP="00C66F8B">
            <w:pPr>
              <w:spacing w:after="0" w:line="240" w:lineRule="auto"/>
              <w:rPr>
                <w:rFonts w:ascii="Arial" w:eastAsia="Times New Roman" w:hAnsi="Arial" w:cs="Arial"/>
                <w:color w:val="000000"/>
                <w:sz w:val="16"/>
                <w:szCs w:val="16"/>
              </w:rPr>
            </w:pPr>
            <w:r w:rsidRPr="001450FF">
              <w:rPr>
                <w:rFonts w:ascii="Arial" w:eastAsia="Times New Roman" w:hAnsi="Arial" w:cs="Arial"/>
                <w:color w:val="000000"/>
                <w:sz w:val="16"/>
                <w:szCs w:val="16"/>
              </w:rPr>
              <w:t>Russian</w:t>
            </w:r>
          </w:p>
        </w:tc>
        <w:tc>
          <w:tcPr>
            <w:tcW w:w="2689" w:type="dxa"/>
            <w:tcBorders>
              <w:top w:val="nil"/>
              <w:left w:val="nil"/>
              <w:bottom w:val="single" w:sz="4" w:space="0" w:color="auto"/>
              <w:right w:val="single" w:sz="4" w:space="0" w:color="auto"/>
            </w:tcBorders>
            <w:shd w:val="clear" w:color="auto" w:fill="auto"/>
            <w:noWrap/>
            <w:vAlign w:val="center"/>
          </w:tcPr>
          <w:p w:rsidR="00031E63" w:rsidRPr="001450FF" w:rsidRDefault="00031E63" w:rsidP="00C66F8B">
            <w:pPr>
              <w:spacing w:after="0" w:line="240" w:lineRule="auto"/>
              <w:jc w:val="center"/>
              <w:rPr>
                <w:rFonts w:ascii="Arial" w:eastAsia="Times New Roman" w:hAnsi="Arial" w:cs="Arial"/>
                <w:color w:val="000000"/>
                <w:sz w:val="16"/>
                <w:szCs w:val="16"/>
              </w:rPr>
            </w:pPr>
            <w:r w:rsidRPr="001450FF">
              <w:rPr>
                <w:rFonts w:ascii="Arial" w:eastAsia="Times New Roman" w:hAnsi="Arial" w:cs="Arial"/>
                <w:color w:val="000000"/>
                <w:sz w:val="16"/>
                <w:szCs w:val="16"/>
              </w:rPr>
              <w:t>4,8</w:t>
            </w:r>
            <w:r>
              <w:rPr>
                <w:rFonts w:ascii="Arial" w:eastAsia="Times New Roman" w:hAnsi="Arial" w:cs="Arial"/>
                <w:color w:val="000000"/>
                <w:sz w:val="16"/>
                <w:szCs w:val="16"/>
              </w:rPr>
              <w:t>98</w:t>
            </w:r>
          </w:p>
        </w:tc>
        <w:tc>
          <w:tcPr>
            <w:tcW w:w="2690" w:type="dxa"/>
            <w:tcBorders>
              <w:top w:val="nil"/>
              <w:left w:val="nil"/>
              <w:bottom w:val="single" w:sz="4" w:space="0" w:color="auto"/>
              <w:right w:val="single" w:sz="8" w:space="0" w:color="auto"/>
            </w:tcBorders>
            <w:shd w:val="clear" w:color="auto" w:fill="auto"/>
            <w:noWrap/>
            <w:vAlign w:val="center"/>
          </w:tcPr>
          <w:p w:rsidR="00031E63" w:rsidRPr="00D72D9A" w:rsidRDefault="00031E63" w:rsidP="00C66F8B">
            <w:pPr>
              <w:spacing w:after="0" w:line="240" w:lineRule="auto"/>
              <w:jc w:val="center"/>
              <w:rPr>
                <w:rFonts w:ascii="Arial" w:eastAsia="Times New Roman" w:hAnsi="Arial" w:cs="Arial"/>
                <w:color w:val="000000"/>
                <w:sz w:val="16"/>
                <w:szCs w:val="16"/>
              </w:rPr>
            </w:pPr>
            <w:r w:rsidRPr="00D72D9A">
              <w:rPr>
                <w:rFonts w:ascii="Arial" w:eastAsia="Times New Roman" w:hAnsi="Arial" w:cs="Arial"/>
                <w:color w:val="000000"/>
                <w:sz w:val="16"/>
                <w:szCs w:val="16"/>
              </w:rPr>
              <w:t>0.16%</w:t>
            </w:r>
          </w:p>
        </w:tc>
      </w:tr>
      <w:tr w:rsidR="00031E63" w:rsidRPr="00D72D9A" w:rsidTr="00031E63">
        <w:trPr>
          <w:trHeight w:val="284"/>
        </w:trPr>
        <w:tc>
          <w:tcPr>
            <w:tcW w:w="1713" w:type="dxa"/>
            <w:vMerge/>
            <w:tcBorders>
              <w:top w:val="nil"/>
              <w:left w:val="single" w:sz="8" w:space="0" w:color="auto"/>
              <w:bottom w:val="single" w:sz="8" w:space="0" w:color="000000"/>
              <w:right w:val="single" w:sz="8" w:space="0" w:color="auto"/>
            </w:tcBorders>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4" w:space="0" w:color="auto"/>
              <w:right w:val="single" w:sz="8" w:space="0" w:color="auto"/>
            </w:tcBorders>
            <w:shd w:val="clear" w:color="auto" w:fill="auto"/>
            <w:noWrap/>
            <w:vAlign w:val="bottom"/>
            <w:hideMark/>
          </w:tcPr>
          <w:p w:rsidR="00031E63" w:rsidRPr="001450FF" w:rsidRDefault="00031E63" w:rsidP="00C66F8B">
            <w:pPr>
              <w:spacing w:after="0" w:line="240" w:lineRule="auto"/>
              <w:rPr>
                <w:rFonts w:ascii="Arial" w:eastAsia="Times New Roman" w:hAnsi="Arial" w:cs="Arial"/>
                <w:color w:val="000000"/>
                <w:sz w:val="16"/>
                <w:szCs w:val="16"/>
              </w:rPr>
            </w:pPr>
            <w:r w:rsidRPr="001450FF">
              <w:rPr>
                <w:rFonts w:ascii="Arial" w:eastAsia="Times New Roman" w:hAnsi="Arial" w:cs="Arial"/>
                <w:color w:val="000000"/>
                <w:sz w:val="16"/>
                <w:szCs w:val="16"/>
              </w:rPr>
              <w:t>Vietnamese</w:t>
            </w:r>
          </w:p>
        </w:tc>
        <w:tc>
          <w:tcPr>
            <w:tcW w:w="2689" w:type="dxa"/>
            <w:tcBorders>
              <w:top w:val="nil"/>
              <w:left w:val="nil"/>
              <w:bottom w:val="single" w:sz="4" w:space="0" w:color="auto"/>
              <w:right w:val="single" w:sz="4" w:space="0" w:color="auto"/>
            </w:tcBorders>
            <w:shd w:val="clear" w:color="auto" w:fill="auto"/>
            <w:noWrap/>
            <w:vAlign w:val="center"/>
          </w:tcPr>
          <w:p w:rsidR="00031E63" w:rsidRPr="001450FF" w:rsidRDefault="00031E63" w:rsidP="00C66F8B">
            <w:pPr>
              <w:spacing w:after="0" w:line="240" w:lineRule="auto"/>
              <w:jc w:val="center"/>
              <w:rPr>
                <w:rFonts w:ascii="Arial" w:eastAsia="Times New Roman" w:hAnsi="Arial" w:cs="Arial"/>
                <w:color w:val="000000"/>
                <w:sz w:val="16"/>
                <w:szCs w:val="16"/>
              </w:rPr>
            </w:pPr>
            <w:r w:rsidRPr="001450FF">
              <w:rPr>
                <w:rFonts w:ascii="Arial" w:eastAsia="Times New Roman" w:hAnsi="Arial" w:cs="Arial"/>
                <w:color w:val="000000"/>
                <w:sz w:val="16"/>
                <w:szCs w:val="16"/>
              </w:rPr>
              <w:t>4,</w:t>
            </w:r>
            <w:r>
              <w:rPr>
                <w:rFonts w:ascii="Arial" w:eastAsia="Times New Roman" w:hAnsi="Arial" w:cs="Arial"/>
                <w:color w:val="000000"/>
                <w:sz w:val="16"/>
                <w:szCs w:val="16"/>
              </w:rPr>
              <w:t>163</w:t>
            </w:r>
          </w:p>
        </w:tc>
        <w:tc>
          <w:tcPr>
            <w:tcW w:w="2690" w:type="dxa"/>
            <w:tcBorders>
              <w:top w:val="nil"/>
              <w:left w:val="nil"/>
              <w:bottom w:val="single" w:sz="4" w:space="0" w:color="auto"/>
              <w:right w:val="single" w:sz="8" w:space="0" w:color="auto"/>
            </w:tcBorders>
            <w:shd w:val="clear" w:color="auto" w:fill="auto"/>
            <w:noWrap/>
            <w:vAlign w:val="center"/>
          </w:tcPr>
          <w:p w:rsidR="00031E63" w:rsidRPr="00D72D9A" w:rsidRDefault="00031E63" w:rsidP="00C66F8B">
            <w:pPr>
              <w:spacing w:after="0" w:line="240" w:lineRule="auto"/>
              <w:jc w:val="center"/>
              <w:rPr>
                <w:rFonts w:ascii="Arial" w:eastAsia="Times New Roman" w:hAnsi="Arial" w:cs="Arial"/>
                <w:color w:val="000000"/>
                <w:sz w:val="16"/>
                <w:szCs w:val="16"/>
              </w:rPr>
            </w:pPr>
            <w:r w:rsidRPr="00D72D9A">
              <w:rPr>
                <w:rFonts w:ascii="Arial" w:eastAsia="Times New Roman" w:hAnsi="Arial" w:cs="Arial"/>
                <w:color w:val="000000"/>
                <w:sz w:val="16"/>
                <w:szCs w:val="16"/>
              </w:rPr>
              <w:t>0.13%</w:t>
            </w:r>
          </w:p>
        </w:tc>
      </w:tr>
      <w:tr w:rsidR="00031E63" w:rsidRPr="00D72D9A" w:rsidTr="00031E63">
        <w:trPr>
          <w:trHeight w:val="284"/>
        </w:trPr>
        <w:tc>
          <w:tcPr>
            <w:tcW w:w="1713" w:type="dxa"/>
            <w:vMerge/>
            <w:tcBorders>
              <w:top w:val="nil"/>
              <w:left w:val="single" w:sz="8" w:space="0" w:color="auto"/>
              <w:bottom w:val="single" w:sz="8" w:space="0" w:color="000000"/>
              <w:right w:val="single" w:sz="8" w:space="0" w:color="auto"/>
            </w:tcBorders>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4" w:space="0" w:color="auto"/>
              <w:right w:val="single" w:sz="8" w:space="0" w:color="auto"/>
            </w:tcBorders>
            <w:shd w:val="clear" w:color="auto" w:fill="auto"/>
            <w:noWrap/>
            <w:vAlign w:val="bottom"/>
            <w:hideMark/>
          </w:tcPr>
          <w:p w:rsidR="00031E63" w:rsidRPr="001450FF" w:rsidRDefault="00031E63" w:rsidP="00C66F8B">
            <w:pPr>
              <w:spacing w:after="0" w:line="240" w:lineRule="auto"/>
              <w:rPr>
                <w:rFonts w:ascii="Arial" w:eastAsia="Times New Roman" w:hAnsi="Arial" w:cs="Arial"/>
                <w:color w:val="000000"/>
                <w:sz w:val="16"/>
                <w:szCs w:val="16"/>
              </w:rPr>
            </w:pPr>
            <w:r w:rsidRPr="001450FF">
              <w:rPr>
                <w:rFonts w:ascii="Arial" w:eastAsia="Times New Roman" w:hAnsi="Arial" w:cs="Arial"/>
                <w:color w:val="000000"/>
                <w:sz w:val="16"/>
                <w:szCs w:val="16"/>
              </w:rPr>
              <w:t>Other</w:t>
            </w:r>
          </w:p>
        </w:tc>
        <w:tc>
          <w:tcPr>
            <w:tcW w:w="2689" w:type="dxa"/>
            <w:tcBorders>
              <w:top w:val="nil"/>
              <w:left w:val="nil"/>
              <w:bottom w:val="single" w:sz="4" w:space="0" w:color="auto"/>
              <w:right w:val="single" w:sz="4" w:space="0" w:color="auto"/>
            </w:tcBorders>
            <w:shd w:val="clear" w:color="auto" w:fill="auto"/>
            <w:noWrap/>
            <w:vAlign w:val="center"/>
          </w:tcPr>
          <w:p w:rsidR="00031E63" w:rsidRPr="001450FF" w:rsidRDefault="00031E63"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40,823</w:t>
            </w:r>
          </w:p>
        </w:tc>
        <w:tc>
          <w:tcPr>
            <w:tcW w:w="2690" w:type="dxa"/>
            <w:tcBorders>
              <w:top w:val="nil"/>
              <w:left w:val="nil"/>
              <w:bottom w:val="single" w:sz="4" w:space="0" w:color="auto"/>
              <w:right w:val="single" w:sz="8" w:space="0" w:color="auto"/>
            </w:tcBorders>
            <w:shd w:val="clear" w:color="auto" w:fill="auto"/>
            <w:noWrap/>
            <w:vAlign w:val="center"/>
          </w:tcPr>
          <w:p w:rsidR="00031E63" w:rsidRPr="00D72D9A" w:rsidRDefault="00031E63" w:rsidP="00C66F8B">
            <w:pPr>
              <w:spacing w:after="0" w:line="240" w:lineRule="auto"/>
              <w:jc w:val="center"/>
              <w:rPr>
                <w:rFonts w:ascii="Arial" w:eastAsia="Times New Roman" w:hAnsi="Arial" w:cs="Arial"/>
                <w:color w:val="000000"/>
                <w:sz w:val="16"/>
                <w:szCs w:val="16"/>
              </w:rPr>
            </w:pPr>
            <w:r w:rsidRPr="00D72D9A">
              <w:rPr>
                <w:rFonts w:ascii="Arial" w:eastAsia="Times New Roman" w:hAnsi="Arial" w:cs="Arial"/>
                <w:color w:val="000000"/>
                <w:sz w:val="16"/>
                <w:szCs w:val="16"/>
              </w:rPr>
              <w:t>1.31%</w:t>
            </w:r>
          </w:p>
        </w:tc>
      </w:tr>
      <w:tr w:rsidR="00031E63" w:rsidRPr="00D72D9A" w:rsidTr="00031E63">
        <w:trPr>
          <w:trHeight w:val="284"/>
        </w:trPr>
        <w:tc>
          <w:tcPr>
            <w:tcW w:w="1713" w:type="dxa"/>
            <w:vMerge/>
            <w:tcBorders>
              <w:top w:val="nil"/>
              <w:left w:val="single" w:sz="8" w:space="0" w:color="auto"/>
              <w:bottom w:val="single" w:sz="8" w:space="0" w:color="000000"/>
              <w:right w:val="single" w:sz="8" w:space="0" w:color="auto"/>
            </w:tcBorders>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8" w:space="0" w:color="auto"/>
              <w:right w:val="single" w:sz="8" w:space="0" w:color="auto"/>
            </w:tcBorders>
            <w:shd w:val="clear" w:color="auto" w:fill="auto"/>
            <w:noWrap/>
            <w:vAlign w:val="bottom"/>
            <w:hideMark/>
          </w:tcPr>
          <w:p w:rsidR="00031E63" w:rsidRPr="001450FF" w:rsidRDefault="00031E63" w:rsidP="00C66F8B">
            <w:pPr>
              <w:spacing w:after="0" w:line="240" w:lineRule="auto"/>
              <w:rPr>
                <w:rFonts w:ascii="Arial" w:eastAsia="Times New Roman" w:hAnsi="Arial" w:cs="Arial"/>
                <w:color w:val="000000"/>
                <w:sz w:val="16"/>
                <w:szCs w:val="16"/>
              </w:rPr>
            </w:pPr>
            <w:r w:rsidRPr="001450FF">
              <w:rPr>
                <w:rFonts w:ascii="Arial" w:eastAsia="Times New Roman" w:hAnsi="Arial" w:cs="Arial"/>
                <w:color w:val="000000"/>
                <w:sz w:val="16"/>
                <w:szCs w:val="16"/>
              </w:rPr>
              <w:t>Missing</w:t>
            </w:r>
          </w:p>
        </w:tc>
        <w:tc>
          <w:tcPr>
            <w:tcW w:w="2689" w:type="dxa"/>
            <w:tcBorders>
              <w:top w:val="nil"/>
              <w:left w:val="nil"/>
              <w:bottom w:val="single" w:sz="8" w:space="0" w:color="auto"/>
              <w:right w:val="single" w:sz="4" w:space="0" w:color="auto"/>
            </w:tcBorders>
            <w:shd w:val="clear" w:color="auto" w:fill="auto"/>
            <w:noWrap/>
            <w:vAlign w:val="center"/>
          </w:tcPr>
          <w:p w:rsidR="00031E63" w:rsidRPr="001450FF" w:rsidRDefault="00031E63"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239,684</w:t>
            </w:r>
          </w:p>
        </w:tc>
        <w:tc>
          <w:tcPr>
            <w:tcW w:w="2690" w:type="dxa"/>
            <w:tcBorders>
              <w:top w:val="nil"/>
              <w:left w:val="nil"/>
              <w:bottom w:val="single" w:sz="8" w:space="0" w:color="auto"/>
              <w:right w:val="single" w:sz="8" w:space="0" w:color="auto"/>
            </w:tcBorders>
            <w:shd w:val="clear" w:color="auto" w:fill="auto"/>
            <w:noWrap/>
            <w:vAlign w:val="center"/>
          </w:tcPr>
          <w:p w:rsidR="00031E63" w:rsidRPr="00D72D9A" w:rsidRDefault="00031E63" w:rsidP="00C66F8B">
            <w:pPr>
              <w:spacing w:after="0" w:line="240" w:lineRule="auto"/>
              <w:jc w:val="center"/>
              <w:rPr>
                <w:rFonts w:ascii="Arial" w:eastAsia="Times New Roman" w:hAnsi="Arial" w:cs="Arial"/>
                <w:color w:val="000000"/>
                <w:sz w:val="16"/>
                <w:szCs w:val="16"/>
              </w:rPr>
            </w:pPr>
            <w:r w:rsidRPr="00D72D9A">
              <w:rPr>
                <w:rFonts w:ascii="Arial" w:eastAsia="Times New Roman" w:hAnsi="Arial" w:cs="Arial"/>
                <w:color w:val="000000"/>
                <w:sz w:val="16"/>
                <w:szCs w:val="16"/>
              </w:rPr>
              <w:t>7.69%</w:t>
            </w:r>
          </w:p>
        </w:tc>
      </w:tr>
      <w:tr w:rsidR="00307A45" w:rsidRPr="00D72D9A" w:rsidTr="00CD6510">
        <w:trPr>
          <w:trHeight w:val="284"/>
        </w:trPr>
        <w:tc>
          <w:tcPr>
            <w:tcW w:w="1713" w:type="dxa"/>
            <w:vMerge w:val="restart"/>
            <w:tcBorders>
              <w:top w:val="nil"/>
              <w:left w:val="single" w:sz="8" w:space="0" w:color="auto"/>
              <w:right w:val="single" w:sz="8" w:space="0" w:color="auto"/>
            </w:tcBorders>
            <w:vAlign w:val="center"/>
          </w:tcPr>
          <w:p w:rsidR="00307A45" w:rsidRPr="001450FF" w:rsidRDefault="00307A45" w:rsidP="00C66F8B">
            <w:pPr>
              <w:spacing w:after="0" w:line="240" w:lineRule="auto"/>
              <w:rPr>
                <w:rFonts w:ascii="Arial" w:eastAsia="Times New Roman" w:hAnsi="Arial" w:cs="Arial"/>
                <w:b/>
                <w:bCs/>
                <w:color w:val="000000"/>
                <w:sz w:val="16"/>
                <w:szCs w:val="16"/>
              </w:rPr>
            </w:pPr>
            <w:r>
              <w:rPr>
                <w:rFonts w:ascii="Arial" w:eastAsia="Times New Roman" w:hAnsi="Arial" w:cs="Arial"/>
                <w:b/>
                <w:bCs/>
                <w:color w:val="000000"/>
                <w:sz w:val="16"/>
                <w:szCs w:val="16"/>
              </w:rPr>
              <w:t>Service Line</w:t>
            </w:r>
          </w:p>
        </w:tc>
        <w:tc>
          <w:tcPr>
            <w:tcW w:w="1800" w:type="dxa"/>
            <w:tcBorders>
              <w:top w:val="nil"/>
              <w:left w:val="nil"/>
              <w:bottom w:val="single" w:sz="8" w:space="0" w:color="auto"/>
              <w:right w:val="single" w:sz="8" w:space="0" w:color="auto"/>
            </w:tcBorders>
            <w:shd w:val="clear" w:color="auto" w:fill="auto"/>
            <w:noWrap/>
            <w:vAlign w:val="bottom"/>
          </w:tcPr>
          <w:p w:rsidR="00307A45" w:rsidRPr="001450FF" w:rsidRDefault="00307A45" w:rsidP="00C66F8B">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Maternity</w:t>
            </w:r>
          </w:p>
        </w:tc>
        <w:tc>
          <w:tcPr>
            <w:tcW w:w="2689" w:type="dxa"/>
            <w:tcBorders>
              <w:top w:val="nil"/>
              <w:left w:val="nil"/>
              <w:bottom w:val="single" w:sz="8" w:space="0" w:color="auto"/>
              <w:right w:val="single" w:sz="4" w:space="0" w:color="auto"/>
            </w:tcBorders>
            <w:shd w:val="clear" w:color="auto" w:fill="auto"/>
            <w:noWrap/>
            <w:vAlign w:val="center"/>
          </w:tcPr>
          <w:p w:rsidR="00307A45" w:rsidRDefault="00ED08D9"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390,231</w:t>
            </w:r>
          </w:p>
        </w:tc>
        <w:tc>
          <w:tcPr>
            <w:tcW w:w="2690" w:type="dxa"/>
            <w:tcBorders>
              <w:top w:val="nil"/>
              <w:left w:val="nil"/>
              <w:bottom w:val="single" w:sz="8" w:space="0" w:color="auto"/>
              <w:right w:val="single" w:sz="8" w:space="0" w:color="auto"/>
            </w:tcBorders>
            <w:shd w:val="clear" w:color="auto" w:fill="auto"/>
            <w:noWrap/>
            <w:vAlign w:val="center"/>
          </w:tcPr>
          <w:p w:rsidR="00307A45" w:rsidRPr="00D72D9A" w:rsidRDefault="00ED08D9"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12.52%</w:t>
            </w:r>
          </w:p>
        </w:tc>
      </w:tr>
      <w:tr w:rsidR="00307A45" w:rsidRPr="00D72D9A" w:rsidTr="00CD6510">
        <w:trPr>
          <w:trHeight w:val="284"/>
        </w:trPr>
        <w:tc>
          <w:tcPr>
            <w:tcW w:w="1713" w:type="dxa"/>
            <w:vMerge/>
            <w:tcBorders>
              <w:left w:val="single" w:sz="8" w:space="0" w:color="auto"/>
              <w:right w:val="single" w:sz="8" w:space="0" w:color="auto"/>
            </w:tcBorders>
            <w:vAlign w:val="center"/>
          </w:tcPr>
          <w:p w:rsidR="00307A45" w:rsidRPr="001450FF" w:rsidRDefault="00307A45"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8" w:space="0" w:color="auto"/>
              <w:right w:val="single" w:sz="8" w:space="0" w:color="auto"/>
            </w:tcBorders>
            <w:shd w:val="clear" w:color="auto" w:fill="auto"/>
            <w:noWrap/>
            <w:vAlign w:val="bottom"/>
          </w:tcPr>
          <w:p w:rsidR="00307A45" w:rsidRPr="001450FF" w:rsidRDefault="00307A45" w:rsidP="00C66F8B">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Medical</w:t>
            </w:r>
          </w:p>
        </w:tc>
        <w:tc>
          <w:tcPr>
            <w:tcW w:w="2689" w:type="dxa"/>
            <w:tcBorders>
              <w:top w:val="nil"/>
              <w:left w:val="nil"/>
              <w:bottom w:val="single" w:sz="8" w:space="0" w:color="auto"/>
              <w:right w:val="single" w:sz="4" w:space="0" w:color="auto"/>
            </w:tcBorders>
            <w:shd w:val="clear" w:color="auto" w:fill="auto"/>
            <w:noWrap/>
            <w:vAlign w:val="center"/>
          </w:tcPr>
          <w:p w:rsidR="00307A45" w:rsidRDefault="00ED08D9"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1,480,822</w:t>
            </w:r>
          </w:p>
        </w:tc>
        <w:tc>
          <w:tcPr>
            <w:tcW w:w="2690" w:type="dxa"/>
            <w:tcBorders>
              <w:top w:val="nil"/>
              <w:left w:val="nil"/>
              <w:bottom w:val="single" w:sz="8" w:space="0" w:color="auto"/>
              <w:right w:val="single" w:sz="8" w:space="0" w:color="auto"/>
            </w:tcBorders>
            <w:shd w:val="clear" w:color="auto" w:fill="auto"/>
            <w:noWrap/>
            <w:vAlign w:val="center"/>
          </w:tcPr>
          <w:p w:rsidR="00307A45" w:rsidRPr="00D72D9A" w:rsidRDefault="00ED08D9"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47.51%</w:t>
            </w:r>
          </w:p>
        </w:tc>
      </w:tr>
      <w:tr w:rsidR="00307A45" w:rsidRPr="00D72D9A" w:rsidTr="00CD6510">
        <w:trPr>
          <w:trHeight w:val="284"/>
        </w:trPr>
        <w:tc>
          <w:tcPr>
            <w:tcW w:w="1713" w:type="dxa"/>
            <w:vMerge/>
            <w:tcBorders>
              <w:left w:val="single" w:sz="8" w:space="0" w:color="auto"/>
              <w:right w:val="single" w:sz="8" w:space="0" w:color="auto"/>
            </w:tcBorders>
            <w:vAlign w:val="center"/>
          </w:tcPr>
          <w:p w:rsidR="00307A45" w:rsidRPr="001450FF" w:rsidRDefault="00307A45"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8" w:space="0" w:color="auto"/>
              <w:right w:val="single" w:sz="8" w:space="0" w:color="auto"/>
            </w:tcBorders>
            <w:shd w:val="clear" w:color="auto" w:fill="auto"/>
            <w:noWrap/>
            <w:vAlign w:val="bottom"/>
          </w:tcPr>
          <w:p w:rsidR="00307A45" w:rsidRPr="001450FF" w:rsidRDefault="00307A45" w:rsidP="00C66F8B">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Surgical</w:t>
            </w:r>
          </w:p>
        </w:tc>
        <w:tc>
          <w:tcPr>
            <w:tcW w:w="2689" w:type="dxa"/>
            <w:tcBorders>
              <w:top w:val="nil"/>
              <w:left w:val="nil"/>
              <w:bottom w:val="single" w:sz="8" w:space="0" w:color="auto"/>
              <w:right w:val="single" w:sz="4" w:space="0" w:color="auto"/>
            </w:tcBorders>
            <w:shd w:val="clear" w:color="auto" w:fill="auto"/>
            <w:noWrap/>
            <w:vAlign w:val="center"/>
          </w:tcPr>
          <w:p w:rsidR="00307A45" w:rsidRDefault="00ED08D9"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1,121,136</w:t>
            </w:r>
          </w:p>
        </w:tc>
        <w:tc>
          <w:tcPr>
            <w:tcW w:w="2690" w:type="dxa"/>
            <w:tcBorders>
              <w:top w:val="nil"/>
              <w:left w:val="nil"/>
              <w:bottom w:val="single" w:sz="8" w:space="0" w:color="auto"/>
              <w:right w:val="single" w:sz="8" w:space="0" w:color="auto"/>
            </w:tcBorders>
            <w:shd w:val="clear" w:color="auto" w:fill="auto"/>
            <w:noWrap/>
            <w:vAlign w:val="center"/>
          </w:tcPr>
          <w:p w:rsidR="00307A45" w:rsidRPr="00D72D9A" w:rsidRDefault="00ED08D9"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35.97%</w:t>
            </w:r>
          </w:p>
        </w:tc>
      </w:tr>
      <w:tr w:rsidR="00307A45" w:rsidRPr="00D72D9A" w:rsidTr="00CD6510">
        <w:trPr>
          <w:trHeight w:val="284"/>
        </w:trPr>
        <w:tc>
          <w:tcPr>
            <w:tcW w:w="1713" w:type="dxa"/>
            <w:vMerge/>
            <w:tcBorders>
              <w:left w:val="single" w:sz="8" w:space="0" w:color="auto"/>
              <w:bottom w:val="single" w:sz="8" w:space="0" w:color="000000"/>
              <w:right w:val="single" w:sz="8" w:space="0" w:color="auto"/>
            </w:tcBorders>
            <w:vAlign w:val="center"/>
          </w:tcPr>
          <w:p w:rsidR="00307A45" w:rsidRPr="001450FF" w:rsidRDefault="00307A45" w:rsidP="00C66F8B">
            <w:pPr>
              <w:spacing w:after="0" w:line="240" w:lineRule="auto"/>
              <w:rPr>
                <w:rFonts w:ascii="Arial" w:eastAsia="Times New Roman" w:hAnsi="Arial" w:cs="Arial"/>
                <w:b/>
                <w:bCs/>
                <w:color w:val="000000"/>
                <w:sz w:val="16"/>
                <w:szCs w:val="16"/>
              </w:rPr>
            </w:pPr>
          </w:p>
        </w:tc>
        <w:tc>
          <w:tcPr>
            <w:tcW w:w="1800" w:type="dxa"/>
            <w:tcBorders>
              <w:top w:val="nil"/>
              <w:left w:val="nil"/>
              <w:bottom w:val="single" w:sz="8" w:space="0" w:color="auto"/>
              <w:right w:val="single" w:sz="8" w:space="0" w:color="auto"/>
            </w:tcBorders>
            <w:shd w:val="clear" w:color="auto" w:fill="auto"/>
            <w:noWrap/>
            <w:vAlign w:val="bottom"/>
          </w:tcPr>
          <w:p w:rsidR="00307A45" w:rsidRPr="001450FF" w:rsidRDefault="00307A45" w:rsidP="00C66F8B">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Missing</w:t>
            </w:r>
          </w:p>
        </w:tc>
        <w:tc>
          <w:tcPr>
            <w:tcW w:w="2689" w:type="dxa"/>
            <w:tcBorders>
              <w:top w:val="nil"/>
              <w:left w:val="nil"/>
              <w:bottom w:val="single" w:sz="8" w:space="0" w:color="auto"/>
              <w:right w:val="single" w:sz="4" w:space="0" w:color="auto"/>
            </w:tcBorders>
            <w:shd w:val="clear" w:color="auto" w:fill="auto"/>
            <w:noWrap/>
            <w:vAlign w:val="center"/>
          </w:tcPr>
          <w:p w:rsidR="00307A45" w:rsidRDefault="00ED08D9"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124,674</w:t>
            </w:r>
          </w:p>
        </w:tc>
        <w:tc>
          <w:tcPr>
            <w:tcW w:w="2690" w:type="dxa"/>
            <w:tcBorders>
              <w:top w:val="nil"/>
              <w:left w:val="nil"/>
              <w:bottom w:val="single" w:sz="8" w:space="0" w:color="auto"/>
              <w:right w:val="single" w:sz="8" w:space="0" w:color="auto"/>
            </w:tcBorders>
            <w:shd w:val="clear" w:color="auto" w:fill="auto"/>
            <w:noWrap/>
            <w:vAlign w:val="center"/>
          </w:tcPr>
          <w:p w:rsidR="00307A45" w:rsidRPr="00D72D9A" w:rsidRDefault="00ED08D9"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4.00%</w:t>
            </w:r>
          </w:p>
        </w:tc>
      </w:tr>
      <w:tr w:rsidR="00031E63" w:rsidRPr="001450FF" w:rsidTr="00031E63">
        <w:trPr>
          <w:trHeight w:val="509"/>
        </w:trPr>
        <w:tc>
          <w:tcPr>
            <w:tcW w:w="3513"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r w:rsidRPr="001450FF">
              <w:rPr>
                <w:rFonts w:ascii="Arial" w:eastAsia="Times New Roman" w:hAnsi="Arial" w:cs="Arial"/>
                <w:b/>
                <w:bCs/>
                <w:color w:val="000000"/>
                <w:sz w:val="16"/>
                <w:szCs w:val="16"/>
              </w:rPr>
              <w:t>Total</w:t>
            </w:r>
          </w:p>
        </w:tc>
        <w:tc>
          <w:tcPr>
            <w:tcW w:w="2689"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031E63" w:rsidRPr="001450FF" w:rsidRDefault="00031E63" w:rsidP="00C66F8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3,116,863</w:t>
            </w:r>
          </w:p>
        </w:tc>
        <w:tc>
          <w:tcPr>
            <w:tcW w:w="269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031E63" w:rsidRPr="001450FF" w:rsidRDefault="00031E63" w:rsidP="00C66F8B">
            <w:pPr>
              <w:spacing w:after="0" w:line="240" w:lineRule="auto"/>
              <w:jc w:val="center"/>
              <w:rPr>
                <w:rFonts w:ascii="Arial" w:eastAsia="Times New Roman" w:hAnsi="Arial" w:cs="Arial"/>
                <w:color w:val="000000"/>
                <w:sz w:val="16"/>
                <w:szCs w:val="16"/>
              </w:rPr>
            </w:pPr>
            <w:r w:rsidRPr="001450FF">
              <w:rPr>
                <w:rFonts w:ascii="Arial" w:eastAsia="Times New Roman" w:hAnsi="Arial" w:cs="Arial"/>
                <w:color w:val="000000"/>
                <w:sz w:val="16"/>
                <w:szCs w:val="16"/>
              </w:rPr>
              <w:t>100.00%</w:t>
            </w:r>
          </w:p>
        </w:tc>
      </w:tr>
      <w:tr w:rsidR="00031E63" w:rsidRPr="001450FF" w:rsidTr="00031E63">
        <w:trPr>
          <w:trHeight w:val="509"/>
        </w:trPr>
        <w:tc>
          <w:tcPr>
            <w:tcW w:w="3513" w:type="dxa"/>
            <w:gridSpan w:val="2"/>
            <w:vMerge/>
            <w:tcBorders>
              <w:top w:val="single" w:sz="8" w:space="0" w:color="auto"/>
              <w:left w:val="single" w:sz="8" w:space="0" w:color="auto"/>
              <w:bottom w:val="single" w:sz="8" w:space="0" w:color="000000"/>
              <w:right w:val="single" w:sz="8" w:space="0" w:color="000000"/>
            </w:tcBorders>
            <w:vAlign w:val="center"/>
            <w:hideMark/>
          </w:tcPr>
          <w:p w:rsidR="00031E63" w:rsidRPr="001450FF" w:rsidRDefault="00031E63" w:rsidP="00C66F8B">
            <w:pPr>
              <w:spacing w:after="0" w:line="240" w:lineRule="auto"/>
              <w:rPr>
                <w:rFonts w:ascii="Arial" w:eastAsia="Times New Roman" w:hAnsi="Arial" w:cs="Arial"/>
                <w:b/>
                <w:bCs/>
                <w:color w:val="000000"/>
                <w:sz w:val="16"/>
                <w:szCs w:val="16"/>
              </w:rPr>
            </w:pPr>
          </w:p>
        </w:tc>
        <w:tc>
          <w:tcPr>
            <w:tcW w:w="2689" w:type="dxa"/>
            <w:vMerge/>
            <w:tcBorders>
              <w:top w:val="nil"/>
              <w:left w:val="single" w:sz="8" w:space="0" w:color="auto"/>
              <w:bottom w:val="single" w:sz="8" w:space="0" w:color="000000"/>
              <w:right w:val="single" w:sz="4" w:space="0" w:color="auto"/>
            </w:tcBorders>
            <w:vAlign w:val="center"/>
            <w:hideMark/>
          </w:tcPr>
          <w:p w:rsidR="00031E63" w:rsidRPr="001450FF" w:rsidRDefault="00031E63" w:rsidP="00C66F8B">
            <w:pPr>
              <w:spacing w:after="0" w:line="240" w:lineRule="auto"/>
              <w:rPr>
                <w:rFonts w:ascii="Arial" w:eastAsia="Times New Roman" w:hAnsi="Arial" w:cs="Arial"/>
                <w:color w:val="000000"/>
                <w:sz w:val="16"/>
                <w:szCs w:val="16"/>
              </w:rPr>
            </w:pPr>
          </w:p>
        </w:tc>
        <w:tc>
          <w:tcPr>
            <w:tcW w:w="2690" w:type="dxa"/>
            <w:vMerge/>
            <w:tcBorders>
              <w:top w:val="nil"/>
              <w:left w:val="single" w:sz="4" w:space="0" w:color="auto"/>
              <w:bottom w:val="single" w:sz="8" w:space="0" w:color="000000"/>
              <w:right w:val="single" w:sz="8" w:space="0" w:color="auto"/>
            </w:tcBorders>
            <w:vAlign w:val="center"/>
            <w:hideMark/>
          </w:tcPr>
          <w:p w:rsidR="00031E63" w:rsidRPr="001450FF" w:rsidRDefault="00031E63" w:rsidP="00C66F8B">
            <w:pPr>
              <w:spacing w:after="0" w:line="240" w:lineRule="auto"/>
              <w:rPr>
                <w:rFonts w:ascii="Arial" w:eastAsia="Times New Roman" w:hAnsi="Arial" w:cs="Arial"/>
                <w:color w:val="000000"/>
                <w:sz w:val="16"/>
                <w:szCs w:val="16"/>
              </w:rPr>
            </w:pPr>
          </w:p>
        </w:tc>
      </w:tr>
    </w:tbl>
    <w:p w:rsidR="00D344C7" w:rsidRPr="00BB7EA2" w:rsidRDefault="00D344C7" w:rsidP="00DE49BB">
      <w:pPr>
        <w:rPr>
          <w:rFonts w:cstheme="minorHAnsi"/>
          <w:sz w:val="20"/>
          <w:szCs w:val="20"/>
        </w:rPr>
      </w:pPr>
      <w:r w:rsidRPr="00583F9E">
        <w:rPr>
          <w:rFonts w:cstheme="minorHAnsi"/>
          <w:bCs/>
          <w:sz w:val="20"/>
          <w:szCs w:val="20"/>
        </w:rPr>
        <w:t>K</w:t>
      </w:r>
      <w:r w:rsidRPr="003C0F74">
        <w:rPr>
          <w:rFonts w:cstheme="minorHAnsi"/>
          <w:bCs/>
          <w:sz w:val="20"/>
          <w:szCs w:val="20"/>
        </w:rPr>
        <w:t xml:space="preserve">ey:  </w:t>
      </w:r>
      <w:r w:rsidR="00ED08D9" w:rsidRPr="00BB7EA2">
        <w:rPr>
          <w:rFonts w:cstheme="minorHAnsi"/>
          <w:sz w:val="20"/>
          <w:szCs w:val="20"/>
        </w:rPr>
        <w:t>AI/AN</w:t>
      </w:r>
      <w:r w:rsidRPr="00BB7EA2">
        <w:rPr>
          <w:rFonts w:cstheme="minorHAnsi"/>
          <w:sz w:val="20"/>
          <w:szCs w:val="20"/>
        </w:rPr>
        <w:t>: American Indian or Alaska Native; B</w:t>
      </w:r>
      <w:r w:rsidR="00ED08D9" w:rsidRPr="00BB7EA2">
        <w:rPr>
          <w:rFonts w:cstheme="minorHAnsi"/>
          <w:sz w:val="20"/>
          <w:szCs w:val="20"/>
        </w:rPr>
        <w:t>lack</w:t>
      </w:r>
      <w:r w:rsidRPr="00BB7EA2">
        <w:rPr>
          <w:rFonts w:cstheme="minorHAnsi"/>
          <w:sz w:val="20"/>
          <w:szCs w:val="20"/>
        </w:rPr>
        <w:t>: Black or African American; M</w:t>
      </w:r>
      <w:r w:rsidR="00ED08D9" w:rsidRPr="00BB7EA2">
        <w:rPr>
          <w:rFonts w:cstheme="minorHAnsi"/>
          <w:sz w:val="20"/>
          <w:szCs w:val="20"/>
        </w:rPr>
        <w:t>ultiracial</w:t>
      </w:r>
      <w:r w:rsidRPr="00BB7EA2">
        <w:rPr>
          <w:rFonts w:cstheme="minorHAnsi"/>
          <w:sz w:val="20"/>
          <w:szCs w:val="20"/>
        </w:rPr>
        <w:t xml:space="preserve">: Multiple </w:t>
      </w:r>
      <w:r w:rsidR="0031149C" w:rsidRPr="00BB7EA2">
        <w:rPr>
          <w:rFonts w:cstheme="minorHAnsi"/>
          <w:sz w:val="20"/>
          <w:szCs w:val="20"/>
        </w:rPr>
        <w:t>races; NHOPI</w:t>
      </w:r>
      <w:r w:rsidRPr="00BB7EA2">
        <w:rPr>
          <w:rFonts w:cstheme="minorHAnsi"/>
          <w:sz w:val="20"/>
          <w:szCs w:val="20"/>
        </w:rPr>
        <w:t>: Native Hawaiian or other Pacific Islander</w:t>
      </w:r>
    </w:p>
    <w:p w:rsidR="00B37C85" w:rsidRDefault="00B37C85" w:rsidP="00E37E1B">
      <w:pPr>
        <w:autoSpaceDE w:val="0"/>
        <w:autoSpaceDN w:val="0"/>
        <w:adjustRightInd w:val="0"/>
        <w:spacing w:after="0" w:line="240" w:lineRule="auto"/>
        <w:rPr>
          <w:rFonts w:cstheme="minorHAnsi"/>
          <w:b/>
          <w:bCs/>
        </w:rPr>
      </w:pPr>
    </w:p>
    <w:p w:rsidR="0021054A" w:rsidRPr="00BB7EA2" w:rsidRDefault="002B5016" w:rsidP="00E37E1B">
      <w:pPr>
        <w:autoSpaceDE w:val="0"/>
        <w:autoSpaceDN w:val="0"/>
        <w:adjustRightInd w:val="0"/>
        <w:spacing w:after="0" w:line="240" w:lineRule="auto"/>
        <w:rPr>
          <w:rFonts w:cstheme="minorHAnsi"/>
          <w:bCs/>
        </w:rPr>
      </w:pPr>
      <w:r w:rsidRPr="00BB7EA2">
        <w:rPr>
          <w:rFonts w:cstheme="minorHAnsi"/>
          <w:b/>
          <w:bCs/>
        </w:rPr>
        <w:t>1.</w:t>
      </w:r>
      <w:r w:rsidR="00E310B9" w:rsidRPr="00BB7EA2">
        <w:rPr>
          <w:rFonts w:cstheme="minorHAnsi"/>
          <w:b/>
          <w:bCs/>
        </w:rPr>
        <w:t xml:space="preserve">7. </w:t>
      </w:r>
      <w:r w:rsidR="000574AB" w:rsidRPr="00BB7EA2">
        <w:rPr>
          <w:rFonts w:cstheme="minorHAnsi"/>
          <w:b/>
          <w:bCs/>
        </w:rPr>
        <w:t>If there are differences in the data</w:t>
      </w:r>
      <w:r w:rsidR="009726E1" w:rsidRPr="00BB7EA2">
        <w:rPr>
          <w:rFonts w:cstheme="minorHAnsi"/>
          <w:b/>
          <w:bCs/>
        </w:rPr>
        <w:t xml:space="preserve"> or sample</w:t>
      </w:r>
      <w:r w:rsidR="000574AB" w:rsidRPr="00BB7EA2">
        <w:rPr>
          <w:rFonts w:cstheme="minorHAnsi"/>
          <w:b/>
          <w:bCs/>
        </w:rPr>
        <w:t xml:space="preserve"> used for different </w:t>
      </w:r>
      <w:r w:rsidR="000968F8" w:rsidRPr="00BB7EA2">
        <w:rPr>
          <w:rFonts w:cstheme="minorHAnsi"/>
          <w:b/>
          <w:bCs/>
        </w:rPr>
        <w:t>aspects</w:t>
      </w:r>
      <w:r w:rsidR="000574AB" w:rsidRPr="00BB7EA2">
        <w:rPr>
          <w:rFonts w:cstheme="minorHAnsi"/>
          <w:b/>
          <w:bCs/>
        </w:rPr>
        <w:t xml:space="preserve"> of testing (e.g., reliability, validi</w:t>
      </w:r>
      <w:r w:rsidR="007422FD" w:rsidRPr="00BB7EA2">
        <w:rPr>
          <w:rFonts w:cstheme="minorHAnsi"/>
          <w:b/>
          <w:bCs/>
        </w:rPr>
        <w:t>ty, exclusions, risk adjustment</w:t>
      </w:r>
      <w:r w:rsidR="000574AB" w:rsidRPr="00BB7EA2">
        <w:rPr>
          <w:rFonts w:cstheme="minorHAnsi"/>
          <w:b/>
          <w:bCs/>
        </w:rPr>
        <w:t xml:space="preserve">), identify </w:t>
      </w:r>
      <w:r w:rsidR="005A7634" w:rsidRPr="00BB7EA2">
        <w:rPr>
          <w:rFonts w:cstheme="minorHAnsi"/>
          <w:b/>
          <w:bCs/>
        </w:rPr>
        <w:t xml:space="preserve">how the data or sample are different for </w:t>
      </w:r>
      <w:r w:rsidR="000574AB" w:rsidRPr="00BB7EA2">
        <w:rPr>
          <w:rFonts w:cstheme="minorHAnsi"/>
          <w:b/>
          <w:bCs/>
        </w:rPr>
        <w:t xml:space="preserve">each </w:t>
      </w:r>
      <w:r w:rsidR="000968F8" w:rsidRPr="00BB7EA2">
        <w:rPr>
          <w:rFonts w:cstheme="minorHAnsi"/>
          <w:b/>
          <w:bCs/>
        </w:rPr>
        <w:t>aspect</w:t>
      </w:r>
      <w:r w:rsidR="000574AB" w:rsidRPr="00BB7EA2">
        <w:rPr>
          <w:rFonts w:cstheme="minorHAnsi"/>
          <w:b/>
          <w:bCs/>
        </w:rPr>
        <w:t xml:space="preserve"> of testing reported </w:t>
      </w:r>
      <w:r w:rsidR="00857EE8" w:rsidRPr="00BB7EA2">
        <w:rPr>
          <w:rFonts w:cstheme="minorHAnsi"/>
          <w:b/>
          <w:bCs/>
        </w:rPr>
        <w:t>below</w:t>
      </w:r>
      <w:r w:rsidR="00E37E1B" w:rsidRPr="00BB7EA2">
        <w:rPr>
          <w:rFonts w:cstheme="minorHAnsi"/>
          <w:bCs/>
        </w:rPr>
        <w:t>.</w:t>
      </w:r>
    </w:p>
    <w:p w:rsidR="006A46BB" w:rsidRPr="00BB7EA2" w:rsidRDefault="006A46BB" w:rsidP="00E37E1B">
      <w:pPr>
        <w:autoSpaceDE w:val="0"/>
        <w:autoSpaceDN w:val="0"/>
        <w:adjustRightInd w:val="0"/>
        <w:spacing w:after="0" w:line="240" w:lineRule="auto"/>
        <w:rPr>
          <w:rFonts w:cstheme="minorHAnsi"/>
          <w:bCs/>
        </w:rPr>
      </w:pPr>
    </w:p>
    <w:p w:rsidR="006A46BB" w:rsidRPr="00BB7EA2" w:rsidRDefault="006A46BB" w:rsidP="006A46BB">
      <w:pPr>
        <w:autoSpaceDE w:val="0"/>
        <w:autoSpaceDN w:val="0"/>
        <w:adjustRightInd w:val="0"/>
        <w:spacing w:after="0" w:line="240" w:lineRule="auto"/>
        <w:rPr>
          <w:rFonts w:ascii="Palatino Linotype" w:hAnsi="Palatino Linotype" w:cstheme="minorHAnsi"/>
          <w:i/>
          <w:sz w:val="20"/>
          <w:szCs w:val="20"/>
        </w:rPr>
      </w:pPr>
      <w:r w:rsidRPr="00BB7EA2">
        <w:rPr>
          <w:rFonts w:ascii="Palatino Linotype" w:hAnsi="Palatino Linotype" w:cstheme="minorHAnsi"/>
          <w:i/>
          <w:sz w:val="20"/>
          <w:szCs w:val="20"/>
        </w:rPr>
        <w:t xml:space="preserve">The data used for </w:t>
      </w:r>
      <w:r w:rsidR="00E25B25" w:rsidRPr="00BB7EA2">
        <w:rPr>
          <w:rFonts w:ascii="Palatino Linotype" w:hAnsi="Palatino Linotype" w:cstheme="minorHAnsi"/>
          <w:i/>
          <w:sz w:val="20"/>
          <w:szCs w:val="20"/>
        </w:rPr>
        <w:t>most of the submission</w:t>
      </w:r>
      <w:r w:rsidRPr="00BB7EA2">
        <w:rPr>
          <w:rFonts w:ascii="Palatino Linotype" w:hAnsi="Palatino Linotype" w:cstheme="minorHAnsi"/>
          <w:i/>
          <w:sz w:val="20"/>
          <w:szCs w:val="20"/>
        </w:rPr>
        <w:t xml:space="preserve"> are from CY 2016.  </w:t>
      </w:r>
      <w:r w:rsidR="00E25B25" w:rsidRPr="00BB7EA2">
        <w:rPr>
          <w:rFonts w:ascii="Palatino Linotype" w:hAnsi="Palatino Linotype" w:cstheme="minorHAnsi"/>
          <w:i/>
          <w:sz w:val="20"/>
          <w:szCs w:val="20"/>
        </w:rPr>
        <w:t xml:space="preserve">We </w:t>
      </w:r>
      <w:r w:rsidR="00886DC4" w:rsidRPr="00BB7EA2">
        <w:rPr>
          <w:rFonts w:ascii="Palatino Linotype" w:hAnsi="Palatino Linotype" w:cstheme="minorHAnsi"/>
          <w:i/>
          <w:sz w:val="20"/>
          <w:szCs w:val="20"/>
        </w:rPr>
        <w:t xml:space="preserve">also cite information from the original testing of HCAHPS in </w:t>
      </w:r>
      <w:r w:rsidR="004F01B8" w:rsidRPr="00BB7EA2">
        <w:rPr>
          <w:rFonts w:ascii="Palatino Linotype" w:hAnsi="Palatino Linotype" w:cstheme="minorHAnsi"/>
          <w:i/>
          <w:sz w:val="20"/>
          <w:szCs w:val="20"/>
        </w:rPr>
        <w:t xml:space="preserve">the Three-State Pilot Study of </w:t>
      </w:r>
      <w:r w:rsidR="00886DC4" w:rsidRPr="00BB7EA2">
        <w:rPr>
          <w:rFonts w:ascii="Palatino Linotype" w:hAnsi="Palatino Linotype" w:cstheme="minorHAnsi"/>
          <w:i/>
          <w:sz w:val="20"/>
          <w:szCs w:val="20"/>
        </w:rPr>
        <w:t xml:space="preserve">2003 </w:t>
      </w:r>
      <w:r w:rsidR="00753CCF" w:rsidRPr="00BB7EA2">
        <w:rPr>
          <w:rFonts w:ascii="Palatino Linotype" w:hAnsi="Palatino Linotype" w:cstheme="minorHAnsi"/>
          <w:i/>
          <w:sz w:val="20"/>
          <w:szCs w:val="20"/>
        </w:rPr>
        <w:t>in section</w:t>
      </w:r>
      <w:r w:rsidR="00E131A1" w:rsidRPr="00BB7EA2">
        <w:rPr>
          <w:rFonts w:ascii="Palatino Linotype" w:hAnsi="Palatino Linotype" w:cstheme="minorHAnsi"/>
          <w:i/>
          <w:sz w:val="20"/>
          <w:szCs w:val="20"/>
        </w:rPr>
        <w:t xml:space="preserve"> 2b1.3</w:t>
      </w:r>
      <w:r w:rsidR="00753CCF" w:rsidRPr="00BB7EA2">
        <w:rPr>
          <w:rFonts w:ascii="Palatino Linotype" w:hAnsi="Palatino Linotype" w:cstheme="minorHAnsi"/>
          <w:i/>
          <w:sz w:val="20"/>
          <w:szCs w:val="20"/>
        </w:rPr>
        <w:t xml:space="preserve"> </w:t>
      </w:r>
      <w:r w:rsidR="00886DC4" w:rsidRPr="00BB7EA2">
        <w:rPr>
          <w:rFonts w:ascii="Palatino Linotype" w:hAnsi="Palatino Linotype" w:cstheme="minorHAnsi"/>
          <w:i/>
          <w:sz w:val="20"/>
          <w:szCs w:val="20"/>
        </w:rPr>
        <w:t xml:space="preserve">and </w:t>
      </w:r>
      <w:r w:rsidR="00E25B25" w:rsidRPr="00BB7EA2">
        <w:rPr>
          <w:rFonts w:ascii="Palatino Linotype" w:hAnsi="Palatino Linotype" w:cstheme="minorHAnsi"/>
          <w:i/>
          <w:sz w:val="20"/>
          <w:szCs w:val="20"/>
        </w:rPr>
        <w:t>analyses related to preferred language and racial/ethnic groups using data from 2014-2015.</w:t>
      </w:r>
    </w:p>
    <w:p w:rsidR="006A46BB" w:rsidRPr="00BB7EA2" w:rsidRDefault="006A46BB" w:rsidP="00E37E1B">
      <w:pPr>
        <w:autoSpaceDE w:val="0"/>
        <w:autoSpaceDN w:val="0"/>
        <w:adjustRightInd w:val="0"/>
        <w:spacing w:after="0" w:line="240" w:lineRule="auto"/>
        <w:rPr>
          <w:rFonts w:cstheme="minorHAnsi"/>
          <w:bCs/>
          <w:sz w:val="20"/>
          <w:szCs w:val="20"/>
        </w:rPr>
      </w:pPr>
    </w:p>
    <w:p w:rsidR="0021054A" w:rsidRPr="00BB7EA2" w:rsidRDefault="0021054A" w:rsidP="00E37E1B">
      <w:pPr>
        <w:autoSpaceDE w:val="0"/>
        <w:autoSpaceDN w:val="0"/>
        <w:adjustRightInd w:val="0"/>
        <w:spacing w:after="0" w:line="240" w:lineRule="auto"/>
        <w:rPr>
          <w:rFonts w:cstheme="minorHAnsi"/>
          <w:bCs/>
        </w:rPr>
      </w:pPr>
      <w:r w:rsidRPr="00BB7EA2">
        <w:rPr>
          <w:rFonts w:cstheme="minorHAnsi"/>
          <w:b/>
          <w:bCs/>
        </w:rPr>
        <w:t>1.8</w:t>
      </w:r>
      <w:r w:rsidRPr="00BB7EA2">
        <w:rPr>
          <w:rFonts w:cstheme="minorHAnsi"/>
          <w:bCs/>
        </w:rPr>
        <w:t xml:space="preserve"> </w:t>
      </w:r>
      <w:r w:rsidRPr="00BB7EA2">
        <w:rPr>
          <w:rFonts w:cstheme="minorHAnsi"/>
          <w:b/>
          <w:bCs/>
        </w:rPr>
        <w:t xml:space="preserve">What were the </w:t>
      </w:r>
      <w:r w:rsidR="009C7513" w:rsidRPr="00BB7EA2">
        <w:rPr>
          <w:rFonts w:cstheme="minorHAnsi"/>
          <w:b/>
          <w:bCs/>
        </w:rPr>
        <w:t>social risk factors</w:t>
      </w:r>
      <w:r w:rsidRPr="00BB7EA2">
        <w:rPr>
          <w:rFonts w:cstheme="minorHAnsi"/>
          <w:b/>
          <w:bCs/>
        </w:rPr>
        <w:t xml:space="preserve"> that were available and analyzed</w:t>
      </w:r>
      <w:r w:rsidRPr="00BB7EA2">
        <w:rPr>
          <w:rFonts w:cstheme="minorHAnsi"/>
          <w:bCs/>
        </w:rPr>
        <w:t xml:space="preserve">? For example, patient-reported data (e.g., income, education, language), proxy variables when </w:t>
      </w:r>
      <w:r w:rsidR="009C7513" w:rsidRPr="00BB7EA2">
        <w:rPr>
          <w:rFonts w:cstheme="minorHAnsi"/>
          <w:bCs/>
        </w:rPr>
        <w:t>social risk</w:t>
      </w:r>
      <w:r w:rsidRPr="00BB7EA2">
        <w:rPr>
          <w:rFonts w:cstheme="minorHAnsi"/>
          <w:bCs/>
        </w:rPr>
        <w:t xml:space="preserve"> data are not collected from each patient (e.g. census tract), or patient community characteristics (e.g. percent vacant housing, crime rate)</w:t>
      </w:r>
      <w:r w:rsidR="009C7513" w:rsidRPr="00BB7EA2">
        <w:rPr>
          <w:rFonts w:cstheme="minorHAnsi"/>
          <w:bCs/>
        </w:rPr>
        <w:t xml:space="preserve"> which do not have to be a proxy for patient-level data</w:t>
      </w:r>
      <w:r w:rsidRPr="00BB7EA2">
        <w:rPr>
          <w:rFonts w:cstheme="minorHAnsi"/>
          <w:bCs/>
        </w:rPr>
        <w:t xml:space="preserve">. </w:t>
      </w:r>
    </w:p>
    <w:p w:rsidR="00AE060B" w:rsidRPr="00BB7EA2" w:rsidRDefault="00AE060B" w:rsidP="00E37E1B">
      <w:pPr>
        <w:autoSpaceDE w:val="0"/>
        <w:autoSpaceDN w:val="0"/>
        <w:adjustRightInd w:val="0"/>
        <w:spacing w:after="0" w:line="240" w:lineRule="auto"/>
        <w:rPr>
          <w:rFonts w:cstheme="minorHAnsi"/>
          <w:bCs/>
        </w:rPr>
      </w:pPr>
    </w:p>
    <w:p w:rsidR="00A64924" w:rsidRDefault="00A64924" w:rsidP="00660BC1">
      <w:pPr>
        <w:autoSpaceDE w:val="0"/>
        <w:autoSpaceDN w:val="0"/>
        <w:adjustRightInd w:val="0"/>
        <w:spacing w:after="0" w:line="240" w:lineRule="auto"/>
        <w:rPr>
          <w:rFonts w:ascii="Palatino Linotype" w:hAnsi="Palatino Linotype" w:cstheme="minorHAnsi"/>
          <w:bCs/>
          <w:i/>
          <w:sz w:val="20"/>
          <w:szCs w:val="20"/>
        </w:rPr>
      </w:pPr>
      <w:r w:rsidRPr="00BB7EA2">
        <w:rPr>
          <w:rFonts w:ascii="Palatino Linotype" w:hAnsi="Palatino Linotype" w:cstheme="minorHAnsi"/>
          <w:bCs/>
          <w:i/>
          <w:sz w:val="20"/>
          <w:szCs w:val="20"/>
        </w:rPr>
        <w:t>For the HCAHPS Survey, we collect patient</w:t>
      </w:r>
      <w:r w:rsidRPr="008C4D75">
        <w:rPr>
          <w:rFonts w:ascii="Palatino Linotype" w:hAnsi="Palatino Linotype" w:cstheme="minorHAnsi"/>
          <w:bCs/>
          <w:i/>
          <w:sz w:val="20"/>
          <w:szCs w:val="20"/>
        </w:rPr>
        <w:t>-reported data on level of education (8th grade or less</w:t>
      </w:r>
      <w:r w:rsidR="00617531" w:rsidRPr="008C4D75">
        <w:rPr>
          <w:rFonts w:ascii="Palatino Linotype" w:hAnsi="Palatino Linotype" w:cstheme="minorHAnsi"/>
          <w:bCs/>
          <w:i/>
          <w:sz w:val="20"/>
          <w:szCs w:val="20"/>
        </w:rPr>
        <w:t xml:space="preserve">; </w:t>
      </w:r>
      <w:r w:rsidRPr="008C4D75">
        <w:rPr>
          <w:rFonts w:ascii="Palatino Linotype" w:hAnsi="Palatino Linotype" w:cstheme="minorHAnsi"/>
          <w:bCs/>
          <w:i/>
          <w:sz w:val="20"/>
          <w:szCs w:val="20"/>
        </w:rPr>
        <w:t>Some high school, but did not graduate; High school graduate or GED; Some college or 2-year degree; 4-year college graduate; More than 4-year college degree) and language spoken at home (English; Spanish; Chinese; Russian; Vietnamese; Portuguese).</w:t>
      </w:r>
      <w:r w:rsidR="00660BC1">
        <w:rPr>
          <w:rFonts w:ascii="Palatino Linotype" w:hAnsi="Palatino Linotype" w:cstheme="minorHAnsi"/>
          <w:bCs/>
          <w:i/>
          <w:sz w:val="20"/>
          <w:szCs w:val="20"/>
        </w:rPr>
        <w:t xml:space="preserve"> In the HCAHPS patient-mix adjustment model, Education is specified by the six levels given above, while Language Spoken at home is specified as follows: English; Spanish; Chinese; and, </w:t>
      </w:r>
      <w:r w:rsidR="00660BC1" w:rsidRPr="008C4D75">
        <w:rPr>
          <w:rFonts w:ascii="Palatino Linotype" w:hAnsi="Palatino Linotype" w:cstheme="minorHAnsi"/>
          <w:bCs/>
          <w:i/>
          <w:sz w:val="20"/>
          <w:szCs w:val="20"/>
        </w:rPr>
        <w:t>Russian</w:t>
      </w:r>
      <w:r w:rsidR="00660BC1">
        <w:rPr>
          <w:rFonts w:ascii="Palatino Linotype" w:hAnsi="Palatino Linotype" w:cstheme="minorHAnsi"/>
          <w:bCs/>
          <w:i/>
          <w:sz w:val="20"/>
          <w:szCs w:val="20"/>
        </w:rPr>
        <w:t>/</w:t>
      </w:r>
      <w:r w:rsidR="00660BC1" w:rsidRPr="008C4D75">
        <w:rPr>
          <w:rFonts w:ascii="Palatino Linotype" w:hAnsi="Palatino Linotype" w:cstheme="minorHAnsi"/>
          <w:bCs/>
          <w:i/>
          <w:sz w:val="20"/>
          <w:szCs w:val="20"/>
        </w:rPr>
        <w:t>Vietnamese</w:t>
      </w:r>
      <w:r w:rsidR="00660BC1">
        <w:rPr>
          <w:rFonts w:ascii="Palatino Linotype" w:hAnsi="Palatino Linotype" w:cstheme="minorHAnsi"/>
          <w:bCs/>
          <w:i/>
          <w:sz w:val="20"/>
          <w:szCs w:val="20"/>
        </w:rPr>
        <w:t>/</w:t>
      </w:r>
      <w:r w:rsidR="00660BC1" w:rsidRPr="008C4D75">
        <w:rPr>
          <w:rFonts w:ascii="Palatino Linotype" w:hAnsi="Palatino Linotype" w:cstheme="minorHAnsi"/>
          <w:bCs/>
          <w:i/>
          <w:sz w:val="20"/>
          <w:szCs w:val="20"/>
        </w:rPr>
        <w:t>Portuguese</w:t>
      </w:r>
      <w:r w:rsidR="00660BC1">
        <w:rPr>
          <w:rFonts w:ascii="Palatino Linotype" w:hAnsi="Palatino Linotype" w:cstheme="minorHAnsi"/>
          <w:bCs/>
          <w:i/>
          <w:sz w:val="20"/>
          <w:szCs w:val="20"/>
        </w:rPr>
        <w:t xml:space="preserve">/Other. </w:t>
      </w:r>
    </w:p>
    <w:p w:rsidR="00E96FEE" w:rsidRDefault="00E96FEE" w:rsidP="00660BC1">
      <w:pPr>
        <w:autoSpaceDE w:val="0"/>
        <w:autoSpaceDN w:val="0"/>
        <w:adjustRightInd w:val="0"/>
        <w:spacing w:after="0" w:line="240" w:lineRule="auto"/>
        <w:rPr>
          <w:rFonts w:ascii="Palatino Linotype" w:hAnsi="Palatino Linotype" w:cstheme="minorHAnsi"/>
          <w:bCs/>
          <w:i/>
          <w:sz w:val="20"/>
          <w:szCs w:val="20"/>
        </w:rPr>
      </w:pPr>
    </w:p>
    <w:p w:rsidR="00E96FEE" w:rsidRDefault="00E96FEE" w:rsidP="00660BC1">
      <w:pPr>
        <w:autoSpaceDE w:val="0"/>
        <w:autoSpaceDN w:val="0"/>
        <w:adjustRightInd w:val="0"/>
        <w:spacing w:after="0" w:line="240" w:lineRule="auto"/>
        <w:rPr>
          <w:rFonts w:ascii="Palatino Linotype" w:hAnsi="Palatino Linotype" w:cstheme="minorHAnsi"/>
          <w:bCs/>
          <w:i/>
          <w:sz w:val="20"/>
          <w:szCs w:val="20"/>
        </w:rPr>
      </w:pPr>
      <w:r>
        <w:rPr>
          <w:rFonts w:ascii="Palatino Linotype" w:hAnsi="Palatino Linotype" w:cstheme="minorHAnsi"/>
          <w:bCs/>
          <w:i/>
          <w:sz w:val="20"/>
          <w:szCs w:val="20"/>
        </w:rPr>
        <w:t>Additionally, we have analyzed</w:t>
      </w:r>
      <w:r w:rsidRPr="00E96FEE">
        <w:rPr>
          <w:rFonts w:ascii="Palatino Linotype" w:hAnsi="Palatino Linotype" w:cstheme="minorHAnsi"/>
          <w:bCs/>
          <w:i/>
          <w:sz w:val="20"/>
          <w:szCs w:val="20"/>
        </w:rPr>
        <w:t xml:space="preserve"> differences in patient experiences of hospital care by preferred language within racial/ethnic group</w:t>
      </w:r>
      <w:r>
        <w:rPr>
          <w:rFonts w:ascii="Palatino Linotype" w:hAnsi="Palatino Linotype" w:cstheme="minorHAnsi"/>
          <w:bCs/>
          <w:i/>
          <w:sz w:val="20"/>
          <w:szCs w:val="20"/>
        </w:rPr>
        <w:t>s using HCAHPS surveys from 2014-2015. However, race/ethnicity is not used for official patient-mix adjustment of reported outcomes.</w:t>
      </w:r>
    </w:p>
    <w:p w:rsidR="003F44C1" w:rsidRDefault="003F44C1" w:rsidP="00A64924">
      <w:pPr>
        <w:autoSpaceDE w:val="0"/>
        <w:autoSpaceDN w:val="0"/>
        <w:adjustRightInd w:val="0"/>
        <w:spacing w:after="0" w:line="240" w:lineRule="auto"/>
        <w:rPr>
          <w:rFonts w:ascii="Palatino Linotype" w:hAnsi="Palatino Linotype" w:cstheme="minorHAnsi"/>
          <w:bCs/>
          <w:i/>
          <w:sz w:val="20"/>
          <w:szCs w:val="20"/>
        </w:rPr>
      </w:pPr>
    </w:p>
    <w:p w:rsidR="00942490" w:rsidRPr="00A25024" w:rsidRDefault="00942490" w:rsidP="00942490">
      <w:pPr>
        <w:autoSpaceDE w:val="0"/>
        <w:autoSpaceDN w:val="0"/>
        <w:adjustRightInd w:val="0"/>
        <w:spacing w:after="0" w:line="240" w:lineRule="auto"/>
        <w:rPr>
          <w:rFonts w:cstheme="minorHAnsi"/>
          <w:b/>
          <w:bCs/>
        </w:rPr>
      </w:pPr>
      <w:r w:rsidRPr="00A25024">
        <w:rPr>
          <w:rFonts w:cstheme="minorHAnsi"/>
          <w:b/>
          <w:noProof/>
        </w:rPr>
        <w:t xml:space="preserve">2a2. </w:t>
      </w:r>
      <w:r w:rsidRPr="00A25024">
        <w:rPr>
          <w:rFonts w:cstheme="minorHAnsi"/>
          <w:b/>
          <w:bCs/>
        </w:rPr>
        <w:t xml:space="preserve">RELIABILITY TESTING </w:t>
      </w:r>
    </w:p>
    <w:p w:rsidR="00942490" w:rsidRPr="00A25024" w:rsidRDefault="00942490" w:rsidP="00942490">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Pr>
          <w:rFonts w:cstheme="minorHAnsi"/>
          <w:bCs/>
          <w:i/>
        </w:rPr>
        <w:t xml:space="preserve">in 2a2.1 check critical data elements; in 2a2.2 enter “see section 2b2 for </w:t>
      </w:r>
      <w:r w:rsidRPr="00A25024">
        <w:rPr>
          <w:rFonts w:cstheme="minorHAnsi"/>
          <w:bCs/>
          <w:i/>
        </w:rPr>
        <w:t xml:space="preserve">validity </w:t>
      </w:r>
      <w:r>
        <w:rPr>
          <w:rFonts w:cstheme="minorHAnsi"/>
          <w:bCs/>
          <w:i/>
        </w:rPr>
        <w:t>testing of data elements”; and skip 2a2.3 and 2a2.4.</w:t>
      </w:r>
    </w:p>
    <w:p w:rsidR="00942490" w:rsidRPr="00A25024" w:rsidRDefault="00942490" w:rsidP="00942490">
      <w:pPr>
        <w:autoSpaceDE w:val="0"/>
        <w:autoSpaceDN w:val="0"/>
        <w:adjustRightInd w:val="0"/>
        <w:spacing w:after="0" w:line="240" w:lineRule="auto"/>
        <w:rPr>
          <w:rFonts w:cstheme="minorHAnsi"/>
          <w:b/>
          <w:bCs/>
        </w:rPr>
      </w:pPr>
    </w:p>
    <w:p w:rsidR="00942490" w:rsidRDefault="00942490" w:rsidP="00942490">
      <w:pPr>
        <w:autoSpaceDE w:val="0"/>
        <w:autoSpaceDN w:val="0"/>
        <w:adjustRightInd w:val="0"/>
        <w:spacing w:after="0" w:line="240" w:lineRule="auto"/>
        <w:rPr>
          <w:rFonts w:cstheme="minorHAnsi"/>
          <w:bCs/>
        </w:rPr>
      </w:pPr>
      <w:r w:rsidRPr="00E363E3">
        <w:rPr>
          <w:rFonts w:cstheme="minorHAnsi"/>
          <w:b/>
          <w:bCs/>
          <w:highlight w:val="yellow"/>
        </w:rPr>
        <w:t>2a2.1.</w:t>
      </w:r>
      <w:r w:rsidRPr="00A25024">
        <w:rPr>
          <w:rFonts w:cstheme="minorHAnsi"/>
          <w:b/>
          <w:bCs/>
        </w:rPr>
        <w:t xml:space="preserve"> What level of reliability testing was conducted</w:t>
      </w:r>
      <w:r w:rsidRPr="00A25024">
        <w:rPr>
          <w:rFonts w:cstheme="minorHAnsi"/>
          <w:bCs/>
        </w:rPr>
        <w:t>? (</w:t>
      </w:r>
      <w:r w:rsidRPr="00A25024">
        <w:rPr>
          <w:rFonts w:cstheme="minorHAnsi"/>
          <w:bCs/>
          <w:i/>
        </w:rPr>
        <w:t>may be one or both levels</w:t>
      </w:r>
      <w:r w:rsidRPr="00A25024">
        <w:rPr>
          <w:rFonts w:cstheme="minorHAnsi"/>
          <w:bCs/>
        </w:rPr>
        <w:t>)</w:t>
      </w:r>
      <w:r w:rsidRPr="00A25024">
        <w:rPr>
          <w:rFonts w:cstheme="minorHAnsi"/>
          <w:bCs/>
        </w:rPr>
        <w:br/>
      </w:r>
      <w:sdt>
        <w:sdtPr>
          <w:rPr>
            <w:rFonts w:cstheme="minorHAnsi"/>
            <w:bCs/>
            <w:color w:val="0000FF"/>
          </w:rPr>
          <w:id w:val="-2113271044"/>
          <w14:checkbox>
            <w14:checked w14:val="1"/>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Pr="00A25024">
        <w:rPr>
          <w:rFonts w:eastAsia="MS Mincho" w:cstheme="minorHAnsi"/>
          <w:b/>
          <w:bCs/>
          <w:color w:val="0000FF"/>
        </w:rPr>
        <w:t xml:space="preserve"> </w:t>
      </w:r>
      <w:r>
        <w:rPr>
          <w:rFonts w:cstheme="minorHAnsi"/>
          <w:b/>
          <w:bCs/>
        </w:rPr>
        <w:t>C</w:t>
      </w:r>
      <w:r w:rsidRPr="00A25024">
        <w:rPr>
          <w:rFonts w:cstheme="minorHAnsi"/>
          <w:b/>
          <w:bCs/>
        </w:rPr>
        <w:t>ritical data elements used in the measure</w:t>
      </w:r>
      <w:r w:rsidRPr="00A25024">
        <w:rPr>
          <w:rFonts w:cstheme="minorHAnsi"/>
          <w:bCs/>
        </w:rPr>
        <w:t xml:space="preserve"> (</w:t>
      </w:r>
      <w:r w:rsidRPr="00756FDB">
        <w:rPr>
          <w:rFonts w:cstheme="minorHAnsi"/>
          <w:bCs/>
          <w:i/>
        </w:rPr>
        <w:t>e.g., inter-abstractor reliability</w:t>
      </w:r>
      <w:r>
        <w:rPr>
          <w:rFonts w:cstheme="minorHAnsi"/>
          <w:bCs/>
          <w:i/>
        </w:rPr>
        <w:t>; data element reliability</w:t>
      </w:r>
      <w:r w:rsidRPr="000414E8">
        <w:rPr>
          <w:rFonts w:cstheme="minorHAnsi"/>
          <w:bCs/>
          <w:i/>
        </w:rPr>
        <w:t xml:space="preserve"> must address ALL critical data elements</w:t>
      </w:r>
      <w:r>
        <w:rPr>
          <w:rFonts w:cstheme="minorHAnsi"/>
          <w:bCs/>
        </w:rPr>
        <w:t>)</w:t>
      </w:r>
      <w:r w:rsidRPr="00A25024">
        <w:rPr>
          <w:rFonts w:cstheme="minorHAnsi"/>
          <w:bCs/>
        </w:rPr>
        <w:br/>
      </w:r>
      <w:sdt>
        <w:sdtPr>
          <w:rPr>
            <w:rFonts w:cstheme="minorHAnsi"/>
            <w:bCs/>
            <w:color w:val="0000FF"/>
          </w:rPr>
          <w:id w:val="-1450230998"/>
          <w14:checkbox>
            <w14:checked w14:val="1"/>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Pr="00A25024">
        <w:rPr>
          <w:rFonts w:eastAsia="MS Mincho" w:cstheme="minorHAnsi"/>
          <w:b/>
          <w:bCs/>
          <w:color w:val="0000FF"/>
        </w:rPr>
        <w:t xml:space="preserve"> </w:t>
      </w:r>
      <w:r>
        <w:rPr>
          <w:rFonts w:cstheme="minorHAnsi"/>
          <w:b/>
          <w:bCs/>
        </w:rPr>
        <w:t>P</w:t>
      </w:r>
      <w:r w:rsidRPr="00A25024">
        <w:rPr>
          <w:rFonts w:cstheme="minorHAnsi"/>
          <w:b/>
          <w:bCs/>
        </w:rPr>
        <w:t>erformance measure score</w:t>
      </w:r>
      <w:r w:rsidRPr="00A25024">
        <w:rPr>
          <w:rFonts w:cstheme="minorHAnsi"/>
          <w:bCs/>
        </w:rPr>
        <w:t xml:space="preserve"> (e.g., </w:t>
      </w:r>
      <w:r w:rsidRPr="00A25024">
        <w:rPr>
          <w:rFonts w:cstheme="minorHAnsi"/>
          <w:bCs/>
          <w:i/>
        </w:rPr>
        <w:t>signal-to-noise</w:t>
      </w:r>
      <w:r>
        <w:rPr>
          <w:rFonts w:cstheme="minorHAnsi"/>
          <w:bCs/>
          <w:i/>
        </w:rPr>
        <w:t xml:space="preserve"> analysis</w:t>
      </w:r>
      <w:r w:rsidRPr="00A25024">
        <w:rPr>
          <w:rFonts w:cstheme="minorHAnsi"/>
          <w:bCs/>
        </w:rPr>
        <w:t>)</w:t>
      </w:r>
    </w:p>
    <w:p w:rsidR="00942490" w:rsidRDefault="00942490" w:rsidP="00942490">
      <w:pPr>
        <w:autoSpaceDE w:val="0"/>
        <w:autoSpaceDN w:val="0"/>
        <w:adjustRightInd w:val="0"/>
        <w:spacing w:after="0" w:line="240" w:lineRule="auto"/>
        <w:rPr>
          <w:rFonts w:cstheme="minorHAnsi"/>
          <w:b/>
          <w:bCs/>
        </w:rPr>
      </w:pPr>
    </w:p>
    <w:p w:rsidR="00942490" w:rsidRDefault="00942490" w:rsidP="00942490">
      <w:pPr>
        <w:autoSpaceDE w:val="0"/>
        <w:autoSpaceDN w:val="0"/>
        <w:adjustRightInd w:val="0"/>
        <w:spacing w:after="0" w:line="240" w:lineRule="auto"/>
        <w:rPr>
          <w:rFonts w:cstheme="minorHAnsi"/>
          <w:bCs/>
        </w:rPr>
      </w:pPr>
      <w:r>
        <w:rPr>
          <w:rFonts w:cstheme="minorHAnsi"/>
          <w:b/>
          <w:bCs/>
        </w:rPr>
        <w:t>2a2.</w:t>
      </w:r>
      <w:r w:rsidRPr="00A25024">
        <w:rPr>
          <w:rFonts w:cstheme="minorHAnsi"/>
          <w:b/>
          <w:bCs/>
        </w:rPr>
        <w:t>2. For each level checked above, describe the method of reliability testing and what it tests</w:t>
      </w:r>
      <w:r w:rsidRPr="00A25024">
        <w:rPr>
          <w:rFonts w:cstheme="minorHAnsi"/>
          <w:bCs/>
        </w:rPr>
        <w:t xml:space="preserve"> (</w:t>
      </w:r>
      <w:r w:rsidRPr="00A25024">
        <w:rPr>
          <w:rFonts w:cstheme="minorHAnsi"/>
          <w:bCs/>
          <w:i/>
        </w:rPr>
        <w:t xml:space="preserve">describe the steps―do not just name a method; </w:t>
      </w:r>
      <w:r w:rsidRPr="0022691B">
        <w:rPr>
          <w:rFonts w:cstheme="minorHAnsi"/>
          <w:bCs/>
          <w:i/>
        </w:rPr>
        <w:t xml:space="preserve">what </w:t>
      </w:r>
      <w:r>
        <w:rPr>
          <w:rFonts w:cstheme="minorHAnsi"/>
          <w:bCs/>
          <w:i/>
        </w:rPr>
        <w:t xml:space="preserve">type of error </w:t>
      </w:r>
      <w:r w:rsidRPr="0022691B">
        <w:rPr>
          <w:rFonts w:cstheme="minorHAnsi"/>
          <w:bCs/>
          <w:i/>
        </w:rPr>
        <w:t>does it test</w:t>
      </w:r>
      <w:r>
        <w:rPr>
          <w:rFonts w:cstheme="minorHAnsi"/>
          <w:bCs/>
          <w:i/>
        </w:rPr>
        <w:t>;</w:t>
      </w:r>
      <w:r w:rsidRPr="0022691B">
        <w:rPr>
          <w:rFonts w:cstheme="minorHAnsi"/>
          <w:bCs/>
          <w:i/>
        </w:rPr>
        <w:t xml:space="preserve"> </w:t>
      </w:r>
      <w:r>
        <w:rPr>
          <w:rFonts w:cstheme="minorHAnsi"/>
          <w:bCs/>
          <w:i/>
        </w:rPr>
        <w:t>what statistical analysis was used</w:t>
      </w:r>
      <w:r w:rsidRPr="0022691B">
        <w:rPr>
          <w:rFonts w:cstheme="minorHAnsi"/>
          <w:bCs/>
        </w:rPr>
        <w:t>)</w:t>
      </w:r>
    </w:p>
    <w:p w:rsidR="00942490" w:rsidRPr="00851609" w:rsidRDefault="00942490" w:rsidP="00942490">
      <w:pPr>
        <w:autoSpaceDE w:val="0"/>
        <w:autoSpaceDN w:val="0"/>
        <w:adjustRightInd w:val="0"/>
        <w:spacing w:after="0" w:line="240" w:lineRule="auto"/>
        <w:rPr>
          <w:rFonts w:ascii="Palatino Linotype" w:hAnsi="Palatino Linotype" w:cstheme="minorHAnsi"/>
          <w:bCs/>
          <w:sz w:val="20"/>
          <w:szCs w:val="20"/>
        </w:rPr>
      </w:pPr>
    </w:p>
    <w:p w:rsidR="00942490" w:rsidRDefault="00942490" w:rsidP="00942490">
      <w:pPr>
        <w:rPr>
          <w:rFonts w:ascii="Palatino Linotype" w:hAnsi="Palatino Linotype"/>
          <w:i/>
          <w:sz w:val="20"/>
          <w:szCs w:val="20"/>
        </w:rPr>
      </w:pPr>
      <w:r w:rsidRPr="00851609">
        <w:rPr>
          <w:rFonts w:ascii="Palatino Linotype" w:hAnsi="Palatino Linotype"/>
          <w:i/>
          <w:sz w:val="20"/>
          <w:szCs w:val="20"/>
        </w:rPr>
        <w:t>Outcomes were top-box</w:t>
      </w:r>
      <w:r>
        <w:rPr>
          <w:rFonts w:ascii="Palatino Linotype" w:hAnsi="Palatino Linotype"/>
          <w:i/>
          <w:sz w:val="20"/>
          <w:szCs w:val="20"/>
        </w:rPr>
        <w:t xml:space="preserve"> </w:t>
      </w:r>
      <w:r>
        <w:rPr>
          <w:rFonts w:ascii="Palatino Linotype" w:hAnsi="Palatino Linotype" w:cs="Times New Roman"/>
          <w:i/>
          <w:sz w:val="20"/>
          <w:szCs w:val="20"/>
        </w:rPr>
        <w:t>(most positive response, except 9 or 10 for 0-10 responses)</w:t>
      </w:r>
      <w:r w:rsidRPr="00851609">
        <w:rPr>
          <w:rFonts w:ascii="Palatino Linotype" w:hAnsi="Palatino Linotype"/>
          <w:i/>
          <w:sz w:val="20"/>
          <w:szCs w:val="20"/>
        </w:rPr>
        <w:t xml:space="preserve"> or full-scale patient-level scores for evaluative items or </w:t>
      </w:r>
      <w:r>
        <w:rPr>
          <w:rFonts w:ascii="Palatino Linotype" w:hAnsi="Palatino Linotype"/>
          <w:i/>
          <w:sz w:val="20"/>
          <w:szCs w:val="20"/>
        </w:rPr>
        <w:t>multiple-item measures</w:t>
      </w:r>
      <w:r w:rsidRPr="00851609">
        <w:rPr>
          <w:rFonts w:ascii="Palatino Linotype" w:hAnsi="Palatino Linotype"/>
          <w:i/>
          <w:sz w:val="20"/>
          <w:szCs w:val="20"/>
        </w:rPr>
        <w:t xml:space="preserve">, as applicable.  </w:t>
      </w:r>
    </w:p>
    <w:p w:rsidR="00942490" w:rsidRDefault="00942490" w:rsidP="00942490">
      <w:pPr>
        <w:rPr>
          <w:rFonts w:ascii="Palatino Linotype" w:hAnsi="Palatino Linotype" w:cs="Times New Roman"/>
          <w:i/>
          <w:sz w:val="20"/>
          <w:szCs w:val="20"/>
        </w:rPr>
      </w:pPr>
      <w:r w:rsidRPr="00851609">
        <w:rPr>
          <w:rFonts w:ascii="Palatino Linotype" w:hAnsi="Palatino Linotype"/>
          <w:i/>
          <w:sz w:val="20"/>
          <w:szCs w:val="20"/>
        </w:rPr>
        <w:t xml:space="preserve">ICCs are the ratio of </w:t>
      </w:r>
      <w:r>
        <w:rPr>
          <w:rFonts w:ascii="Palatino Linotype" w:hAnsi="Palatino Linotype"/>
          <w:i/>
          <w:sz w:val="20"/>
          <w:szCs w:val="20"/>
        </w:rPr>
        <w:t>between-</w:t>
      </w:r>
      <w:r w:rsidRPr="00851609">
        <w:rPr>
          <w:rFonts w:ascii="Palatino Linotype" w:hAnsi="Palatino Linotype"/>
          <w:i/>
          <w:sz w:val="20"/>
          <w:szCs w:val="20"/>
        </w:rPr>
        <w:t xml:space="preserve">hospital to </w:t>
      </w:r>
      <w:r>
        <w:rPr>
          <w:rFonts w:ascii="Palatino Linotype" w:hAnsi="Palatino Linotype"/>
          <w:i/>
          <w:sz w:val="20"/>
          <w:szCs w:val="20"/>
        </w:rPr>
        <w:t xml:space="preserve">total </w:t>
      </w:r>
      <w:r w:rsidRPr="00851609">
        <w:rPr>
          <w:rFonts w:ascii="Palatino Linotype" w:hAnsi="Palatino Linotype"/>
          <w:i/>
          <w:sz w:val="20"/>
          <w:szCs w:val="20"/>
        </w:rPr>
        <w:t>patient-level variance.</w:t>
      </w:r>
      <w:r>
        <w:rPr>
          <w:rFonts w:ascii="Palatino Linotype" w:hAnsi="Palatino Linotype"/>
          <w:i/>
          <w:sz w:val="20"/>
          <w:szCs w:val="20"/>
        </w:rPr>
        <w:t xml:space="preserve">  </w:t>
      </w:r>
      <w:r w:rsidRPr="002E5750">
        <w:rPr>
          <w:rFonts w:ascii="Palatino Linotype" w:hAnsi="Palatino Linotype"/>
          <w:i/>
          <w:sz w:val="20"/>
          <w:szCs w:val="20"/>
        </w:rPr>
        <w:t xml:space="preserve">The Spearman-Brown Formula was used to convert ICCs into estimated reliabilities at the specified sample size.  </w:t>
      </w:r>
      <w:r w:rsidRPr="008C4D75">
        <w:rPr>
          <w:rFonts w:ascii="Palatino Linotype" w:hAnsi="Palatino Linotype" w:cs="Times New Roman"/>
          <w:i/>
          <w:sz w:val="20"/>
          <w:szCs w:val="20"/>
        </w:rPr>
        <w:t xml:space="preserve">Variance component models were used to </w:t>
      </w:r>
      <w:r>
        <w:rPr>
          <w:rFonts w:ascii="Palatino Linotype" w:hAnsi="Palatino Linotype" w:cs="Times New Roman"/>
          <w:i/>
          <w:sz w:val="20"/>
          <w:szCs w:val="20"/>
        </w:rPr>
        <w:t>estimate</w:t>
      </w:r>
      <w:r w:rsidRPr="008C4D75">
        <w:rPr>
          <w:rFonts w:ascii="Palatino Linotype" w:hAnsi="Palatino Linotype" w:cs="Times New Roman"/>
          <w:i/>
          <w:sz w:val="20"/>
          <w:szCs w:val="20"/>
        </w:rPr>
        <w:t xml:space="preserve"> hospital-level reliability of top-box scores for 1</w:t>
      </w:r>
      <w:r>
        <w:rPr>
          <w:rFonts w:ascii="Palatino Linotype" w:hAnsi="Palatino Linotype" w:cs="Times New Roman"/>
          <w:i/>
          <w:sz w:val="20"/>
          <w:szCs w:val="20"/>
        </w:rPr>
        <w:t>0</w:t>
      </w:r>
      <w:r w:rsidRPr="008C4D75">
        <w:rPr>
          <w:rFonts w:ascii="Palatino Linotype" w:hAnsi="Palatino Linotype" w:cs="Times New Roman"/>
          <w:i/>
          <w:sz w:val="20"/>
          <w:szCs w:val="20"/>
        </w:rPr>
        <w:t xml:space="preserve"> HCAHPS measures at N=300 completed surveys (as HCAHPS recommends).</w:t>
      </w:r>
      <w:r>
        <w:rPr>
          <w:rFonts w:ascii="Palatino Linotype" w:hAnsi="Palatino Linotype" w:cs="Times New Roman"/>
          <w:i/>
          <w:sz w:val="20"/>
          <w:szCs w:val="20"/>
        </w:rPr>
        <w:t xml:space="preserve">  Mean scores based on the full response scales were also used to test hospital-level reliability, where noted.</w:t>
      </w:r>
    </w:p>
    <w:p w:rsidR="00942490" w:rsidRPr="001977BF" w:rsidRDefault="00942490" w:rsidP="00942490">
      <w:pPr>
        <w:rPr>
          <w:rFonts w:ascii="Palatino Linotype" w:hAnsi="Palatino Linotype" w:cs="Times New Roman"/>
          <w:b/>
          <w:i/>
          <w:sz w:val="20"/>
          <w:szCs w:val="20"/>
        </w:rPr>
      </w:pPr>
      <w:r>
        <w:rPr>
          <w:rFonts w:ascii="Palatino Linotype" w:hAnsi="Palatino Linotype" w:cs="Times New Roman"/>
          <w:i/>
          <w:sz w:val="20"/>
          <w:szCs w:val="20"/>
        </w:rPr>
        <w:lastRenderedPageBreak/>
        <w:t>Cronbach’s alpha (internal consistency) estimates of reliability were calculated for the 6 multi-item measures.</w:t>
      </w:r>
    </w:p>
    <w:p w:rsidR="00942490" w:rsidRDefault="00942490" w:rsidP="00942490">
      <w:pPr>
        <w:autoSpaceDE w:val="0"/>
        <w:autoSpaceDN w:val="0"/>
        <w:adjustRightInd w:val="0"/>
        <w:spacing w:after="0" w:line="240" w:lineRule="auto"/>
        <w:rPr>
          <w:rFonts w:cstheme="minorHAnsi"/>
          <w:bCs/>
        </w:rPr>
      </w:pPr>
      <w:r>
        <w:rPr>
          <w:rFonts w:cstheme="minorHAnsi"/>
          <w:b/>
          <w:bCs/>
        </w:rPr>
        <w:t>2a2.</w:t>
      </w:r>
      <w:r w:rsidRPr="00A25024">
        <w:rPr>
          <w:rFonts w:cstheme="minorHAnsi"/>
          <w:b/>
          <w:bCs/>
        </w:rPr>
        <w:t xml:space="preserve">3. For each level </w:t>
      </w:r>
      <w:r>
        <w:rPr>
          <w:rFonts w:cstheme="minorHAnsi"/>
          <w:b/>
          <w:bCs/>
        </w:rPr>
        <w:t xml:space="preserve">of testing </w:t>
      </w:r>
      <w:r w:rsidRPr="00A25024">
        <w:rPr>
          <w:rFonts w:cstheme="minorHAnsi"/>
          <w:b/>
          <w:bCs/>
        </w:rPr>
        <w:t>checked above, what were the statistical results from reliability testing</w:t>
      </w:r>
      <w:r w:rsidRPr="00A25024">
        <w:rPr>
          <w:rFonts w:cstheme="minorHAnsi"/>
          <w:bCs/>
        </w:rPr>
        <w:t>?  (e</w:t>
      </w:r>
      <w:r w:rsidRPr="00A25024">
        <w:rPr>
          <w:rFonts w:cstheme="minorHAnsi"/>
          <w:bCs/>
          <w:i/>
        </w:rPr>
        <w:t>.g., percent agreement and kappa for the critical data elements; distribution of reliability statistics from a signal-to-noise analysis</w:t>
      </w:r>
      <w:r w:rsidRPr="00A25024">
        <w:rPr>
          <w:rFonts w:cstheme="minorHAnsi"/>
          <w:bCs/>
        </w:rPr>
        <w:t>)</w:t>
      </w:r>
    </w:p>
    <w:p w:rsidR="00942490" w:rsidRPr="00B37C85" w:rsidRDefault="00942490" w:rsidP="00942490">
      <w:pPr>
        <w:autoSpaceDE w:val="0"/>
        <w:autoSpaceDN w:val="0"/>
        <w:adjustRightInd w:val="0"/>
        <w:spacing w:after="0" w:line="240" w:lineRule="auto"/>
        <w:rPr>
          <w:rFonts w:cstheme="minorHAnsi"/>
          <w:bCs/>
          <w:sz w:val="20"/>
          <w:szCs w:val="20"/>
        </w:rPr>
      </w:pPr>
    </w:p>
    <w:p w:rsidR="00942490" w:rsidRDefault="00942490" w:rsidP="00942490">
      <w:pPr>
        <w:spacing w:after="240"/>
        <w:rPr>
          <w:rFonts w:ascii="Palatino Linotype" w:hAnsi="Palatino Linotype" w:cs="Times New Roman"/>
          <w:i/>
          <w:sz w:val="20"/>
          <w:szCs w:val="20"/>
        </w:rPr>
      </w:pPr>
      <w:r>
        <w:rPr>
          <w:rFonts w:ascii="Palatino Linotype" w:hAnsi="Palatino Linotype" w:cs="Times New Roman"/>
          <w:i/>
          <w:sz w:val="20"/>
          <w:szCs w:val="20"/>
        </w:rPr>
        <w:t>Hospital-level r</w:t>
      </w:r>
      <w:r w:rsidRPr="00B37C85">
        <w:rPr>
          <w:rFonts w:ascii="Palatino Linotype" w:hAnsi="Palatino Linotype" w:cs="Times New Roman"/>
          <w:i/>
          <w:sz w:val="20"/>
          <w:szCs w:val="20"/>
        </w:rPr>
        <w:t>eliabilities of the 1</w:t>
      </w:r>
      <w:r>
        <w:rPr>
          <w:rFonts w:ascii="Palatino Linotype" w:hAnsi="Palatino Linotype" w:cs="Times New Roman"/>
          <w:i/>
          <w:sz w:val="20"/>
          <w:szCs w:val="20"/>
        </w:rPr>
        <w:t>0</w:t>
      </w:r>
      <w:r w:rsidRPr="00B37C85">
        <w:rPr>
          <w:rFonts w:ascii="Palatino Linotype" w:hAnsi="Palatino Linotype" w:cs="Times New Roman"/>
          <w:i/>
          <w:sz w:val="20"/>
          <w:szCs w:val="20"/>
        </w:rPr>
        <w:t xml:space="preserve"> </w:t>
      </w:r>
      <w:r>
        <w:rPr>
          <w:rFonts w:ascii="Palatino Linotype" w:hAnsi="Palatino Linotype" w:cs="Times New Roman"/>
          <w:i/>
          <w:sz w:val="20"/>
          <w:szCs w:val="20"/>
        </w:rPr>
        <w:t>HCAHPS measure top-box scores</w:t>
      </w:r>
      <w:r w:rsidRPr="00B37C85">
        <w:rPr>
          <w:rFonts w:ascii="Palatino Linotype" w:hAnsi="Palatino Linotype" w:cs="Times New Roman"/>
          <w:i/>
          <w:sz w:val="20"/>
          <w:szCs w:val="20"/>
        </w:rPr>
        <w:t xml:space="preserve"> ranged from 0.83 (Communication about Medicines and Discharge Information) to 0.93 (Quietness and Recommend Hospital).</w:t>
      </w:r>
      <w:r>
        <w:rPr>
          <w:rFonts w:ascii="Palatino Linotype" w:hAnsi="Palatino Linotype" w:cs="Times New Roman"/>
          <w:i/>
          <w:sz w:val="20"/>
          <w:szCs w:val="20"/>
        </w:rPr>
        <w:t xml:space="preserve">  That is, a</w:t>
      </w:r>
      <w:r w:rsidRPr="00B37C85">
        <w:rPr>
          <w:rFonts w:ascii="Palatino Linotype" w:hAnsi="Palatino Linotype" w:cs="Times New Roman"/>
          <w:i/>
          <w:sz w:val="20"/>
          <w:szCs w:val="20"/>
        </w:rPr>
        <w:t>ll 1</w:t>
      </w:r>
      <w:r>
        <w:rPr>
          <w:rFonts w:ascii="Palatino Linotype" w:hAnsi="Palatino Linotype" w:cs="Times New Roman"/>
          <w:i/>
          <w:sz w:val="20"/>
          <w:szCs w:val="20"/>
        </w:rPr>
        <w:t>0</w:t>
      </w:r>
      <w:r w:rsidRPr="00B37C85">
        <w:rPr>
          <w:rFonts w:ascii="Palatino Linotype" w:hAnsi="Palatino Linotype" w:cs="Times New Roman"/>
          <w:i/>
          <w:sz w:val="20"/>
          <w:szCs w:val="20"/>
        </w:rPr>
        <w:t xml:space="preserve"> </w:t>
      </w:r>
      <w:r>
        <w:rPr>
          <w:rFonts w:ascii="Palatino Linotype" w:hAnsi="Palatino Linotype" w:cs="Times New Roman"/>
          <w:i/>
          <w:sz w:val="20"/>
          <w:szCs w:val="20"/>
        </w:rPr>
        <w:t xml:space="preserve">exceeded </w:t>
      </w:r>
      <w:r w:rsidRPr="00B37C85">
        <w:rPr>
          <w:rFonts w:ascii="Palatino Linotype" w:hAnsi="Palatino Linotype" w:cs="Times New Roman"/>
          <w:i/>
          <w:sz w:val="20"/>
          <w:szCs w:val="20"/>
        </w:rPr>
        <w:t xml:space="preserve">the threshold of 0.80 (good reliability, with </w:t>
      </w:r>
      <w:r>
        <w:rPr>
          <w:rFonts w:ascii="Palatino Linotype" w:hAnsi="Palatino Linotype" w:cs="Times New Roman"/>
          <w:i/>
          <w:sz w:val="20"/>
          <w:szCs w:val="20"/>
        </w:rPr>
        <w:t>~</w:t>
      </w:r>
      <w:r w:rsidRPr="00B37C85">
        <w:rPr>
          <w:rFonts w:ascii="Palatino Linotype" w:hAnsi="Palatino Linotype" w:cs="Times New Roman"/>
          <w:i/>
          <w:sz w:val="20"/>
          <w:szCs w:val="20"/>
        </w:rPr>
        <w:t xml:space="preserve">0.70 “adequate”), and </w:t>
      </w:r>
      <w:r>
        <w:rPr>
          <w:rFonts w:ascii="Palatino Linotype" w:hAnsi="Palatino Linotype" w:cs="Times New Roman"/>
          <w:i/>
          <w:sz w:val="20"/>
          <w:szCs w:val="20"/>
        </w:rPr>
        <w:t>8</w:t>
      </w:r>
      <w:r w:rsidRPr="00B37C85">
        <w:rPr>
          <w:rFonts w:ascii="Palatino Linotype" w:hAnsi="Palatino Linotype" w:cs="Times New Roman"/>
          <w:i/>
          <w:sz w:val="20"/>
          <w:szCs w:val="20"/>
        </w:rPr>
        <w:t xml:space="preserve"> of 1</w:t>
      </w:r>
      <w:r>
        <w:rPr>
          <w:rFonts w:ascii="Palatino Linotype" w:hAnsi="Palatino Linotype" w:cs="Times New Roman"/>
          <w:i/>
          <w:sz w:val="20"/>
          <w:szCs w:val="20"/>
        </w:rPr>
        <w:t>0</w:t>
      </w:r>
      <w:r w:rsidRPr="00B37C85">
        <w:rPr>
          <w:rFonts w:ascii="Palatino Linotype" w:hAnsi="Palatino Linotype" w:cs="Times New Roman"/>
          <w:i/>
          <w:sz w:val="20"/>
          <w:szCs w:val="20"/>
        </w:rPr>
        <w:t xml:space="preserve"> (all but Communication about Medicines and Discharge Information) </w:t>
      </w:r>
      <w:r>
        <w:rPr>
          <w:rFonts w:ascii="Palatino Linotype" w:hAnsi="Palatino Linotype" w:cs="Times New Roman"/>
          <w:i/>
          <w:sz w:val="20"/>
          <w:szCs w:val="20"/>
        </w:rPr>
        <w:t>exceeded</w:t>
      </w:r>
      <w:r w:rsidRPr="00B37C85">
        <w:rPr>
          <w:rFonts w:ascii="Palatino Linotype" w:hAnsi="Palatino Linotype" w:cs="Times New Roman"/>
          <w:i/>
          <w:sz w:val="20"/>
          <w:szCs w:val="20"/>
        </w:rPr>
        <w:t xml:space="preserve"> the very good/0.85 standard.  </w:t>
      </w:r>
    </w:p>
    <w:p w:rsidR="00942490" w:rsidRPr="00B37C85" w:rsidRDefault="00942490" w:rsidP="00942490">
      <w:pPr>
        <w:spacing w:after="240"/>
        <w:rPr>
          <w:rFonts w:ascii="Palatino Linotype" w:hAnsi="Palatino Linotype" w:cs="Times New Roman"/>
          <w:i/>
          <w:sz w:val="20"/>
          <w:szCs w:val="20"/>
        </w:rPr>
      </w:pPr>
      <w:r w:rsidRPr="00753CCF">
        <w:rPr>
          <w:rFonts w:ascii="Palatino Linotype" w:hAnsi="Palatino Linotype" w:cstheme="minorHAnsi"/>
          <w:i/>
          <w:noProof/>
          <w:sz w:val="20"/>
          <w:szCs w:val="20"/>
        </w:rPr>
        <w:t xml:space="preserve">Hospital-level </w:t>
      </w:r>
      <w:r>
        <w:rPr>
          <w:rFonts w:ascii="Palatino Linotype" w:hAnsi="Palatino Linotype" w:cstheme="minorHAnsi"/>
          <w:i/>
          <w:noProof/>
          <w:sz w:val="20"/>
          <w:szCs w:val="20"/>
        </w:rPr>
        <w:t>r</w:t>
      </w:r>
      <w:r w:rsidRPr="00753CCF">
        <w:rPr>
          <w:rFonts w:ascii="Palatino Linotype" w:hAnsi="Palatino Linotype" w:cstheme="minorHAnsi"/>
          <w:i/>
          <w:noProof/>
          <w:sz w:val="20"/>
          <w:szCs w:val="20"/>
        </w:rPr>
        <w:t xml:space="preserve">eliabilities of 10 HCAHPS </w:t>
      </w:r>
      <w:r>
        <w:rPr>
          <w:rFonts w:ascii="Palatino Linotype" w:hAnsi="Palatino Linotype" w:cstheme="minorHAnsi"/>
          <w:i/>
          <w:noProof/>
          <w:sz w:val="20"/>
          <w:szCs w:val="20"/>
        </w:rPr>
        <w:t>measure m</w:t>
      </w:r>
      <w:r w:rsidRPr="00753CCF">
        <w:rPr>
          <w:rFonts w:ascii="Palatino Linotype" w:hAnsi="Palatino Linotype" w:cstheme="minorHAnsi"/>
          <w:i/>
          <w:noProof/>
          <w:sz w:val="20"/>
          <w:szCs w:val="20"/>
        </w:rPr>
        <w:t xml:space="preserve">ean </w:t>
      </w:r>
      <w:r>
        <w:rPr>
          <w:rFonts w:ascii="Palatino Linotype" w:hAnsi="Palatino Linotype" w:cstheme="minorHAnsi"/>
          <w:i/>
          <w:noProof/>
          <w:sz w:val="20"/>
          <w:szCs w:val="20"/>
        </w:rPr>
        <w:t>s</w:t>
      </w:r>
      <w:r w:rsidRPr="00753CCF">
        <w:rPr>
          <w:rFonts w:ascii="Palatino Linotype" w:hAnsi="Palatino Linotype" w:cstheme="minorHAnsi"/>
          <w:i/>
          <w:noProof/>
          <w:sz w:val="20"/>
          <w:szCs w:val="20"/>
        </w:rPr>
        <w:t xml:space="preserve">cores ranged from 0.83 to 0.93. </w:t>
      </w:r>
      <w:r>
        <w:rPr>
          <w:rFonts w:ascii="Palatino Linotype" w:hAnsi="Palatino Linotype" w:cstheme="minorHAnsi"/>
          <w:i/>
          <w:noProof/>
          <w:sz w:val="20"/>
          <w:szCs w:val="20"/>
        </w:rPr>
        <w:t xml:space="preserve">All 10 exceeded the threshold of 0.80 and 9 out of 10 (all but Discharge Information) exceeded the very good/0.85 standard. </w:t>
      </w:r>
      <w:r w:rsidRPr="00CD6510">
        <w:rPr>
          <w:rFonts w:ascii="Palatino Linotype" w:hAnsi="Palatino Linotype" w:cs="Times New Roman"/>
          <w:i/>
          <w:sz w:val="20"/>
          <w:szCs w:val="20"/>
        </w:rPr>
        <w:t>P</w:t>
      </w:r>
      <w:r w:rsidRPr="00B37C85">
        <w:rPr>
          <w:rFonts w:ascii="Palatino Linotype" w:hAnsi="Palatino Linotype" w:cs="Times New Roman"/>
          <w:i/>
          <w:sz w:val="20"/>
          <w:szCs w:val="20"/>
        </w:rPr>
        <w:t>lease see below.</w:t>
      </w:r>
    </w:p>
    <w:p w:rsidR="00942490" w:rsidRPr="00B37C85" w:rsidRDefault="00942490" w:rsidP="00942490">
      <w:pPr>
        <w:contextualSpacing/>
        <w:rPr>
          <w:rFonts w:ascii="Palatino Linotype" w:hAnsi="Palatino Linotype" w:cstheme="minorHAnsi"/>
          <w:b/>
          <w:i/>
          <w:noProof/>
          <w:sz w:val="20"/>
          <w:szCs w:val="20"/>
        </w:rPr>
      </w:pPr>
      <w:r w:rsidRPr="00B37C85">
        <w:rPr>
          <w:rFonts w:ascii="Palatino Linotype" w:hAnsi="Palatino Linotype" w:cstheme="minorHAnsi"/>
          <w:b/>
          <w:i/>
          <w:noProof/>
          <w:sz w:val="20"/>
          <w:szCs w:val="20"/>
        </w:rPr>
        <w:t>H</w:t>
      </w:r>
      <w:r>
        <w:rPr>
          <w:rFonts w:ascii="Palatino Linotype" w:hAnsi="Palatino Linotype" w:cstheme="minorHAnsi"/>
          <w:b/>
          <w:i/>
          <w:noProof/>
          <w:sz w:val="20"/>
          <w:szCs w:val="20"/>
        </w:rPr>
        <w:t>ospital-Level</w:t>
      </w:r>
      <w:r w:rsidRPr="00B37C85">
        <w:rPr>
          <w:rFonts w:ascii="Palatino Linotype" w:hAnsi="Palatino Linotype" w:cstheme="minorHAnsi"/>
          <w:b/>
          <w:i/>
          <w:noProof/>
          <w:sz w:val="20"/>
          <w:szCs w:val="20"/>
        </w:rPr>
        <w:t xml:space="preserve"> Reliability</w:t>
      </w:r>
    </w:p>
    <w:p w:rsidR="00942490" w:rsidRPr="00B37C85" w:rsidRDefault="00942490" w:rsidP="00942490">
      <w:pPr>
        <w:contextualSpacing/>
        <w:rPr>
          <w:rFonts w:ascii="Palatino Linotype" w:hAnsi="Palatino Linotype" w:cstheme="minorHAnsi"/>
          <w:i/>
          <w:noProof/>
          <w:sz w:val="20"/>
          <w:szCs w:val="20"/>
        </w:rPr>
      </w:pPr>
      <w:r w:rsidRPr="00B37C85">
        <w:rPr>
          <w:rFonts w:ascii="Palatino Linotype" w:hAnsi="Palatino Linotype" w:cstheme="minorHAnsi"/>
          <w:i/>
          <w:noProof/>
          <w:sz w:val="20"/>
          <w:szCs w:val="20"/>
        </w:rPr>
        <w:t xml:space="preserve">Hospital-Level Reliability: </w:t>
      </w:r>
      <w:r>
        <w:rPr>
          <w:rFonts w:ascii="Palatino Linotype" w:hAnsi="Palatino Linotype" w:cstheme="minorHAnsi"/>
          <w:i/>
          <w:noProof/>
          <w:sz w:val="20"/>
          <w:szCs w:val="20"/>
        </w:rPr>
        <w:t xml:space="preserve">The relative amount of </w:t>
      </w:r>
      <w:r w:rsidRPr="00B37C85">
        <w:rPr>
          <w:rFonts w:ascii="Palatino Linotype" w:hAnsi="Palatino Linotype" w:cstheme="minorHAnsi"/>
          <w:i/>
          <w:noProof/>
          <w:sz w:val="20"/>
          <w:szCs w:val="20"/>
        </w:rPr>
        <w:t>true variation in performance</w:t>
      </w:r>
      <w:r>
        <w:rPr>
          <w:rFonts w:ascii="Palatino Linotype" w:hAnsi="Palatino Linotype" w:cstheme="minorHAnsi"/>
          <w:i/>
          <w:noProof/>
          <w:sz w:val="20"/>
          <w:szCs w:val="20"/>
        </w:rPr>
        <w:t xml:space="preserve">, compared to all variation, including </w:t>
      </w:r>
      <w:r w:rsidRPr="00B37C85">
        <w:rPr>
          <w:rFonts w:ascii="Palatino Linotype" w:hAnsi="Palatino Linotype" w:cstheme="minorHAnsi"/>
          <w:i/>
          <w:noProof/>
          <w:sz w:val="20"/>
          <w:szCs w:val="20"/>
        </w:rPr>
        <w:t>measurement error.</w:t>
      </w:r>
    </w:p>
    <w:p w:rsidR="00942490" w:rsidRPr="008C4D75" w:rsidRDefault="00942490" w:rsidP="00942490">
      <w:pPr>
        <w:pStyle w:val="ListParagraph"/>
        <w:numPr>
          <w:ilvl w:val="1"/>
          <w:numId w:val="30"/>
        </w:numPr>
        <w:rPr>
          <w:rFonts w:ascii="Palatino Linotype" w:hAnsi="Palatino Linotype" w:cstheme="minorHAnsi"/>
          <w:i/>
          <w:noProof/>
          <w:sz w:val="20"/>
          <w:szCs w:val="20"/>
        </w:rPr>
      </w:pPr>
      <w:r w:rsidRPr="008C4D75">
        <w:rPr>
          <w:rFonts w:ascii="Palatino Linotype" w:hAnsi="Palatino Linotype" w:cstheme="minorHAnsi"/>
          <w:i/>
          <w:noProof/>
          <w:sz w:val="20"/>
          <w:szCs w:val="20"/>
        </w:rPr>
        <w:t xml:space="preserve">Unit or hospital-level reliability (Spearman-Brown reliability) is the proportion of variance in hospital scores that reflect true variation among hospitals, </w:t>
      </w:r>
      <w:r>
        <w:rPr>
          <w:rFonts w:ascii="Palatino Linotype" w:hAnsi="Palatino Linotype" w:cstheme="minorHAnsi"/>
          <w:i/>
          <w:noProof/>
          <w:sz w:val="20"/>
          <w:szCs w:val="20"/>
        </w:rPr>
        <w:t>compared to total variation</w:t>
      </w:r>
    </w:p>
    <w:p w:rsidR="00942490" w:rsidRPr="00E46755" w:rsidRDefault="00942490" w:rsidP="00942490">
      <w:pPr>
        <w:rPr>
          <w:rFonts w:cstheme="minorHAnsi"/>
          <w:b/>
          <w:noProof/>
          <w:sz w:val="20"/>
          <w:szCs w:val="20"/>
        </w:rPr>
      </w:pPr>
      <w:r>
        <w:rPr>
          <w:rFonts w:cstheme="minorHAnsi"/>
          <w:b/>
          <w:noProof/>
          <w:sz w:val="20"/>
          <w:szCs w:val="20"/>
        </w:rPr>
        <w:t xml:space="preserve">Hospital-Level Reliabilities of HCAHPS Measure </w:t>
      </w:r>
      <w:r w:rsidRPr="007929A8">
        <w:rPr>
          <w:rFonts w:cstheme="minorHAnsi"/>
          <w:b/>
          <w:noProof/>
          <w:sz w:val="20"/>
          <w:szCs w:val="20"/>
          <w:u w:val="single"/>
        </w:rPr>
        <w:t>Top-Box Scores</w:t>
      </w:r>
      <w:r>
        <w:rPr>
          <w:rFonts w:cstheme="minorHAnsi"/>
          <w:b/>
          <w:noProof/>
          <w:sz w:val="20"/>
          <w:szCs w:val="20"/>
        </w:rPr>
        <w:t xml:space="preserve"> at 300 Completed Surveys, 3.1 million completed surveys from 2016 discharges</w:t>
      </w:r>
    </w:p>
    <w:tbl>
      <w:tblPr>
        <w:tblW w:w="4720" w:type="dxa"/>
        <w:tblInd w:w="93" w:type="dxa"/>
        <w:tblLook w:val="04A0" w:firstRow="1" w:lastRow="0" w:firstColumn="1" w:lastColumn="0" w:noHBand="0" w:noVBand="1"/>
        <w:tblCaption w:val="Top-Box Scores at 300 Completed Surveys"/>
        <w:tblDescription w:val="Hospital-Level Reliabilities of HCAHPS Measure Top-Box Scores at 300 Completed Surveys, 3.1 million completed surveys from 2016 discharges"/>
      </w:tblPr>
      <w:tblGrid>
        <w:gridCol w:w="3560"/>
        <w:gridCol w:w="1160"/>
      </w:tblGrid>
      <w:tr w:rsidR="00942490" w:rsidRPr="00E46755" w:rsidTr="00D43E0E">
        <w:trPr>
          <w:trHeight w:val="300"/>
        </w:trPr>
        <w:tc>
          <w:tcPr>
            <w:tcW w:w="35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Communication with Nurses</w:t>
            </w:r>
          </w:p>
        </w:tc>
        <w:tc>
          <w:tcPr>
            <w:tcW w:w="1160" w:type="dxa"/>
            <w:tcBorders>
              <w:top w:val="single" w:sz="8" w:space="0" w:color="auto"/>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0.87</w:t>
            </w:r>
          </w:p>
        </w:tc>
      </w:tr>
      <w:tr w:rsidR="00942490" w:rsidRPr="00E46755" w:rsidTr="00D43E0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Communication with Doctors</w:t>
            </w:r>
          </w:p>
        </w:tc>
        <w:tc>
          <w:tcPr>
            <w:tcW w:w="1160" w:type="dxa"/>
            <w:tcBorders>
              <w:top w:val="nil"/>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0.86</w:t>
            </w:r>
          </w:p>
        </w:tc>
      </w:tr>
      <w:tr w:rsidR="00942490" w:rsidRPr="00E46755" w:rsidTr="00D43E0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Responsiveness of Hospital Staff</w:t>
            </w:r>
          </w:p>
        </w:tc>
        <w:tc>
          <w:tcPr>
            <w:tcW w:w="1160" w:type="dxa"/>
            <w:tcBorders>
              <w:top w:val="nil"/>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0.92</w:t>
            </w:r>
          </w:p>
        </w:tc>
      </w:tr>
      <w:tr w:rsidR="00942490" w:rsidRPr="00E46755" w:rsidTr="00D43E0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Communication about Medicines</w:t>
            </w:r>
          </w:p>
        </w:tc>
        <w:tc>
          <w:tcPr>
            <w:tcW w:w="1160" w:type="dxa"/>
            <w:tcBorders>
              <w:top w:val="nil"/>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0.83</w:t>
            </w:r>
          </w:p>
        </w:tc>
      </w:tr>
      <w:tr w:rsidR="00942490" w:rsidRPr="00E46755" w:rsidTr="00D43E0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Cleanliness</w:t>
            </w:r>
          </w:p>
        </w:tc>
        <w:tc>
          <w:tcPr>
            <w:tcW w:w="1160" w:type="dxa"/>
            <w:tcBorders>
              <w:top w:val="nil"/>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0.87</w:t>
            </w:r>
          </w:p>
        </w:tc>
      </w:tr>
      <w:tr w:rsidR="00942490" w:rsidRPr="00E46755" w:rsidTr="00D43E0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Quietness</w:t>
            </w:r>
          </w:p>
        </w:tc>
        <w:tc>
          <w:tcPr>
            <w:tcW w:w="1160" w:type="dxa"/>
            <w:tcBorders>
              <w:top w:val="nil"/>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0.93</w:t>
            </w:r>
          </w:p>
        </w:tc>
      </w:tr>
      <w:tr w:rsidR="00942490" w:rsidRPr="00E46755" w:rsidTr="00D43E0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Discharge Information</w:t>
            </w:r>
          </w:p>
        </w:tc>
        <w:tc>
          <w:tcPr>
            <w:tcW w:w="1160" w:type="dxa"/>
            <w:tcBorders>
              <w:top w:val="nil"/>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0.83</w:t>
            </w:r>
          </w:p>
        </w:tc>
      </w:tr>
      <w:tr w:rsidR="00942490" w:rsidRPr="00E46755" w:rsidTr="00D43E0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Overall Rating</w:t>
            </w:r>
          </w:p>
        </w:tc>
        <w:tc>
          <w:tcPr>
            <w:tcW w:w="1160" w:type="dxa"/>
            <w:tcBorders>
              <w:top w:val="nil"/>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0.91</w:t>
            </w:r>
          </w:p>
        </w:tc>
      </w:tr>
      <w:tr w:rsidR="00942490" w:rsidRPr="00E46755" w:rsidTr="00D43E0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Recommend Hospital</w:t>
            </w:r>
          </w:p>
        </w:tc>
        <w:tc>
          <w:tcPr>
            <w:tcW w:w="1160" w:type="dxa"/>
            <w:tcBorders>
              <w:top w:val="nil"/>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0.93</w:t>
            </w:r>
          </w:p>
        </w:tc>
      </w:tr>
      <w:tr w:rsidR="00942490" w:rsidRPr="00E46755" w:rsidTr="00D43E0E">
        <w:trPr>
          <w:trHeight w:val="315"/>
        </w:trPr>
        <w:tc>
          <w:tcPr>
            <w:tcW w:w="3560" w:type="dxa"/>
            <w:tcBorders>
              <w:top w:val="nil"/>
              <w:left w:val="single" w:sz="8" w:space="0" w:color="auto"/>
              <w:bottom w:val="single" w:sz="8"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Care Transition</w:t>
            </w:r>
          </w:p>
        </w:tc>
        <w:tc>
          <w:tcPr>
            <w:tcW w:w="1160" w:type="dxa"/>
            <w:tcBorders>
              <w:top w:val="nil"/>
              <w:left w:val="nil"/>
              <w:bottom w:val="single" w:sz="8"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0.86</w:t>
            </w:r>
          </w:p>
        </w:tc>
      </w:tr>
    </w:tbl>
    <w:p w:rsidR="00942490" w:rsidRDefault="00942490" w:rsidP="00942490">
      <w:pPr>
        <w:rPr>
          <w:rFonts w:ascii="Palatino Linotype" w:hAnsi="Palatino Linotype" w:cstheme="minorHAnsi"/>
          <w:i/>
          <w:noProof/>
          <w:sz w:val="20"/>
          <w:szCs w:val="20"/>
        </w:rPr>
      </w:pPr>
    </w:p>
    <w:p w:rsidR="00942490" w:rsidRPr="00E46755" w:rsidRDefault="00942490" w:rsidP="00942490">
      <w:pPr>
        <w:pStyle w:val="ListParagraph"/>
        <w:numPr>
          <w:ilvl w:val="0"/>
          <w:numId w:val="30"/>
        </w:numPr>
        <w:rPr>
          <w:rFonts w:ascii="Palatino Linotype" w:hAnsi="Palatino Linotype" w:cstheme="minorHAnsi"/>
          <w:i/>
          <w:noProof/>
          <w:sz w:val="20"/>
          <w:szCs w:val="20"/>
        </w:rPr>
      </w:pPr>
      <w:r w:rsidRPr="00E46755">
        <w:rPr>
          <w:rFonts w:ascii="Palatino Linotype" w:hAnsi="Palatino Linotype" w:cstheme="minorHAnsi"/>
          <w:i/>
          <w:noProof/>
          <w:sz w:val="20"/>
          <w:szCs w:val="20"/>
        </w:rPr>
        <w:t xml:space="preserve">Standards: </w:t>
      </w:r>
    </w:p>
    <w:p w:rsidR="00942490" w:rsidRPr="00E46755" w:rsidRDefault="00942490" w:rsidP="00942490">
      <w:pPr>
        <w:pStyle w:val="ListParagraph"/>
        <w:numPr>
          <w:ilvl w:val="1"/>
          <w:numId w:val="30"/>
        </w:numPr>
        <w:rPr>
          <w:rFonts w:ascii="Palatino Linotype" w:hAnsi="Palatino Linotype" w:cstheme="minorHAnsi"/>
          <w:i/>
          <w:noProof/>
          <w:sz w:val="20"/>
          <w:szCs w:val="20"/>
        </w:rPr>
      </w:pPr>
      <w:r w:rsidRPr="00E46755">
        <w:rPr>
          <w:rFonts w:ascii="Palatino Linotype" w:hAnsi="Palatino Linotype" w:cstheme="minorHAnsi"/>
          <w:i/>
          <w:noProof/>
          <w:sz w:val="20"/>
          <w:szCs w:val="20"/>
        </w:rPr>
        <w:t xml:space="preserve">0.7: Adequate (all exceed this)  </w:t>
      </w:r>
    </w:p>
    <w:p w:rsidR="00942490" w:rsidRPr="00E46755" w:rsidRDefault="00942490" w:rsidP="00942490">
      <w:pPr>
        <w:pStyle w:val="ListParagraph"/>
        <w:numPr>
          <w:ilvl w:val="1"/>
          <w:numId w:val="30"/>
        </w:numPr>
        <w:rPr>
          <w:rFonts w:ascii="Palatino Linotype" w:hAnsi="Palatino Linotype" w:cstheme="minorHAnsi"/>
          <w:i/>
          <w:noProof/>
          <w:sz w:val="20"/>
          <w:szCs w:val="20"/>
        </w:rPr>
      </w:pPr>
      <w:r w:rsidRPr="00E46755">
        <w:rPr>
          <w:rFonts w:ascii="Palatino Linotype" w:hAnsi="Palatino Linotype" w:cstheme="minorHAnsi"/>
          <w:i/>
          <w:noProof/>
          <w:sz w:val="20"/>
          <w:szCs w:val="20"/>
        </w:rPr>
        <w:t xml:space="preserve">0.8: Good (all exceed this) </w:t>
      </w:r>
    </w:p>
    <w:p w:rsidR="00942490" w:rsidRPr="00E46755" w:rsidRDefault="00942490" w:rsidP="00942490">
      <w:pPr>
        <w:pStyle w:val="ListParagraph"/>
        <w:numPr>
          <w:ilvl w:val="1"/>
          <w:numId w:val="30"/>
        </w:numPr>
        <w:rPr>
          <w:rFonts w:ascii="Palatino Linotype" w:hAnsi="Palatino Linotype" w:cstheme="minorHAnsi"/>
          <w:i/>
          <w:noProof/>
          <w:sz w:val="20"/>
          <w:szCs w:val="20"/>
        </w:rPr>
      </w:pPr>
      <w:r w:rsidRPr="00E46755">
        <w:rPr>
          <w:rFonts w:ascii="Palatino Linotype" w:hAnsi="Palatino Linotype" w:cstheme="minorHAnsi"/>
          <w:i/>
          <w:noProof/>
          <w:sz w:val="20"/>
          <w:szCs w:val="20"/>
        </w:rPr>
        <w:t>0.85 Very good (</w:t>
      </w:r>
      <w:r>
        <w:rPr>
          <w:rFonts w:ascii="Palatino Linotype" w:hAnsi="Palatino Linotype" w:cstheme="minorHAnsi"/>
          <w:i/>
          <w:noProof/>
          <w:sz w:val="20"/>
          <w:szCs w:val="20"/>
        </w:rPr>
        <w:t>8</w:t>
      </w:r>
      <w:r w:rsidRPr="00E46755">
        <w:rPr>
          <w:rFonts w:ascii="Palatino Linotype" w:hAnsi="Palatino Linotype" w:cstheme="minorHAnsi"/>
          <w:i/>
          <w:noProof/>
          <w:sz w:val="20"/>
          <w:szCs w:val="20"/>
        </w:rPr>
        <w:t xml:space="preserve"> of 1</w:t>
      </w:r>
      <w:r>
        <w:rPr>
          <w:rFonts w:ascii="Palatino Linotype" w:hAnsi="Palatino Linotype" w:cstheme="minorHAnsi"/>
          <w:i/>
          <w:noProof/>
          <w:sz w:val="20"/>
          <w:szCs w:val="20"/>
        </w:rPr>
        <w:t>0</w:t>
      </w:r>
      <w:r w:rsidRPr="00E46755">
        <w:rPr>
          <w:rFonts w:ascii="Palatino Linotype" w:hAnsi="Palatino Linotype" w:cstheme="minorHAnsi"/>
          <w:i/>
          <w:noProof/>
          <w:sz w:val="20"/>
          <w:szCs w:val="20"/>
        </w:rPr>
        <w:t xml:space="preserve"> reach this) </w:t>
      </w:r>
    </w:p>
    <w:p w:rsidR="00942490" w:rsidRPr="00E46755" w:rsidRDefault="00942490" w:rsidP="00942490">
      <w:pPr>
        <w:pStyle w:val="ListParagraph"/>
        <w:numPr>
          <w:ilvl w:val="1"/>
          <w:numId w:val="30"/>
        </w:numPr>
        <w:rPr>
          <w:rFonts w:ascii="Palatino Linotype" w:hAnsi="Palatino Linotype" w:cstheme="minorHAnsi"/>
          <w:i/>
          <w:noProof/>
          <w:sz w:val="20"/>
          <w:szCs w:val="20"/>
        </w:rPr>
      </w:pPr>
      <w:r w:rsidRPr="00E46755">
        <w:rPr>
          <w:rFonts w:ascii="Palatino Linotype" w:hAnsi="Palatino Linotype" w:cstheme="minorHAnsi"/>
          <w:i/>
          <w:noProof/>
          <w:sz w:val="20"/>
          <w:szCs w:val="20"/>
        </w:rPr>
        <w:t>0.9: Excellent (4 of 1</w:t>
      </w:r>
      <w:r>
        <w:rPr>
          <w:rFonts w:ascii="Palatino Linotype" w:hAnsi="Palatino Linotype" w:cstheme="minorHAnsi"/>
          <w:i/>
          <w:noProof/>
          <w:sz w:val="20"/>
          <w:szCs w:val="20"/>
        </w:rPr>
        <w:t>0</w:t>
      </w:r>
      <w:r w:rsidRPr="00E46755">
        <w:rPr>
          <w:rFonts w:ascii="Palatino Linotype" w:hAnsi="Palatino Linotype" w:cstheme="minorHAnsi"/>
          <w:i/>
          <w:noProof/>
          <w:sz w:val="20"/>
          <w:szCs w:val="20"/>
        </w:rPr>
        <w:t xml:space="preserve"> reach this)</w:t>
      </w:r>
    </w:p>
    <w:p w:rsidR="00942490" w:rsidRDefault="00942490" w:rsidP="00942490">
      <w:pPr>
        <w:rPr>
          <w:rFonts w:ascii="Palatino Linotype" w:hAnsi="Palatino Linotype" w:cstheme="minorHAnsi"/>
          <w:i/>
          <w:noProof/>
          <w:sz w:val="20"/>
          <w:szCs w:val="20"/>
        </w:rPr>
      </w:pPr>
    </w:p>
    <w:p w:rsidR="00942490" w:rsidRPr="00E46755" w:rsidRDefault="00942490" w:rsidP="00942490">
      <w:pPr>
        <w:rPr>
          <w:rFonts w:cstheme="minorHAnsi"/>
          <w:b/>
          <w:noProof/>
          <w:sz w:val="20"/>
          <w:szCs w:val="20"/>
        </w:rPr>
      </w:pPr>
      <w:r>
        <w:rPr>
          <w:rFonts w:cstheme="minorHAnsi"/>
          <w:b/>
          <w:noProof/>
          <w:sz w:val="20"/>
          <w:szCs w:val="20"/>
        </w:rPr>
        <w:t xml:space="preserve">Hospital-Level Reliabilities of HCAHPS Measure </w:t>
      </w:r>
      <w:r w:rsidRPr="007929A8">
        <w:rPr>
          <w:rFonts w:cstheme="minorHAnsi"/>
          <w:b/>
          <w:noProof/>
          <w:sz w:val="20"/>
          <w:szCs w:val="20"/>
          <w:u w:val="single"/>
        </w:rPr>
        <w:t>Linear Mean Scores</w:t>
      </w:r>
      <w:r>
        <w:rPr>
          <w:rFonts w:cstheme="minorHAnsi"/>
          <w:b/>
          <w:noProof/>
          <w:sz w:val="20"/>
          <w:szCs w:val="20"/>
        </w:rPr>
        <w:t xml:space="preserve"> at 300 Completed Surveys, 3.1 million completed surveys from 2016 discharges</w:t>
      </w:r>
    </w:p>
    <w:tbl>
      <w:tblPr>
        <w:tblW w:w="4720" w:type="dxa"/>
        <w:tblInd w:w="93" w:type="dxa"/>
        <w:tblLook w:val="04A0" w:firstRow="1" w:lastRow="0" w:firstColumn="1" w:lastColumn="0" w:noHBand="0" w:noVBand="1"/>
        <w:tblCaption w:val="Linear Mean Scores "/>
        <w:tblDescription w:val="Hospital-Level Reliabilities of HCAHPS Measure Linear Mean Scores at 300 Completed Surveys"/>
      </w:tblPr>
      <w:tblGrid>
        <w:gridCol w:w="3560"/>
        <w:gridCol w:w="1160"/>
      </w:tblGrid>
      <w:tr w:rsidR="00942490" w:rsidRPr="00E46755" w:rsidTr="00D43E0E">
        <w:trPr>
          <w:trHeight w:val="300"/>
        </w:trPr>
        <w:tc>
          <w:tcPr>
            <w:tcW w:w="35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Communication with Nurses</w:t>
            </w:r>
          </w:p>
        </w:tc>
        <w:tc>
          <w:tcPr>
            <w:tcW w:w="1160" w:type="dxa"/>
            <w:tcBorders>
              <w:top w:val="single" w:sz="8" w:space="0" w:color="auto"/>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0.87</w:t>
            </w:r>
          </w:p>
        </w:tc>
      </w:tr>
      <w:tr w:rsidR="00942490" w:rsidRPr="00E46755" w:rsidTr="00D43E0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Communication with Doctors</w:t>
            </w:r>
          </w:p>
        </w:tc>
        <w:tc>
          <w:tcPr>
            <w:tcW w:w="1160" w:type="dxa"/>
            <w:tcBorders>
              <w:top w:val="nil"/>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0.86</w:t>
            </w:r>
          </w:p>
        </w:tc>
      </w:tr>
      <w:tr w:rsidR="00942490" w:rsidRPr="00E46755" w:rsidTr="00D43E0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Responsiveness of Hospital Staff</w:t>
            </w:r>
          </w:p>
        </w:tc>
        <w:tc>
          <w:tcPr>
            <w:tcW w:w="1160" w:type="dxa"/>
            <w:tcBorders>
              <w:top w:val="nil"/>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0.93</w:t>
            </w:r>
          </w:p>
        </w:tc>
      </w:tr>
      <w:tr w:rsidR="00942490" w:rsidRPr="00E46755" w:rsidTr="00D43E0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Communication about Medicines</w:t>
            </w:r>
          </w:p>
        </w:tc>
        <w:tc>
          <w:tcPr>
            <w:tcW w:w="1160" w:type="dxa"/>
            <w:tcBorders>
              <w:top w:val="nil"/>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0.85</w:t>
            </w:r>
          </w:p>
        </w:tc>
      </w:tr>
      <w:tr w:rsidR="00942490" w:rsidRPr="00E46755" w:rsidTr="00D43E0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Cleanliness</w:t>
            </w:r>
          </w:p>
        </w:tc>
        <w:tc>
          <w:tcPr>
            <w:tcW w:w="1160" w:type="dxa"/>
            <w:tcBorders>
              <w:top w:val="nil"/>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0.88</w:t>
            </w:r>
          </w:p>
        </w:tc>
      </w:tr>
      <w:tr w:rsidR="00942490" w:rsidRPr="00E46755" w:rsidTr="00D43E0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Quietness</w:t>
            </w:r>
          </w:p>
        </w:tc>
        <w:tc>
          <w:tcPr>
            <w:tcW w:w="1160" w:type="dxa"/>
            <w:tcBorders>
              <w:top w:val="nil"/>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0.93</w:t>
            </w:r>
          </w:p>
        </w:tc>
      </w:tr>
      <w:tr w:rsidR="00942490" w:rsidRPr="00E46755" w:rsidTr="00D43E0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Discharge Information</w:t>
            </w:r>
          </w:p>
        </w:tc>
        <w:tc>
          <w:tcPr>
            <w:tcW w:w="1160" w:type="dxa"/>
            <w:tcBorders>
              <w:top w:val="nil"/>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0.83</w:t>
            </w:r>
          </w:p>
        </w:tc>
      </w:tr>
      <w:tr w:rsidR="00942490" w:rsidRPr="00E46755" w:rsidTr="00D43E0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Overall Rating</w:t>
            </w:r>
          </w:p>
        </w:tc>
        <w:tc>
          <w:tcPr>
            <w:tcW w:w="1160" w:type="dxa"/>
            <w:tcBorders>
              <w:top w:val="nil"/>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0.92</w:t>
            </w:r>
          </w:p>
        </w:tc>
      </w:tr>
      <w:tr w:rsidR="00942490" w:rsidRPr="00E46755" w:rsidTr="00D43E0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Recommend Hospital</w:t>
            </w:r>
          </w:p>
        </w:tc>
        <w:tc>
          <w:tcPr>
            <w:tcW w:w="1160" w:type="dxa"/>
            <w:tcBorders>
              <w:top w:val="nil"/>
              <w:left w:val="nil"/>
              <w:bottom w:val="single" w:sz="4"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0.93</w:t>
            </w:r>
          </w:p>
        </w:tc>
      </w:tr>
      <w:tr w:rsidR="00942490" w:rsidRPr="00E46755" w:rsidTr="00D43E0E">
        <w:trPr>
          <w:trHeight w:val="315"/>
        </w:trPr>
        <w:tc>
          <w:tcPr>
            <w:tcW w:w="3560" w:type="dxa"/>
            <w:tcBorders>
              <w:top w:val="nil"/>
              <w:left w:val="single" w:sz="8" w:space="0" w:color="auto"/>
              <w:bottom w:val="single" w:sz="8" w:space="0" w:color="auto"/>
              <w:right w:val="single" w:sz="4" w:space="0" w:color="auto"/>
            </w:tcBorders>
            <w:shd w:val="clear" w:color="auto" w:fill="auto"/>
            <w:noWrap/>
            <w:vAlign w:val="bottom"/>
            <w:hideMark/>
          </w:tcPr>
          <w:p w:rsidR="00942490" w:rsidRPr="00E46755" w:rsidRDefault="00942490" w:rsidP="00D43E0E">
            <w:pPr>
              <w:spacing w:after="0" w:line="240" w:lineRule="auto"/>
              <w:rPr>
                <w:rFonts w:ascii="Calibri" w:eastAsia="Times New Roman" w:hAnsi="Calibri" w:cs="Calibri"/>
                <w:color w:val="000000"/>
                <w:sz w:val="20"/>
                <w:szCs w:val="20"/>
              </w:rPr>
            </w:pPr>
            <w:r w:rsidRPr="00E46755">
              <w:rPr>
                <w:rFonts w:ascii="Calibri" w:eastAsia="Times New Roman" w:hAnsi="Calibri" w:cs="Calibri"/>
                <w:color w:val="000000"/>
                <w:sz w:val="20"/>
                <w:szCs w:val="20"/>
              </w:rPr>
              <w:t>Care Transition</w:t>
            </w:r>
          </w:p>
        </w:tc>
        <w:tc>
          <w:tcPr>
            <w:tcW w:w="1160" w:type="dxa"/>
            <w:tcBorders>
              <w:top w:val="nil"/>
              <w:left w:val="nil"/>
              <w:bottom w:val="single" w:sz="8" w:space="0" w:color="auto"/>
              <w:right w:val="single" w:sz="8" w:space="0" w:color="auto"/>
            </w:tcBorders>
            <w:shd w:val="clear" w:color="auto" w:fill="auto"/>
            <w:noWrap/>
            <w:vAlign w:val="bottom"/>
          </w:tcPr>
          <w:p w:rsidR="00942490" w:rsidRPr="00E46755" w:rsidRDefault="00942490" w:rsidP="00D43E0E">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0.87</w:t>
            </w:r>
          </w:p>
        </w:tc>
      </w:tr>
    </w:tbl>
    <w:p w:rsidR="00942490" w:rsidRDefault="00942490" w:rsidP="00942490">
      <w:pPr>
        <w:rPr>
          <w:rFonts w:ascii="Palatino Linotype" w:hAnsi="Palatino Linotype" w:cstheme="minorHAnsi"/>
          <w:i/>
          <w:noProof/>
          <w:sz w:val="20"/>
          <w:szCs w:val="20"/>
        </w:rPr>
      </w:pPr>
    </w:p>
    <w:p w:rsidR="00942490" w:rsidRDefault="00942490" w:rsidP="00942490">
      <w:pPr>
        <w:rPr>
          <w:rFonts w:ascii="Palatino Linotype" w:hAnsi="Palatino Linotype" w:cstheme="minorHAnsi"/>
          <w:i/>
          <w:noProof/>
          <w:sz w:val="20"/>
          <w:szCs w:val="20"/>
        </w:rPr>
      </w:pPr>
      <w:r>
        <w:rPr>
          <w:rFonts w:ascii="Palatino Linotype" w:hAnsi="Palatino Linotype" w:cstheme="minorHAnsi"/>
          <w:i/>
          <w:noProof/>
          <w:sz w:val="20"/>
          <w:szCs w:val="20"/>
        </w:rPr>
        <w:t xml:space="preserve">Many hospitals have more than 300 completes over the measurement period. </w:t>
      </w:r>
      <w:r w:rsidRPr="008C4D75">
        <w:rPr>
          <w:rFonts w:ascii="Palatino Linotype" w:hAnsi="Palatino Linotype" w:cstheme="minorHAnsi"/>
          <w:i/>
          <w:noProof/>
          <w:sz w:val="20"/>
          <w:szCs w:val="20"/>
        </w:rPr>
        <w:t>HCAHPS reliability is even higher</w:t>
      </w:r>
      <w:r>
        <w:rPr>
          <w:rFonts w:ascii="Palatino Linotype" w:hAnsi="Palatino Linotype" w:cstheme="minorHAnsi"/>
          <w:i/>
          <w:noProof/>
          <w:sz w:val="20"/>
          <w:szCs w:val="20"/>
        </w:rPr>
        <w:t xml:space="preserve"> for those hospitals with greater than 300 completes than the values shown for 300 completes</w:t>
      </w:r>
      <w:r w:rsidRPr="008C4D75">
        <w:rPr>
          <w:rFonts w:ascii="Palatino Linotype" w:hAnsi="Palatino Linotype" w:cstheme="minorHAnsi"/>
          <w:i/>
          <w:noProof/>
          <w:sz w:val="20"/>
          <w:szCs w:val="20"/>
        </w:rPr>
        <w:t>.</w:t>
      </w:r>
    </w:p>
    <w:p w:rsidR="00942490" w:rsidRPr="008C4D75" w:rsidRDefault="00942490" w:rsidP="00942490">
      <w:pPr>
        <w:rPr>
          <w:rFonts w:ascii="Palatino Linotype" w:hAnsi="Palatino Linotype" w:cstheme="minorHAnsi"/>
          <w:i/>
          <w:noProof/>
          <w:sz w:val="20"/>
          <w:szCs w:val="20"/>
        </w:rPr>
      </w:pPr>
      <w:r>
        <w:rPr>
          <w:rFonts w:ascii="Palatino Linotype" w:hAnsi="Palatino Linotype" w:cstheme="minorHAnsi"/>
          <w:i/>
          <w:noProof/>
          <w:sz w:val="20"/>
          <w:szCs w:val="20"/>
        </w:rPr>
        <w:t xml:space="preserve">Below are the Hospital-Level Reliabilities for both Top-Box and Mean Scores of the individual items that make up each of the multi-item measures.  Theses reliabilities are for review purposes only, since the individual-level items are not publicly reported. </w:t>
      </w:r>
    </w:p>
    <w:p w:rsidR="00942490" w:rsidRPr="00E46755" w:rsidRDefault="00942490" w:rsidP="00942490">
      <w:pPr>
        <w:rPr>
          <w:rFonts w:cstheme="minorHAnsi"/>
          <w:b/>
          <w:noProof/>
          <w:sz w:val="20"/>
          <w:szCs w:val="20"/>
        </w:rPr>
      </w:pPr>
      <w:r>
        <w:rPr>
          <w:rFonts w:cstheme="minorHAnsi"/>
          <w:b/>
          <w:noProof/>
          <w:sz w:val="20"/>
          <w:szCs w:val="20"/>
        </w:rPr>
        <w:t>Hospital</w:t>
      </w:r>
      <w:r w:rsidRPr="00E46755">
        <w:rPr>
          <w:rFonts w:cstheme="minorHAnsi"/>
          <w:b/>
          <w:noProof/>
          <w:sz w:val="20"/>
          <w:szCs w:val="20"/>
        </w:rPr>
        <w:t xml:space="preserve">-Level Reliabilities of </w:t>
      </w:r>
      <w:r w:rsidRPr="00F754D6">
        <w:rPr>
          <w:rFonts w:cstheme="minorHAnsi"/>
          <w:b/>
          <w:noProof/>
          <w:sz w:val="20"/>
          <w:szCs w:val="20"/>
          <w:u w:val="single"/>
        </w:rPr>
        <w:t>Top-Box Scores</w:t>
      </w:r>
      <w:r w:rsidRPr="00E46755">
        <w:rPr>
          <w:rFonts w:cstheme="minorHAnsi"/>
          <w:b/>
          <w:noProof/>
          <w:sz w:val="20"/>
          <w:szCs w:val="20"/>
        </w:rPr>
        <w:t xml:space="preserve"> </w:t>
      </w:r>
      <w:r>
        <w:rPr>
          <w:rFonts w:cstheme="minorHAnsi"/>
          <w:b/>
          <w:noProof/>
          <w:sz w:val="20"/>
          <w:szCs w:val="20"/>
        </w:rPr>
        <w:t xml:space="preserve">of the HCAHPS Survey Items that Are Combined to Form HCAHPS Measures, estimated for </w:t>
      </w:r>
      <w:r w:rsidRPr="00E46755">
        <w:rPr>
          <w:rFonts w:cstheme="minorHAnsi"/>
          <w:b/>
          <w:noProof/>
          <w:sz w:val="20"/>
          <w:szCs w:val="20"/>
        </w:rPr>
        <w:t xml:space="preserve">300 Completed Surveys, </w:t>
      </w:r>
      <w:r>
        <w:rPr>
          <w:rFonts w:cstheme="minorHAnsi"/>
          <w:b/>
          <w:noProof/>
          <w:sz w:val="20"/>
          <w:szCs w:val="20"/>
        </w:rPr>
        <w:t xml:space="preserve">based on informaiont from </w:t>
      </w:r>
      <w:r w:rsidRPr="00E46755">
        <w:rPr>
          <w:rFonts w:cstheme="minorHAnsi"/>
          <w:b/>
          <w:noProof/>
          <w:sz w:val="20"/>
          <w:szCs w:val="20"/>
        </w:rPr>
        <w:t xml:space="preserve">3.1 million completed surveys </w:t>
      </w:r>
      <w:r>
        <w:rPr>
          <w:rFonts w:cstheme="minorHAnsi"/>
          <w:b/>
          <w:noProof/>
          <w:sz w:val="20"/>
          <w:szCs w:val="20"/>
        </w:rPr>
        <w:t xml:space="preserve">of patients discharged in </w:t>
      </w:r>
      <w:r w:rsidRPr="00E46755">
        <w:rPr>
          <w:rFonts w:cstheme="minorHAnsi"/>
          <w:b/>
          <w:noProof/>
          <w:sz w:val="20"/>
          <w:szCs w:val="20"/>
        </w:rPr>
        <w:t>2016</w:t>
      </w:r>
    </w:p>
    <w:tbl>
      <w:tblPr>
        <w:tblW w:w="5175" w:type="dxa"/>
        <w:tblInd w:w="333" w:type="dxa"/>
        <w:tblCellMar>
          <w:left w:w="0" w:type="dxa"/>
          <w:right w:w="0" w:type="dxa"/>
        </w:tblCellMar>
        <w:tblLook w:val="04A0" w:firstRow="1" w:lastRow="0" w:firstColumn="1" w:lastColumn="0" w:noHBand="0" w:noVBand="1"/>
        <w:tblCaption w:val="Hospital-Level Reliabilities of Top-Box Scores"/>
        <w:tblDescription w:val="Hospital-Level Reliabilities of Top-Box Scores of the HCAHPS Survey Items that Are Combined to Form HCAHPS Measures, estimated for 300 Completed Surveys"/>
      </w:tblPr>
      <w:tblGrid>
        <w:gridCol w:w="3465"/>
        <w:gridCol w:w="1710"/>
      </w:tblGrid>
      <w:tr w:rsidR="00942490" w:rsidRPr="00F1389C" w:rsidTr="00D43E0E">
        <w:trPr>
          <w:trHeight w:val="288"/>
        </w:trPr>
        <w:tc>
          <w:tcPr>
            <w:tcW w:w="346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Nurse Courtesy Respect</w:t>
            </w:r>
            <w:r>
              <w:rPr>
                <w:rFonts w:ascii="Calibri" w:eastAsia="Calibri" w:hAnsi="Calibri" w:cs="Times New Roman"/>
                <w:sz w:val="20"/>
                <w:szCs w:val="20"/>
              </w:rPr>
              <w:t xml:space="preserve"> (Q1)</w:t>
            </w:r>
          </w:p>
        </w:tc>
        <w:tc>
          <w:tcPr>
            <w:tcW w:w="171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0.81</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Nurse Listen</w:t>
            </w:r>
            <w:r>
              <w:rPr>
                <w:rFonts w:ascii="Calibri" w:eastAsia="Calibri" w:hAnsi="Calibri" w:cs="Times New Roman"/>
                <w:sz w:val="20"/>
                <w:szCs w:val="20"/>
              </w:rPr>
              <w:t xml:space="preserve"> (Q2)</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0.83</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Nurse Explain</w:t>
            </w:r>
            <w:r>
              <w:rPr>
                <w:rFonts w:ascii="Calibri" w:eastAsia="Calibri" w:hAnsi="Calibri" w:cs="Times New Roman"/>
                <w:sz w:val="20"/>
                <w:szCs w:val="20"/>
              </w:rPr>
              <w:t xml:space="preserve"> (Q3)</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0.78</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Dr Courtesy Respect</w:t>
            </w:r>
            <w:r>
              <w:rPr>
                <w:rFonts w:ascii="Calibri" w:eastAsia="Calibri" w:hAnsi="Calibri" w:cs="Times New Roman"/>
                <w:sz w:val="20"/>
                <w:szCs w:val="20"/>
              </w:rPr>
              <w:t xml:space="preserve"> (Q5)</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0.78</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Dr Listen</w:t>
            </w:r>
            <w:r>
              <w:rPr>
                <w:rFonts w:ascii="Calibri" w:eastAsia="Calibri" w:hAnsi="Calibri" w:cs="Times New Roman"/>
                <w:sz w:val="20"/>
                <w:szCs w:val="20"/>
              </w:rPr>
              <w:t xml:space="preserve"> (Q6)</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0.82</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Dr Explain</w:t>
            </w:r>
            <w:r>
              <w:rPr>
                <w:rFonts w:ascii="Calibri" w:eastAsia="Calibri" w:hAnsi="Calibri" w:cs="Times New Roman"/>
                <w:sz w:val="20"/>
                <w:szCs w:val="20"/>
              </w:rPr>
              <w:t xml:space="preserve"> (Q7)</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0.81</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Call Button</w:t>
            </w:r>
            <w:r>
              <w:rPr>
                <w:rFonts w:ascii="Calibri" w:eastAsia="Calibri" w:hAnsi="Calibri" w:cs="Times New Roman"/>
                <w:sz w:val="20"/>
                <w:szCs w:val="20"/>
              </w:rPr>
              <w:t xml:space="preserve"> (Q4)</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0.91</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Bathroom Help</w:t>
            </w:r>
            <w:r>
              <w:rPr>
                <w:rFonts w:ascii="Calibri" w:eastAsia="Calibri" w:hAnsi="Calibri" w:cs="Times New Roman"/>
                <w:sz w:val="20"/>
                <w:szCs w:val="20"/>
              </w:rPr>
              <w:t xml:space="preserve"> (Q11)</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0.89</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Meds For</w:t>
            </w:r>
            <w:r>
              <w:rPr>
                <w:rFonts w:ascii="Calibri" w:eastAsia="Calibri" w:hAnsi="Calibri" w:cs="Times New Roman"/>
                <w:sz w:val="20"/>
                <w:szCs w:val="20"/>
              </w:rPr>
              <w:t xml:space="preserve"> (Q16)</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0.74</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Side Effects</w:t>
            </w:r>
            <w:r>
              <w:rPr>
                <w:rFonts w:ascii="Calibri" w:eastAsia="Calibri" w:hAnsi="Calibri" w:cs="Times New Roman"/>
                <w:sz w:val="20"/>
                <w:szCs w:val="20"/>
              </w:rPr>
              <w:t xml:space="preserve"> (Q17)</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0.80</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Help After Discharge</w:t>
            </w:r>
            <w:r>
              <w:rPr>
                <w:rFonts w:ascii="Calibri" w:eastAsia="Calibri" w:hAnsi="Calibri" w:cs="Times New Roman"/>
                <w:sz w:val="20"/>
                <w:szCs w:val="20"/>
              </w:rPr>
              <w:t xml:space="preserve"> (Q19)</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0.81</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Symptoms</w:t>
            </w:r>
            <w:r>
              <w:rPr>
                <w:rFonts w:ascii="Calibri" w:eastAsia="Calibri" w:hAnsi="Calibri" w:cs="Times New Roman"/>
                <w:sz w:val="20"/>
                <w:szCs w:val="20"/>
              </w:rPr>
              <w:t xml:space="preserve"> (Q20)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0.75</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Care Transition Preferences</w:t>
            </w:r>
            <w:r>
              <w:rPr>
                <w:rFonts w:ascii="Calibri" w:eastAsia="Calibri" w:hAnsi="Calibri" w:cs="Times New Roman"/>
                <w:sz w:val="20"/>
                <w:szCs w:val="20"/>
              </w:rPr>
              <w:t xml:space="preserve"> (Q23)</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0.83</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Care Transition Understanding</w:t>
            </w:r>
            <w:r>
              <w:rPr>
                <w:rFonts w:ascii="Calibri" w:eastAsia="Calibri" w:hAnsi="Calibri" w:cs="Times New Roman"/>
                <w:sz w:val="20"/>
                <w:szCs w:val="20"/>
              </w:rPr>
              <w:t xml:space="preserve"> (Q24)</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0.81</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Care Transition Med Purpose</w:t>
            </w:r>
            <w:r>
              <w:rPr>
                <w:rFonts w:ascii="Calibri" w:eastAsia="Calibri" w:hAnsi="Calibri" w:cs="Times New Roman"/>
                <w:sz w:val="20"/>
                <w:szCs w:val="20"/>
              </w:rPr>
              <w:t xml:space="preserve"> (Q25)</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0.80</w:t>
            </w:r>
          </w:p>
        </w:tc>
      </w:tr>
    </w:tbl>
    <w:p w:rsidR="00942490" w:rsidRPr="00756615" w:rsidRDefault="00942490" w:rsidP="00942490">
      <w:pPr>
        <w:autoSpaceDE w:val="0"/>
        <w:autoSpaceDN w:val="0"/>
        <w:adjustRightInd w:val="0"/>
        <w:spacing w:after="0" w:line="240" w:lineRule="auto"/>
        <w:rPr>
          <w:rFonts w:ascii="Palatino Linotype" w:hAnsi="Palatino Linotype" w:cstheme="minorHAnsi"/>
          <w:b/>
          <w:bCs/>
          <w:i/>
          <w:sz w:val="20"/>
          <w:szCs w:val="20"/>
        </w:rPr>
      </w:pPr>
    </w:p>
    <w:p w:rsidR="00942490" w:rsidRPr="00E46755" w:rsidRDefault="00942490" w:rsidP="00942490">
      <w:pPr>
        <w:rPr>
          <w:rFonts w:cstheme="minorHAnsi"/>
          <w:b/>
          <w:noProof/>
          <w:sz w:val="20"/>
          <w:szCs w:val="20"/>
        </w:rPr>
      </w:pPr>
      <w:r>
        <w:rPr>
          <w:rFonts w:cstheme="minorHAnsi"/>
          <w:b/>
          <w:noProof/>
          <w:sz w:val="20"/>
          <w:szCs w:val="20"/>
        </w:rPr>
        <w:t>Hospital</w:t>
      </w:r>
      <w:r w:rsidRPr="00E46755">
        <w:rPr>
          <w:rFonts w:cstheme="minorHAnsi"/>
          <w:b/>
          <w:noProof/>
          <w:sz w:val="20"/>
          <w:szCs w:val="20"/>
        </w:rPr>
        <w:t>-Level</w:t>
      </w:r>
      <w:r>
        <w:rPr>
          <w:rFonts w:cstheme="minorHAnsi"/>
          <w:b/>
          <w:noProof/>
          <w:sz w:val="20"/>
          <w:szCs w:val="20"/>
        </w:rPr>
        <w:t xml:space="preserve"> Reliabilities of </w:t>
      </w:r>
      <w:r w:rsidRPr="00F754D6">
        <w:rPr>
          <w:rFonts w:cstheme="minorHAnsi"/>
          <w:b/>
          <w:noProof/>
          <w:sz w:val="20"/>
          <w:szCs w:val="20"/>
          <w:u w:val="single"/>
        </w:rPr>
        <w:t>Linear Mean Scores</w:t>
      </w:r>
      <w:r w:rsidRPr="00E46755">
        <w:rPr>
          <w:rFonts w:cstheme="minorHAnsi"/>
          <w:b/>
          <w:noProof/>
          <w:sz w:val="20"/>
          <w:szCs w:val="20"/>
        </w:rPr>
        <w:t xml:space="preserve"> </w:t>
      </w:r>
      <w:r>
        <w:rPr>
          <w:rFonts w:cstheme="minorHAnsi"/>
          <w:b/>
          <w:noProof/>
          <w:sz w:val="20"/>
          <w:szCs w:val="20"/>
        </w:rPr>
        <w:t xml:space="preserve">of the HCAHPS Survey Items that Are Combined to Form HCAHPS Measures, estimted for </w:t>
      </w:r>
      <w:r w:rsidRPr="00E46755">
        <w:rPr>
          <w:rFonts w:cstheme="minorHAnsi"/>
          <w:b/>
          <w:noProof/>
          <w:sz w:val="20"/>
          <w:szCs w:val="20"/>
        </w:rPr>
        <w:t xml:space="preserve">300 Completed Surveys, </w:t>
      </w:r>
      <w:r>
        <w:rPr>
          <w:rFonts w:cstheme="minorHAnsi"/>
          <w:b/>
          <w:noProof/>
          <w:sz w:val="20"/>
          <w:szCs w:val="20"/>
        </w:rPr>
        <w:t xml:space="preserve">based on </w:t>
      </w:r>
      <w:r w:rsidRPr="00E46755">
        <w:rPr>
          <w:rFonts w:cstheme="minorHAnsi"/>
          <w:b/>
          <w:noProof/>
          <w:sz w:val="20"/>
          <w:szCs w:val="20"/>
        </w:rPr>
        <w:t xml:space="preserve">3.1 million completed surveys </w:t>
      </w:r>
      <w:r>
        <w:rPr>
          <w:rFonts w:cstheme="minorHAnsi"/>
          <w:b/>
          <w:noProof/>
          <w:sz w:val="20"/>
          <w:szCs w:val="20"/>
        </w:rPr>
        <w:t xml:space="preserve">of patients discharged in </w:t>
      </w:r>
      <w:r w:rsidRPr="00E46755">
        <w:rPr>
          <w:rFonts w:cstheme="minorHAnsi"/>
          <w:b/>
          <w:noProof/>
          <w:sz w:val="20"/>
          <w:szCs w:val="20"/>
        </w:rPr>
        <w:t>2016</w:t>
      </w:r>
    </w:p>
    <w:tbl>
      <w:tblPr>
        <w:tblW w:w="5175" w:type="dxa"/>
        <w:tblInd w:w="333" w:type="dxa"/>
        <w:tblCellMar>
          <w:left w:w="0" w:type="dxa"/>
          <w:right w:w="0" w:type="dxa"/>
        </w:tblCellMar>
        <w:tblLook w:val="04A0" w:firstRow="1" w:lastRow="0" w:firstColumn="1" w:lastColumn="0" w:noHBand="0" w:noVBand="1"/>
        <w:tblCaption w:val="Table of Hospital-Level Reliabilities of Linear Mean Scores"/>
        <w:tblDescription w:val="Hospital-Level Reliabilities of Linear Mean Scores of the HCAHPS Survey Items that Are Combined to Form HCAHPS Measures"/>
      </w:tblPr>
      <w:tblGrid>
        <w:gridCol w:w="3465"/>
        <w:gridCol w:w="1710"/>
      </w:tblGrid>
      <w:tr w:rsidR="00942490" w:rsidRPr="00F1389C" w:rsidTr="00D43E0E">
        <w:trPr>
          <w:trHeight w:val="288"/>
        </w:trPr>
        <w:tc>
          <w:tcPr>
            <w:tcW w:w="346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Nurse Courtesy Respect</w:t>
            </w:r>
            <w:r>
              <w:rPr>
                <w:rFonts w:ascii="Calibri" w:eastAsia="Calibri" w:hAnsi="Calibri" w:cs="Times New Roman"/>
                <w:sz w:val="20"/>
                <w:szCs w:val="20"/>
              </w:rPr>
              <w:t xml:space="preserve"> (Q1)</w:t>
            </w:r>
          </w:p>
        </w:tc>
        <w:tc>
          <w:tcPr>
            <w:tcW w:w="171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Pr>
                <w:rFonts w:ascii="Calibri" w:eastAsia="Calibri" w:hAnsi="Calibri" w:cs="Times New Roman"/>
                <w:sz w:val="20"/>
                <w:szCs w:val="20"/>
              </w:rPr>
              <w:t>0.83</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Nurse Listen</w:t>
            </w:r>
            <w:r>
              <w:rPr>
                <w:rFonts w:ascii="Calibri" w:eastAsia="Calibri" w:hAnsi="Calibri" w:cs="Times New Roman"/>
                <w:sz w:val="20"/>
                <w:szCs w:val="20"/>
              </w:rPr>
              <w:t xml:space="preserve"> (Q2)</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Pr>
                <w:rFonts w:ascii="Calibri" w:eastAsia="Calibri" w:hAnsi="Calibri" w:cs="Times New Roman"/>
                <w:sz w:val="20"/>
                <w:szCs w:val="20"/>
              </w:rPr>
              <w:t>0.84</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Nurse Explain</w:t>
            </w:r>
            <w:r>
              <w:rPr>
                <w:rFonts w:ascii="Calibri" w:eastAsia="Calibri" w:hAnsi="Calibri" w:cs="Times New Roman"/>
                <w:sz w:val="20"/>
                <w:szCs w:val="20"/>
              </w:rPr>
              <w:t xml:space="preserve"> (Q3)</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Pr>
                <w:rFonts w:ascii="Calibri" w:eastAsia="Calibri" w:hAnsi="Calibri" w:cs="Times New Roman"/>
                <w:sz w:val="20"/>
                <w:szCs w:val="20"/>
              </w:rPr>
              <w:t>0.82</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Dr Courtesy Respect</w:t>
            </w:r>
            <w:r>
              <w:rPr>
                <w:rFonts w:ascii="Calibri" w:eastAsia="Calibri" w:hAnsi="Calibri" w:cs="Times New Roman"/>
                <w:sz w:val="20"/>
                <w:szCs w:val="20"/>
              </w:rPr>
              <w:t xml:space="preserve"> (Q5)</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0.78</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Dr Listen</w:t>
            </w:r>
            <w:r>
              <w:rPr>
                <w:rFonts w:ascii="Calibri" w:eastAsia="Calibri" w:hAnsi="Calibri" w:cs="Times New Roman"/>
                <w:sz w:val="20"/>
                <w:szCs w:val="20"/>
              </w:rPr>
              <w:t xml:space="preserve"> (Q6)</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Pr>
                <w:rFonts w:ascii="Calibri" w:eastAsia="Calibri" w:hAnsi="Calibri" w:cs="Times New Roman"/>
                <w:sz w:val="20"/>
                <w:szCs w:val="20"/>
              </w:rPr>
              <w:t>0.83</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Dr Explain</w:t>
            </w:r>
            <w:r>
              <w:rPr>
                <w:rFonts w:ascii="Calibri" w:eastAsia="Calibri" w:hAnsi="Calibri" w:cs="Times New Roman"/>
                <w:sz w:val="20"/>
                <w:szCs w:val="20"/>
              </w:rPr>
              <w:t xml:space="preserve"> (Q7)</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Pr>
                <w:rFonts w:ascii="Calibri" w:eastAsia="Calibri" w:hAnsi="Calibri" w:cs="Times New Roman"/>
                <w:sz w:val="20"/>
                <w:szCs w:val="20"/>
              </w:rPr>
              <w:t>0.83</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Call Button</w:t>
            </w:r>
            <w:r>
              <w:rPr>
                <w:rFonts w:ascii="Calibri" w:eastAsia="Calibri" w:hAnsi="Calibri" w:cs="Times New Roman"/>
                <w:sz w:val="20"/>
                <w:szCs w:val="20"/>
              </w:rPr>
              <w:t xml:space="preserve"> (Q4)</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Pr>
                <w:rFonts w:ascii="Calibri" w:eastAsia="Calibri" w:hAnsi="Calibri" w:cs="Times New Roman"/>
                <w:sz w:val="20"/>
                <w:szCs w:val="20"/>
              </w:rPr>
              <w:t>0.93</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Bathroom Help</w:t>
            </w:r>
            <w:r>
              <w:rPr>
                <w:rFonts w:ascii="Calibri" w:eastAsia="Calibri" w:hAnsi="Calibri" w:cs="Times New Roman"/>
                <w:sz w:val="20"/>
                <w:szCs w:val="20"/>
              </w:rPr>
              <w:t xml:space="preserve"> (Q11)</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Pr>
                <w:rFonts w:ascii="Calibri" w:eastAsia="Calibri" w:hAnsi="Calibri" w:cs="Times New Roman"/>
                <w:sz w:val="20"/>
                <w:szCs w:val="20"/>
              </w:rPr>
              <w:t>0.90</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Meds For</w:t>
            </w:r>
            <w:r>
              <w:rPr>
                <w:rFonts w:ascii="Calibri" w:eastAsia="Calibri" w:hAnsi="Calibri" w:cs="Times New Roman"/>
                <w:sz w:val="20"/>
                <w:szCs w:val="20"/>
              </w:rPr>
              <w:t xml:space="preserve"> (Q16)</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Pr>
                <w:rFonts w:ascii="Calibri" w:eastAsia="Calibri" w:hAnsi="Calibri" w:cs="Times New Roman"/>
                <w:sz w:val="20"/>
                <w:szCs w:val="20"/>
              </w:rPr>
              <w:t>0.77</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Side Effects</w:t>
            </w:r>
            <w:r>
              <w:rPr>
                <w:rFonts w:ascii="Calibri" w:eastAsia="Calibri" w:hAnsi="Calibri" w:cs="Times New Roman"/>
                <w:sz w:val="20"/>
                <w:szCs w:val="20"/>
              </w:rPr>
              <w:t xml:space="preserve"> (Q17)</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Pr>
                <w:rFonts w:ascii="Calibri" w:eastAsia="Calibri" w:hAnsi="Calibri" w:cs="Times New Roman"/>
                <w:sz w:val="20"/>
                <w:szCs w:val="20"/>
              </w:rPr>
              <w:t>0.84</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Help After Discharge</w:t>
            </w:r>
            <w:r>
              <w:rPr>
                <w:rFonts w:ascii="Calibri" w:eastAsia="Calibri" w:hAnsi="Calibri" w:cs="Times New Roman"/>
                <w:sz w:val="20"/>
                <w:szCs w:val="20"/>
              </w:rPr>
              <w:t xml:space="preserve"> (Q19)</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0.81</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Symptoms</w:t>
            </w:r>
            <w:r>
              <w:rPr>
                <w:rFonts w:ascii="Calibri" w:eastAsia="Calibri" w:hAnsi="Calibri" w:cs="Times New Roman"/>
                <w:sz w:val="20"/>
                <w:szCs w:val="20"/>
              </w:rPr>
              <w:t xml:space="preserve"> (Q20)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sidRPr="00F1389C">
              <w:rPr>
                <w:rFonts w:ascii="Calibri" w:eastAsia="Calibri" w:hAnsi="Calibri" w:cs="Times New Roman"/>
                <w:sz w:val="20"/>
                <w:szCs w:val="20"/>
              </w:rPr>
              <w:t>0.75</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 </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Care Transition Preferences</w:t>
            </w:r>
            <w:r>
              <w:rPr>
                <w:rFonts w:ascii="Calibri" w:eastAsia="Calibri" w:hAnsi="Calibri" w:cs="Times New Roman"/>
                <w:sz w:val="20"/>
                <w:szCs w:val="20"/>
              </w:rPr>
              <w:t xml:space="preserve"> (Q23)</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Pr>
                <w:rFonts w:ascii="Calibri" w:eastAsia="Calibri" w:hAnsi="Calibri" w:cs="Times New Roman"/>
                <w:sz w:val="20"/>
                <w:szCs w:val="20"/>
              </w:rPr>
              <w:t>0.85</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Care Transition Understanding</w:t>
            </w:r>
            <w:r>
              <w:rPr>
                <w:rFonts w:ascii="Calibri" w:eastAsia="Calibri" w:hAnsi="Calibri" w:cs="Times New Roman"/>
                <w:sz w:val="20"/>
                <w:szCs w:val="20"/>
              </w:rPr>
              <w:t xml:space="preserve"> (Q24)</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Pr>
                <w:rFonts w:ascii="Calibri" w:eastAsia="Calibri" w:hAnsi="Calibri" w:cs="Times New Roman"/>
                <w:sz w:val="20"/>
                <w:szCs w:val="20"/>
              </w:rPr>
              <w:t>0.82</w:t>
            </w:r>
          </w:p>
        </w:tc>
      </w:tr>
      <w:tr w:rsidR="00942490" w:rsidRPr="00F1389C" w:rsidTr="00D43E0E">
        <w:trPr>
          <w:trHeight w:val="288"/>
        </w:trPr>
        <w:tc>
          <w:tcPr>
            <w:tcW w:w="34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rPr>
                <w:rFonts w:ascii="Calibri" w:eastAsia="Calibri" w:hAnsi="Calibri" w:cs="Times New Roman"/>
                <w:sz w:val="20"/>
                <w:szCs w:val="20"/>
              </w:rPr>
            </w:pPr>
            <w:r w:rsidRPr="00F1389C">
              <w:rPr>
                <w:rFonts w:ascii="Calibri" w:eastAsia="Calibri" w:hAnsi="Calibri" w:cs="Times New Roman"/>
                <w:sz w:val="20"/>
                <w:szCs w:val="20"/>
              </w:rPr>
              <w:t>Care Transition Med Purpose</w:t>
            </w:r>
            <w:r>
              <w:rPr>
                <w:rFonts w:ascii="Calibri" w:eastAsia="Calibri" w:hAnsi="Calibri" w:cs="Times New Roman"/>
                <w:sz w:val="20"/>
                <w:szCs w:val="20"/>
              </w:rPr>
              <w:t xml:space="preserve"> (Q25)</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942490" w:rsidRPr="00F1389C" w:rsidRDefault="00942490" w:rsidP="00D43E0E">
            <w:pPr>
              <w:spacing w:after="0" w:line="240" w:lineRule="auto"/>
              <w:jc w:val="center"/>
              <w:rPr>
                <w:rFonts w:ascii="Calibri" w:eastAsia="Calibri" w:hAnsi="Calibri" w:cs="Times New Roman"/>
                <w:sz w:val="20"/>
                <w:szCs w:val="20"/>
              </w:rPr>
            </w:pPr>
            <w:r>
              <w:rPr>
                <w:rFonts w:ascii="Calibri" w:eastAsia="Calibri" w:hAnsi="Calibri" w:cs="Times New Roman"/>
                <w:sz w:val="20"/>
                <w:szCs w:val="20"/>
              </w:rPr>
              <w:t>0.76</w:t>
            </w:r>
          </w:p>
        </w:tc>
      </w:tr>
    </w:tbl>
    <w:p w:rsidR="00942490" w:rsidRDefault="00942490" w:rsidP="00942490">
      <w:pPr>
        <w:rPr>
          <w:rFonts w:ascii="Palatino Linotype" w:hAnsi="Palatino Linotype"/>
          <w:b/>
          <w:sz w:val="20"/>
          <w:szCs w:val="20"/>
        </w:rPr>
      </w:pPr>
    </w:p>
    <w:p w:rsidR="00942490" w:rsidRPr="00064704" w:rsidRDefault="00942490" w:rsidP="00942490">
      <w:pPr>
        <w:rPr>
          <w:rFonts w:ascii="Palatino Linotype" w:hAnsi="Palatino Linotype"/>
          <w:i/>
          <w:sz w:val="20"/>
          <w:szCs w:val="20"/>
        </w:rPr>
      </w:pPr>
      <w:r w:rsidRPr="00064704">
        <w:rPr>
          <w:rFonts w:ascii="Palatino Linotype" w:hAnsi="Palatino Linotype"/>
          <w:b/>
          <w:i/>
          <w:sz w:val="20"/>
          <w:szCs w:val="20"/>
        </w:rPr>
        <w:t>Please Note:</w:t>
      </w:r>
      <w:r w:rsidRPr="00064704">
        <w:rPr>
          <w:rFonts w:ascii="Palatino Linotype" w:hAnsi="Palatino Linotype"/>
          <w:i/>
          <w:sz w:val="20"/>
          <w:szCs w:val="20"/>
        </w:rPr>
        <w:t xml:space="preserve"> CMS does not currently publicly report the individual items that comprise the </w:t>
      </w:r>
      <w:r>
        <w:rPr>
          <w:rFonts w:ascii="Palatino Linotype" w:hAnsi="Palatino Linotype"/>
          <w:i/>
          <w:sz w:val="20"/>
          <w:szCs w:val="20"/>
        </w:rPr>
        <w:t>multi-item</w:t>
      </w:r>
      <w:r w:rsidRPr="00064704">
        <w:rPr>
          <w:rFonts w:ascii="Palatino Linotype" w:hAnsi="Palatino Linotype"/>
          <w:i/>
          <w:sz w:val="20"/>
          <w:szCs w:val="20"/>
        </w:rPr>
        <w:t xml:space="preserve"> measures. This item-level data is not a measure but only a portion of a </w:t>
      </w:r>
      <w:r>
        <w:rPr>
          <w:rFonts w:ascii="Palatino Linotype" w:hAnsi="Palatino Linotype"/>
          <w:i/>
          <w:sz w:val="20"/>
          <w:szCs w:val="20"/>
        </w:rPr>
        <w:t>multi-item</w:t>
      </w:r>
      <w:r w:rsidRPr="00064704">
        <w:rPr>
          <w:rFonts w:ascii="Palatino Linotype" w:hAnsi="Palatino Linotype"/>
          <w:i/>
          <w:sz w:val="20"/>
          <w:szCs w:val="20"/>
        </w:rPr>
        <w:t xml:space="preserve"> measure.</w:t>
      </w:r>
    </w:p>
    <w:p w:rsidR="00942490" w:rsidRPr="00F00661" w:rsidRDefault="00942490" w:rsidP="00942490">
      <w:pPr>
        <w:autoSpaceDE w:val="0"/>
        <w:autoSpaceDN w:val="0"/>
        <w:adjustRightInd w:val="0"/>
        <w:spacing w:after="0" w:line="240" w:lineRule="auto"/>
        <w:rPr>
          <w:rFonts w:ascii="Palatino Linotype" w:eastAsiaTheme="minorHAnsi" w:hAnsi="Palatino Linotype" w:cs="Times New Roman"/>
          <w:b/>
          <w:bCs/>
          <w:i/>
          <w:sz w:val="20"/>
          <w:szCs w:val="20"/>
        </w:rPr>
      </w:pPr>
      <w:r w:rsidRPr="00F00661">
        <w:rPr>
          <w:rFonts w:ascii="Palatino Linotype" w:eastAsiaTheme="minorHAnsi" w:hAnsi="Palatino Linotype" w:cs="Times New Roman"/>
          <w:b/>
          <w:bCs/>
          <w:i/>
          <w:sz w:val="20"/>
          <w:szCs w:val="20"/>
        </w:rPr>
        <w:t xml:space="preserve">Internal Consistency Reliability of Multi-item measures </w:t>
      </w:r>
    </w:p>
    <w:p w:rsidR="00942490" w:rsidRPr="00F00661" w:rsidRDefault="00942490" w:rsidP="00942490">
      <w:pPr>
        <w:autoSpaceDE w:val="0"/>
        <w:autoSpaceDN w:val="0"/>
        <w:adjustRightInd w:val="0"/>
        <w:spacing w:after="0" w:line="240" w:lineRule="auto"/>
        <w:rPr>
          <w:rFonts w:ascii="Palatino Linotype" w:eastAsiaTheme="minorHAnsi" w:hAnsi="Palatino Linotype" w:cs="Times New Roman"/>
          <w:i/>
          <w:sz w:val="20"/>
          <w:szCs w:val="20"/>
        </w:rPr>
      </w:pPr>
      <w:r w:rsidRPr="00F00661">
        <w:rPr>
          <w:rFonts w:ascii="Palatino Linotype" w:eastAsiaTheme="minorHAnsi" w:hAnsi="Palatino Linotype" w:cs="Times New Roman"/>
          <w:i/>
          <w:sz w:val="20"/>
          <w:szCs w:val="20"/>
        </w:rPr>
        <w:t>Internal consistency reliability coefficients (Cronbach’s alpha) are displayed for each of the six multi-item measures in the table below.</w:t>
      </w:r>
    </w:p>
    <w:p w:rsidR="00942490" w:rsidRPr="00F00661" w:rsidRDefault="00942490" w:rsidP="00942490">
      <w:pPr>
        <w:autoSpaceDE w:val="0"/>
        <w:autoSpaceDN w:val="0"/>
        <w:adjustRightInd w:val="0"/>
        <w:spacing w:after="0" w:line="240" w:lineRule="auto"/>
        <w:rPr>
          <w:rFonts w:ascii="Palatino Linotype" w:eastAsiaTheme="minorHAnsi" w:hAnsi="Palatino Linotype" w:cs="Times New Roman"/>
          <w:i/>
          <w:sz w:val="20"/>
          <w:szCs w:val="20"/>
        </w:rPr>
      </w:pPr>
    </w:p>
    <w:p w:rsidR="00942490" w:rsidRPr="00F00661" w:rsidRDefault="00942490" w:rsidP="00942490">
      <w:pPr>
        <w:autoSpaceDE w:val="0"/>
        <w:autoSpaceDN w:val="0"/>
        <w:adjustRightInd w:val="0"/>
        <w:spacing w:after="0" w:line="240" w:lineRule="auto"/>
        <w:rPr>
          <w:rFonts w:ascii="Palatino Linotype" w:eastAsiaTheme="minorHAnsi" w:hAnsi="Palatino Linotype" w:cs="Times New Roman"/>
          <w:i/>
          <w:sz w:val="20"/>
          <w:szCs w:val="20"/>
        </w:rPr>
      </w:pPr>
      <w:r w:rsidRPr="00F00661">
        <w:rPr>
          <w:rFonts w:ascii="Palatino Linotype" w:eastAsiaTheme="minorHAnsi" w:hAnsi="Palatino Linotype" w:cs="Times New Roman"/>
          <w:i/>
          <w:sz w:val="20"/>
          <w:szCs w:val="20"/>
        </w:rPr>
        <w:t xml:space="preserve">Three of six multi-item measures had internal consistency reliability estimates of 0.80 or higher (Communication with Nurses, Communication with doctors) and three had estimates of 0.68-0.69 (Responsiveness of Hospital Staff, Communication about Medicines, Discharge Information). </w:t>
      </w:r>
    </w:p>
    <w:p w:rsidR="00942490" w:rsidRDefault="00942490" w:rsidP="00942490">
      <w:pPr>
        <w:autoSpaceDE w:val="0"/>
        <w:autoSpaceDN w:val="0"/>
        <w:adjustRightInd w:val="0"/>
        <w:spacing w:after="0" w:line="240" w:lineRule="auto"/>
        <w:rPr>
          <w:rFonts w:ascii="Palatino Linotype" w:hAnsi="Palatino Linotype"/>
          <w:i/>
          <w:sz w:val="20"/>
          <w:szCs w:val="20"/>
        </w:rPr>
      </w:pPr>
    </w:p>
    <w:p w:rsidR="00942490" w:rsidRPr="00F00661" w:rsidRDefault="00942490" w:rsidP="00942490">
      <w:pPr>
        <w:rPr>
          <w:rFonts w:eastAsiaTheme="minorHAnsi" w:cstheme="minorHAnsi"/>
          <w:b/>
          <w:sz w:val="20"/>
          <w:szCs w:val="20"/>
        </w:rPr>
      </w:pPr>
      <w:r w:rsidRPr="00F00661">
        <w:rPr>
          <w:rFonts w:eastAsiaTheme="minorHAnsi" w:cstheme="minorHAnsi"/>
          <w:b/>
          <w:sz w:val="20"/>
          <w:szCs w:val="20"/>
        </w:rPr>
        <w:t xml:space="preserve">Cronbach’s Alpha for HCAHPS multi-item measures, 2016 discharges. </w:t>
      </w:r>
    </w:p>
    <w:tbl>
      <w:tblPr>
        <w:tblStyle w:val="TableGrid"/>
        <w:tblW w:w="0" w:type="auto"/>
        <w:tblLook w:val="04A0" w:firstRow="1" w:lastRow="0" w:firstColumn="1" w:lastColumn="0" w:noHBand="0" w:noVBand="1"/>
        <w:tblCaption w:val="Table with Cronbach’s Alpha for HCAHPS multi-item measures"/>
        <w:tblDescription w:val="Cronbach’s Alpha for HCAHPS multi-item measures, 2016 discharges"/>
      </w:tblPr>
      <w:tblGrid>
        <w:gridCol w:w="4788"/>
        <w:gridCol w:w="4788"/>
      </w:tblGrid>
      <w:tr w:rsidR="00942490" w:rsidTr="00D43E0E">
        <w:trPr>
          <w:trHeight w:val="20"/>
        </w:trPr>
        <w:tc>
          <w:tcPr>
            <w:tcW w:w="4788" w:type="dxa"/>
          </w:tcPr>
          <w:p w:rsidR="00942490" w:rsidRPr="00580444" w:rsidRDefault="00942490" w:rsidP="00D43E0E">
            <w:pPr>
              <w:pStyle w:val="NoSpacing"/>
            </w:pPr>
          </w:p>
        </w:tc>
        <w:tc>
          <w:tcPr>
            <w:tcW w:w="4788" w:type="dxa"/>
          </w:tcPr>
          <w:p w:rsidR="00942490" w:rsidRPr="00580444" w:rsidRDefault="00942490" w:rsidP="00D43E0E">
            <w:pPr>
              <w:pStyle w:val="NoSpacing"/>
              <w:jc w:val="center"/>
            </w:pPr>
            <w:r w:rsidRPr="00580444">
              <w:t>Alpha &amp; Item-Total Correlation</w:t>
            </w:r>
          </w:p>
        </w:tc>
      </w:tr>
      <w:tr w:rsidR="00942490" w:rsidTr="00D43E0E">
        <w:trPr>
          <w:trHeight w:val="20"/>
        </w:trPr>
        <w:tc>
          <w:tcPr>
            <w:tcW w:w="4788" w:type="dxa"/>
          </w:tcPr>
          <w:p w:rsidR="00942490" w:rsidRPr="006A1FF7" w:rsidRDefault="00942490" w:rsidP="00D43E0E">
            <w:pPr>
              <w:pStyle w:val="NoSpacing"/>
              <w:rPr>
                <w:b/>
              </w:rPr>
            </w:pPr>
            <w:r w:rsidRPr="006A1FF7">
              <w:rPr>
                <w:b/>
              </w:rPr>
              <w:t>Communication with Nurses</w:t>
            </w:r>
          </w:p>
        </w:tc>
        <w:tc>
          <w:tcPr>
            <w:tcW w:w="4788" w:type="dxa"/>
            <w:shd w:val="clear" w:color="auto" w:fill="BFBFBF" w:themeFill="background1" w:themeFillShade="BF"/>
          </w:tcPr>
          <w:p w:rsidR="00942490" w:rsidRPr="006A1FF7" w:rsidRDefault="00942490" w:rsidP="00D43E0E">
            <w:pPr>
              <w:pStyle w:val="NoSpacing"/>
              <w:jc w:val="center"/>
              <w:rPr>
                <w:b/>
              </w:rPr>
            </w:pPr>
            <w:r w:rsidRPr="006A1FF7">
              <w:rPr>
                <w:b/>
              </w:rPr>
              <w:t>α = 0.81</w:t>
            </w:r>
          </w:p>
        </w:tc>
      </w:tr>
      <w:tr w:rsidR="00942490" w:rsidTr="00D43E0E">
        <w:trPr>
          <w:trHeight w:val="20"/>
        </w:trPr>
        <w:tc>
          <w:tcPr>
            <w:tcW w:w="4788" w:type="dxa"/>
          </w:tcPr>
          <w:p w:rsidR="00942490" w:rsidRDefault="00942490" w:rsidP="00D43E0E">
            <w:pPr>
              <w:pStyle w:val="NoSpacing"/>
              <w:jc w:val="right"/>
            </w:pPr>
            <w:r>
              <w:t>Nurse Courtesy Respect (Q1)</w:t>
            </w:r>
          </w:p>
        </w:tc>
        <w:tc>
          <w:tcPr>
            <w:tcW w:w="4788" w:type="dxa"/>
          </w:tcPr>
          <w:p w:rsidR="00942490" w:rsidRPr="00673A3C" w:rsidRDefault="00942490" w:rsidP="00D43E0E">
            <w:pPr>
              <w:pStyle w:val="NoSpacing"/>
              <w:jc w:val="center"/>
            </w:pPr>
            <w:r w:rsidRPr="00673A3C">
              <w:t>0.74</w:t>
            </w:r>
          </w:p>
        </w:tc>
      </w:tr>
      <w:tr w:rsidR="00942490" w:rsidTr="00D43E0E">
        <w:trPr>
          <w:trHeight w:val="20"/>
        </w:trPr>
        <w:tc>
          <w:tcPr>
            <w:tcW w:w="4788" w:type="dxa"/>
          </w:tcPr>
          <w:p w:rsidR="00942490" w:rsidRDefault="00942490" w:rsidP="00D43E0E">
            <w:pPr>
              <w:pStyle w:val="NoSpacing"/>
              <w:jc w:val="right"/>
            </w:pPr>
            <w:r>
              <w:t>Nurse Listen (Q2)</w:t>
            </w:r>
          </w:p>
        </w:tc>
        <w:tc>
          <w:tcPr>
            <w:tcW w:w="4788" w:type="dxa"/>
          </w:tcPr>
          <w:p w:rsidR="00942490" w:rsidRPr="00673A3C" w:rsidRDefault="00942490" w:rsidP="00D43E0E">
            <w:pPr>
              <w:pStyle w:val="NoSpacing"/>
              <w:jc w:val="center"/>
            </w:pPr>
            <w:r w:rsidRPr="00673A3C">
              <w:t>0.70</w:t>
            </w:r>
          </w:p>
        </w:tc>
      </w:tr>
      <w:tr w:rsidR="00942490" w:rsidTr="00D43E0E">
        <w:trPr>
          <w:trHeight w:val="20"/>
        </w:trPr>
        <w:tc>
          <w:tcPr>
            <w:tcW w:w="4788" w:type="dxa"/>
          </w:tcPr>
          <w:p w:rsidR="00942490" w:rsidRDefault="00942490" w:rsidP="00D43E0E">
            <w:pPr>
              <w:pStyle w:val="NoSpacing"/>
              <w:jc w:val="right"/>
            </w:pPr>
            <w:r>
              <w:t>Nurse Explain (Q3)</w:t>
            </w:r>
          </w:p>
        </w:tc>
        <w:tc>
          <w:tcPr>
            <w:tcW w:w="4788" w:type="dxa"/>
          </w:tcPr>
          <w:p w:rsidR="00942490" w:rsidRPr="00673A3C" w:rsidRDefault="00942490" w:rsidP="00D43E0E">
            <w:pPr>
              <w:pStyle w:val="NoSpacing"/>
              <w:jc w:val="center"/>
            </w:pPr>
            <w:r w:rsidRPr="00673A3C">
              <w:t>0.79</w:t>
            </w:r>
          </w:p>
        </w:tc>
      </w:tr>
      <w:tr w:rsidR="00942490" w:rsidTr="00D43E0E">
        <w:trPr>
          <w:trHeight w:val="20"/>
        </w:trPr>
        <w:tc>
          <w:tcPr>
            <w:tcW w:w="4788" w:type="dxa"/>
          </w:tcPr>
          <w:p w:rsidR="00942490" w:rsidRPr="006A1FF7" w:rsidRDefault="00942490" w:rsidP="00D43E0E">
            <w:pPr>
              <w:pStyle w:val="NoSpacing"/>
              <w:rPr>
                <w:b/>
              </w:rPr>
            </w:pPr>
            <w:r w:rsidRPr="006A1FF7">
              <w:rPr>
                <w:b/>
              </w:rPr>
              <w:t>Communication with Doctors</w:t>
            </w:r>
          </w:p>
        </w:tc>
        <w:tc>
          <w:tcPr>
            <w:tcW w:w="4788" w:type="dxa"/>
            <w:shd w:val="clear" w:color="auto" w:fill="BFBFBF" w:themeFill="background1" w:themeFillShade="BF"/>
          </w:tcPr>
          <w:p w:rsidR="00942490" w:rsidRPr="006A1FF7" w:rsidRDefault="00942490" w:rsidP="00D43E0E">
            <w:pPr>
              <w:pStyle w:val="NoSpacing"/>
              <w:jc w:val="center"/>
              <w:rPr>
                <w:b/>
              </w:rPr>
            </w:pPr>
            <w:r w:rsidRPr="006A1FF7">
              <w:rPr>
                <w:b/>
              </w:rPr>
              <w:t>α = 0.85</w:t>
            </w:r>
          </w:p>
        </w:tc>
      </w:tr>
      <w:tr w:rsidR="00942490" w:rsidTr="00D43E0E">
        <w:trPr>
          <w:trHeight w:val="20"/>
        </w:trPr>
        <w:tc>
          <w:tcPr>
            <w:tcW w:w="4788" w:type="dxa"/>
          </w:tcPr>
          <w:p w:rsidR="00942490" w:rsidRDefault="00942490" w:rsidP="00D43E0E">
            <w:pPr>
              <w:pStyle w:val="NoSpacing"/>
              <w:jc w:val="right"/>
            </w:pPr>
            <w:r>
              <w:t>Doctor Courtesy Respect (Q5)</w:t>
            </w:r>
          </w:p>
        </w:tc>
        <w:tc>
          <w:tcPr>
            <w:tcW w:w="4788" w:type="dxa"/>
          </w:tcPr>
          <w:p w:rsidR="00942490" w:rsidRPr="00673A3C" w:rsidRDefault="00942490" w:rsidP="00D43E0E">
            <w:pPr>
              <w:pStyle w:val="NoSpacing"/>
              <w:jc w:val="center"/>
            </w:pPr>
            <w:r w:rsidRPr="00673A3C">
              <w:t>0.81</w:t>
            </w:r>
          </w:p>
        </w:tc>
      </w:tr>
      <w:tr w:rsidR="00942490" w:rsidTr="00D43E0E">
        <w:trPr>
          <w:trHeight w:val="20"/>
        </w:trPr>
        <w:tc>
          <w:tcPr>
            <w:tcW w:w="4788" w:type="dxa"/>
          </w:tcPr>
          <w:p w:rsidR="00942490" w:rsidRDefault="00942490" w:rsidP="00D43E0E">
            <w:pPr>
              <w:pStyle w:val="NoSpacing"/>
              <w:jc w:val="right"/>
            </w:pPr>
            <w:r>
              <w:t>Doctor Listen (Q6)</w:t>
            </w:r>
          </w:p>
        </w:tc>
        <w:tc>
          <w:tcPr>
            <w:tcW w:w="4788" w:type="dxa"/>
          </w:tcPr>
          <w:p w:rsidR="00942490" w:rsidRPr="00673A3C" w:rsidRDefault="00942490" w:rsidP="00D43E0E">
            <w:pPr>
              <w:pStyle w:val="NoSpacing"/>
              <w:jc w:val="center"/>
            </w:pPr>
            <w:r w:rsidRPr="00673A3C">
              <w:t>0.75</w:t>
            </w:r>
          </w:p>
        </w:tc>
      </w:tr>
      <w:tr w:rsidR="00942490" w:rsidTr="00D43E0E">
        <w:trPr>
          <w:trHeight w:val="20"/>
        </w:trPr>
        <w:tc>
          <w:tcPr>
            <w:tcW w:w="4788" w:type="dxa"/>
          </w:tcPr>
          <w:p w:rsidR="00942490" w:rsidRDefault="00942490" w:rsidP="00D43E0E">
            <w:pPr>
              <w:pStyle w:val="NoSpacing"/>
              <w:jc w:val="right"/>
            </w:pPr>
            <w:r>
              <w:t>Doctor Explain (Q7)</w:t>
            </w:r>
          </w:p>
        </w:tc>
        <w:tc>
          <w:tcPr>
            <w:tcW w:w="4788" w:type="dxa"/>
          </w:tcPr>
          <w:p w:rsidR="00942490" w:rsidRPr="00673A3C" w:rsidRDefault="00942490" w:rsidP="00D43E0E">
            <w:pPr>
              <w:pStyle w:val="NoSpacing"/>
              <w:jc w:val="center"/>
            </w:pPr>
            <w:r w:rsidRPr="00673A3C">
              <w:t>0.82</w:t>
            </w:r>
          </w:p>
        </w:tc>
      </w:tr>
      <w:tr w:rsidR="00942490" w:rsidTr="00D43E0E">
        <w:trPr>
          <w:trHeight w:val="20"/>
        </w:trPr>
        <w:tc>
          <w:tcPr>
            <w:tcW w:w="4788" w:type="dxa"/>
          </w:tcPr>
          <w:p w:rsidR="00942490" w:rsidRPr="006A1FF7" w:rsidRDefault="00942490" w:rsidP="00D43E0E">
            <w:pPr>
              <w:pStyle w:val="NoSpacing"/>
              <w:rPr>
                <w:b/>
              </w:rPr>
            </w:pPr>
            <w:r w:rsidRPr="006A1FF7">
              <w:rPr>
                <w:b/>
              </w:rPr>
              <w:t>Responsiveness of Hospital Staff</w:t>
            </w:r>
          </w:p>
        </w:tc>
        <w:tc>
          <w:tcPr>
            <w:tcW w:w="4788" w:type="dxa"/>
            <w:shd w:val="clear" w:color="auto" w:fill="BFBFBF" w:themeFill="background1" w:themeFillShade="BF"/>
          </w:tcPr>
          <w:p w:rsidR="00942490" w:rsidRPr="006A1FF7" w:rsidRDefault="00942490" w:rsidP="00D43E0E">
            <w:pPr>
              <w:pStyle w:val="NoSpacing"/>
              <w:jc w:val="center"/>
              <w:rPr>
                <w:b/>
              </w:rPr>
            </w:pPr>
            <w:r w:rsidRPr="006A1FF7">
              <w:rPr>
                <w:b/>
              </w:rPr>
              <w:t>α = 0.69</w:t>
            </w:r>
          </w:p>
        </w:tc>
      </w:tr>
      <w:tr w:rsidR="00942490" w:rsidTr="00D43E0E">
        <w:trPr>
          <w:trHeight w:val="20"/>
        </w:trPr>
        <w:tc>
          <w:tcPr>
            <w:tcW w:w="4788" w:type="dxa"/>
          </w:tcPr>
          <w:p w:rsidR="00942490" w:rsidRDefault="00942490" w:rsidP="00D43E0E">
            <w:pPr>
              <w:pStyle w:val="NoSpacing"/>
              <w:jc w:val="right"/>
            </w:pPr>
            <w:r>
              <w:t>Call Button (Q4)</w:t>
            </w:r>
          </w:p>
        </w:tc>
        <w:tc>
          <w:tcPr>
            <w:tcW w:w="4788" w:type="dxa"/>
          </w:tcPr>
          <w:p w:rsidR="00942490" w:rsidRPr="00673A3C" w:rsidRDefault="00942490" w:rsidP="00D43E0E">
            <w:pPr>
              <w:pStyle w:val="NoSpacing"/>
              <w:jc w:val="center"/>
            </w:pPr>
            <w:r w:rsidRPr="00673A3C">
              <w:t>0.52</w:t>
            </w:r>
          </w:p>
        </w:tc>
      </w:tr>
      <w:tr w:rsidR="00942490" w:rsidTr="00D43E0E">
        <w:trPr>
          <w:trHeight w:val="20"/>
        </w:trPr>
        <w:tc>
          <w:tcPr>
            <w:tcW w:w="4788" w:type="dxa"/>
          </w:tcPr>
          <w:p w:rsidR="00942490" w:rsidRDefault="00942490" w:rsidP="00D43E0E">
            <w:pPr>
              <w:pStyle w:val="NoSpacing"/>
              <w:jc w:val="right"/>
            </w:pPr>
            <w:r>
              <w:t>Bathroom Help (Q11)</w:t>
            </w:r>
          </w:p>
        </w:tc>
        <w:tc>
          <w:tcPr>
            <w:tcW w:w="4788" w:type="dxa"/>
          </w:tcPr>
          <w:p w:rsidR="00942490" w:rsidRPr="00673A3C" w:rsidRDefault="00942490" w:rsidP="00D43E0E">
            <w:pPr>
              <w:pStyle w:val="NoSpacing"/>
              <w:jc w:val="center"/>
            </w:pPr>
            <w:r w:rsidRPr="00673A3C">
              <w:t>0.52</w:t>
            </w:r>
          </w:p>
        </w:tc>
      </w:tr>
      <w:tr w:rsidR="00942490" w:rsidTr="00D43E0E">
        <w:trPr>
          <w:trHeight w:val="20"/>
        </w:trPr>
        <w:tc>
          <w:tcPr>
            <w:tcW w:w="4788" w:type="dxa"/>
          </w:tcPr>
          <w:p w:rsidR="00942490" w:rsidRPr="006A1FF7" w:rsidRDefault="00942490" w:rsidP="00D43E0E">
            <w:pPr>
              <w:pStyle w:val="NoSpacing"/>
              <w:rPr>
                <w:b/>
              </w:rPr>
            </w:pPr>
            <w:r w:rsidRPr="006A1FF7">
              <w:rPr>
                <w:b/>
              </w:rPr>
              <w:t>Communication about Medicine</w:t>
            </w:r>
          </w:p>
        </w:tc>
        <w:tc>
          <w:tcPr>
            <w:tcW w:w="4788" w:type="dxa"/>
            <w:shd w:val="clear" w:color="auto" w:fill="BFBFBF" w:themeFill="background1" w:themeFillShade="BF"/>
          </w:tcPr>
          <w:p w:rsidR="00942490" w:rsidRPr="006A1FF7" w:rsidRDefault="00942490" w:rsidP="00D43E0E">
            <w:pPr>
              <w:pStyle w:val="NoSpacing"/>
              <w:jc w:val="center"/>
              <w:rPr>
                <w:b/>
              </w:rPr>
            </w:pPr>
            <w:r w:rsidRPr="006A1FF7">
              <w:rPr>
                <w:b/>
              </w:rPr>
              <w:t>α = 0.68</w:t>
            </w:r>
          </w:p>
        </w:tc>
      </w:tr>
      <w:tr w:rsidR="00942490" w:rsidTr="00D43E0E">
        <w:trPr>
          <w:trHeight w:val="20"/>
        </w:trPr>
        <w:tc>
          <w:tcPr>
            <w:tcW w:w="4788" w:type="dxa"/>
          </w:tcPr>
          <w:p w:rsidR="00942490" w:rsidRDefault="00942490" w:rsidP="00D43E0E">
            <w:pPr>
              <w:pStyle w:val="NoSpacing"/>
              <w:jc w:val="right"/>
            </w:pPr>
            <w:r>
              <w:t>Medicine Explain (Q16)</w:t>
            </w:r>
          </w:p>
        </w:tc>
        <w:tc>
          <w:tcPr>
            <w:tcW w:w="4788" w:type="dxa"/>
          </w:tcPr>
          <w:p w:rsidR="00942490" w:rsidRPr="00673A3C" w:rsidRDefault="00942490" w:rsidP="00D43E0E">
            <w:pPr>
              <w:pStyle w:val="NoSpacing"/>
              <w:jc w:val="center"/>
            </w:pPr>
            <w:r w:rsidRPr="00673A3C">
              <w:t>0.52</w:t>
            </w:r>
          </w:p>
        </w:tc>
      </w:tr>
      <w:tr w:rsidR="00942490" w:rsidTr="00D43E0E">
        <w:trPr>
          <w:trHeight w:val="20"/>
        </w:trPr>
        <w:tc>
          <w:tcPr>
            <w:tcW w:w="4788" w:type="dxa"/>
          </w:tcPr>
          <w:p w:rsidR="00942490" w:rsidRDefault="00942490" w:rsidP="00D43E0E">
            <w:pPr>
              <w:pStyle w:val="NoSpacing"/>
              <w:jc w:val="right"/>
            </w:pPr>
            <w:r>
              <w:t>Side Effects (Q17)</w:t>
            </w:r>
          </w:p>
        </w:tc>
        <w:tc>
          <w:tcPr>
            <w:tcW w:w="4788" w:type="dxa"/>
          </w:tcPr>
          <w:p w:rsidR="00942490" w:rsidRPr="00673A3C" w:rsidRDefault="00942490" w:rsidP="00D43E0E">
            <w:pPr>
              <w:pStyle w:val="NoSpacing"/>
              <w:jc w:val="center"/>
            </w:pPr>
            <w:r w:rsidRPr="00673A3C">
              <w:t>0.52</w:t>
            </w:r>
          </w:p>
        </w:tc>
      </w:tr>
      <w:tr w:rsidR="00942490" w:rsidTr="00D43E0E">
        <w:trPr>
          <w:trHeight w:val="20"/>
        </w:trPr>
        <w:tc>
          <w:tcPr>
            <w:tcW w:w="4788" w:type="dxa"/>
          </w:tcPr>
          <w:p w:rsidR="00942490" w:rsidRPr="006A1FF7" w:rsidRDefault="00942490" w:rsidP="00D43E0E">
            <w:pPr>
              <w:pStyle w:val="NoSpacing"/>
              <w:rPr>
                <w:b/>
              </w:rPr>
            </w:pPr>
            <w:r w:rsidRPr="006A1FF7">
              <w:rPr>
                <w:b/>
              </w:rPr>
              <w:t>Care Transition</w:t>
            </w:r>
          </w:p>
        </w:tc>
        <w:tc>
          <w:tcPr>
            <w:tcW w:w="4788" w:type="dxa"/>
            <w:shd w:val="clear" w:color="auto" w:fill="BFBFBF" w:themeFill="background1" w:themeFillShade="BF"/>
          </w:tcPr>
          <w:p w:rsidR="00942490" w:rsidRPr="006A1FF7" w:rsidRDefault="00942490" w:rsidP="00D43E0E">
            <w:pPr>
              <w:pStyle w:val="NoSpacing"/>
              <w:jc w:val="center"/>
              <w:rPr>
                <w:b/>
              </w:rPr>
            </w:pPr>
            <w:r w:rsidRPr="006A1FF7">
              <w:rPr>
                <w:b/>
              </w:rPr>
              <w:t>α = 0.80</w:t>
            </w:r>
          </w:p>
        </w:tc>
      </w:tr>
      <w:tr w:rsidR="00942490" w:rsidTr="00D43E0E">
        <w:trPr>
          <w:trHeight w:val="20"/>
        </w:trPr>
        <w:tc>
          <w:tcPr>
            <w:tcW w:w="4788" w:type="dxa"/>
          </w:tcPr>
          <w:p w:rsidR="00942490" w:rsidRDefault="00942490" w:rsidP="00D43E0E">
            <w:pPr>
              <w:pStyle w:val="NoSpacing"/>
              <w:jc w:val="right"/>
            </w:pPr>
            <w:r>
              <w:t>Preferences (Q23)</w:t>
            </w:r>
          </w:p>
        </w:tc>
        <w:tc>
          <w:tcPr>
            <w:tcW w:w="4788" w:type="dxa"/>
          </w:tcPr>
          <w:p w:rsidR="00942490" w:rsidRPr="00673A3C" w:rsidRDefault="00942490" w:rsidP="00D43E0E">
            <w:pPr>
              <w:pStyle w:val="NoSpacing"/>
              <w:jc w:val="center"/>
            </w:pPr>
            <w:r w:rsidRPr="00673A3C">
              <w:t>0.73</w:t>
            </w:r>
          </w:p>
        </w:tc>
      </w:tr>
      <w:tr w:rsidR="00942490" w:rsidTr="00D43E0E">
        <w:trPr>
          <w:trHeight w:val="20"/>
        </w:trPr>
        <w:tc>
          <w:tcPr>
            <w:tcW w:w="4788" w:type="dxa"/>
          </w:tcPr>
          <w:p w:rsidR="00942490" w:rsidRDefault="00942490" w:rsidP="00D43E0E">
            <w:pPr>
              <w:pStyle w:val="NoSpacing"/>
              <w:jc w:val="right"/>
            </w:pPr>
            <w:r>
              <w:t>Understanding (Q24)</w:t>
            </w:r>
          </w:p>
        </w:tc>
        <w:tc>
          <w:tcPr>
            <w:tcW w:w="4788" w:type="dxa"/>
          </w:tcPr>
          <w:p w:rsidR="00942490" w:rsidRPr="00673A3C" w:rsidRDefault="00942490" w:rsidP="00D43E0E">
            <w:pPr>
              <w:pStyle w:val="NoSpacing"/>
              <w:jc w:val="center"/>
            </w:pPr>
            <w:r w:rsidRPr="00673A3C">
              <w:t>0.78</w:t>
            </w:r>
          </w:p>
        </w:tc>
      </w:tr>
      <w:tr w:rsidR="00942490" w:rsidTr="00D43E0E">
        <w:trPr>
          <w:trHeight w:val="20"/>
        </w:trPr>
        <w:tc>
          <w:tcPr>
            <w:tcW w:w="4788" w:type="dxa"/>
          </w:tcPr>
          <w:p w:rsidR="00942490" w:rsidRDefault="00942490" w:rsidP="00D43E0E">
            <w:pPr>
              <w:pStyle w:val="NoSpacing"/>
              <w:jc w:val="right"/>
            </w:pPr>
            <w:r>
              <w:t>Medicine Purpose (Q25)</w:t>
            </w:r>
          </w:p>
        </w:tc>
        <w:tc>
          <w:tcPr>
            <w:tcW w:w="4788" w:type="dxa"/>
          </w:tcPr>
          <w:p w:rsidR="00942490" w:rsidRPr="00673A3C" w:rsidRDefault="00942490" w:rsidP="00D43E0E">
            <w:pPr>
              <w:pStyle w:val="NoSpacing"/>
              <w:jc w:val="center"/>
            </w:pPr>
            <w:r w:rsidRPr="00673A3C">
              <w:t>0.64</w:t>
            </w:r>
          </w:p>
        </w:tc>
      </w:tr>
      <w:tr w:rsidR="00942490" w:rsidTr="00D43E0E">
        <w:trPr>
          <w:trHeight w:val="20"/>
        </w:trPr>
        <w:tc>
          <w:tcPr>
            <w:tcW w:w="4788" w:type="dxa"/>
          </w:tcPr>
          <w:p w:rsidR="00942490" w:rsidRPr="006A1FF7" w:rsidRDefault="00942490" w:rsidP="00D43E0E">
            <w:pPr>
              <w:pStyle w:val="NoSpacing"/>
              <w:rPr>
                <w:b/>
              </w:rPr>
            </w:pPr>
            <w:r w:rsidRPr="006A1FF7">
              <w:rPr>
                <w:b/>
              </w:rPr>
              <w:t>Discharge Information</w:t>
            </w:r>
          </w:p>
        </w:tc>
        <w:tc>
          <w:tcPr>
            <w:tcW w:w="4788" w:type="dxa"/>
            <w:shd w:val="clear" w:color="auto" w:fill="BFBFBF" w:themeFill="background1" w:themeFillShade="BF"/>
          </w:tcPr>
          <w:p w:rsidR="00942490" w:rsidRPr="006A1FF7" w:rsidRDefault="00942490" w:rsidP="00D43E0E">
            <w:pPr>
              <w:pStyle w:val="NoSpacing"/>
              <w:jc w:val="center"/>
              <w:rPr>
                <w:b/>
              </w:rPr>
            </w:pPr>
            <w:r w:rsidRPr="006A1FF7">
              <w:rPr>
                <w:b/>
              </w:rPr>
              <w:t>α = 0.69</w:t>
            </w:r>
          </w:p>
        </w:tc>
      </w:tr>
      <w:tr w:rsidR="00942490" w:rsidTr="00D43E0E">
        <w:trPr>
          <w:trHeight w:val="20"/>
        </w:trPr>
        <w:tc>
          <w:tcPr>
            <w:tcW w:w="4788" w:type="dxa"/>
          </w:tcPr>
          <w:p w:rsidR="00942490" w:rsidRDefault="00942490" w:rsidP="00D43E0E">
            <w:pPr>
              <w:pStyle w:val="NoSpacing"/>
              <w:jc w:val="right"/>
            </w:pPr>
            <w:r>
              <w:t>Help After Discharge (Q19)</w:t>
            </w:r>
          </w:p>
        </w:tc>
        <w:tc>
          <w:tcPr>
            <w:tcW w:w="4788" w:type="dxa"/>
          </w:tcPr>
          <w:p w:rsidR="00942490" w:rsidRPr="00673A3C" w:rsidRDefault="00942490" w:rsidP="00D43E0E">
            <w:pPr>
              <w:pStyle w:val="NoSpacing"/>
              <w:jc w:val="center"/>
            </w:pPr>
            <w:r w:rsidRPr="00673A3C">
              <w:t>0.</w:t>
            </w:r>
            <w:r>
              <w:t>53</w:t>
            </w:r>
          </w:p>
        </w:tc>
      </w:tr>
      <w:tr w:rsidR="00942490" w:rsidTr="00D43E0E">
        <w:trPr>
          <w:trHeight w:val="58"/>
        </w:trPr>
        <w:tc>
          <w:tcPr>
            <w:tcW w:w="4788" w:type="dxa"/>
          </w:tcPr>
          <w:p w:rsidR="00942490" w:rsidRDefault="00942490" w:rsidP="00D43E0E">
            <w:pPr>
              <w:pStyle w:val="NoSpacing"/>
              <w:jc w:val="right"/>
            </w:pPr>
            <w:r>
              <w:t>Symptoms (Q20)</w:t>
            </w:r>
          </w:p>
        </w:tc>
        <w:tc>
          <w:tcPr>
            <w:tcW w:w="4788" w:type="dxa"/>
          </w:tcPr>
          <w:p w:rsidR="00942490" w:rsidRPr="00673A3C" w:rsidRDefault="00942490" w:rsidP="00D43E0E">
            <w:pPr>
              <w:pStyle w:val="NoSpacing"/>
              <w:jc w:val="center"/>
            </w:pPr>
            <w:r w:rsidRPr="00673A3C">
              <w:t>0.</w:t>
            </w:r>
            <w:r>
              <w:t>53</w:t>
            </w:r>
          </w:p>
        </w:tc>
      </w:tr>
    </w:tbl>
    <w:p w:rsidR="00942490" w:rsidRDefault="00942490" w:rsidP="00942490">
      <w:pPr>
        <w:autoSpaceDE w:val="0"/>
        <w:autoSpaceDN w:val="0"/>
        <w:adjustRightInd w:val="0"/>
        <w:spacing w:after="0" w:line="240" w:lineRule="auto"/>
        <w:rPr>
          <w:rFonts w:cstheme="minorHAnsi"/>
          <w:b/>
          <w:bCs/>
        </w:rPr>
      </w:pPr>
    </w:p>
    <w:p w:rsidR="00942490" w:rsidRDefault="00942490" w:rsidP="00942490">
      <w:pPr>
        <w:autoSpaceDE w:val="0"/>
        <w:autoSpaceDN w:val="0"/>
        <w:adjustRightInd w:val="0"/>
        <w:spacing w:after="0" w:line="240" w:lineRule="auto"/>
        <w:rPr>
          <w:rFonts w:ascii="Palatino Linotype" w:hAnsi="Palatino Linotype"/>
          <w:i/>
          <w:sz w:val="20"/>
          <w:szCs w:val="20"/>
        </w:rPr>
      </w:pPr>
    </w:p>
    <w:p w:rsidR="00942490" w:rsidRDefault="00942490" w:rsidP="00942490">
      <w:pPr>
        <w:autoSpaceDE w:val="0"/>
        <w:autoSpaceDN w:val="0"/>
        <w:adjustRightInd w:val="0"/>
        <w:spacing w:after="0" w:line="240" w:lineRule="auto"/>
        <w:rPr>
          <w:rFonts w:cstheme="minorHAnsi"/>
          <w:bCs/>
        </w:rPr>
      </w:pPr>
      <w:r>
        <w:rPr>
          <w:rFonts w:cstheme="minorHAnsi"/>
          <w:b/>
          <w:bCs/>
        </w:rPr>
        <w:t xml:space="preserve">2a2.4 </w:t>
      </w:r>
      <w:r w:rsidRPr="00A25024">
        <w:rPr>
          <w:rFonts w:cstheme="minorHAnsi"/>
          <w:b/>
          <w:bCs/>
        </w:rPr>
        <w:t>What is your interpretation of the results in terms of demonstrating reliability</w:t>
      </w:r>
      <w:r w:rsidRPr="00A25024">
        <w:rPr>
          <w:rFonts w:cstheme="minorHAnsi"/>
          <w:bCs/>
        </w:rPr>
        <w:t>? (i</w:t>
      </w:r>
      <w:r w:rsidRPr="00A25024">
        <w:rPr>
          <w:rFonts w:cstheme="minorHAnsi"/>
          <w:bCs/>
          <w:i/>
        </w:rPr>
        <w:t>.e., what do the results mean and what are the norms for the test conducted?</w:t>
      </w:r>
      <w:r w:rsidRPr="00A25024">
        <w:rPr>
          <w:rFonts w:cstheme="minorHAnsi"/>
          <w:bCs/>
        </w:rPr>
        <w:t>)</w:t>
      </w:r>
    </w:p>
    <w:p w:rsidR="00942490" w:rsidRPr="0062036E" w:rsidRDefault="00942490" w:rsidP="00942490">
      <w:pPr>
        <w:autoSpaceDE w:val="0"/>
        <w:autoSpaceDN w:val="0"/>
        <w:adjustRightInd w:val="0"/>
        <w:spacing w:after="0" w:line="240" w:lineRule="auto"/>
        <w:rPr>
          <w:rFonts w:cstheme="minorHAnsi"/>
          <w:bCs/>
        </w:rPr>
      </w:pPr>
    </w:p>
    <w:p w:rsidR="00942490" w:rsidRDefault="00942490" w:rsidP="00942490">
      <w:pPr>
        <w:rPr>
          <w:rFonts w:ascii="Palatino Linotype" w:hAnsi="Palatino Linotype" w:cs="Times New Roman"/>
          <w:i/>
          <w:sz w:val="20"/>
          <w:szCs w:val="20"/>
        </w:rPr>
      </w:pPr>
      <w:r w:rsidRPr="008C4D75">
        <w:rPr>
          <w:rFonts w:ascii="Palatino Linotype" w:hAnsi="Palatino Linotype" w:cs="Times New Roman"/>
          <w:i/>
          <w:sz w:val="20"/>
          <w:szCs w:val="20"/>
        </w:rPr>
        <w:t>The results demonstrate that all 1</w:t>
      </w:r>
      <w:r>
        <w:rPr>
          <w:rFonts w:ascii="Palatino Linotype" w:hAnsi="Palatino Linotype" w:cs="Times New Roman"/>
          <w:i/>
          <w:sz w:val="20"/>
          <w:szCs w:val="20"/>
        </w:rPr>
        <w:t>0</w:t>
      </w:r>
      <w:r w:rsidRPr="008C4D75">
        <w:rPr>
          <w:rFonts w:ascii="Palatino Linotype" w:hAnsi="Palatino Linotype" w:cs="Times New Roman"/>
          <w:i/>
          <w:sz w:val="20"/>
          <w:szCs w:val="20"/>
        </w:rPr>
        <w:t xml:space="preserve"> HCAHPS measures </w:t>
      </w:r>
      <w:r>
        <w:rPr>
          <w:rFonts w:ascii="Palatino Linotype" w:hAnsi="Palatino Linotype" w:cs="Times New Roman"/>
          <w:i/>
          <w:sz w:val="20"/>
          <w:szCs w:val="20"/>
        </w:rPr>
        <w:t xml:space="preserve">(6 multi-item measures and 4 single-items measures) </w:t>
      </w:r>
      <w:r w:rsidRPr="008C4D75">
        <w:rPr>
          <w:rFonts w:ascii="Palatino Linotype" w:hAnsi="Palatino Linotype" w:cs="Times New Roman"/>
          <w:i/>
          <w:sz w:val="20"/>
          <w:szCs w:val="20"/>
        </w:rPr>
        <w:t xml:space="preserve">reliably distinguish hospital performance and are sufficiently reliable for hospital-level public reporting and performance incentives at the recommended 300 completed surveys using top-box </w:t>
      </w:r>
      <w:r>
        <w:rPr>
          <w:rFonts w:ascii="Palatino Linotype" w:hAnsi="Palatino Linotype" w:cs="Times New Roman"/>
          <w:i/>
          <w:sz w:val="20"/>
          <w:szCs w:val="20"/>
        </w:rPr>
        <w:t xml:space="preserve">and linear-mean </w:t>
      </w:r>
      <w:r w:rsidRPr="008C4D75">
        <w:rPr>
          <w:rFonts w:ascii="Palatino Linotype" w:hAnsi="Palatino Linotype" w:cs="Times New Roman"/>
          <w:i/>
          <w:sz w:val="20"/>
          <w:szCs w:val="20"/>
        </w:rPr>
        <w:t>scoring.</w:t>
      </w:r>
      <w:r>
        <w:rPr>
          <w:rFonts w:ascii="Palatino Linotype" w:hAnsi="Palatino Linotype" w:cs="Times New Roman"/>
          <w:i/>
          <w:sz w:val="20"/>
          <w:szCs w:val="20"/>
        </w:rPr>
        <w:t xml:space="preserve">  </w:t>
      </w:r>
    </w:p>
    <w:p w:rsidR="00942490" w:rsidRDefault="00942490" w:rsidP="00942490">
      <w:pPr>
        <w:rPr>
          <w:rFonts w:ascii="Palatino Linotype" w:hAnsi="Palatino Linotype" w:cs="Times New Roman"/>
          <w:i/>
          <w:sz w:val="20"/>
          <w:szCs w:val="20"/>
        </w:rPr>
      </w:pPr>
      <w:r>
        <w:rPr>
          <w:rFonts w:ascii="Palatino Linotype" w:hAnsi="Palatino Linotype" w:cs="Times New Roman"/>
          <w:i/>
          <w:sz w:val="20"/>
          <w:szCs w:val="20"/>
        </w:rPr>
        <w:t xml:space="preserve">The 15 individual items (“data elements”) that are combined to form the 6 HCAHPS multi-item measures are also </w:t>
      </w:r>
      <w:r w:rsidRPr="008C4D75">
        <w:rPr>
          <w:rFonts w:ascii="Palatino Linotype" w:hAnsi="Palatino Linotype" w:cs="Times New Roman"/>
          <w:i/>
          <w:sz w:val="20"/>
          <w:szCs w:val="20"/>
        </w:rPr>
        <w:t>sufficiently reliable</w:t>
      </w:r>
      <w:r>
        <w:rPr>
          <w:rFonts w:ascii="Palatino Linotype" w:hAnsi="Palatino Linotype" w:cs="Times New Roman"/>
          <w:i/>
          <w:sz w:val="20"/>
          <w:szCs w:val="20"/>
        </w:rPr>
        <w:t xml:space="preserve">.  </w:t>
      </w:r>
    </w:p>
    <w:p w:rsidR="00942490" w:rsidRPr="008C4D75" w:rsidRDefault="00942490" w:rsidP="00942490">
      <w:pPr>
        <w:autoSpaceDE w:val="0"/>
        <w:autoSpaceDN w:val="0"/>
        <w:adjustRightInd w:val="0"/>
        <w:spacing w:after="0" w:line="240" w:lineRule="auto"/>
        <w:rPr>
          <w:rFonts w:ascii="Palatino Linotype" w:hAnsi="Palatino Linotype" w:cstheme="minorHAnsi"/>
          <w:bCs/>
          <w:i/>
          <w:sz w:val="20"/>
          <w:szCs w:val="20"/>
        </w:rPr>
      </w:pPr>
      <w:r>
        <w:rPr>
          <w:rFonts w:ascii="Palatino Linotype" w:hAnsi="Palatino Linotype" w:cs="Times New Roman"/>
          <w:i/>
          <w:sz w:val="20"/>
          <w:szCs w:val="20"/>
        </w:rPr>
        <w:t>Finally, 3 of 6 HCAHPS multi-item measures demonstrate good (0.80-0.85) internal consistency reliability and 3 demonstrate adequate (0.68-0.69) internal consistency reliability.</w:t>
      </w:r>
    </w:p>
    <w:p w:rsidR="000200A1" w:rsidRDefault="000200A1" w:rsidP="00DB3627">
      <w:pPr>
        <w:autoSpaceDE w:val="0"/>
        <w:autoSpaceDN w:val="0"/>
        <w:adjustRightInd w:val="0"/>
        <w:spacing w:after="0" w:line="240" w:lineRule="auto"/>
        <w:rPr>
          <w:rFonts w:cstheme="minorHAnsi"/>
          <w:b/>
          <w:noProof/>
        </w:rPr>
      </w:pP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3D070E">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244A95"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0462DC">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244A95"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0462DC">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rsidR="000462DC" w:rsidRDefault="009C7513" w:rsidP="00DB3627">
      <w:pPr>
        <w:autoSpaceDE w:val="0"/>
        <w:autoSpaceDN w:val="0"/>
        <w:adjustRightInd w:val="0"/>
        <w:spacing w:after="0" w:line="240" w:lineRule="auto"/>
        <w:rPr>
          <w:rFonts w:cstheme="minorHAnsi"/>
          <w:bCs/>
          <w:i/>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rsidR="0062036E" w:rsidRDefault="0062036E" w:rsidP="00DB3627">
      <w:pPr>
        <w:autoSpaceDE w:val="0"/>
        <w:autoSpaceDN w:val="0"/>
        <w:adjustRightInd w:val="0"/>
        <w:spacing w:after="0" w:line="240" w:lineRule="auto"/>
        <w:rPr>
          <w:rFonts w:cstheme="minorHAnsi"/>
          <w:bCs/>
          <w:i/>
        </w:rPr>
      </w:pPr>
    </w:p>
    <w:p w:rsidR="00955AC9" w:rsidRDefault="00955AC9" w:rsidP="00DB3627">
      <w:pPr>
        <w:autoSpaceDE w:val="0"/>
        <w:autoSpaceDN w:val="0"/>
        <w:adjustRightInd w:val="0"/>
        <w:spacing w:after="0" w:line="240" w:lineRule="auto"/>
        <w:rPr>
          <w:rFonts w:ascii="Palatino Linotype" w:hAnsi="Palatino Linotype" w:cstheme="minorHAnsi"/>
          <w:bCs/>
          <w:i/>
          <w:sz w:val="20"/>
          <w:szCs w:val="20"/>
        </w:rPr>
      </w:pPr>
      <w:r>
        <w:rPr>
          <w:rFonts w:ascii="Palatino Linotype" w:hAnsi="Palatino Linotype" w:cstheme="minorHAnsi"/>
          <w:bCs/>
          <w:i/>
          <w:sz w:val="20"/>
          <w:szCs w:val="20"/>
        </w:rPr>
        <w:t>We conducted analyses to assess construct validity, testing hypotheses that specific multi-item measures and individual items within the HCAHPS Survey would have moderate, statistically significant positive association with the global measures of patient experience of care:</w:t>
      </w:r>
      <w:r w:rsidRPr="008C4D75">
        <w:rPr>
          <w:rFonts w:ascii="Palatino Linotype" w:hAnsi="Palatino Linotype" w:cs="Times New Roman"/>
          <w:bCs/>
          <w:i/>
          <w:sz w:val="20"/>
          <w:szCs w:val="20"/>
        </w:rPr>
        <w:t xml:space="preserve"> the global hospital rating and the recommendation of hospital to friends and family items.</w:t>
      </w:r>
      <w:r>
        <w:rPr>
          <w:rFonts w:ascii="Palatino Linotype" w:hAnsi="Palatino Linotype" w:cs="Times New Roman"/>
          <w:bCs/>
          <w:i/>
          <w:sz w:val="20"/>
          <w:szCs w:val="20"/>
        </w:rPr>
        <w:t xml:space="preserve">  In both the </w:t>
      </w:r>
      <w:r w:rsidR="002B7AFC">
        <w:rPr>
          <w:rFonts w:ascii="Palatino Linotype" w:hAnsi="Palatino Linotype" w:cs="Times New Roman"/>
          <w:bCs/>
          <w:i/>
          <w:sz w:val="20"/>
          <w:szCs w:val="20"/>
        </w:rPr>
        <w:t xml:space="preserve">2003 </w:t>
      </w:r>
      <w:r>
        <w:rPr>
          <w:rFonts w:ascii="Palatino Linotype" w:hAnsi="Palatino Linotype" w:cs="Times New Roman"/>
          <w:bCs/>
          <w:i/>
          <w:sz w:val="20"/>
          <w:szCs w:val="20"/>
        </w:rPr>
        <w:t>Three-State Pilot Study and also using completed surveys from all discharges from July 2016 through June 2017</w:t>
      </w:r>
      <w:r w:rsidR="002B7AFC">
        <w:rPr>
          <w:rFonts w:ascii="Palatino Linotype" w:hAnsi="Palatino Linotype" w:cs="Times New Roman"/>
          <w:bCs/>
          <w:i/>
          <w:sz w:val="20"/>
          <w:szCs w:val="20"/>
        </w:rPr>
        <w:t xml:space="preserve">, we performed linear regression analyses that predicted the global rating and recommend items from individual multi-item measures and individual item measures </w:t>
      </w:r>
      <w:r w:rsidR="00557A39">
        <w:rPr>
          <w:rFonts w:ascii="Palatino Linotype" w:hAnsi="Palatino Linotype" w:cs="Times New Roman"/>
          <w:bCs/>
          <w:i/>
          <w:sz w:val="20"/>
          <w:szCs w:val="20"/>
        </w:rPr>
        <w:t>using</w:t>
      </w:r>
      <w:r w:rsidR="002B7AFC">
        <w:rPr>
          <w:rFonts w:ascii="Palatino Linotype" w:hAnsi="Palatino Linotype" w:cs="Times New Roman"/>
          <w:bCs/>
          <w:i/>
          <w:sz w:val="20"/>
          <w:szCs w:val="20"/>
        </w:rPr>
        <w:t xml:space="preserve"> patient level data. We also examined correlations at the hospital level using the 2016-17 data. We found moderate correlations with rating and recommend at the patient level (generally in the 0.3 to 0.4 range) and stronger correlations at the hospital level (0.6 to 0.8); all </w:t>
      </w:r>
      <w:r w:rsidR="00557A39">
        <w:rPr>
          <w:rFonts w:ascii="Palatino Linotype" w:hAnsi="Palatino Linotype" w:cs="Times New Roman"/>
          <w:bCs/>
          <w:i/>
          <w:sz w:val="20"/>
          <w:szCs w:val="20"/>
        </w:rPr>
        <w:t xml:space="preserve">were </w:t>
      </w:r>
      <w:r w:rsidR="002B7AFC">
        <w:rPr>
          <w:rFonts w:ascii="Palatino Linotype" w:hAnsi="Palatino Linotype" w:cs="Times New Roman"/>
          <w:bCs/>
          <w:i/>
          <w:sz w:val="20"/>
          <w:szCs w:val="20"/>
        </w:rPr>
        <w:t xml:space="preserve">statistically significant.    </w:t>
      </w:r>
      <w:r>
        <w:rPr>
          <w:rFonts w:ascii="Palatino Linotype" w:hAnsi="Palatino Linotype" w:cs="Times New Roman"/>
          <w:bCs/>
          <w:i/>
          <w:sz w:val="20"/>
          <w:szCs w:val="20"/>
        </w:rPr>
        <w:t xml:space="preserve">    </w:t>
      </w:r>
    </w:p>
    <w:p w:rsidR="00955AC9" w:rsidRDefault="00955AC9" w:rsidP="00DB3627">
      <w:pPr>
        <w:autoSpaceDE w:val="0"/>
        <w:autoSpaceDN w:val="0"/>
        <w:adjustRightInd w:val="0"/>
        <w:spacing w:after="0" w:line="240" w:lineRule="auto"/>
        <w:rPr>
          <w:rFonts w:ascii="Palatino Linotype" w:hAnsi="Palatino Linotype" w:cstheme="minorHAnsi"/>
          <w:bCs/>
          <w:i/>
          <w:sz w:val="20"/>
          <w:szCs w:val="20"/>
        </w:rPr>
      </w:pPr>
    </w:p>
    <w:p w:rsidR="00833325" w:rsidRPr="00A25024" w:rsidRDefault="000462DC" w:rsidP="00DB3627">
      <w:pPr>
        <w:autoSpaceDE w:val="0"/>
        <w:autoSpaceDN w:val="0"/>
        <w:adjustRightInd w:val="0"/>
        <w:spacing w:after="0" w:line="240" w:lineRule="auto"/>
        <w:rPr>
          <w:rFonts w:cstheme="minorHAnsi"/>
          <w:bCs/>
        </w:rPr>
      </w:pPr>
      <w:r w:rsidRPr="008C4D75">
        <w:rPr>
          <w:rFonts w:ascii="Palatino Linotype" w:hAnsi="Palatino Linotype" w:cstheme="minorHAnsi"/>
          <w:bCs/>
          <w:i/>
          <w:sz w:val="20"/>
          <w:szCs w:val="20"/>
        </w:rPr>
        <w:t>Please see below.</w:t>
      </w:r>
      <w:r w:rsidR="00833325" w:rsidRPr="008C4D75">
        <w:rPr>
          <w:rFonts w:ascii="Palatino Linotype" w:hAnsi="Palatino Linotype" w:cstheme="minorHAnsi"/>
          <w:bCs/>
          <w:sz w:val="20"/>
          <w:szCs w:val="20"/>
        </w:rPr>
        <w:br/>
      </w:r>
    </w:p>
    <w:p w:rsidR="000462DC"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rsidR="007412A2" w:rsidRDefault="007412A2" w:rsidP="00092566">
      <w:pPr>
        <w:autoSpaceDE w:val="0"/>
        <w:autoSpaceDN w:val="0"/>
        <w:adjustRightInd w:val="0"/>
        <w:spacing w:after="0" w:line="240" w:lineRule="auto"/>
        <w:rPr>
          <w:rFonts w:cstheme="minorHAnsi"/>
          <w:bCs/>
        </w:rPr>
      </w:pPr>
    </w:p>
    <w:p w:rsidR="00557A39" w:rsidRDefault="00557A39" w:rsidP="00092566">
      <w:pPr>
        <w:autoSpaceDE w:val="0"/>
        <w:autoSpaceDN w:val="0"/>
        <w:adjustRightInd w:val="0"/>
        <w:spacing w:after="0" w:line="240" w:lineRule="auto"/>
        <w:rPr>
          <w:rFonts w:ascii="Palatino Linotype" w:hAnsi="Palatino Linotype" w:cstheme="minorHAnsi"/>
          <w:bCs/>
          <w:i/>
          <w:sz w:val="20"/>
          <w:szCs w:val="20"/>
        </w:rPr>
      </w:pPr>
      <w:r w:rsidRPr="00EE5899">
        <w:rPr>
          <w:rFonts w:ascii="Palatino Linotype" w:hAnsi="Palatino Linotype" w:cstheme="minorHAnsi"/>
          <w:bCs/>
          <w:i/>
          <w:sz w:val="20"/>
          <w:szCs w:val="20"/>
        </w:rPr>
        <w:t>Using the 2003 Three-State Pilot Study data, we conducted hospital level factor analysis to look for distinct constructs that corresponded to the proposed multi-item measures.  We found evidence of multiple factors and factor loadings that corresponded to the groupings used for the multi-item measures.</w:t>
      </w:r>
    </w:p>
    <w:p w:rsidR="00557A39" w:rsidRPr="00EE5899" w:rsidRDefault="00557A39" w:rsidP="00092566">
      <w:pPr>
        <w:autoSpaceDE w:val="0"/>
        <w:autoSpaceDN w:val="0"/>
        <w:adjustRightInd w:val="0"/>
        <w:spacing w:after="0" w:line="240" w:lineRule="auto"/>
        <w:rPr>
          <w:rFonts w:ascii="Palatino Linotype" w:hAnsi="Palatino Linotype" w:cstheme="minorHAnsi"/>
          <w:bCs/>
          <w:i/>
          <w:sz w:val="20"/>
          <w:szCs w:val="20"/>
        </w:rPr>
      </w:pPr>
      <w:r>
        <w:rPr>
          <w:rFonts w:ascii="Palatino Linotype" w:hAnsi="Palatino Linotype" w:cstheme="minorHAnsi"/>
          <w:bCs/>
          <w:i/>
          <w:sz w:val="20"/>
          <w:szCs w:val="20"/>
        </w:rPr>
        <w:t>We also conducted</w:t>
      </w:r>
      <w:r w:rsidR="009C537F">
        <w:rPr>
          <w:rFonts w:ascii="Palatino Linotype" w:hAnsi="Palatino Linotype" w:cstheme="minorHAnsi"/>
          <w:bCs/>
          <w:i/>
          <w:sz w:val="20"/>
          <w:szCs w:val="20"/>
        </w:rPr>
        <w:t xml:space="preserve"> patient level</w:t>
      </w:r>
      <w:r>
        <w:rPr>
          <w:rFonts w:ascii="Palatino Linotype" w:hAnsi="Palatino Linotype" w:cstheme="minorHAnsi"/>
          <w:bCs/>
          <w:i/>
          <w:sz w:val="20"/>
          <w:szCs w:val="20"/>
        </w:rPr>
        <w:t xml:space="preserve"> discriminan</w:t>
      </w:r>
      <w:r w:rsidR="009C537F">
        <w:rPr>
          <w:rFonts w:ascii="Palatino Linotype" w:hAnsi="Palatino Linotype" w:cstheme="minorHAnsi"/>
          <w:bCs/>
          <w:i/>
          <w:sz w:val="20"/>
          <w:szCs w:val="20"/>
        </w:rPr>
        <w:t xml:space="preserve">t </w:t>
      </w:r>
      <w:r>
        <w:rPr>
          <w:rFonts w:ascii="Palatino Linotype" w:hAnsi="Palatino Linotype" w:cstheme="minorHAnsi"/>
          <w:bCs/>
          <w:i/>
          <w:sz w:val="20"/>
          <w:szCs w:val="20"/>
        </w:rPr>
        <w:t xml:space="preserve">analysis using all </w:t>
      </w:r>
      <w:r w:rsidR="009C537F">
        <w:rPr>
          <w:rFonts w:ascii="Palatino Linotype" w:hAnsi="Palatino Linotype" w:cstheme="minorHAnsi"/>
          <w:bCs/>
          <w:i/>
          <w:sz w:val="20"/>
          <w:szCs w:val="20"/>
        </w:rPr>
        <w:t xml:space="preserve">2016-17 </w:t>
      </w:r>
      <w:r>
        <w:rPr>
          <w:rFonts w:ascii="Palatino Linotype" w:hAnsi="Palatino Linotype" w:cstheme="minorHAnsi"/>
          <w:bCs/>
          <w:i/>
          <w:sz w:val="20"/>
          <w:szCs w:val="20"/>
        </w:rPr>
        <w:t>discharges</w:t>
      </w:r>
      <w:r w:rsidR="009C537F">
        <w:rPr>
          <w:rFonts w:ascii="Palatino Linotype" w:hAnsi="Palatino Linotype" w:cstheme="minorHAnsi"/>
          <w:bCs/>
          <w:i/>
          <w:sz w:val="20"/>
          <w:szCs w:val="20"/>
        </w:rPr>
        <w:t xml:space="preserve">, which first involved the patient-level inter-item correlation matrix.  Then for every pair of multi-item measures, we tested the hypothesis that the average inter-item correlation was higher within than between multi-item measures.  This was confirmed at 0.1 – 0.3 units.     </w:t>
      </w:r>
      <w:r>
        <w:rPr>
          <w:rFonts w:ascii="Palatino Linotype" w:hAnsi="Palatino Linotype" w:cstheme="minorHAnsi"/>
          <w:bCs/>
          <w:i/>
          <w:sz w:val="20"/>
          <w:szCs w:val="20"/>
        </w:rPr>
        <w:t xml:space="preserve"> </w:t>
      </w:r>
    </w:p>
    <w:p w:rsidR="00CF33B1" w:rsidRDefault="00CF33B1" w:rsidP="000462DC">
      <w:pPr>
        <w:autoSpaceDE w:val="0"/>
        <w:autoSpaceDN w:val="0"/>
        <w:adjustRightInd w:val="0"/>
        <w:spacing w:after="0" w:line="240" w:lineRule="auto"/>
        <w:rPr>
          <w:rFonts w:ascii="Palatino Linotype" w:hAnsi="Palatino Linotype" w:cs="Times New Roman"/>
          <w:b/>
          <w:i/>
          <w:sz w:val="20"/>
          <w:szCs w:val="20"/>
        </w:rPr>
      </w:pPr>
    </w:p>
    <w:p w:rsidR="000462DC" w:rsidRPr="008C4D75" w:rsidRDefault="000462DC" w:rsidP="000462DC">
      <w:pPr>
        <w:autoSpaceDE w:val="0"/>
        <w:autoSpaceDN w:val="0"/>
        <w:adjustRightInd w:val="0"/>
        <w:spacing w:after="0" w:line="240" w:lineRule="auto"/>
        <w:rPr>
          <w:rFonts w:ascii="Palatino Linotype" w:hAnsi="Palatino Linotype" w:cs="Times New Roman"/>
          <w:b/>
          <w:i/>
          <w:sz w:val="20"/>
          <w:szCs w:val="20"/>
        </w:rPr>
      </w:pPr>
      <w:r w:rsidRPr="008C4D75">
        <w:rPr>
          <w:rFonts w:ascii="Palatino Linotype" w:hAnsi="Palatino Linotype" w:cs="Times New Roman"/>
          <w:b/>
          <w:i/>
          <w:sz w:val="20"/>
          <w:szCs w:val="20"/>
        </w:rPr>
        <w:t>HCAHPS Survey Construct Validity.</w:t>
      </w:r>
    </w:p>
    <w:p w:rsidR="000462DC" w:rsidRPr="008C4D75" w:rsidRDefault="000462DC" w:rsidP="00263A01">
      <w:pPr>
        <w:autoSpaceDE w:val="0"/>
        <w:autoSpaceDN w:val="0"/>
        <w:adjustRightInd w:val="0"/>
        <w:spacing w:after="0" w:line="240" w:lineRule="auto"/>
        <w:rPr>
          <w:rFonts w:ascii="Palatino Linotype" w:hAnsi="Palatino Linotype" w:cs="Times New Roman"/>
          <w:b/>
          <w:i/>
          <w:sz w:val="20"/>
          <w:szCs w:val="20"/>
        </w:rPr>
      </w:pPr>
      <w:r w:rsidRPr="008C4D75">
        <w:rPr>
          <w:rFonts w:ascii="Palatino Linotype" w:hAnsi="Palatino Linotype" w:cs="Times New Roman"/>
          <w:b/>
          <w:i/>
          <w:sz w:val="20"/>
          <w:szCs w:val="20"/>
        </w:rPr>
        <w:t xml:space="preserve">Note: </w:t>
      </w:r>
      <w:r w:rsidRPr="008C4D75">
        <w:rPr>
          <w:rFonts w:ascii="Palatino Linotype" w:hAnsi="Palatino Linotype" w:cstheme="minorHAnsi"/>
          <w:bCs/>
          <w:i/>
          <w:sz w:val="20"/>
          <w:szCs w:val="20"/>
        </w:rPr>
        <w:t xml:space="preserve">From the HCAHPS Three-State Pilot Study, 2003; pp. 4-5 to 4-9.  Referenced tables and appendices can be found in the appendices </w:t>
      </w:r>
      <w:r w:rsidR="007412A2" w:rsidRPr="008C4D75">
        <w:rPr>
          <w:rFonts w:ascii="Palatino Linotype" w:hAnsi="Palatino Linotype" w:cstheme="minorHAnsi"/>
          <w:bCs/>
          <w:i/>
          <w:sz w:val="20"/>
          <w:szCs w:val="20"/>
        </w:rPr>
        <w:t>at</w:t>
      </w:r>
      <w:r w:rsidRPr="008C4D75">
        <w:rPr>
          <w:rFonts w:ascii="Palatino Linotype" w:hAnsi="Palatino Linotype" w:cstheme="minorHAnsi"/>
          <w:bCs/>
          <w:i/>
          <w:sz w:val="20"/>
          <w:szCs w:val="20"/>
        </w:rPr>
        <w:t xml:space="preserve"> </w:t>
      </w:r>
      <w:hyperlink r:id="rId13" w:history="1">
        <w:r w:rsidRPr="008C4D75">
          <w:rPr>
            <w:rStyle w:val="Hyperlink"/>
            <w:rFonts w:ascii="Palatino Linotype" w:hAnsi="Palatino Linotype" w:cstheme="minorHAnsi"/>
            <w:bCs/>
            <w:i/>
            <w:sz w:val="20"/>
            <w:szCs w:val="20"/>
          </w:rPr>
          <w:t>http://www.cms.gov/Medicare/Quality-Initiatives-Patient-Assessment-Instruments/HospitalQualityInits/HospitalHCAHPS.html</w:t>
        </w:r>
      </w:hyperlink>
    </w:p>
    <w:p w:rsidR="000462DC" w:rsidRPr="008C4D75" w:rsidRDefault="000462DC" w:rsidP="000462DC">
      <w:pPr>
        <w:autoSpaceDE w:val="0"/>
        <w:autoSpaceDN w:val="0"/>
        <w:adjustRightInd w:val="0"/>
        <w:spacing w:after="0" w:line="240" w:lineRule="auto"/>
        <w:rPr>
          <w:rFonts w:ascii="Palatino Linotype" w:hAnsi="Palatino Linotype" w:cs="Times New Roman"/>
          <w:b/>
          <w:sz w:val="20"/>
          <w:szCs w:val="20"/>
        </w:rPr>
      </w:pPr>
    </w:p>
    <w:p w:rsidR="000462DC" w:rsidRPr="008C4D75" w:rsidRDefault="000462DC" w:rsidP="000462DC">
      <w:pPr>
        <w:autoSpaceDE w:val="0"/>
        <w:autoSpaceDN w:val="0"/>
        <w:adjustRightInd w:val="0"/>
        <w:spacing w:after="0" w:line="240" w:lineRule="auto"/>
        <w:rPr>
          <w:rFonts w:ascii="Palatino Linotype" w:hAnsi="Palatino Linotype" w:cs="Times New Roman"/>
          <w:i/>
          <w:sz w:val="20"/>
          <w:szCs w:val="20"/>
        </w:rPr>
      </w:pPr>
      <w:r w:rsidRPr="003F44C1">
        <w:rPr>
          <w:rFonts w:ascii="Palatino Linotype" w:hAnsi="Palatino Linotype" w:cs="Times New Roman"/>
          <w:b/>
          <w:i/>
          <w:sz w:val="20"/>
          <w:szCs w:val="20"/>
        </w:rPr>
        <w:t>The HCAHPS Three-State Pilot Study</w:t>
      </w:r>
      <w:r w:rsidRPr="008C4D75">
        <w:rPr>
          <w:rFonts w:ascii="Palatino Linotype" w:hAnsi="Palatino Linotype" w:cs="Times New Roman"/>
          <w:i/>
          <w:sz w:val="20"/>
          <w:szCs w:val="20"/>
        </w:rPr>
        <w:t xml:space="preserve"> was conducted in 2003.  109 hospitals participated, and 16,691 patients completed the HCAHPS Survey.</w:t>
      </w:r>
      <w:r w:rsidR="00583F9E">
        <w:rPr>
          <w:rFonts w:ascii="Palatino Linotype" w:hAnsi="Palatino Linotype" w:cs="Times New Roman"/>
          <w:i/>
          <w:sz w:val="20"/>
          <w:szCs w:val="20"/>
        </w:rPr>
        <w:t xml:space="preserve"> (Please note: in the Three-State Pilot Study</w:t>
      </w:r>
      <w:r w:rsidR="004F7456">
        <w:rPr>
          <w:rFonts w:ascii="Palatino Linotype" w:hAnsi="Palatino Linotype" w:cs="Times New Roman"/>
          <w:i/>
          <w:sz w:val="20"/>
          <w:szCs w:val="20"/>
        </w:rPr>
        <w:t>, including Tables 5-13 below,</w:t>
      </w:r>
      <w:r w:rsidR="00583F9E">
        <w:rPr>
          <w:rFonts w:ascii="Palatino Linotype" w:hAnsi="Palatino Linotype" w:cs="Times New Roman"/>
          <w:i/>
          <w:sz w:val="20"/>
          <w:szCs w:val="20"/>
        </w:rPr>
        <w:t xml:space="preserve"> we refer to multi-item scores as “composites</w:t>
      </w:r>
      <w:r w:rsidR="000D33AE">
        <w:rPr>
          <w:rFonts w:ascii="Palatino Linotype" w:hAnsi="Palatino Linotype" w:cs="Times New Roman"/>
          <w:i/>
          <w:sz w:val="20"/>
          <w:szCs w:val="20"/>
        </w:rPr>
        <w:t>,”</w:t>
      </w:r>
      <w:r w:rsidR="00B73358">
        <w:rPr>
          <w:rFonts w:ascii="Palatino Linotype" w:hAnsi="Palatino Linotype" w:cs="Times New Roman"/>
          <w:i/>
          <w:sz w:val="20"/>
          <w:szCs w:val="20"/>
        </w:rPr>
        <w:t xml:space="preserve"> but these are in fact</w:t>
      </w:r>
      <w:r w:rsidR="004F7456">
        <w:rPr>
          <w:rFonts w:ascii="Palatino Linotype" w:hAnsi="Palatino Linotype" w:cs="Times New Roman"/>
          <w:i/>
          <w:sz w:val="20"/>
          <w:szCs w:val="20"/>
        </w:rPr>
        <w:t xml:space="preserve"> “</w:t>
      </w:r>
      <w:r w:rsidR="00B73358">
        <w:rPr>
          <w:rFonts w:ascii="Palatino Linotype" w:hAnsi="Palatino Linotype" w:cs="Times New Roman"/>
          <w:i/>
          <w:sz w:val="20"/>
          <w:szCs w:val="20"/>
        </w:rPr>
        <w:t>multi-item measures</w:t>
      </w:r>
      <w:r w:rsidR="00583F9E">
        <w:rPr>
          <w:rFonts w:ascii="Palatino Linotype" w:hAnsi="Palatino Linotype" w:cs="Times New Roman"/>
          <w:i/>
          <w:sz w:val="20"/>
          <w:szCs w:val="20"/>
        </w:rPr>
        <w:t>”).</w:t>
      </w:r>
    </w:p>
    <w:p w:rsidR="000462DC" w:rsidRPr="00B43D3F" w:rsidRDefault="000462DC" w:rsidP="000462DC">
      <w:pPr>
        <w:autoSpaceDE w:val="0"/>
        <w:autoSpaceDN w:val="0"/>
        <w:adjustRightInd w:val="0"/>
        <w:spacing w:after="0" w:line="240" w:lineRule="auto"/>
        <w:rPr>
          <w:rFonts w:ascii="Palatino Linotype" w:hAnsi="Palatino Linotype" w:cs="Times New Roman"/>
          <w:b/>
          <w:i/>
          <w:sz w:val="20"/>
          <w:szCs w:val="20"/>
        </w:rPr>
      </w:pPr>
    </w:p>
    <w:p w:rsidR="000462DC" w:rsidRPr="00DA78C1" w:rsidRDefault="000462DC" w:rsidP="000462DC">
      <w:pPr>
        <w:autoSpaceDE w:val="0"/>
        <w:autoSpaceDN w:val="0"/>
        <w:adjustRightInd w:val="0"/>
        <w:spacing w:after="0" w:line="240" w:lineRule="auto"/>
        <w:rPr>
          <w:rFonts w:ascii="Palatino Linotype" w:hAnsi="Palatino Linotype" w:cs="Times New Roman"/>
          <w:i/>
          <w:sz w:val="20"/>
          <w:szCs w:val="20"/>
        </w:rPr>
      </w:pPr>
      <w:r w:rsidRPr="00DA78C1">
        <w:rPr>
          <w:rFonts w:ascii="Palatino Linotype" w:hAnsi="Palatino Linotype" w:cs="Times New Roman"/>
          <w:i/>
          <w:sz w:val="20"/>
          <w:szCs w:val="20"/>
        </w:rPr>
        <w:t xml:space="preserve">The last four columns of </w:t>
      </w:r>
      <w:r w:rsidRPr="00DA78C1">
        <w:rPr>
          <w:rFonts w:ascii="Palatino Linotype" w:hAnsi="Palatino Linotype" w:cs="Times New Roman"/>
          <w:b/>
          <w:i/>
          <w:sz w:val="20"/>
          <w:szCs w:val="20"/>
        </w:rPr>
        <w:t>Table 5</w:t>
      </w:r>
      <w:r w:rsidRPr="00DA78C1">
        <w:rPr>
          <w:rFonts w:ascii="Palatino Linotype" w:hAnsi="Palatino Linotype" w:cs="Times New Roman"/>
          <w:i/>
          <w:sz w:val="20"/>
          <w:szCs w:val="20"/>
        </w:rPr>
        <w:t xml:space="preserve"> display the relationships of items and composites to both</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the global rating of the hospital and whether the patient would recommend the hospital to family and</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friends. Composite scores were calculated as the average of the item scores for that composite. The</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 xml:space="preserve">adjusted R-square (aR2; columns 5 and 7) was </w:t>
      </w:r>
      <w:r w:rsidRPr="00B73358">
        <w:rPr>
          <w:rFonts w:ascii="Palatino Linotype" w:hAnsi="Palatino Linotype" w:cs="Times New Roman"/>
          <w:i/>
          <w:sz w:val="20"/>
          <w:szCs w:val="20"/>
        </w:rPr>
        <w:t>the</w:t>
      </w:r>
      <w:r w:rsidR="001B1637" w:rsidRPr="00B73358">
        <w:rPr>
          <w:rFonts w:ascii="Palatino Linotype" w:hAnsi="Palatino Linotype" w:cs="Times New Roman"/>
          <w:i/>
          <w:sz w:val="20"/>
          <w:szCs w:val="20"/>
        </w:rPr>
        <w:t xml:space="preserve"> </w:t>
      </w:r>
      <w:r w:rsidR="00C42329" w:rsidRPr="00B73358">
        <w:rPr>
          <w:rFonts w:ascii="Palatino Linotype" w:hAnsi="Palatino Linotype" w:cs="Times New Roman"/>
          <w:i/>
          <w:sz w:val="20"/>
          <w:szCs w:val="20"/>
        </w:rPr>
        <w:t>proportion</w:t>
      </w:r>
      <w:r w:rsidRPr="00B73358">
        <w:rPr>
          <w:rFonts w:ascii="Palatino Linotype" w:hAnsi="Palatino Linotype" w:cs="Times New Roman"/>
          <w:i/>
          <w:sz w:val="20"/>
          <w:szCs w:val="20"/>
        </w:rPr>
        <w:t xml:space="preserve"> of variance in hospital ratings or</w:t>
      </w:r>
      <w:r w:rsidR="00FD6E0D" w:rsidRPr="00B73358">
        <w:rPr>
          <w:rFonts w:ascii="Palatino Linotype" w:hAnsi="Palatino Linotype" w:cs="Times New Roman"/>
          <w:i/>
          <w:sz w:val="20"/>
          <w:szCs w:val="20"/>
        </w:rPr>
        <w:t xml:space="preserve"> </w:t>
      </w:r>
      <w:r w:rsidRPr="00B73358">
        <w:rPr>
          <w:rFonts w:ascii="Palatino Linotype" w:hAnsi="Palatino Linotype" w:cs="Times New Roman"/>
          <w:i/>
          <w:sz w:val="20"/>
          <w:szCs w:val="20"/>
        </w:rPr>
        <w:t>recommendations accounted for by the corresponding composite items, taking into account the number of</w:t>
      </w:r>
      <w:r w:rsidR="004B6985">
        <w:rPr>
          <w:rFonts w:ascii="Palatino Linotype" w:hAnsi="Palatino Linotype" w:cs="Times New Roman"/>
          <w:i/>
          <w:sz w:val="20"/>
          <w:szCs w:val="20"/>
        </w:rPr>
        <w:t xml:space="preserve"> items</w:t>
      </w:r>
      <w:r w:rsidRPr="00B73358">
        <w:rPr>
          <w:rFonts w:ascii="Palatino Linotype" w:hAnsi="Palatino Linotype" w:cs="Times New Roman"/>
          <w:i/>
          <w:sz w:val="20"/>
          <w:szCs w:val="20"/>
        </w:rPr>
        <w:t>. The</w:t>
      </w:r>
      <w:r w:rsidR="00FD6E0D" w:rsidRPr="00B73358">
        <w:rPr>
          <w:rFonts w:ascii="Palatino Linotype" w:hAnsi="Palatino Linotype" w:cs="Times New Roman"/>
          <w:i/>
          <w:sz w:val="20"/>
          <w:szCs w:val="20"/>
        </w:rPr>
        <w:t xml:space="preserve"> </w:t>
      </w:r>
      <w:r w:rsidRPr="00B73358">
        <w:rPr>
          <w:rFonts w:ascii="Palatino Linotype" w:hAnsi="Palatino Linotype" w:cs="Times New Roman"/>
          <w:i/>
          <w:sz w:val="20"/>
          <w:szCs w:val="20"/>
        </w:rPr>
        <w:t>rankings of composites in terms of their relationships to both the global</w:t>
      </w:r>
      <w:r w:rsidRPr="00DA78C1">
        <w:rPr>
          <w:rFonts w:ascii="Palatino Linotype" w:hAnsi="Palatino Linotype" w:cs="Times New Roman"/>
          <w:i/>
          <w:sz w:val="20"/>
          <w:szCs w:val="20"/>
        </w:rPr>
        <w:t xml:space="preserve"> hospital rating (Q52) and the</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tendency to recommend the hospital (Q53) were (from most to least related): “communication with</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nurses,” “physical comfort,” “communication with doctors, “communication about</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medication,” and “discharge information.” Multivariate analyses were conducted to determine the unique</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relationship of each composite, net of the other five, and the unique relationship of each item, net of the</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other 32, to both criteria. T-values for the regression parameters are displayed in columns 6 and 8 of</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b/>
          <w:i/>
          <w:sz w:val="20"/>
          <w:szCs w:val="20"/>
        </w:rPr>
        <w:t>Table 5</w:t>
      </w:r>
      <w:r w:rsidR="00B028F0" w:rsidRPr="00DA78C1">
        <w:rPr>
          <w:rFonts w:ascii="Palatino Linotype" w:hAnsi="Palatino Linotype" w:cs="Times New Roman"/>
          <w:i/>
          <w:sz w:val="20"/>
          <w:szCs w:val="20"/>
        </w:rPr>
        <w:t xml:space="preserve"> (Note: tables from the Three-State Pilot Study are found below)</w:t>
      </w:r>
      <w:r w:rsidRPr="00DA78C1">
        <w:rPr>
          <w:rFonts w:ascii="Palatino Linotype" w:hAnsi="Palatino Linotype" w:cs="Times New Roman"/>
          <w:i/>
          <w:sz w:val="20"/>
          <w:szCs w:val="20"/>
        </w:rPr>
        <w:t xml:space="preserve">. </w:t>
      </w:r>
      <w:r w:rsidR="00ED736F" w:rsidRPr="00DA78C1">
        <w:rPr>
          <w:rFonts w:ascii="Palatino Linotype" w:hAnsi="Palatino Linotype" w:cs="Times New Roman"/>
          <w:i/>
          <w:sz w:val="20"/>
          <w:szCs w:val="20"/>
        </w:rPr>
        <w:t>W</w:t>
      </w:r>
      <w:r w:rsidRPr="00DA78C1">
        <w:rPr>
          <w:rFonts w:ascii="Palatino Linotype" w:hAnsi="Palatino Linotype" w:cs="Times New Roman"/>
          <w:i/>
          <w:sz w:val="20"/>
          <w:szCs w:val="20"/>
        </w:rPr>
        <w:t>e present the t</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values</w:t>
      </w:r>
      <w:r w:rsidR="00ED736F" w:rsidRPr="00DA78C1">
        <w:rPr>
          <w:rFonts w:ascii="Palatino Linotype" w:hAnsi="Palatino Linotype" w:cs="Times New Roman"/>
          <w:i/>
          <w:sz w:val="20"/>
          <w:szCs w:val="20"/>
        </w:rPr>
        <w:t xml:space="preserve">, noting p-values that are </w:t>
      </w:r>
      <w:r w:rsidRPr="00DA78C1">
        <w:rPr>
          <w:rFonts w:ascii="Palatino Linotype" w:hAnsi="Palatino Linotype" w:cs="Times New Roman"/>
          <w:i/>
          <w:sz w:val="20"/>
          <w:szCs w:val="20"/>
        </w:rPr>
        <w:t>greater than 0.01.</w:t>
      </w:r>
    </w:p>
    <w:p w:rsidR="000462DC" w:rsidRPr="00DA78C1" w:rsidRDefault="000462DC" w:rsidP="000462DC">
      <w:pPr>
        <w:autoSpaceDE w:val="0"/>
        <w:autoSpaceDN w:val="0"/>
        <w:adjustRightInd w:val="0"/>
        <w:spacing w:after="0" w:line="240" w:lineRule="auto"/>
        <w:rPr>
          <w:rFonts w:ascii="Palatino Linotype" w:hAnsi="Palatino Linotype" w:cs="Times New Roman"/>
          <w:i/>
          <w:sz w:val="20"/>
          <w:szCs w:val="20"/>
        </w:rPr>
      </w:pPr>
    </w:p>
    <w:p w:rsidR="000462DC" w:rsidRPr="00DA78C1" w:rsidRDefault="000462DC" w:rsidP="000462DC">
      <w:pPr>
        <w:autoSpaceDE w:val="0"/>
        <w:autoSpaceDN w:val="0"/>
        <w:adjustRightInd w:val="0"/>
        <w:spacing w:after="0" w:line="240" w:lineRule="auto"/>
        <w:rPr>
          <w:rFonts w:ascii="Palatino Linotype" w:hAnsi="Palatino Linotype" w:cs="Times New Roman"/>
          <w:i/>
          <w:sz w:val="20"/>
          <w:szCs w:val="20"/>
        </w:rPr>
      </w:pPr>
      <w:r w:rsidRPr="00DA78C1">
        <w:rPr>
          <w:rFonts w:ascii="Palatino Linotype" w:hAnsi="Palatino Linotype" w:cs="Times New Roman"/>
          <w:i/>
          <w:sz w:val="20"/>
          <w:szCs w:val="20"/>
        </w:rPr>
        <w:t>The relationship of items to each criterion was consistent. Within “communication with</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nurses,” the most highly related items had to do with nurses listening to patients and treating them with</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courtesy and respect. Within “physical comfort,” the most highly related items had to do with whether the</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 xml:space="preserve">hospital room was kept clean and whether patients’ visitors were helped. </w:t>
      </w:r>
    </w:p>
    <w:p w:rsidR="000462DC" w:rsidRPr="00DA78C1" w:rsidRDefault="000462DC" w:rsidP="000462DC">
      <w:pPr>
        <w:autoSpaceDE w:val="0"/>
        <w:autoSpaceDN w:val="0"/>
        <w:adjustRightInd w:val="0"/>
        <w:spacing w:after="0" w:line="240" w:lineRule="auto"/>
        <w:rPr>
          <w:rFonts w:ascii="Palatino Linotype" w:hAnsi="Palatino Linotype" w:cs="Times New Roman"/>
          <w:i/>
          <w:sz w:val="20"/>
          <w:szCs w:val="20"/>
        </w:rPr>
      </w:pPr>
    </w:p>
    <w:p w:rsidR="000462DC" w:rsidRPr="00DA78C1" w:rsidRDefault="000462DC" w:rsidP="000462DC">
      <w:pPr>
        <w:autoSpaceDE w:val="0"/>
        <w:autoSpaceDN w:val="0"/>
        <w:adjustRightInd w:val="0"/>
        <w:spacing w:after="0" w:line="240" w:lineRule="auto"/>
        <w:rPr>
          <w:rFonts w:ascii="Palatino Linotype" w:hAnsi="Palatino Linotype" w:cs="Times New Roman"/>
          <w:i/>
          <w:sz w:val="20"/>
          <w:szCs w:val="20"/>
        </w:rPr>
      </w:pPr>
      <w:r w:rsidRPr="00DA78C1">
        <w:rPr>
          <w:rFonts w:ascii="Palatino Linotype" w:hAnsi="Palatino Linotype" w:cs="Times New Roman"/>
          <w:b/>
          <w:i/>
          <w:sz w:val="20"/>
          <w:szCs w:val="20"/>
        </w:rPr>
        <w:t>Table 6</w:t>
      </w:r>
      <w:r w:rsidRPr="00DA78C1">
        <w:rPr>
          <w:rFonts w:ascii="Palatino Linotype" w:hAnsi="Palatino Linotype" w:cs="Times New Roman"/>
          <w:i/>
          <w:sz w:val="20"/>
          <w:szCs w:val="20"/>
        </w:rPr>
        <w:t xml:space="preserve"> displays the correlations of composites with the three </w:t>
      </w:r>
      <w:r w:rsidR="00DA78C1">
        <w:rPr>
          <w:rFonts w:ascii="Palatino Linotype" w:hAnsi="Palatino Linotype" w:cs="Times New Roman"/>
          <w:i/>
          <w:sz w:val="20"/>
          <w:szCs w:val="20"/>
        </w:rPr>
        <w:t xml:space="preserve">2003 </w:t>
      </w:r>
      <w:r w:rsidRPr="00DA78C1">
        <w:rPr>
          <w:rFonts w:ascii="Palatino Linotype" w:hAnsi="Palatino Linotype" w:cs="Times New Roman"/>
          <w:i/>
          <w:sz w:val="20"/>
          <w:szCs w:val="20"/>
        </w:rPr>
        <w:t>global ratings and patients’</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 xml:space="preserve">reported likelihood of recommending the hospital. </w:t>
      </w:r>
      <w:r w:rsidR="00DA78C1">
        <w:rPr>
          <w:rFonts w:ascii="Palatino Linotype" w:hAnsi="Palatino Linotype" w:cs="Times New Roman"/>
          <w:i/>
          <w:sz w:val="20"/>
          <w:szCs w:val="20"/>
        </w:rPr>
        <w:t xml:space="preserve">While global ratings of doctors and nurses were not retained in HCAHPS, these analyses provide additional evidence of the validity of HCAHPS composites. </w:t>
      </w:r>
      <w:r w:rsidRPr="00DA78C1">
        <w:rPr>
          <w:rFonts w:ascii="Palatino Linotype" w:hAnsi="Palatino Linotype" w:cs="Times New Roman"/>
          <w:i/>
          <w:sz w:val="20"/>
          <w:szCs w:val="20"/>
        </w:rPr>
        <w:t>These correlations are ordered from highest to lowest.</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Not surprisingly, the “communications with nurses” composite had the strongest relationship to the global</w:t>
      </w:r>
      <w:r w:rsidR="00B028F0"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nurse’s rating, while the “communications with doctors” composite had the strongest relationship to the</w:t>
      </w:r>
      <w:r w:rsidR="00B028F0"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global doctor’s rating. The two composites most highly related to the global ratings of the hospital and</w:t>
      </w:r>
      <w:r w:rsidR="00B028F0"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nursing care as well as the probability of recommending the hospital were the “communications with</w:t>
      </w:r>
      <w:r w:rsidR="006A46BB"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nurses” and the “physical comfort” composites. The two composites with the weakest relationships to the</w:t>
      </w:r>
      <w:r w:rsidR="00B028F0"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global ratings and the hospital recommendation were “communication about medication” and “discharge</w:t>
      </w:r>
      <w:r w:rsidR="00B028F0"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information.”</w:t>
      </w:r>
    </w:p>
    <w:p w:rsidR="000462DC" w:rsidRPr="00DA78C1" w:rsidRDefault="000462DC" w:rsidP="000462DC">
      <w:pPr>
        <w:autoSpaceDE w:val="0"/>
        <w:autoSpaceDN w:val="0"/>
        <w:adjustRightInd w:val="0"/>
        <w:spacing w:after="0" w:line="240" w:lineRule="auto"/>
        <w:rPr>
          <w:rFonts w:ascii="Palatino Linotype" w:hAnsi="Palatino Linotype" w:cs="Times New Roman"/>
          <w:i/>
          <w:sz w:val="20"/>
          <w:szCs w:val="20"/>
        </w:rPr>
      </w:pP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r w:rsidRPr="00DA78C1">
        <w:rPr>
          <w:rFonts w:ascii="Palatino Linotype" w:hAnsi="Palatino Linotype" w:cs="Times New Roman"/>
          <w:i/>
          <w:sz w:val="20"/>
          <w:szCs w:val="20"/>
        </w:rPr>
        <w:t>The results summarized above focus on internal consistency reliability and correlations with</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global ratings and willingness to recommend to family and friends. These analyses were conducted to</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evaluate the items and composites in case composite score algorithms are created at the individual patient</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level. The main purpose of these analyses was to aid the HCAHPS Analysis Team in their charge to</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identify items that could be deleted from the pilot study questionnaire for the purpose of shortening the</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 xml:space="preserve">HCAHPS survey before it </w:t>
      </w:r>
      <w:r w:rsidR="00356087">
        <w:rPr>
          <w:rFonts w:ascii="Palatino Linotype" w:hAnsi="Palatino Linotype" w:cs="Times New Roman"/>
          <w:i/>
          <w:sz w:val="20"/>
          <w:szCs w:val="20"/>
        </w:rPr>
        <w:t>was</w:t>
      </w:r>
      <w:r w:rsidR="00356087"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implemented nationally. Below are results of a hospital-level factor analysis</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to identify those composites indicated by hospital-level data. Data accumulated across patients within a</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hospital provides information about the reliability of the items and composites with regard to measuring</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care at the hospital level (how well items and composites differentiate between hospitals) and the extent</w:t>
      </w:r>
      <w:r w:rsidR="00FD6E0D" w:rsidRPr="00DA78C1">
        <w:rPr>
          <w:rFonts w:ascii="Palatino Linotype" w:hAnsi="Palatino Linotype" w:cs="Times New Roman"/>
          <w:i/>
          <w:sz w:val="20"/>
          <w:szCs w:val="20"/>
        </w:rPr>
        <w:t xml:space="preserve"> </w:t>
      </w:r>
      <w:r w:rsidRPr="00DA78C1">
        <w:rPr>
          <w:rFonts w:ascii="Palatino Linotype" w:hAnsi="Palatino Linotype" w:cs="Times New Roman"/>
          <w:i/>
          <w:sz w:val="20"/>
          <w:szCs w:val="20"/>
        </w:rPr>
        <w:t>to which items vary by service type.</w:t>
      </w:r>
    </w:p>
    <w:p w:rsidR="000462DC" w:rsidRDefault="000462DC" w:rsidP="000462DC">
      <w:pPr>
        <w:autoSpaceDE w:val="0"/>
        <w:autoSpaceDN w:val="0"/>
        <w:adjustRightInd w:val="0"/>
        <w:spacing w:after="0" w:line="240" w:lineRule="auto"/>
        <w:rPr>
          <w:rFonts w:ascii="Palatino Linotype" w:hAnsi="Palatino Linotype" w:cs="Times New Roman"/>
          <w:i/>
          <w:sz w:val="20"/>
          <w:szCs w:val="20"/>
        </w:rPr>
      </w:pPr>
    </w:p>
    <w:p w:rsidR="00C85B5A" w:rsidRPr="00753CCF" w:rsidRDefault="00C85B5A" w:rsidP="000462DC">
      <w:pPr>
        <w:autoSpaceDE w:val="0"/>
        <w:autoSpaceDN w:val="0"/>
        <w:adjustRightInd w:val="0"/>
        <w:spacing w:after="0" w:line="240" w:lineRule="auto"/>
        <w:rPr>
          <w:rFonts w:ascii="Palatino Linotype" w:hAnsi="Palatino Linotype" w:cs="Times New Roman"/>
          <w:b/>
          <w:sz w:val="20"/>
          <w:szCs w:val="20"/>
        </w:rPr>
      </w:pPr>
      <w:r>
        <w:rPr>
          <w:rFonts w:ascii="Palatino Linotype" w:hAnsi="Palatino Linotype" w:cs="Times New Roman"/>
          <w:b/>
          <w:sz w:val="20"/>
          <w:szCs w:val="20"/>
        </w:rPr>
        <w:t xml:space="preserve">2016 Updates to Correlational Analyses </w:t>
      </w:r>
    </w:p>
    <w:p w:rsidR="008E761B" w:rsidRDefault="008E761B" w:rsidP="000462DC">
      <w:pPr>
        <w:autoSpaceDE w:val="0"/>
        <w:autoSpaceDN w:val="0"/>
        <w:adjustRightInd w:val="0"/>
        <w:spacing w:after="0" w:line="240" w:lineRule="auto"/>
        <w:rPr>
          <w:rFonts w:ascii="Palatino Linotype" w:hAnsi="Palatino Linotype" w:cs="Times New Roman"/>
          <w:i/>
          <w:sz w:val="20"/>
          <w:szCs w:val="20"/>
        </w:rPr>
      </w:pPr>
    </w:p>
    <w:p w:rsidR="005C74A1" w:rsidRDefault="00BD5E43" w:rsidP="00B43C93">
      <w:pPr>
        <w:autoSpaceDE w:val="0"/>
        <w:autoSpaceDN w:val="0"/>
        <w:adjustRightInd w:val="0"/>
        <w:spacing w:after="0" w:line="240" w:lineRule="auto"/>
        <w:rPr>
          <w:rFonts w:ascii="Palatino Linotype" w:hAnsi="Palatino Linotype" w:cs="Times New Roman"/>
          <w:bCs/>
          <w:i/>
          <w:sz w:val="20"/>
          <w:szCs w:val="20"/>
        </w:rPr>
      </w:pPr>
      <w:r>
        <w:rPr>
          <w:rFonts w:ascii="Palatino Linotype" w:hAnsi="Palatino Linotype" w:cs="Times New Roman"/>
          <w:bCs/>
          <w:i/>
          <w:sz w:val="20"/>
          <w:szCs w:val="20"/>
        </w:rPr>
        <w:t>As an update to the Three-State Pilot Study, w</w:t>
      </w:r>
      <w:r w:rsidR="00B43C93" w:rsidRPr="008C4D75">
        <w:rPr>
          <w:rFonts w:ascii="Palatino Linotype" w:hAnsi="Palatino Linotype" w:cs="Times New Roman"/>
          <w:bCs/>
          <w:i/>
          <w:sz w:val="20"/>
          <w:szCs w:val="20"/>
        </w:rPr>
        <w:t>e present</w:t>
      </w:r>
      <w:r w:rsidR="00B43C93">
        <w:rPr>
          <w:rFonts w:ascii="Palatino Linotype" w:hAnsi="Palatino Linotype" w:cs="Times New Roman"/>
          <w:bCs/>
          <w:i/>
          <w:sz w:val="20"/>
          <w:szCs w:val="20"/>
        </w:rPr>
        <w:t xml:space="preserve"> </w:t>
      </w:r>
      <w:r w:rsidR="00130E38">
        <w:rPr>
          <w:rFonts w:ascii="Palatino Linotype" w:hAnsi="Palatino Linotype" w:cs="Times New Roman"/>
          <w:bCs/>
          <w:i/>
          <w:sz w:val="20"/>
          <w:szCs w:val="20"/>
        </w:rPr>
        <w:t xml:space="preserve">the most recent </w:t>
      </w:r>
      <w:r w:rsidR="00B43C93">
        <w:rPr>
          <w:rFonts w:ascii="Palatino Linotype" w:hAnsi="Palatino Linotype" w:cs="Times New Roman"/>
          <w:bCs/>
          <w:i/>
          <w:sz w:val="20"/>
          <w:szCs w:val="20"/>
        </w:rPr>
        <w:t>inter-</w:t>
      </w:r>
      <w:r w:rsidR="00B43C93" w:rsidRPr="008C4D75">
        <w:rPr>
          <w:rFonts w:ascii="Palatino Linotype" w:hAnsi="Palatino Linotype" w:cs="Times New Roman"/>
          <w:bCs/>
          <w:i/>
          <w:sz w:val="20"/>
          <w:szCs w:val="20"/>
        </w:rPr>
        <w:t>correlations of HCAHPS measures</w:t>
      </w:r>
      <w:r w:rsidR="00B43C93">
        <w:rPr>
          <w:rFonts w:ascii="Palatino Linotype" w:hAnsi="Palatino Linotype" w:cs="Times New Roman"/>
          <w:bCs/>
          <w:i/>
          <w:sz w:val="20"/>
          <w:szCs w:val="20"/>
        </w:rPr>
        <w:t xml:space="preserve"> (July 2016 to June 2017 discharges),</w:t>
      </w:r>
      <w:r w:rsidR="00B43C93" w:rsidRPr="008C4D75">
        <w:rPr>
          <w:rFonts w:ascii="Palatino Linotype" w:hAnsi="Palatino Linotype" w:cs="Times New Roman"/>
          <w:bCs/>
          <w:i/>
          <w:sz w:val="20"/>
          <w:szCs w:val="20"/>
        </w:rPr>
        <w:t xml:space="preserve"> </w:t>
      </w:r>
      <w:r w:rsidR="00B43C93">
        <w:rPr>
          <w:rFonts w:ascii="Palatino Linotype" w:hAnsi="Palatino Linotype" w:cs="Times New Roman"/>
          <w:bCs/>
          <w:i/>
          <w:sz w:val="20"/>
          <w:szCs w:val="20"/>
        </w:rPr>
        <w:t xml:space="preserve">as well as the correlation </w:t>
      </w:r>
      <w:r w:rsidR="00CF4C90">
        <w:rPr>
          <w:rFonts w:ascii="Palatino Linotype" w:hAnsi="Palatino Linotype" w:cs="Times New Roman"/>
          <w:bCs/>
          <w:i/>
          <w:sz w:val="20"/>
          <w:szCs w:val="20"/>
        </w:rPr>
        <w:t xml:space="preserve">of the measures </w:t>
      </w:r>
      <w:r w:rsidR="00B43C93" w:rsidRPr="008C4D75">
        <w:rPr>
          <w:rFonts w:ascii="Palatino Linotype" w:hAnsi="Palatino Linotype" w:cs="Times New Roman"/>
          <w:bCs/>
          <w:i/>
          <w:sz w:val="20"/>
          <w:szCs w:val="20"/>
        </w:rPr>
        <w:t>with two overall measures of hospital experience: the global hospital rating and the recommendation of hospital to friends and family items. We also</w:t>
      </w:r>
      <w:r w:rsidR="00475809">
        <w:rPr>
          <w:rFonts w:ascii="Palatino Linotype" w:hAnsi="Palatino Linotype" w:cs="Times New Roman"/>
          <w:bCs/>
          <w:i/>
          <w:sz w:val="20"/>
          <w:szCs w:val="20"/>
        </w:rPr>
        <w:t>, on</w:t>
      </w:r>
      <w:r w:rsidR="00E34000">
        <w:rPr>
          <w:rFonts w:ascii="Palatino Linotype" w:hAnsi="Palatino Linotype" w:cs="Times New Roman"/>
          <w:bCs/>
          <w:i/>
          <w:sz w:val="20"/>
          <w:szCs w:val="20"/>
        </w:rPr>
        <w:t xml:space="preserve"> pp.  17-18, </w:t>
      </w:r>
      <w:r w:rsidR="00B43C93" w:rsidRPr="008C4D75">
        <w:rPr>
          <w:rFonts w:ascii="Palatino Linotype" w:hAnsi="Palatino Linotype" w:cs="Times New Roman"/>
          <w:bCs/>
          <w:i/>
          <w:sz w:val="20"/>
          <w:szCs w:val="20"/>
        </w:rPr>
        <w:t xml:space="preserve">present </w:t>
      </w:r>
      <w:r w:rsidR="005C74A1">
        <w:rPr>
          <w:rFonts w:ascii="Palatino Linotype" w:hAnsi="Palatino Linotype" w:cs="Times New Roman"/>
          <w:bCs/>
          <w:i/>
          <w:sz w:val="20"/>
          <w:szCs w:val="20"/>
        </w:rPr>
        <w:t xml:space="preserve">updated </w:t>
      </w:r>
      <w:r w:rsidR="00B43C93" w:rsidRPr="008C4D75">
        <w:rPr>
          <w:rFonts w:ascii="Palatino Linotype" w:hAnsi="Palatino Linotype" w:cs="Times New Roman"/>
          <w:bCs/>
          <w:i/>
          <w:sz w:val="20"/>
          <w:szCs w:val="20"/>
        </w:rPr>
        <w:t>evidence of the factor structure of HCAHPS.</w:t>
      </w:r>
      <w:r>
        <w:rPr>
          <w:rFonts w:ascii="Palatino Linotype" w:hAnsi="Palatino Linotype" w:cs="Times New Roman"/>
          <w:bCs/>
          <w:i/>
          <w:sz w:val="20"/>
          <w:szCs w:val="20"/>
        </w:rPr>
        <w:t xml:space="preserve">  </w:t>
      </w:r>
    </w:p>
    <w:p w:rsidR="005C74A1" w:rsidRDefault="005C74A1" w:rsidP="00B43C93">
      <w:pPr>
        <w:autoSpaceDE w:val="0"/>
        <w:autoSpaceDN w:val="0"/>
        <w:adjustRightInd w:val="0"/>
        <w:spacing w:after="0" w:line="240" w:lineRule="auto"/>
        <w:rPr>
          <w:rFonts w:ascii="Palatino Linotype" w:hAnsi="Palatino Linotype" w:cs="Times New Roman"/>
          <w:bCs/>
          <w:i/>
          <w:sz w:val="20"/>
          <w:szCs w:val="20"/>
        </w:rPr>
      </w:pPr>
    </w:p>
    <w:p w:rsidR="00BD5E43" w:rsidRDefault="005C74A1" w:rsidP="00B43C93">
      <w:pPr>
        <w:autoSpaceDE w:val="0"/>
        <w:autoSpaceDN w:val="0"/>
        <w:adjustRightInd w:val="0"/>
        <w:spacing w:after="0" w:line="240" w:lineRule="auto"/>
        <w:rPr>
          <w:rFonts w:ascii="Palatino Linotype" w:hAnsi="Palatino Linotype" w:cs="Times New Roman"/>
          <w:bCs/>
          <w:i/>
          <w:sz w:val="20"/>
          <w:szCs w:val="20"/>
        </w:rPr>
      </w:pPr>
      <w:r>
        <w:rPr>
          <w:rFonts w:ascii="Palatino Linotype" w:hAnsi="Palatino Linotype" w:cs="Times New Roman"/>
          <w:bCs/>
          <w:i/>
          <w:sz w:val="20"/>
          <w:szCs w:val="20"/>
        </w:rPr>
        <w:t>In the table below, t</w:t>
      </w:r>
      <w:r w:rsidR="00BD5E43">
        <w:rPr>
          <w:rFonts w:ascii="Palatino Linotype" w:hAnsi="Palatino Linotype" w:cs="Times New Roman"/>
          <w:bCs/>
          <w:i/>
          <w:sz w:val="20"/>
          <w:szCs w:val="20"/>
        </w:rPr>
        <w:t xml:space="preserve">he correlations of the HCAHPS measures with the </w:t>
      </w:r>
      <w:r w:rsidR="00CF4C90">
        <w:rPr>
          <w:rFonts w:ascii="Palatino Linotype" w:hAnsi="Palatino Linotype" w:cs="Times New Roman"/>
          <w:bCs/>
          <w:i/>
          <w:sz w:val="20"/>
          <w:szCs w:val="20"/>
        </w:rPr>
        <w:t>overall measures</w:t>
      </w:r>
      <w:r w:rsidR="00BD5E43">
        <w:rPr>
          <w:rFonts w:ascii="Palatino Linotype" w:hAnsi="Palatino Linotype" w:cs="Times New Roman"/>
          <w:bCs/>
          <w:i/>
          <w:sz w:val="20"/>
          <w:szCs w:val="20"/>
        </w:rPr>
        <w:t xml:space="preserve"> range from 0.28 to 0.64.</w:t>
      </w:r>
      <w:r w:rsidR="00CF4C90">
        <w:rPr>
          <w:rFonts w:ascii="Palatino Linotype" w:hAnsi="Palatino Linotype" w:cs="Times New Roman"/>
          <w:bCs/>
          <w:i/>
          <w:sz w:val="20"/>
          <w:szCs w:val="20"/>
        </w:rPr>
        <w:t xml:space="preserve"> </w:t>
      </w:r>
      <w:r w:rsidR="00BD5E43">
        <w:rPr>
          <w:rFonts w:ascii="Palatino Linotype" w:hAnsi="Palatino Linotype" w:cs="Times New Roman"/>
          <w:bCs/>
          <w:i/>
          <w:sz w:val="20"/>
          <w:szCs w:val="20"/>
        </w:rPr>
        <w:t xml:space="preserve"> Communication with Nurses measure has the strongest correlation with the </w:t>
      </w:r>
      <w:r w:rsidR="00CF4C90">
        <w:rPr>
          <w:rFonts w:ascii="Palatino Linotype" w:hAnsi="Palatino Linotype" w:cs="Times New Roman"/>
          <w:bCs/>
          <w:i/>
          <w:sz w:val="20"/>
          <w:szCs w:val="20"/>
        </w:rPr>
        <w:t>overall</w:t>
      </w:r>
      <w:r w:rsidR="00BD5E43">
        <w:rPr>
          <w:rFonts w:ascii="Palatino Linotype" w:hAnsi="Palatino Linotype" w:cs="Times New Roman"/>
          <w:bCs/>
          <w:i/>
          <w:sz w:val="20"/>
          <w:szCs w:val="20"/>
        </w:rPr>
        <w:t xml:space="preserve"> measures, while Discharge Information </w:t>
      </w:r>
      <w:r w:rsidR="00CF4C90">
        <w:rPr>
          <w:rFonts w:ascii="Palatino Linotype" w:hAnsi="Palatino Linotype" w:cs="Times New Roman"/>
          <w:bCs/>
          <w:i/>
          <w:sz w:val="20"/>
          <w:szCs w:val="20"/>
        </w:rPr>
        <w:t>has the weakest.</w:t>
      </w:r>
    </w:p>
    <w:p w:rsidR="00BD5E43" w:rsidRDefault="00BD5E43" w:rsidP="00B43C93">
      <w:pPr>
        <w:autoSpaceDE w:val="0"/>
        <w:autoSpaceDN w:val="0"/>
        <w:adjustRightInd w:val="0"/>
        <w:spacing w:after="0" w:line="240" w:lineRule="auto"/>
        <w:rPr>
          <w:rFonts w:ascii="Palatino Linotype" w:hAnsi="Palatino Linotype" w:cs="Times New Roman"/>
          <w:bCs/>
          <w:i/>
          <w:sz w:val="20"/>
          <w:szCs w:val="20"/>
        </w:rPr>
      </w:pPr>
    </w:p>
    <w:p w:rsidR="00CF4C90" w:rsidRPr="00B43D3F" w:rsidRDefault="00CF4C90" w:rsidP="00CF4C90">
      <w:pPr>
        <w:autoSpaceDE w:val="0"/>
        <w:autoSpaceDN w:val="0"/>
        <w:adjustRightInd w:val="0"/>
        <w:spacing w:after="0" w:line="240" w:lineRule="auto"/>
        <w:rPr>
          <w:rFonts w:ascii="Palatino Linotype" w:hAnsi="Palatino Linotype" w:cs="Times New Roman"/>
          <w:i/>
          <w:sz w:val="20"/>
          <w:szCs w:val="20"/>
        </w:rPr>
      </w:pPr>
      <w:r w:rsidRPr="00B43D3F">
        <w:rPr>
          <w:rFonts w:ascii="Palatino Linotype" w:hAnsi="Palatino Linotype" w:cs="Times New Roman"/>
          <w:i/>
          <w:sz w:val="20"/>
          <w:szCs w:val="20"/>
        </w:rPr>
        <w:t>Note: Correlations among the HCAHPS measures are reported on an annual basis.  Please see the HCAHPS On-Line Web site for current and historical patien</w:t>
      </w:r>
      <w:r w:rsidR="00CE2A84">
        <w:rPr>
          <w:rFonts w:ascii="Palatino Linotype" w:hAnsi="Palatino Linotype" w:cs="Times New Roman"/>
          <w:i/>
          <w:sz w:val="20"/>
          <w:szCs w:val="20"/>
        </w:rPr>
        <w:t xml:space="preserve">t level inter-item correlations.  The most recent correlations can be found at: </w:t>
      </w:r>
      <w:hyperlink r:id="rId14" w:history="1">
        <w:r w:rsidR="00CE2A84" w:rsidRPr="00F53B31">
          <w:rPr>
            <w:rStyle w:val="Hyperlink"/>
            <w:rFonts w:ascii="Palatino Linotype" w:hAnsi="Palatino Linotype" w:cs="Times New Roman"/>
            <w:i/>
            <w:sz w:val="20"/>
            <w:szCs w:val="20"/>
          </w:rPr>
          <w:t>https://www.hcahpsonline.org/globalassets/hcahps/summary-analyses/correlations/report_april_2018_corrs_pain_removed.pdf</w:t>
        </w:r>
      </w:hyperlink>
      <w:r w:rsidR="00CE2A84">
        <w:rPr>
          <w:rFonts w:ascii="Palatino Linotype" w:hAnsi="Palatino Linotype" w:cs="Times New Roman"/>
          <w:i/>
          <w:sz w:val="20"/>
          <w:szCs w:val="20"/>
        </w:rPr>
        <w:t>.</w:t>
      </w:r>
    </w:p>
    <w:p w:rsidR="00CF4C90" w:rsidRDefault="00CF4C90" w:rsidP="00B43C93">
      <w:pPr>
        <w:autoSpaceDE w:val="0"/>
        <w:autoSpaceDN w:val="0"/>
        <w:adjustRightInd w:val="0"/>
        <w:spacing w:after="0" w:line="240" w:lineRule="auto"/>
        <w:rPr>
          <w:rFonts w:ascii="Palatino Linotype" w:hAnsi="Palatino Linotype" w:cs="Times New Roman"/>
          <w:bCs/>
          <w:i/>
          <w:sz w:val="20"/>
          <w:szCs w:val="20"/>
        </w:rPr>
      </w:pPr>
    </w:p>
    <w:p w:rsidR="00B43C93" w:rsidRPr="005C74A1" w:rsidRDefault="00B43C93" w:rsidP="00B43C93">
      <w:pPr>
        <w:autoSpaceDE w:val="0"/>
        <w:autoSpaceDN w:val="0"/>
        <w:adjustRightInd w:val="0"/>
        <w:spacing w:after="0" w:line="240" w:lineRule="auto"/>
        <w:rPr>
          <w:rFonts w:cs="Times New Roman"/>
          <w:bCs/>
          <w:i/>
          <w:sz w:val="20"/>
          <w:szCs w:val="20"/>
        </w:rPr>
      </w:pPr>
    </w:p>
    <w:p w:rsidR="00B43C93" w:rsidRPr="005C74A1" w:rsidRDefault="00B43C93" w:rsidP="00B43C93">
      <w:pPr>
        <w:autoSpaceDE w:val="0"/>
        <w:autoSpaceDN w:val="0"/>
        <w:adjustRightInd w:val="0"/>
        <w:spacing w:after="0" w:line="240" w:lineRule="auto"/>
        <w:rPr>
          <w:rFonts w:cs="Times New Roman"/>
          <w:b/>
          <w:bCs/>
          <w:sz w:val="20"/>
          <w:szCs w:val="20"/>
        </w:rPr>
      </w:pPr>
      <w:r w:rsidRPr="005C74A1">
        <w:rPr>
          <w:rFonts w:cs="Times New Roman"/>
          <w:b/>
          <w:bCs/>
          <w:sz w:val="20"/>
          <w:szCs w:val="20"/>
        </w:rPr>
        <w:t>Patient-Level Correlations between HCAHPS Measures, July 2016 – June 2017 discharges</w:t>
      </w:r>
    </w:p>
    <w:p w:rsidR="00B43C93" w:rsidRDefault="00B43C93" w:rsidP="00B43C93">
      <w:pPr>
        <w:autoSpaceDE w:val="0"/>
        <w:autoSpaceDN w:val="0"/>
        <w:adjustRightInd w:val="0"/>
        <w:spacing w:after="0" w:line="240" w:lineRule="auto"/>
        <w:rPr>
          <w:rFonts w:ascii="Palatino Linotype" w:hAnsi="Palatino Linotype" w:cstheme="minorHAnsi"/>
          <w:bCs/>
          <w:i/>
          <w:sz w:val="20"/>
          <w:szCs w:val="20"/>
        </w:rPr>
      </w:pPr>
    </w:p>
    <w:tbl>
      <w:tblPr>
        <w:tblW w:w="91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Table with Patient-Level Correlations between HCAHPS Measures"/>
        <w:tblDescription w:val="Patient-Level Correlations between HCAHPS Measures, July 2016 – June 2017 discharges"/>
      </w:tblPr>
      <w:tblGrid>
        <w:gridCol w:w="2715"/>
        <w:gridCol w:w="648"/>
        <w:gridCol w:w="648"/>
        <w:gridCol w:w="648"/>
        <w:gridCol w:w="648"/>
        <w:gridCol w:w="648"/>
        <w:gridCol w:w="648"/>
        <w:gridCol w:w="648"/>
        <w:gridCol w:w="648"/>
        <w:gridCol w:w="648"/>
        <w:gridCol w:w="648"/>
      </w:tblGrid>
      <w:tr w:rsidR="00B43C93" w:rsidRPr="005026BC" w:rsidTr="00CD6510">
        <w:trPr>
          <w:trHeight w:val="3030"/>
        </w:trPr>
        <w:tc>
          <w:tcPr>
            <w:tcW w:w="2715" w:type="dxa"/>
            <w:shd w:val="clear" w:color="auto" w:fill="auto"/>
            <w:noWrap/>
            <w:vAlign w:val="bottom"/>
            <w:hideMark/>
          </w:tcPr>
          <w:p w:rsidR="00B43C93" w:rsidRPr="00D3528A" w:rsidRDefault="00B43C93" w:rsidP="00CD6510">
            <w:pPr>
              <w:spacing w:after="0" w:line="240" w:lineRule="auto"/>
              <w:rPr>
                <w:rFonts w:eastAsia="Times New Roman" w:cs="Arial"/>
                <w:sz w:val="20"/>
                <w:szCs w:val="20"/>
              </w:rPr>
            </w:pPr>
            <w:r w:rsidRPr="00D3528A">
              <w:rPr>
                <w:rFonts w:eastAsia="Times New Roman" w:cs="Arial"/>
                <w:sz w:val="20"/>
                <w:szCs w:val="20"/>
              </w:rPr>
              <w:t> </w:t>
            </w:r>
          </w:p>
        </w:tc>
        <w:tc>
          <w:tcPr>
            <w:tcW w:w="648" w:type="dxa"/>
            <w:shd w:val="clear" w:color="auto" w:fill="auto"/>
            <w:noWrap/>
            <w:textDirection w:val="btLr"/>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Communication with Nurses</w:t>
            </w:r>
          </w:p>
        </w:tc>
        <w:tc>
          <w:tcPr>
            <w:tcW w:w="648" w:type="dxa"/>
            <w:shd w:val="clear" w:color="auto" w:fill="auto"/>
            <w:noWrap/>
            <w:textDirection w:val="btLr"/>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Communication with Doctors</w:t>
            </w:r>
          </w:p>
        </w:tc>
        <w:tc>
          <w:tcPr>
            <w:tcW w:w="648" w:type="dxa"/>
            <w:shd w:val="clear" w:color="auto" w:fill="auto"/>
            <w:noWrap/>
            <w:textDirection w:val="btLr"/>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Responsiveness of Hosp. Staff</w:t>
            </w:r>
          </w:p>
        </w:tc>
        <w:tc>
          <w:tcPr>
            <w:tcW w:w="648" w:type="dxa"/>
            <w:shd w:val="clear" w:color="auto" w:fill="auto"/>
            <w:noWrap/>
            <w:textDirection w:val="btLr"/>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Comm. About Medicines</w:t>
            </w:r>
          </w:p>
        </w:tc>
        <w:tc>
          <w:tcPr>
            <w:tcW w:w="648" w:type="dxa"/>
            <w:shd w:val="clear" w:color="auto" w:fill="auto"/>
            <w:noWrap/>
            <w:textDirection w:val="btLr"/>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Cleanliness of Hospital Env.</w:t>
            </w:r>
          </w:p>
        </w:tc>
        <w:tc>
          <w:tcPr>
            <w:tcW w:w="648" w:type="dxa"/>
            <w:shd w:val="clear" w:color="auto" w:fill="auto"/>
            <w:noWrap/>
            <w:textDirection w:val="btLr"/>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Quietness of Hospital Env.</w:t>
            </w:r>
          </w:p>
        </w:tc>
        <w:tc>
          <w:tcPr>
            <w:tcW w:w="648" w:type="dxa"/>
            <w:shd w:val="clear" w:color="auto" w:fill="auto"/>
            <w:noWrap/>
            <w:textDirection w:val="btLr"/>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Discharge Information</w:t>
            </w:r>
          </w:p>
        </w:tc>
        <w:tc>
          <w:tcPr>
            <w:tcW w:w="648" w:type="dxa"/>
            <w:shd w:val="clear" w:color="auto" w:fill="auto"/>
            <w:noWrap/>
            <w:textDirection w:val="btLr"/>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Care Transition</w:t>
            </w:r>
          </w:p>
        </w:tc>
        <w:tc>
          <w:tcPr>
            <w:tcW w:w="648" w:type="dxa"/>
            <w:shd w:val="clear" w:color="auto" w:fill="auto"/>
            <w:noWrap/>
            <w:textDirection w:val="btLr"/>
            <w:vAlign w:val="center"/>
            <w:hideMark/>
          </w:tcPr>
          <w:p w:rsidR="00B43C93" w:rsidRPr="005C74A1" w:rsidRDefault="00B43C93" w:rsidP="00CD6510">
            <w:pPr>
              <w:spacing w:after="0" w:line="240" w:lineRule="auto"/>
              <w:rPr>
                <w:rFonts w:eastAsia="Times New Roman" w:cs="Arial"/>
                <w:b/>
                <w:bCs/>
                <w:sz w:val="20"/>
                <w:szCs w:val="20"/>
              </w:rPr>
            </w:pPr>
            <w:r w:rsidRPr="005C74A1">
              <w:rPr>
                <w:rFonts w:eastAsia="Times New Roman" w:cs="Arial"/>
                <w:b/>
                <w:bCs/>
                <w:sz w:val="20"/>
                <w:szCs w:val="20"/>
              </w:rPr>
              <w:t>Hospital Rating</w:t>
            </w:r>
          </w:p>
        </w:tc>
        <w:tc>
          <w:tcPr>
            <w:tcW w:w="648" w:type="dxa"/>
            <w:shd w:val="clear" w:color="auto" w:fill="auto"/>
            <w:noWrap/>
            <w:textDirection w:val="btLr"/>
            <w:vAlign w:val="center"/>
            <w:hideMark/>
          </w:tcPr>
          <w:p w:rsidR="00B43C93" w:rsidRPr="005C74A1" w:rsidRDefault="00B43C93" w:rsidP="00CD6510">
            <w:pPr>
              <w:spacing w:after="0" w:line="240" w:lineRule="auto"/>
              <w:rPr>
                <w:rFonts w:eastAsia="Times New Roman" w:cs="Arial"/>
                <w:b/>
                <w:bCs/>
                <w:sz w:val="20"/>
                <w:szCs w:val="20"/>
              </w:rPr>
            </w:pPr>
            <w:r w:rsidRPr="005C74A1">
              <w:rPr>
                <w:rFonts w:eastAsia="Times New Roman" w:cs="Arial"/>
                <w:b/>
                <w:bCs/>
                <w:sz w:val="20"/>
                <w:szCs w:val="20"/>
              </w:rPr>
              <w:t>Recommend the Hospital</w:t>
            </w:r>
          </w:p>
        </w:tc>
      </w:tr>
      <w:tr w:rsidR="00B43C93" w:rsidRPr="005026BC" w:rsidTr="00CD6510">
        <w:trPr>
          <w:trHeight w:val="305"/>
        </w:trPr>
        <w:tc>
          <w:tcPr>
            <w:tcW w:w="2715" w:type="dxa"/>
            <w:shd w:val="clear" w:color="auto" w:fill="auto"/>
            <w:noWrap/>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Communication with Nurses</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1</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0.53</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0.56</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0.50</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0.39</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0.32</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0.27</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0.43</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b/>
                <w:sz w:val="20"/>
                <w:szCs w:val="20"/>
              </w:rPr>
            </w:pPr>
            <w:r w:rsidRPr="00D3528A">
              <w:rPr>
                <w:rFonts w:eastAsia="Times New Roman" w:cs="Arial"/>
                <w:b/>
                <w:sz w:val="20"/>
                <w:szCs w:val="20"/>
              </w:rPr>
              <w:t>0.64</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b/>
                <w:sz w:val="20"/>
                <w:szCs w:val="20"/>
              </w:rPr>
            </w:pPr>
            <w:r w:rsidRPr="00D3528A">
              <w:rPr>
                <w:rFonts w:eastAsia="Times New Roman" w:cs="Arial"/>
                <w:b/>
                <w:sz w:val="20"/>
                <w:szCs w:val="20"/>
              </w:rPr>
              <w:t>0.58</w:t>
            </w:r>
          </w:p>
        </w:tc>
      </w:tr>
      <w:tr w:rsidR="00B43C93" w:rsidRPr="005026BC" w:rsidTr="00CD6510">
        <w:trPr>
          <w:trHeight w:val="305"/>
        </w:trPr>
        <w:tc>
          <w:tcPr>
            <w:tcW w:w="2715" w:type="dxa"/>
            <w:shd w:val="clear" w:color="auto" w:fill="auto"/>
            <w:noWrap/>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Communication with Doctors</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1</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0.38</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0.44</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0.27</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0.26</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0.28</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0.40</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b/>
                <w:sz w:val="20"/>
                <w:szCs w:val="20"/>
              </w:rPr>
            </w:pPr>
            <w:r w:rsidRPr="00D3528A">
              <w:rPr>
                <w:rFonts w:eastAsia="Times New Roman" w:cs="Arial"/>
                <w:b/>
                <w:sz w:val="20"/>
                <w:szCs w:val="20"/>
              </w:rPr>
              <w:t>0.52</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b/>
                <w:sz w:val="20"/>
                <w:szCs w:val="20"/>
              </w:rPr>
            </w:pPr>
            <w:r w:rsidRPr="00D3528A">
              <w:rPr>
                <w:rFonts w:eastAsia="Times New Roman" w:cs="Arial"/>
                <w:b/>
                <w:sz w:val="20"/>
                <w:szCs w:val="20"/>
              </w:rPr>
              <w:t>0.47</w:t>
            </w:r>
          </w:p>
        </w:tc>
      </w:tr>
      <w:tr w:rsidR="00B43C93" w:rsidRPr="005026BC" w:rsidTr="00CD6510">
        <w:trPr>
          <w:trHeight w:val="305"/>
        </w:trPr>
        <w:tc>
          <w:tcPr>
            <w:tcW w:w="2715" w:type="dxa"/>
            <w:shd w:val="clear" w:color="auto" w:fill="auto"/>
            <w:noWrap/>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Responsiveness of Hosp. Staff</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1</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0.41</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0.35</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0.32</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0.20</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0.35</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b/>
                <w:sz w:val="20"/>
                <w:szCs w:val="20"/>
              </w:rPr>
            </w:pPr>
            <w:r w:rsidRPr="00D3528A">
              <w:rPr>
                <w:rFonts w:eastAsia="Times New Roman" w:cs="Arial"/>
                <w:b/>
                <w:sz w:val="20"/>
                <w:szCs w:val="20"/>
              </w:rPr>
              <w:t>0.51</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b/>
                <w:sz w:val="20"/>
                <w:szCs w:val="20"/>
              </w:rPr>
            </w:pPr>
            <w:r w:rsidRPr="00D3528A">
              <w:rPr>
                <w:rFonts w:eastAsia="Times New Roman" w:cs="Arial"/>
                <w:b/>
                <w:sz w:val="20"/>
                <w:szCs w:val="20"/>
              </w:rPr>
              <w:t>0.45</w:t>
            </w:r>
          </w:p>
        </w:tc>
      </w:tr>
      <w:tr w:rsidR="00B43C93" w:rsidRPr="005026BC" w:rsidTr="00CD6510">
        <w:trPr>
          <w:trHeight w:val="305"/>
        </w:trPr>
        <w:tc>
          <w:tcPr>
            <w:tcW w:w="2715" w:type="dxa"/>
            <w:shd w:val="clear" w:color="auto" w:fill="auto"/>
            <w:noWrap/>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Comm. About Medicines</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1</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0.33</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0.29</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0.35</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0.45</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b/>
                <w:sz w:val="20"/>
                <w:szCs w:val="20"/>
              </w:rPr>
            </w:pPr>
            <w:r w:rsidRPr="00D3528A">
              <w:rPr>
                <w:rFonts w:eastAsia="Times New Roman" w:cs="Arial"/>
                <w:b/>
                <w:sz w:val="20"/>
                <w:szCs w:val="20"/>
              </w:rPr>
              <w:t>0.48</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b/>
                <w:sz w:val="20"/>
                <w:szCs w:val="20"/>
              </w:rPr>
            </w:pPr>
            <w:r w:rsidRPr="00D3528A">
              <w:rPr>
                <w:rFonts w:eastAsia="Times New Roman" w:cs="Arial"/>
                <w:b/>
                <w:sz w:val="20"/>
                <w:szCs w:val="20"/>
              </w:rPr>
              <w:t>0.43</w:t>
            </w:r>
          </w:p>
        </w:tc>
      </w:tr>
      <w:tr w:rsidR="00B43C93" w:rsidRPr="005026BC" w:rsidTr="00CD6510">
        <w:trPr>
          <w:trHeight w:val="305"/>
        </w:trPr>
        <w:tc>
          <w:tcPr>
            <w:tcW w:w="2715" w:type="dxa"/>
            <w:shd w:val="clear" w:color="auto" w:fill="auto"/>
            <w:noWrap/>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Cleanliness of Hospital Env.</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1</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0.28</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0.18</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0.27</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b/>
                <w:sz w:val="20"/>
                <w:szCs w:val="20"/>
              </w:rPr>
            </w:pPr>
            <w:r w:rsidRPr="00D3528A">
              <w:rPr>
                <w:rFonts w:eastAsia="Times New Roman" w:cs="Arial"/>
                <w:b/>
                <w:sz w:val="20"/>
                <w:szCs w:val="20"/>
              </w:rPr>
              <w:t>0.41</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b/>
                <w:sz w:val="20"/>
                <w:szCs w:val="20"/>
              </w:rPr>
            </w:pPr>
            <w:r w:rsidRPr="00D3528A">
              <w:rPr>
                <w:rFonts w:eastAsia="Times New Roman" w:cs="Arial"/>
                <w:b/>
                <w:sz w:val="20"/>
                <w:szCs w:val="20"/>
              </w:rPr>
              <w:t>0.36</w:t>
            </w:r>
          </w:p>
        </w:tc>
      </w:tr>
      <w:tr w:rsidR="00B43C93" w:rsidRPr="005026BC" w:rsidTr="00CD6510">
        <w:trPr>
          <w:trHeight w:val="305"/>
        </w:trPr>
        <w:tc>
          <w:tcPr>
            <w:tcW w:w="2715" w:type="dxa"/>
            <w:shd w:val="clear" w:color="auto" w:fill="auto"/>
            <w:noWrap/>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Quietness of Hospital Env.</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1</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0.13</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0.25</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b/>
                <w:sz w:val="20"/>
                <w:szCs w:val="20"/>
              </w:rPr>
            </w:pPr>
            <w:r w:rsidRPr="00D3528A">
              <w:rPr>
                <w:rFonts w:eastAsia="Times New Roman" w:cs="Arial"/>
                <w:b/>
                <w:sz w:val="20"/>
                <w:szCs w:val="20"/>
              </w:rPr>
              <w:t>0.35</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b/>
                <w:sz w:val="20"/>
                <w:szCs w:val="20"/>
              </w:rPr>
            </w:pPr>
            <w:r w:rsidRPr="00D3528A">
              <w:rPr>
                <w:rFonts w:eastAsia="Times New Roman" w:cs="Arial"/>
                <w:b/>
                <w:sz w:val="20"/>
                <w:szCs w:val="20"/>
              </w:rPr>
              <w:t>0.29</w:t>
            </w:r>
          </w:p>
        </w:tc>
      </w:tr>
      <w:tr w:rsidR="00B43C93" w:rsidRPr="005026BC" w:rsidTr="00CD6510">
        <w:trPr>
          <w:trHeight w:val="305"/>
        </w:trPr>
        <w:tc>
          <w:tcPr>
            <w:tcW w:w="2715" w:type="dxa"/>
            <w:shd w:val="clear" w:color="auto" w:fill="auto"/>
            <w:noWrap/>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Discharge Information</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1</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0.30</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b/>
                <w:sz w:val="20"/>
                <w:szCs w:val="20"/>
              </w:rPr>
            </w:pPr>
            <w:r w:rsidRPr="00D3528A">
              <w:rPr>
                <w:rFonts w:eastAsia="Times New Roman" w:cs="Arial"/>
                <w:b/>
                <w:sz w:val="20"/>
                <w:szCs w:val="20"/>
              </w:rPr>
              <w:t>0.30</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b/>
                <w:sz w:val="20"/>
                <w:szCs w:val="20"/>
              </w:rPr>
            </w:pPr>
            <w:r w:rsidRPr="00D3528A">
              <w:rPr>
                <w:rFonts w:eastAsia="Times New Roman" w:cs="Arial"/>
                <w:b/>
                <w:sz w:val="20"/>
                <w:szCs w:val="20"/>
              </w:rPr>
              <w:t>0.28</w:t>
            </w:r>
          </w:p>
        </w:tc>
      </w:tr>
      <w:tr w:rsidR="00B43C93" w:rsidRPr="005026BC" w:rsidTr="00CD6510">
        <w:trPr>
          <w:trHeight w:val="305"/>
        </w:trPr>
        <w:tc>
          <w:tcPr>
            <w:tcW w:w="2715" w:type="dxa"/>
            <w:shd w:val="clear" w:color="auto" w:fill="auto"/>
            <w:noWrap/>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Care Transition</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1</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b/>
                <w:sz w:val="20"/>
                <w:szCs w:val="20"/>
              </w:rPr>
            </w:pPr>
            <w:r w:rsidRPr="00D3528A">
              <w:rPr>
                <w:rFonts w:eastAsia="Times New Roman" w:cs="Arial"/>
                <w:b/>
                <w:sz w:val="20"/>
                <w:szCs w:val="20"/>
              </w:rPr>
              <w:t>0.47</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b/>
                <w:sz w:val="20"/>
                <w:szCs w:val="20"/>
              </w:rPr>
            </w:pPr>
            <w:r w:rsidRPr="00D3528A">
              <w:rPr>
                <w:rFonts w:eastAsia="Times New Roman" w:cs="Arial"/>
                <w:b/>
                <w:sz w:val="20"/>
                <w:szCs w:val="20"/>
              </w:rPr>
              <w:t>0.45</w:t>
            </w:r>
          </w:p>
        </w:tc>
      </w:tr>
      <w:tr w:rsidR="00B43C93" w:rsidRPr="005026BC" w:rsidTr="00CD6510">
        <w:trPr>
          <w:trHeight w:val="305"/>
        </w:trPr>
        <w:tc>
          <w:tcPr>
            <w:tcW w:w="2715" w:type="dxa"/>
            <w:shd w:val="clear" w:color="auto" w:fill="auto"/>
            <w:noWrap/>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Hospital Rating</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1</w:t>
            </w:r>
          </w:p>
        </w:tc>
        <w:tc>
          <w:tcPr>
            <w:tcW w:w="648" w:type="dxa"/>
            <w:shd w:val="clear" w:color="auto" w:fill="auto"/>
            <w:noWrap/>
            <w:vAlign w:val="bottom"/>
            <w:hideMark/>
          </w:tcPr>
          <w:p w:rsidR="00B43C93" w:rsidRPr="00DA78C1" w:rsidRDefault="00B43C93" w:rsidP="00CD6510">
            <w:pPr>
              <w:spacing w:after="0" w:line="240" w:lineRule="auto"/>
              <w:jc w:val="center"/>
              <w:rPr>
                <w:rFonts w:eastAsia="Times New Roman" w:cs="Arial"/>
                <w:sz w:val="20"/>
                <w:szCs w:val="20"/>
              </w:rPr>
            </w:pPr>
            <w:r w:rsidRPr="00DA78C1">
              <w:rPr>
                <w:rFonts w:eastAsia="Times New Roman" w:cs="Arial"/>
                <w:sz w:val="20"/>
                <w:szCs w:val="20"/>
              </w:rPr>
              <w:t>0.76</w:t>
            </w:r>
          </w:p>
        </w:tc>
      </w:tr>
      <w:tr w:rsidR="00B43C93" w:rsidRPr="005026BC" w:rsidTr="00CD6510">
        <w:trPr>
          <w:trHeight w:val="305"/>
        </w:trPr>
        <w:tc>
          <w:tcPr>
            <w:tcW w:w="2715" w:type="dxa"/>
            <w:shd w:val="clear" w:color="auto" w:fill="auto"/>
            <w:noWrap/>
            <w:vAlign w:val="center"/>
            <w:hideMark/>
          </w:tcPr>
          <w:p w:rsidR="00B43C93" w:rsidRPr="00D3528A" w:rsidRDefault="00B43C93" w:rsidP="00CD6510">
            <w:pPr>
              <w:spacing w:after="0" w:line="240" w:lineRule="auto"/>
              <w:rPr>
                <w:rFonts w:eastAsia="Times New Roman" w:cs="Arial"/>
                <w:bCs/>
                <w:sz w:val="20"/>
                <w:szCs w:val="20"/>
              </w:rPr>
            </w:pPr>
            <w:r w:rsidRPr="00D3528A">
              <w:rPr>
                <w:rFonts w:eastAsia="Times New Roman" w:cs="Arial"/>
                <w:bCs/>
                <w:sz w:val="20"/>
                <w:szCs w:val="20"/>
              </w:rPr>
              <w:t>Recommend the Hospital</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 </w:t>
            </w:r>
          </w:p>
        </w:tc>
        <w:tc>
          <w:tcPr>
            <w:tcW w:w="648" w:type="dxa"/>
            <w:shd w:val="clear" w:color="auto" w:fill="auto"/>
            <w:noWrap/>
            <w:vAlign w:val="bottom"/>
            <w:hideMark/>
          </w:tcPr>
          <w:p w:rsidR="00B43C93" w:rsidRPr="00D3528A" w:rsidRDefault="00B43C93" w:rsidP="00CD6510">
            <w:pPr>
              <w:spacing w:after="0" w:line="240" w:lineRule="auto"/>
              <w:jc w:val="center"/>
              <w:rPr>
                <w:rFonts w:eastAsia="Times New Roman" w:cs="Arial"/>
                <w:sz w:val="20"/>
                <w:szCs w:val="20"/>
              </w:rPr>
            </w:pPr>
            <w:r w:rsidRPr="00D3528A">
              <w:rPr>
                <w:rFonts w:eastAsia="Times New Roman" w:cs="Arial"/>
                <w:sz w:val="20"/>
                <w:szCs w:val="20"/>
              </w:rPr>
              <w:t>1</w:t>
            </w:r>
          </w:p>
        </w:tc>
      </w:tr>
    </w:tbl>
    <w:p w:rsidR="00B43C93" w:rsidRDefault="00B43C93" w:rsidP="00B43C93">
      <w:pPr>
        <w:autoSpaceDE w:val="0"/>
        <w:autoSpaceDN w:val="0"/>
        <w:adjustRightInd w:val="0"/>
        <w:spacing w:after="0" w:line="240" w:lineRule="auto"/>
        <w:rPr>
          <w:rFonts w:ascii="Palatino Linotype" w:hAnsi="Palatino Linotype" w:cstheme="minorHAnsi"/>
          <w:bCs/>
          <w:i/>
          <w:sz w:val="20"/>
          <w:szCs w:val="20"/>
        </w:rPr>
      </w:pPr>
    </w:p>
    <w:p w:rsidR="00326605" w:rsidRDefault="006F5448" w:rsidP="00892E7C">
      <w:pPr>
        <w:autoSpaceDE w:val="0"/>
        <w:autoSpaceDN w:val="0"/>
        <w:adjustRightInd w:val="0"/>
        <w:spacing w:after="0" w:line="240" w:lineRule="auto"/>
        <w:rPr>
          <w:rFonts w:ascii="Palatino Linotype" w:hAnsi="Palatino Linotype" w:cs="Times New Roman"/>
          <w:bCs/>
          <w:i/>
          <w:sz w:val="20"/>
          <w:szCs w:val="20"/>
        </w:rPr>
      </w:pPr>
      <w:r>
        <w:rPr>
          <w:rFonts w:ascii="Palatino Linotype" w:hAnsi="Palatino Linotype" w:cs="Times New Roman"/>
          <w:bCs/>
          <w:i/>
          <w:sz w:val="20"/>
          <w:szCs w:val="20"/>
        </w:rPr>
        <w:t>Next, in</w:t>
      </w:r>
      <w:r w:rsidR="00475809">
        <w:rPr>
          <w:rFonts w:ascii="Palatino Linotype" w:hAnsi="Palatino Linotype" w:cs="Times New Roman"/>
          <w:bCs/>
          <w:i/>
          <w:sz w:val="20"/>
          <w:szCs w:val="20"/>
        </w:rPr>
        <w:t xml:space="preserve"> the table </w:t>
      </w:r>
      <w:r>
        <w:rPr>
          <w:rFonts w:ascii="Palatino Linotype" w:hAnsi="Palatino Linotype" w:cs="Times New Roman"/>
          <w:bCs/>
          <w:i/>
          <w:sz w:val="20"/>
          <w:szCs w:val="20"/>
        </w:rPr>
        <w:t>below, we</w:t>
      </w:r>
      <w:r w:rsidR="00892E7C">
        <w:rPr>
          <w:rFonts w:ascii="Palatino Linotype" w:hAnsi="Palatino Linotype" w:cs="Times New Roman"/>
          <w:bCs/>
          <w:i/>
          <w:sz w:val="20"/>
          <w:szCs w:val="20"/>
        </w:rPr>
        <w:t xml:space="preserve"> examine the correlations of the individual survey questions (items) that comprise the multi-item measures with the two</w:t>
      </w:r>
      <w:r w:rsidR="00892E7C" w:rsidRPr="008C4D75">
        <w:rPr>
          <w:rFonts w:ascii="Palatino Linotype" w:hAnsi="Palatino Linotype" w:cs="Times New Roman"/>
          <w:bCs/>
          <w:i/>
          <w:sz w:val="20"/>
          <w:szCs w:val="20"/>
        </w:rPr>
        <w:t xml:space="preserve"> overall measures of hospital experience: the global hospital rating and the recommendation of hospital to friends and family items.</w:t>
      </w:r>
      <w:r w:rsidR="00892E7C">
        <w:rPr>
          <w:rFonts w:ascii="Palatino Linotype" w:hAnsi="Palatino Linotype" w:cs="Times New Roman"/>
          <w:bCs/>
          <w:i/>
          <w:sz w:val="20"/>
          <w:szCs w:val="20"/>
        </w:rPr>
        <w:t xml:space="preserve">  At the patient level, </w:t>
      </w:r>
      <w:r w:rsidR="00475809">
        <w:rPr>
          <w:rFonts w:ascii="Palatino Linotype" w:hAnsi="Palatino Linotype" w:cs="Times New Roman"/>
          <w:bCs/>
          <w:i/>
          <w:sz w:val="20"/>
          <w:szCs w:val="20"/>
        </w:rPr>
        <w:t>these correlations range from</w:t>
      </w:r>
      <w:r w:rsidR="00E34000">
        <w:rPr>
          <w:rFonts w:ascii="Palatino Linotype" w:hAnsi="Palatino Linotype" w:cs="Times New Roman"/>
          <w:bCs/>
          <w:i/>
          <w:sz w:val="20"/>
          <w:szCs w:val="20"/>
        </w:rPr>
        <w:t xml:space="preserve"> 0.17 to 0.44.  The</w:t>
      </w:r>
      <w:r w:rsidR="00892E7C">
        <w:rPr>
          <w:rFonts w:ascii="Palatino Linotype" w:hAnsi="Palatino Linotype" w:cs="Times New Roman"/>
          <w:bCs/>
          <w:i/>
          <w:sz w:val="20"/>
          <w:szCs w:val="20"/>
        </w:rPr>
        <w:t xml:space="preserve"> “Nurse Listen” and “Nurse Courtes</w:t>
      </w:r>
      <w:r w:rsidR="00326605">
        <w:rPr>
          <w:rFonts w:ascii="Palatino Linotype" w:hAnsi="Palatino Linotype" w:cs="Times New Roman"/>
          <w:bCs/>
          <w:i/>
          <w:sz w:val="20"/>
          <w:szCs w:val="20"/>
        </w:rPr>
        <w:t>y</w:t>
      </w:r>
      <w:r w:rsidR="00892E7C">
        <w:rPr>
          <w:rFonts w:ascii="Palatino Linotype" w:hAnsi="Palatino Linotype" w:cs="Times New Roman"/>
          <w:bCs/>
          <w:i/>
          <w:sz w:val="20"/>
          <w:szCs w:val="20"/>
        </w:rPr>
        <w:t xml:space="preserve"> Respect” items have the str</w:t>
      </w:r>
      <w:r w:rsidR="00326605">
        <w:rPr>
          <w:rFonts w:ascii="Palatino Linotype" w:hAnsi="Palatino Linotype" w:cs="Times New Roman"/>
          <w:bCs/>
          <w:i/>
          <w:sz w:val="20"/>
          <w:szCs w:val="20"/>
        </w:rPr>
        <w:t>o</w:t>
      </w:r>
      <w:r w:rsidR="00892E7C">
        <w:rPr>
          <w:rFonts w:ascii="Palatino Linotype" w:hAnsi="Palatino Linotype" w:cs="Times New Roman"/>
          <w:bCs/>
          <w:i/>
          <w:sz w:val="20"/>
          <w:szCs w:val="20"/>
        </w:rPr>
        <w:t xml:space="preserve">ngest correlation with the global measures, while the item that asks whether the patient received information about symptoms </w:t>
      </w:r>
      <w:r w:rsidR="00326605">
        <w:rPr>
          <w:rFonts w:ascii="Palatino Linotype" w:hAnsi="Palatino Linotype" w:cs="Times New Roman"/>
          <w:bCs/>
          <w:i/>
          <w:sz w:val="20"/>
          <w:szCs w:val="20"/>
        </w:rPr>
        <w:t>to look out for after discharge (“Symptoms”) has the weakest correlation. At the hospital level,</w:t>
      </w:r>
      <w:r w:rsidR="00E34000">
        <w:rPr>
          <w:rFonts w:ascii="Palatino Linotype" w:hAnsi="Palatino Linotype" w:cs="Times New Roman"/>
          <w:bCs/>
          <w:i/>
          <w:sz w:val="20"/>
          <w:szCs w:val="20"/>
        </w:rPr>
        <w:t xml:space="preserve"> these correlations range from 0.46 to 0.</w:t>
      </w:r>
      <w:r w:rsidR="00EC7575">
        <w:rPr>
          <w:rFonts w:ascii="Palatino Linotype" w:hAnsi="Palatino Linotype" w:cs="Times New Roman"/>
          <w:bCs/>
          <w:i/>
          <w:sz w:val="20"/>
          <w:szCs w:val="20"/>
        </w:rPr>
        <w:t>75</w:t>
      </w:r>
      <w:r w:rsidR="00E34000">
        <w:rPr>
          <w:rFonts w:ascii="Palatino Linotype" w:hAnsi="Palatino Linotype" w:cs="Times New Roman"/>
          <w:bCs/>
          <w:i/>
          <w:sz w:val="20"/>
          <w:szCs w:val="20"/>
        </w:rPr>
        <w:t>.</w:t>
      </w:r>
      <w:r w:rsidR="00EC7575">
        <w:rPr>
          <w:rFonts w:ascii="Palatino Linotype" w:hAnsi="Palatino Linotype" w:cs="Times New Roman"/>
          <w:bCs/>
          <w:i/>
          <w:sz w:val="20"/>
          <w:szCs w:val="20"/>
        </w:rPr>
        <w:t xml:space="preserve"> </w:t>
      </w:r>
      <w:r w:rsidR="0061435D">
        <w:rPr>
          <w:rFonts w:ascii="Palatino Linotype" w:hAnsi="Palatino Linotype" w:cs="Times New Roman"/>
          <w:bCs/>
          <w:i/>
          <w:sz w:val="20"/>
          <w:szCs w:val="20"/>
        </w:rPr>
        <w:t>The</w:t>
      </w:r>
      <w:r w:rsidR="00326605">
        <w:rPr>
          <w:rFonts w:ascii="Palatino Linotype" w:hAnsi="Palatino Linotype" w:cs="Times New Roman"/>
          <w:bCs/>
          <w:i/>
          <w:sz w:val="20"/>
          <w:szCs w:val="20"/>
        </w:rPr>
        <w:t xml:space="preserve"> items that ask whether hospital staff took the patient’s preferences into account (“Care Transition Preferences”) and whether the patient had a good understanding of managing health care needs (“Care Transition Understanding”) had the strongest correlation with the two overall measures, while the item that asked whether staff described side effects to new medications to the patient had the weakest correlation.      </w:t>
      </w:r>
    </w:p>
    <w:p w:rsidR="00326605" w:rsidRDefault="00326605" w:rsidP="00892E7C">
      <w:pPr>
        <w:autoSpaceDE w:val="0"/>
        <w:autoSpaceDN w:val="0"/>
        <w:adjustRightInd w:val="0"/>
        <w:spacing w:after="0" w:line="240" w:lineRule="auto"/>
        <w:rPr>
          <w:rFonts w:ascii="Palatino Linotype" w:hAnsi="Palatino Linotype" w:cs="Times New Roman"/>
          <w:bCs/>
          <w:i/>
          <w:sz w:val="20"/>
          <w:szCs w:val="20"/>
        </w:rPr>
      </w:pPr>
    </w:p>
    <w:p w:rsidR="00892E7C" w:rsidRDefault="00892E7C" w:rsidP="00B43C93">
      <w:pPr>
        <w:autoSpaceDE w:val="0"/>
        <w:autoSpaceDN w:val="0"/>
        <w:adjustRightInd w:val="0"/>
        <w:spacing w:after="0" w:line="240" w:lineRule="auto"/>
        <w:rPr>
          <w:rFonts w:ascii="Palatino Linotype" w:hAnsi="Palatino Linotype" w:cs="Times New Roman"/>
          <w:b/>
          <w:bCs/>
          <w:sz w:val="20"/>
          <w:szCs w:val="20"/>
        </w:rPr>
      </w:pPr>
    </w:p>
    <w:p w:rsidR="00B43C93" w:rsidRPr="00475809" w:rsidRDefault="00B43C93" w:rsidP="00B43C93">
      <w:pPr>
        <w:autoSpaceDE w:val="0"/>
        <w:autoSpaceDN w:val="0"/>
        <w:adjustRightInd w:val="0"/>
        <w:spacing w:after="0" w:line="240" w:lineRule="auto"/>
        <w:rPr>
          <w:rFonts w:cs="Times New Roman"/>
          <w:b/>
          <w:bCs/>
          <w:sz w:val="20"/>
          <w:szCs w:val="20"/>
        </w:rPr>
      </w:pPr>
      <w:r w:rsidRPr="00475809">
        <w:rPr>
          <w:rFonts w:cs="Times New Roman"/>
          <w:b/>
          <w:bCs/>
          <w:sz w:val="20"/>
          <w:szCs w:val="20"/>
        </w:rPr>
        <w:t xml:space="preserve">Correlations between HCAHPS Items </w:t>
      </w:r>
      <w:r w:rsidR="005B47D2">
        <w:rPr>
          <w:rFonts w:cs="Times New Roman"/>
          <w:b/>
          <w:bCs/>
          <w:sz w:val="20"/>
          <w:szCs w:val="20"/>
        </w:rPr>
        <w:t>w</w:t>
      </w:r>
      <w:r w:rsidRPr="00475809">
        <w:rPr>
          <w:rFonts w:cs="Times New Roman"/>
          <w:b/>
          <w:bCs/>
          <w:sz w:val="20"/>
          <w:szCs w:val="20"/>
        </w:rPr>
        <w:t xml:space="preserve">ithin </w:t>
      </w:r>
      <w:r w:rsidR="005B47D2">
        <w:rPr>
          <w:rFonts w:cs="Times New Roman"/>
          <w:b/>
          <w:bCs/>
          <w:sz w:val="20"/>
          <w:szCs w:val="20"/>
        </w:rPr>
        <w:t xml:space="preserve">Multi-item </w:t>
      </w:r>
      <w:r w:rsidR="001A3011">
        <w:rPr>
          <w:rFonts w:cs="Times New Roman"/>
          <w:b/>
          <w:bCs/>
          <w:sz w:val="20"/>
          <w:szCs w:val="20"/>
        </w:rPr>
        <w:t>M</w:t>
      </w:r>
      <w:r w:rsidR="005B47D2">
        <w:rPr>
          <w:rFonts w:cs="Times New Roman"/>
          <w:b/>
          <w:bCs/>
          <w:sz w:val="20"/>
          <w:szCs w:val="20"/>
        </w:rPr>
        <w:t>easures</w:t>
      </w:r>
      <w:r w:rsidRPr="00475809">
        <w:rPr>
          <w:rFonts w:cs="Times New Roman"/>
          <w:b/>
          <w:bCs/>
          <w:sz w:val="20"/>
          <w:szCs w:val="20"/>
        </w:rPr>
        <w:t xml:space="preserve"> and Global Measures at </w:t>
      </w:r>
      <w:r w:rsidR="001A3011">
        <w:rPr>
          <w:rFonts w:cs="Times New Roman"/>
          <w:b/>
          <w:bCs/>
          <w:sz w:val="20"/>
          <w:szCs w:val="20"/>
        </w:rPr>
        <w:t xml:space="preserve">the </w:t>
      </w:r>
      <w:r w:rsidRPr="00475809">
        <w:rPr>
          <w:rFonts w:cs="Times New Roman"/>
          <w:b/>
          <w:bCs/>
          <w:sz w:val="20"/>
          <w:szCs w:val="20"/>
        </w:rPr>
        <w:t>Patient Level and Hospital Level</w:t>
      </w:r>
      <w:r w:rsidR="001A3011">
        <w:rPr>
          <w:rFonts w:cs="Times New Roman"/>
          <w:b/>
          <w:bCs/>
          <w:sz w:val="20"/>
          <w:szCs w:val="20"/>
        </w:rPr>
        <w:t>s</w:t>
      </w:r>
      <w:r w:rsidRPr="00475809">
        <w:rPr>
          <w:rFonts w:cs="Times New Roman"/>
          <w:b/>
          <w:bCs/>
          <w:sz w:val="20"/>
          <w:szCs w:val="20"/>
        </w:rPr>
        <w:t xml:space="preserve"> (300 or more completed surveys), July 2016 – June 2017 discharges</w:t>
      </w:r>
    </w:p>
    <w:p w:rsidR="00B43C93" w:rsidRDefault="00B43C93" w:rsidP="00B43C93">
      <w:pPr>
        <w:autoSpaceDE w:val="0"/>
        <w:autoSpaceDN w:val="0"/>
        <w:adjustRightInd w:val="0"/>
        <w:spacing w:after="0" w:line="240" w:lineRule="auto"/>
        <w:rPr>
          <w:rFonts w:ascii="Palatino Linotype" w:hAnsi="Palatino Linotype" w:cs="Times New Roman"/>
          <w:b/>
          <w:bCs/>
          <w:sz w:val="20"/>
          <w:szCs w:val="20"/>
        </w:rPr>
      </w:pPr>
    </w:p>
    <w:tbl>
      <w:tblPr>
        <w:tblW w:w="8565" w:type="dxa"/>
        <w:tblInd w:w="93" w:type="dxa"/>
        <w:tblLayout w:type="fixed"/>
        <w:tblLook w:val="04A0" w:firstRow="1" w:lastRow="0" w:firstColumn="1" w:lastColumn="0" w:noHBand="0" w:noVBand="1"/>
        <w:tblCaption w:val="Table with Correlations between HCAHPS"/>
        <w:tblDescription w:val="Correlations between HCAHPS Items within Multi-item Measures and Global Measures at the Patient Level and Hospital Levels (300 or more completed surveys), July 2016 – June 2017 discharges"/>
      </w:tblPr>
      <w:tblGrid>
        <w:gridCol w:w="3220"/>
        <w:gridCol w:w="1313"/>
        <w:gridCol w:w="1422"/>
        <w:gridCol w:w="1206"/>
        <w:gridCol w:w="1404"/>
      </w:tblGrid>
      <w:tr w:rsidR="00B43C93" w:rsidRPr="006352D6" w:rsidTr="00CD6510">
        <w:trPr>
          <w:trHeight w:val="288"/>
        </w:trPr>
        <w:tc>
          <w:tcPr>
            <w:tcW w:w="32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c>
          <w:tcPr>
            <w:tcW w:w="2735" w:type="dxa"/>
            <w:gridSpan w:val="2"/>
            <w:tcBorders>
              <w:top w:val="single" w:sz="4" w:space="0" w:color="auto"/>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Patient-Level</w:t>
            </w:r>
          </w:p>
        </w:tc>
        <w:tc>
          <w:tcPr>
            <w:tcW w:w="2610" w:type="dxa"/>
            <w:gridSpan w:val="2"/>
            <w:tcBorders>
              <w:top w:val="single" w:sz="4" w:space="0" w:color="auto"/>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Hospital-Level</w:t>
            </w:r>
          </w:p>
        </w:tc>
      </w:tr>
      <w:tr w:rsidR="00B43C93" w:rsidRPr="006352D6" w:rsidTr="00CD6510">
        <w:trPr>
          <w:trHeight w:val="288"/>
        </w:trPr>
        <w:tc>
          <w:tcPr>
            <w:tcW w:w="3220" w:type="dxa"/>
            <w:vMerge/>
            <w:tcBorders>
              <w:top w:val="single" w:sz="4" w:space="0" w:color="auto"/>
              <w:left w:val="single" w:sz="4" w:space="0" w:color="auto"/>
              <w:bottom w:val="single" w:sz="4" w:space="0" w:color="auto"/>
              <w:right w:val="single" w:sz="4" w:space="0" w:color="auto"/>
            </w:tcBorders>
            <w:vAlign w:val="center"/>
            <w:hideMark/>
          </w:tcPr>
          <w:p w:rsidR="00B43C93" w:rsidRPr="006352D6" w:rsidRDefault="00B43C93" w:rsidP="00CD6510">
            <w:pPr>
              <w:spacing w:after="0" w:line="240" w:lineRule="auto"/>
              <w:rPr>
                <w:rFonts w:ascii="Calibri" w:eastAsia="Times New Roman" w:hAnsi="Calibri" w:cs="Times New Roman"/>
                <w:color w:val="000000"/>
              </w:rPr>
            </w:pP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Rating</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Recommend</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Rating</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Recommend</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Nurse Courtesy Respect (Q1)</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0.42</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0.40</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0.75</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0.64</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Nurse Listen (Q2)</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0.44</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0.40</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0.74</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0.61</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Nurse Explain (Q3)</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0.38</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0.36</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0.74</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0.64</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 </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Dr Courtesy Respect (Q5)</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0.33</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0.32</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0.74</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0.67</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Dr Listen (Q6)</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0.36</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0.34</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0.71</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0.64</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Dr Explain (Q7)</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0.33</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0.32</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0.69</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0.63</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 </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Call Button (Q4)</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0.35</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0.32</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0.66</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0.51</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Bathroom Help (Q11)</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0.34</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0.32</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0.66</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0.56</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 </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Meds For (Q16)</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0.32</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0.31</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0.67</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0.60</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Side Effects (Q17)</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0.32</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0.30</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0.56</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0.46</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 </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Help After Discharge (Q19)</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0.20</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0.20</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0.61</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0.56</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Symptoms (Q20)</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0.17</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0.18</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0.67</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0.65</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 </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 </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Care Transition Preferences (Q23)</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0.35</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0.36</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0.84</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0.82</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Care Transition Understanding (Q24)</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0.35</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0.37</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0.81</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0.82</w:t>
            </w:r>
          </w:p>
        </w:tc>
      </w:tr>
      <w:tr w:rsidR="00B43C93" w:rsidRPr="006352D6" w:rsidTr="00CD6510">
        <w:trPr>
          <w:trHeight w:val="288"/>
        </w:trPr>
        <w:tc>
          <w:tcPr>
            <w:tcW w:w="3220" w:type="dxa"/>
            <w:tcBorders>
              <w:top w:val="nil"/>
              <w:left w:val="single" w:sz="4" w:space="0" w:color="auto"/>
              <w:bottom w:val="single" w:sz="4" w:space="0" w:color="auto"/>
              <w:right w:val="single" w:sz="4" w:space="0" w:color="auto"/>
            </w:tcBorders>
            <w:shd w:val="clear" w:color="auto" w:fill="auto"/>
            <w:noWrap/>
            <w:vAlign w:val="center"/>
            <w:hideMark/>
          </w:tcPr>
          <w:p w:rsidR="00B43C93" w:rsidRPr="006352D6" w:rsidRDefault="00B43C93" w:rsidP="00CD6510">
            <w:pPr>
              <w:spacing w:after="0" w:line="240" w:lineRule="auto"/>
              <w:rPr>
                <w:rFonts w:ascii="Calibri" w:eastAsia="Times New Roman" w:hAnsi="Calibri" w:cs="Times New Roman"/>
                <w:color w:val="000000"/>
                <w:sz w:val="20"/>
                <w:szCs w:val="20"/>
              </w:rPr>
            </w:pPr>
            <w:r w:rsidRPr="006352D6">
              <w:rPr>
                <w:rFonts w:ascii="Calibri" w:eastAsia="Times New Roman" w:hAnsi="Calibri" w:cs="Times New Roman"/>
                <w:color w:val="000000"/>
                <w:sz w:val="20"/>
                <w:szCs w:val="20"/>
              </w:rPr>
              <w:t>Care Transition Med Purpose (Q25)</w:t>
            </w:r>
          </w:p>
        </w:tc>
        <w:tc>
          <w:tcPr>
            <w:tcW w:w="1313"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0.32</w:t>
            </w:r>
          </w:p>
        </w:tc>
        <w:tc>
          <w:tcPr>
            <w:tcW w:w="1422"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0.33</w:t>
            </w:r>
          </w:p>
        </w:tc>
        <w:tc>
          <w:tcPr>
            <w:tcW w:w="1206"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0.75</w:t>
            </w:r>
          </w:p>
        </w:tc>
        <w:tc>
          <w:tcPr>
            <w:tcW w:w="1404" w:type="dxa"/>
            <w:tcBorders>
              <w:top w:val="nil"/>
              <w:left w:val="nil"/>
              <w:bottom w:val="single" w:sz="4" w:space="0" w:color="auto"/>
              <w:right w:val="single" w:sz="4" w:space="0" w:color="auto"/>
            </w:tcBorders>
            <w:shd w:val="clear" w:color="auto" w:fill="auto"/>
            <w:noWrap/>
            <w:vAlign w:val="bottom"/>
            <w:hideMark/>
          </w:tcPr>
          <w:p w:rsidR="00B43C93" w:rsidRPr="006352D6" w:rsidRDefault="00B43C93" w:rsidP="00CD6510">
            <w:pPr>
              <w:spacing w:after="0" w:line="240" w:lineRule="auto"/>
              <w:jc w:val="center"/>
              <w:rPr>
                <w:rFonts w:ascii="Calibri" w:eastAsia="Times New Roman" w:hAnsi="Calibri" w:cs="Times New Roman"/>
                <w:color w:val="000000"/>
              </w:rPr>
            </w:pPr>
            <w:r w:rsidRPr="006352D6">
              <w:rPr>
                <w:rFonts w:ascii="Calibri" w:eastAsia="Times New Roman" w:hAnsi="Calibri" w:cs="Times New Roman"/>
                <w:color w:val="000000"/>
              </w:rPr>
              <w:t>0.76</w:t>
            </w:r>
          </w:p>
        </w:tc>
      </w:tr>
    </w:tbl>
    <w:p w:rsidR="00B43C93" w:rsidRDefault="00B43C93" w:rsidP="00B43C93">
      <w:pPr>
        <w:autoSpaceDE w:val="0"/>
        <w:autoSpaceDN w:val="0"/>
        <w:adjustRightInd w:val="0"/>
        <w:spacing w:after="0" w:line="240" w:lineRule="auto"/>
        <w:rPr>
          <w:rFonts w:ascii="Palatino Linotype" w:hAnsi="Palatino Linotype" w:cs="Times New Roman"/>
          <w:b/>
          <w:bCs/>
          <w:sz w:val="20"/>
          <w:szCs w:val="20"/>
        </w:rPr>
      </w:pP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p>
    <w:p w:rsidR="000462DC" w:rsidRPr="00B43D3F" w:rsidRDefault="000462DC" w:rsidP="000462DC">
      <w:pPr>
        <w:autoSpaceDE w:val="0"/>
        <w:autoSpaceDN w:val="0"/>
        <w:adjustRightInd w:val="0"/>
        <w:spacing w:after="0" w:line="240" w:lineRule="auto"/>
        <w:rPr>
          <w:rFonts w:ascii="Palatino Linotype" w:hAnsi="Palatino Linotype" w:cs="Times New Roman"/>
          <w:b/>
          <w:bCs/>
          <w:i/>
          <w:sz w:val="20"/>
          <w:szCs w:val="20"/>
        </w:rPr>
      </w:pPr>
      <w:r w:rsidRPr="00B43D3F">
        <w:rPr>
          <w:rFonts w:ascii="Palatino Linotype" w:hAnsi="Palatino Linotype" w:cs="Times New Roman"/>
          <w:b/>
          <w:bCs/>
          <w:i/>
          <w:sz w:val="20"/>
          <w:szCs w:val="20"/>
        </w:rPr>
        <w:t>Hospital</w:t>
      </w:r>
      <w:r w:rsidR="00AE4937">
        <w:rPr>
          <w:rFonts w:ascii="Palatino Linotype" w:hAnsi="Palatino Linotype" w:cs="Times New Roman"/>
          <w:b/>
          <w:bCs/>
          <w:i/>
          <w:sz w:val="20"/>
          <w:szCs w:val="20"/>
        </w:rPr>
        <w:t>-</w:t>
      </w:r>
      <w:r w:rsidRPr="00B43D3F">
        <w:rPr>
          <w:rFonts w:ascii="Palatino Linotype" w:hAnsi="Palatino Linotype" w:cs="Times New Roman"/>
          <w:b/>
          <w:bCs/>
          <w:i/>
          <w:sz w:val="20"/>
          <w:szCs w:val="20"/>
        </w:rPr>
        <w:t>Level Factor Analysis</w:t>
      </w:r>
      <w:r w:rsidR="00DA78C1">
        <w:rPr>
          <w:rFonts w:ascii="Palatino Linotype" w:hAnsi="Palatino Linotype" w:cs="Times New Roman"/>
          <w:b/>
          <w:bCs/>
          <w:i/>
          <w:sz w:val="20"/>
          <w:szCs w:val="20"/>
        </w:rPr>
        <w:t xml:space="preserve"> (2003)</w:t>
      </w: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r w:rsidRPr="00B43D3F">
        <w:rPr>
          <w:rFonts w:ascii="Palatino Linotype" w:hAnsi="Palatino Linotype" w:cs="Times New Roman"/>
          <w:i/>
          <w:sz w:val="20"/>
          <w:szCs w:val="20"/>
        </w:rPr>
        <w:t>Much of the variation among respondents’ HCAHPS scores is due to individual variation,</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reflecting characteristics and particular experiences of individual respondents, rather than systematic</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differences among hospitals. The way these individual characteristics and experiences are related across</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items is not necessarily the same as the way that different aspects of hospital quality are related. Because</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only a fraction of the variation in an individual’s responses is attributable to the hospital, removing</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individual-level variability can yield a clearer picture of the relationship between different aspects of</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quality.</w:t>
      </w: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r w:rsidRPr="00B43D3F">
        <w:rPr>
          <w:rFonts w:ascii="Palatino Linotype" w:hAnsi="Palatino Linotype" w:cs="Times New Roman"/>
          <w:i/>
          <w:sz w:val="20"/>
          <w:szCs w:val="20"/>
        </w:rPr>
        <w:t>However, to model hospital-level correlations among items it is necessary to account for</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variation</w:t>
      </w:r>
      <w:r w:rsidR="00356087">
        <w:rPr>
          <w:rFonts w:ascii="Palatino Linotype" w:hAnsi="Palatino Linotype" w:cs="Times New Roman"/>
          <w:i/>
          <w:sz w:val="20"/>
          <w:szCs w:val="20"/>
        </w:rPr>
        <w:t xml:space="preserve"> (of individual items) and covariation (of pairs of items)</w:t>
      </w:r>
      <w:r w:rsidRPr="00B43D3F">
        <w:rPr>
          <w:rFonts w:ascii="Palatino Linotype" w:hAnsi="Palatino Linotype" w:cs="Times New Roman"/>
          <w:i/>
          <w:sz w:val="20"/>
          <w:szCs w:val="20"/>
        </w:rPr>
        <w:t xml:space="preserve"> in the data due to sampling. This is done by fitting models relating the sample mean to the</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sample variance or covariance for each pair of items. Independent models were fitted for each service,</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yielding service</w:t>
      </w:r>
      <w:r w:rsidR="00356087">
        <w:rPr>
          <w:rFonts w:ascii="Palatino Linotype" w:hAnsi="Palatino Linotype" w:cs="Times New Roman"/>
          <w:i/>
          <w:sz w:val="20"/>
          <w:szCs w:val="20"/>
        </w:rPr>
        <w:t>-</w:t>
      </w:r>
      <w:r w:rsidRPr="00B43D3F">
        <w:rPr>
          <w:rFonts w:ascii="Palatino Linotype" w:hAnsi="Palatino Linotype" w:cs="Times New Roman"/>
          <w:i/>
          <w:sz w:val="20"/>
          <w:szCs w:val="20"/>
        </w:rPr>
        <w:t>specific hospital-level covariance matrices. In addition, we pooled the data across</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services and then fit the same series of models to obtain a consensus hospital-level covariance matrix.</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Details of both steps of this modeling process are described in Appendix A.</w:t>
      </w: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r w:rsidRPr="00B43D3F">
        <w:rPr>
          <w:rFonts w:ascii="Palatino Linotype" w:hAnsi="Palatino Linotype" w:cs="Times New Roman"/>
          <w:i/>
          <w:sz w:val="20"/>
          <w:szCs w:val="20"/>
        </w:rPr>
        <w:t>We investigated the structure underlying the between-hospital covariance matrices and</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estimated the number and structure of possible factors. The principle factor method with squared multiple</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correlations as initial estimates of communalities and Promax rotation with Kaiser normalization were</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used to examine the structure of each covariance matrix.</w:t>
      </w: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r w:rsidRPr="00B43D3F">
        <w:rPr>
          <w:rFonts w:ascii="Palatino Linotype" w:hAnsi="Palatino Linotype" w:cs="Times New Roman"/>
          <w:i/>
          <w:sz w:val="20"/>
          <w:szCs w:val="20"/>
        </w:rPr>
        <w:t>It appeared that four factors were appropriate for each service. The pattern coefficients and</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 xml:space="preserve">patterns of the highest coefficients for each factor for each service are displayed in </w:t>
      </w:r>
      <w:r w:rsidRPr="00B028F0">
        <w:rPr>
          <w:rFonts w:ascii="Palatino Linotype" w:hAnsi="Palatino Linotype" w:cs="Times New Roman"/>
          <w:b/>
          <w:i/>
          <w:sz w:val="20"/>
          <w:szCs w:val="20"/>
        </w:rPr>
        <w:t>Table 7</w:t>
      </w:r>
      <w:r w:rsidRPr="00B43D3F">
        <w:rPr>
          <w:rFonts w:ascii="Palatino Linotype" w:hAnsi="Palatino Linotype" w:cs="Times New Roman"/>
          <w:i/>
          <w:sz w:val="20"/>
          <w:szCs w:val="20"/>
        </w:rPr>
        <w:t>. The factors</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are not necessarily ordered by the variance explained by each (magnitude of the corresponding</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eigenvalues) because they were re-arranged to allow for easy comparison across service types.</w:t>
      </w: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r w:rsidRPr="00B43D3F">
        <w:rPr>
          <w:rFonts w:ascii="Palatino Linotype" w:hAnsi="Palatino Linotype" w:cs="Times New Roman"/>
          <w:i/>
          <w:sz w:val="20"/>
          <w:szCs w:val="20"/>
        </w:rPr>
        <w:t>The hospital-level factor structures for the “surgery” and “childbirth” services are very</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similar with the highlighted composite items containing almost the same groups of items. However, the</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structure for “medical service” is clearly very different; there only appears to be one dimension of quality</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(Factor 2) that is consistent with those for “surgery” and “childbirth.” Therefore, one might consider</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grouping the “surgery” and “childbirth” services together for multivariate analysis, and treating “medical</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service” separately. This would make sense as “surgery” and “childbirth” both involve treatments with a</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discrete objective, typically leading to a positive outcome; patient experiences on those services might be</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very different from those for patients on a medical service—that is, to be related to a chronic or emergent</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condition.</w:t>
      </w: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r w:rsidRPr="00B43D3F">
        <w:rPr>
          <w:rFonts w:ascii="Palatino Linotype" w:hAnsi="Palatino Linotype" w:cs="Times New Roman"/>
          <w:i/>
          <w:sz w:val="20"/>
          <w:szCs w:val="20"/>
        </w:rPr>
        <w:t>We compared possible hospital-level composite item groupings to the composites found in</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the individual-level factor analysis. The names of individual-level composites are enclosed in quotes in</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the following. Factor 2, common to the three services, is the individual-level composite “communication</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about medication” factor; Factor 3 of “surgery” and “childbirth” is the “communication with doctors”</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factor; Factor 4 of “surgery” and “childbirth” is close to the “discharge information” factor; and Factor 3</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of “other medical service” partly resembles the “pain control” factor. The “physical comfort” factor is</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subsumed in Factor 1 of “surgery” and “childbirth,” and split over Factors 3 and 4 of “other medical</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service.”</w:t>
      </w: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r w:rsidRPr="00B43D3F">
        <w:rPr>
          <w:rFonts w:ascii="Palatino Linotype" w:hAnsi="Palatino Linotype" w:cs="Times New Roman"/>
          <w:i/>
          <w:sz w:val="20"/>
          <w:szCs w:val="20"/>
        </w:rPr>
        <w:t>We estimated three solutions with five, six, and seven factors, respectively, as the best</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candidates for the structure of the hospital-level covariance matrix. These five-, six-, and seven-factor</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 xml:space="preserve">solutions are displayed in </w:t>
      </w:r>
      <w:r w:rsidRPr="00B028F0">
        <w:rPr>
          <w:rFonts w:ascii="Palatino Linotype" w:hAnsi="Palatino Linotype" w:cs="Times New Roman"/>
          <w:b/>
          <w:i/>
          <w:sz w:val="20"/>
          <w:szCs w:val="20"/>
        </w:rPr>
        <w:t>Tables 8-10</w:t>
      </w:r>
      <w:r w:rsidRPr="00B43D3F">
        <w:rPr>
          <w:rFonts w:ascii="Palatino Linotype" w:hAnsi="Palatino Linotype" w:cs="Times New Roman"/>
          <w:i/>
          <w:sz w:val="20"/>
          <w:szCs w:val="20"/>
        </w:rPr>
        <w:t>. Additional statistics for the seven-factor solution are presented in</w:t>
      </w:r>
      <w:r w:rsidR="00FD6E0D" w:rsidRPr="00B43D3F">
        <w:rPr>
          <w:rFonts w:ascii="Palatino Linotype" w:hAnsi="Palatino Linotype" w:cs="Times New Roman"/>
          <w:i/>
          <w:sz w:val="20"/>
          <w:szCs w:val="20"/>
        </w:rPr>
        <w:t xml:space="preserve"> </w:t>
      </w:r>
      <w:r w:rsidRPr="00B028F0">
        <w:rPr>
          <w:rFonts w:ascii="Palatino Linotype" w:hAnsi="Palatino Linotype" w:cs="Times New Roman"/>
          <w:b/>
          <w:i/>
          <w:sz w:val="20"/>
          <w:szCs w:val="20"/>
        </w:rPr>
        <w:t>Tables 11-13</w:t>
      </w:r>
      <w:r w:rsidRPr="00B43D3F">
        <w:rPr>
          <w:rFonts w:ascii="Palatino Linotype" w:hAnsi="Palatino Linotype" w:cs="Times New Roman"/>
          <w:i/>
          <w:sz w:val="20"/>
          <w:szCs w:val="20"/>
        </w:rPr>
        <w:t>.</w:t>
      </w: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r w:rsidRPr="00B43D3F">
        <w:rPr>
          <w:rFonts w:ascii="Palatino Linotype" w:hAnsi="Palatino Linotype" w:cs="Times New Roman"/>
          <w:i/>
          <w:sz w:val="20"/>
          <w:szCs w:val="20"/>
        </w:rPr>
        <w:t>The factor analysis with five factors has very high eigenvalues for each of the five factors</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(after rotation), while the magnitude of the eigenvalues for the 6th and 7th factors in the six and seven</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factor solutions are much lower (indicating that these additional factors explain less variance). The six factor solution extracts Q17 (room clean) and Q16 (temperature) items from Factor 1 of the five-factor</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solution to form, together with Q18 (room quiet), a “physical environment” factor. The seven-factor</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solution additionally extracts Q32 (pain controlled) and Q33 (MD pain help) to form a shortened version</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of the “pain control” factor. The hospital-level factor analyses separate Q20 (how often bathing) and Q22</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(how often bathroom) from the “physical comfort” factor and combine these with Q9 (call for help), to</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form a “nursing services” factor. The “housekeeping” and “nursing services” factors are both contained in</w:t>
      </w:r>
      <w:r w:rsidR="00FD6E0D"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 xml:space="preserve">the individual level “physical </w:t>
      </w:r>
      <w:r w:rsidR="00FD6E0D" w:rsidRPr="00B43D3F">
        <w:rPr>
          <w:rFonts w:ascii="Palatino Linotype" w:hAnsi="Palatino Linotype" w:cs="Times New Roman"/>
          <w:i/>
          <w:sz w:val="20"/>
          <w:szCs w:val="20"/>
        </w:rPr>
        <w:t>c</w:t>
      </w:r>
      <w:r w:rsidRPr="00B43D3F">
        <w:rPr>
          <w:rFonts w:ascii="Palatino Linotype" w:hAnsi="Palatino Linotype" w:cs="Times New Roman"/>
          <w:i/>
          <w:sz w:val="20"/>
          <w:szCs w:val="20"/>
        </w:rPr>
        <w:t>omfort” factor.</w:t>
      </w: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p>
    <w:p w:rsidR="00130E38" w:rsidRDefault="000462DC" w:rsidP="006D31B2">
      <w:pPr>
        <w:autoSpaceDE w:val="0"/>
        <w:autoSpaceDN w:val="0"/>
        <w:adjustRightInd w:val="0"/>
        <w:spacing w:after="0" w:line="240" w:lineRule="auto"/>
        <w:rPr>
          <w:rFonts w:ascii="Palatino Linotype" w:hAnsi="Palatino Linotype" w:cs="Times New Roman"/>
          <w:i/>
          <w:sz w:val="20"/>
          <w:szCs w:val="20"/>
        </w:rPr>
      </w:pPr>
      <w:r w:rsidRPr="00B43D3F">
        <w:rPr>
          <w:rFonts w:ascii="Palatino Linotype" w:hAnsi="Palatino Linotype" w:cs="Times New Roman"/>
          <w:i/>
          <w:sz w:val="20"/>
          <w:szCs w:val="20"/>
        </w:rPr>
        <w:t>Referring exclusively to the seven-factor solution, Factor 1 might be thought of as a</w:t>
      </w:r>
      <w:r w:rsidR="00FE3CA6"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“concern for patient/communication with nurses” factor, Factor 2 as “communication with doctor,” Factor</w:t>
      </w:r>
      <w:r w:rsidR="00FE3CA6"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3 as “communication about medication,” Factor 4 as “nursing services,” Factor 5 as “discharge</w:t>
      </w:r>
      <w:r w:rsidR="00FE3CA6" w:rsidRPr="00B43D3F">
        <w:rPr>
          <w:rFonts w:ascii="Palatino Linotype" w:hAnsi="Palatino Linotype" w:cs="Times New Roman"/>
          <w:i/>
          <w:sz w:val="20"/>
          <w:szCs w:val="20"/>
        </w:rPr>
        <w:t xml:space="preserve"> </w:t>
      </w:r>
      <w:r w:rsidRPr="00B43D3F">
        <w:rPr>
          <w:rFonts w:ascii="Palatino Linotype" w:hAnsi="Palatino Linotype" w:cs="Times New Roman"/>
          <w:i/>
          <w:sz w:val="20"/>
          <w:szCs w:val="20"/>
        </w:rPr>
        <w:t>information,” Factor 6 as “pain control” and Factor 7 as “physical environment.”</w:t>
      </w:r>
      <w:r w:rsidR="00C57A88">
        <w:rPr>
          <w:rFonts w:ascii="Palatino Linotype" w:hAnsi="Palatino Linotype" w:cs="Times New Roman"/>
          <w:i/>
          <w:sz w:val="20"/>
          <w:szCs w:val="20"/>
        </w:rPr>
        <w:t xml:space="preserve"> </w:t>
      </w:r>
    </w:p>
    <w:p w:rsidR="00130E38" w:rsidRDefault="00130E38" w:rsidP="006D31B2">
      <w:pPr>
        <w:autoSpaceDE w:val="0"/>
        <w:autoSpaceDN w:val="0"/>
        <w:adjustRightInd w:val="0"/>
        <w:spacing w:after="0" w:line="240" w:lineRule="auto"/>
        <w:rPr>
          <w:rFonts w:ascii="Palatino Linotype" w:hAnsi="Palatino Linotype" w:cs="Times New Roman"/>
          <w:i/>
          <w:sz w:val="20"/>
          <w:szCs w:val="20"/>
        </w:rPr>
      </w:pPr>
    </w:p>
    <w:p w:rsidR="005E307A" w:rsidRPr="00A16991" w:rsidRDefault="005E307A" w:rsidP="005E307A">
      <w:pPr>
        <w:autoSpaceDE w:val="0"/>
        <w:autoSpaceDN w:val="0"/>
        <w:adjustRightInd w:val="0"/>
        <w:spacing w:after="0" w:line="240" w:lineRule="auto"/>
        <w:rPr>
          <w:rFonts w:ascii="Palatino Linotype" w:hAnsi="Palatino Linotype" w:cs="Arial"/>
          <w:i/>
          <w:sz w:val="20"/>
          <w:szCs w:val="20"/>
        </w:rPr>
      </w:pPr>
      <w:r w:rsidRPr="00A16991">
        <w:rPr>
          <w:rFonts w:ascii="Palatino Linotype" w:hAnsi="Palatino Linotype" w:cs="Arial"/>
          <w:i/>
          <w:sz w:val="20"/>
          <w:szCs w:val="20"/>
        </w:rPr>
        <w:t xml:space="preserve">Note: </w:t>
      </w:r>
      <w:r w:rsidRPr="006F6112">
        <w:rPr>
          <w:rFonts w:ascii="Palatino Linotype" w:hAnsi="Palatino Linotype" w:cs="Arial"/>
          <w:i/>
          <w:sz w:val="20"/>
          <w:szCs w:val="20"/>
        </w:rPr>
        <w:t>T</w:t>
      </w:r>
      <w:r w:rsidRPr="00A16991">
        <w:rPr>
          <w:rFonts w:ascii="Palatino Linotype" w:hAnsi="Palatino Linotype" w:cs="Arial"/>
          <w:i/>
          <w:sz w:val="20"/>
          <w:szCs w:val="20"/>
        </w:rPr>
        <w:t xml:space="preserve">he HCAHPS Survey </w:t>
      </w:r>
      <w:r w:rsidRPr="006F6112">
        <w:rPr>
          <w:rFonts w:ascii="Palatino Linotype" w:hAnsi="Palatino Linotype" w:cs="Arial"/>
          <w:i/>
          <w:sz w:val="20"/>
          <w:szCs w:val="20"/>
        </w:rPr>
        <w:t xml:space="preserve">originally </w:t>
      </w:r>
      <w:r w:rsidRPr="00A16991">
        <w:rPr>
          <w:rFonts w:ascii="Palatino Linotype" w:hAnsi="Palatino Linotype" w:cs="Arial"/>
          <w:i/>
          <w:sz w:val="20"/>
          <w:szCs w:val="20"/>
        </w:rPr>
        <w:t xml:space="preserve">included three items </w:t>
      </w:r>
      <w:r w:rsidRPr="006F6112">
        <w:rPr>
          <w:rFonts w:ascii="Palatino Linotype" w:hAnsi="Palatino Linotype" w:cs="Arial"/>
          <w:i/>
          <w:sz w:val="20"/>
          <w:szCs w:val="20"/>
        </w:rPr>
        <w:t xml:space="preserve">about pain </w:t>
      </w:r>
      <w:r w:rsidRPr="00A16991">
        <w:rPr>
          <w:rFonts w:ascii="Palatino Linotype" w:hAnsi="Palatino Linotype" w:cs="Arial"/>
          <w:i/>
          <w:sz w:val="20"/>
          <w:szCs w:val="20"/>
        </w:rPr>
        <w:t xml:space="preserve">(a screener and two substantive questions), which formed a </w:t>
      </w:r>
      <w:r w:rsidR="003C5712">
        <w:rPr>
          <w:rFonts w:ascii="Palatino Linotype" w:hAnsi="Palatino Linotype" w:cs="Arial"/>
          <w:i/>
          <w:sz w:val="20"/>
          <w:szCs w:val="20"/>
        </w:rPr>
        <w:t>multi-item measure</w:t>
      </w:r>
      <w:r w:rsidRPr="00A16991">
        <w:rPr>
          <w:rFonts w:ascii="Palatino Linotype" w:hAnsi="Palatino Linotype" w:cs="Arial"/>
          <w:i/>
          <w:sz w:val="20"/>
          <w:szCs w:val="20"/>
        </w:rPr>
        <w:t xml:space="preserve">, Pain Management.  CMS discontinued publicly reporting this measure in July 2018.  In January 2018, CMS replaced the </w:t>
      </w:r>
      <w:r w:rsidRPr="006F6112">
        <w:rPr>
          <w:rFonts w:ascii="Palatino Linotype" w:hAnsi="Palatino Linotype" w:cs="Arial"/>
          <w:i/>
          <w:sz w:val="20"/>
          <w:szCs w:val="20"/>
        </w:rPr>
        <w:t xml:space="preserve">original HCAHPS </w:t>
      </w:r>
      <w:r w:rsidRPr="00A16991">
        <w:rPr>
          <w:rFonts w:ascii="Palatino Linotype" w:hAnsi="Palatino Linotype" w:cs="Arial"/>
          <w:i/>
          <w:sz w:val="20"/>
          <w:szCs w:val="20"/>
        </w:rPr>
        <w:t>pain items with three items that asked about communication about pain.</w:t>
      </w:r>
      <w:r w:rsidRPr="006F6112">
        <w:rPr>
          <w:rFonts w:ascii="Palatino Linotype" w:hAnsi="Palatino Linotype" w:cs="Times New Roman"/>
          <w:i/>
          <w:sz w:val="20"/>
          <w:szCs w:val="20"/>
        </w:rPr>
        <w:t xml:space="preserve"> In compliance with the </w:t>
      </w:r>
      <w:r w:rsidRPr="00A16991">
        <w:rPr>
          <w:rFonts w:ascii="Palatino Linotype" w:hAnsi="Palatino Linotype"/>
          <w:b/>
          <w:sz w:val="20"/>
          <w:szCs w:val="20"/>
        </w:rPr>
        <w:t>Substance Use-Disorder Prevention that Promotes Opioid Recovery and Treatment (SUPPORT) for Patients and Communities Act</w:t>
      </w:r>
      <w:r w:rsidRPr="00A16991">
        <w:rPr>
          <w:rFonts w:ascii="Palatino Linotype" w:hAnsi="Palatino Linotype"/>
          <w:sz w:val="20"/>
          <w:szCs w:val="20"/>
        </w:rPr>
        <w:t xml:space="preserve"> (Pub. L. 115-271) o</w:t>
      </w:r>
      <w:r w:rsidRPr="00A16991">
        <w:rPr>
          <w:rFonts w:ascii="Palatino Linotype" w:hAnsi="Palatino Linotype" w:cs="NewCenturySchlbk-Roman"/>
          <w:sz w:val="20"/>
          <w:szCs w:val="20"/>
        </w:rPr>
        <w:t xml:space="preserve">f 2018 (Section 6104), </w:t>
      </w:r>
      <w:r w:rsidRPr="006F6112">
        <w:rPr>
          <w:rFonts w:ascii="Palatino Linotype" w:hAnsi="Palatino Linotype" w:cs="Times New Roman"/>
          <w:i/>
          <w:sz w:val="20"/>
          <w:szCs w:val="20"/>
        </w:rPr>
        <w:t>CMS will remove the new communication about pain items from the HCAHPS Survey beginning with October 2019 discharges.</w:t>
      </w:r>
      <w:r w:rsidRPr="00A16991">
        <w:rPr>
          <w:rFonts w:ascii="Palatino Linotype" w:hAnsi="Palatino Linotype" w:cs="Arial"/>
          <w:i/>
          <w:sz w:val="20"/>
          <w:szCs w:val="20"/>
        </w:rPr>
        <w:t xml:space="preserve">   </w:t>
      </w:r>
    </w:p>
    <w:p w:rsidR="005E307A" w:rsidRDefault="005E307A" w:rsidP="006D31B2">
      <w:pPr>
        <w:autoSpaceDE w:val="0"/>
        <w:autoSpaceDN w:val="0"/>
        <w:adjustRightInd w:val="0"/>
        <w:spacing w:after="0" w:line="240" w:lineRule="auto"/>
        <w:rPr>
          <w:rFonts w:ascii="Palatino Linotype" w:hAnsi="Palatino Linotype" w:cs="Times New Roman"/>
          <w:i/>
          <w:sz w:val="20"/>
          <w:szCs w:val="20"/>
        </w:rPr>
      </w:pPr>
    </w:p>
    <w:p w:rsidR="005E307A" w:rsidRDefault="005E307A" w:rsidP="006D31B2">
      <w:pPr>
        <w:autoSpaceDE w:val="0"/>
        <w:autoSpaceDN w:val="0"/>
        <w:adjustRightInd w:val="0"/>
        <w:spacing w:after="0" w:line="240" w:lineRule="auto"/>
        <w:rPr>
          <w:rFonts w:ascii="Palatino Linotype" w:hAnsi="Palatino Linotype" w:cs="Times New Roman"/>
          <w:i/>
          <w:sz w:val="20"/>
          <w:szCs w:val="20"/>
        </w:rPr>
      </w:pPr>
    </w:p>
    <w:p w:rsidR="00E36892" w:rsidRDefault="00E36892" w:rsidP="000462DC">
      <w:pPr>
        <w:autoSpaceDE w:val="0"/>
        <w:autoSpaceDN w:val="0"/>
        <w:adjustRightInd w:val="0"/>
        <w:spacing w:after="0" w:line="240" w:lineRule="auto"/>
        <w:rPr>
          <w:rFonts w:ascii="Palatino Linotype" w:hAnsi="Palatino Linotype" w:cs="Times New Roman"/>
          <w:b/>
          <w:i/>
          <w:sz w:val="20"/>
          <w:szCs w:val="20"/>
        </w:rPr>
      </w:pPr>
      <w:r w:rsidRPr="00E36892">
        <w:rPr>
          <w:rFonts w:ascii="Palatino Linotype" w:hAnsi="Palatino Linotype" w:cs="Times New Roman"/>
          <w:b/>
          <w:i/>
          <w:sz w:val="20"/>
          <w:szCs w:val="20"/>
        </w:rPr>
        <w:t xml:space="preserve">Tables 5 to 13 </w:t>
      </w:r>
      <w:r w:rsidR="00130E38">
        <w:rPr>
          <w:rFonts w:ascii="Palatino Linotype" w:hAnsi="Palatino Linotype" w:cs="Times New Roman"/>
          <w:b/>
          <w:i/>
          <w:sz w:val="20"/>
          <w:szCs w:val="20"/>
        </w:rPr>
        <w:t xml:space="preserve">below are part of </w:t>
      </w:r>
      <w:r w:rsidRPr="00E36892">
        <w:rPr>
          <w:rFonts w:ascii="Palatino Linotype" w:hAnsi="Palatino Linotype" w:cs="Times New Roman"/>
          <w:b/>
          <w:i/>
          <w:sz w:val="20"/>
          <w:szCs w:val="20"/>
        </w:rPr>
        <w:t>the HCAHPS Three-State Pilot Study</w:t>
      </w:r>
      <w:r w:rsidR="00130E38">
        <w:rPr>
          <w:rFonts w:ascii="Palatino Linotype" w:hAnsi="Palatino Linotype" w:cs="Times New Roman"/>
          <w:b/>
          <w:i/>
          <w:sz w:val="20"/>
          <w:szCs w:val="20"/>
        </w:rPr>
        <w:t>, 2003</w:t>
      </w:r>
      <w:r w:rsidRPr="00E36892">
        <w:rPr>
          <w:rFonts w:ascii="Palatino Linotype" w:hAnsi="Palatino Linotype" w:cs="Times New Roman"/>
          <w:b/>
          <w:i/>
          <w:sz w:val="20"/>
          <w:szCs w:val="20"/>
        </w:rPr>
        <w:t xml:space="preserve"> </w:t>
      </w:r>
    </w:p>
    <w:p w:rsidR="000D33AE" w:rsidRPr="008C4D75" w:rsidRDefault="000D33AE" w:rsidP="000D33AE">
      <w:pPr>
        <w:autoSpaceDE w:val="0"/>
        <w:autoSpaceDN w:val="0"/>
        <w:adjustRightInd w:val="0"/>
        <w:spacing w:after="0" w:line="240" w:lineRule="auto"/>
        <w:rPr>
          <w:rFonts w:ascii="Palatino Linotype" w:hAnsi="Palatino Linotype" w:cs="Times New Roman"/>
          <w:i/>
          <w:sz w:val="20"/>
          <w:szCs w:val="20"/>
        </w:rPr>
      </w:pPr>
      <w:r>
        <w:rPr>
          <w:rFonts w:ascii="Palatino Linotype" w:hAnsi="Palatino Linotype" w:cs="Times New Roman"/>
          <w:i/>
          <w:sz w:val="20"/>
          <w:szCs w:val="20"/>
        </w:rPr>
        <w:t>(Please note: in the Three-State Pilot Study, including Tables 5-1, we refer to multi-item scores as “composites,” but these are in fact “multi-item measures”).</w:t>
      </w:r>
    </w:p>
    <w:p w:rsidR="00E36892" w:rsidRPr="00E36892" w:rsidRDefault="00E36892" w:rsidP="000462DC">
      <w:pPr>
        <w:autoSpaceDE w:val="0"/>
        <w:autoSpaceDN w:val="0"/>
        <w:adjustRightInd w:val="0"/>
        <w:spacing w:after="0" w:line="240" w:lineRule="auto"/>
        <w:rPr>
          <w:rFonts w:ascii="Palatino Linotype" w:hAnsi="Palatino Linotype" w:cs="Times New Roman"/>
          <w:b/>
          <w:i/>
          <w:sz w:val="20"/>
          <w:szCs w:val="20"/>
        </w:rPr>
      </w:pPr>
    </w:p>
    <w:p w:rsidR="006F0FFC" w:rsidRDefault="006F0FFC" w:rsidP="006F0FFC"/>
    <w:p w:rsidR="006F0FFC" w:rsidRDefault="006F0FFC" w:rsidP="006F0FFC"/>
    <w:p w:rsidR="006F0FFC" w:rsidRDefault="006F0FFC" w:rsidP="006F0FFC">
      <w:r>
        <w:t>Table 5: Correlations of Items with Six Composites, Global Rating of Hospital, and Likelihood of Recommending the Hospital to Family and Friends</w:t>
      </w:r>
    </w:p>
    <w:tbl>
      <w:tblPr>
        <w:tblStyle w:val="TableGrid"/>
        <w:tblW w:w="0" w:type="auto"/>
        <w:tblLayout w:type="fixed"/>
        <w:tblLook w:val="04A0" w:firstRow="1" w:lastRow="0" w:firstColumn="1" w:lastColumn="0" w:noHBand="0" w:noVBand="1"/>
        <w:tblCaption w:val="Table with Correlations of Items with Six Composites"/>
        <w:tblDescription w:val="Correlations of Items with Six Composites, Global Rating of Hospital, and Likelihood of Recommending the Hospital to Family and Friends"/>
      </w:tblPr>
      <w:tblGrid>
        <w:gridCol w:w="1144"/>
        <w:gridCol w:w="1574"/>
        <w:gridCol w:w="1260"/>
        <w:gridCol w:w="1170"/>
        <w:gridCol w:w="1107"/>
        <w:gridCol w:w="1107"/>
        <w:gridCol w:w="1107"/>
        <w:gridCol w:w="1107"/>
      </w:tblGrid>
      <w:tr w:rsidR="006F0FFC" w:rsidTr="006F0FFC">
        <w:tc>
          <w:tcPr>
            <w:tcW w:w="1144" w:type="dxa"/>
          </w:tcPr>
          <w:p w:rsidR="006F0FFC" w:rsidRDefault="006F0FFC" w:rsidP="006F0FFC"/>
        </w:tc>
        <w:tc>
          <w:tcPr>
            <w:tcW w:w="1574" w:type="dxa"/>
          </w:tcPr>
          <w:p w:rsidR="006F0FFC" w:rsidRDefault="006F0FFC" w:rsidP="006F0FFC"/>
        </w:tc>
        <w:tc>
          <w:tcPr>
            <w:tcW w:w="2430" w:type="dxa"/>
            <w:gridSpan w:val="2"/>
            <w:vAlign w:val="center"/>
          </w:tcPr>
          <w:p w:rsidR="006F0FFC" w:rsidRDefault="006F0FFC" w:rsidP="006F0FFC">
            <w:pPr>
              <w:jc w:val="center"/>
            </w:pPr>
            <w:r>
              <w:t>Integrity of Composites</w:t>
            </w:r>
          </w:p>
        </w:tc>
        <w:tc>
          <w:tcPr>
            <w:tcW w:w="4428" w:type="dxa"/>
            <w:gridSpan w:val="4"/>
            <w:vAlign w:val="center"/>
          </w:tcPr>
          <w:p w:rsidR="006F0FFC" w:rsidRDefault="006F0FFC" w:rsidP="006F0FFC">
            <w:pPr>
              <w:jc w:val="center"/>
            </w:pPr>
            <w:r>
              <w:t>Relationship of Item and Composite-Level Scores to Hospital Rating and Recommendation</w:t>
            </w:r>
          </w:p>
        </w:tc>
      </w:tr>
      <w:tr w:rsidR="006F0FFC" w:rsidTr="006F0FFC">
        <w:tc>
          <w:tcPr>
            <w:tcW w:w="1144" w:type="dxa"/>
          </w:tcPr>
          <w:p w:rsidR="006F0FFC" w:rsidRDefault="006F0FFC" w:rsidP="006F0FFC">
            <w:r>
              <w:t>Item</w:t>
            </w:r>
          </w:p>
        </w:tc>
        <w:tc>
          <w:tcPr>
            <w:tcW w:w="1574" w:type="dxa"/>
          </w:tcPr>
          <w:p w:rsidR="006F0FFC" w:rsidRDefault="006F0FFC" w:rsidP="006F0FFC">
            <w:r>
              <w:t>Question Label</w:t>
            </w:r>
          </w:p>
        </w:tc>
        <w:tc>
          <w:tcPr>
            <w:tcW w:w="1260" w:type="dxa"/>
          </w:tcPr>
          <w:p w:rsidR="006F0FFC" w:rsidRDefault="006F0FFC" w:rsidP="006F0FFC">
            <w:r>
              <w:t>Substantial Corr with 2</w:t>
            </w:r>
            <w:r w:rsidRPr="000B1588">
              <w:rPr>
                <w:vertAlign w:val="superscript"/>
              </w:rPr>
              <w:t>nd</w:t>
            </w:r>
            <w:r>
              <w:t xml:space="preserve"> Scale</w:t>
            </w:r>
          </w:p>
        </w:tc>
        <w:tc>
          <w:tcPr>
            <w:tcW w:w="1170" w:type="dxa"/>
          </w:tcPr>
          <w:p w:rsidR="006F0FFC" w:rsidRDefault="006F0FFC" w:rsidP="006F0FFC">
            <w:r>
              <w:t>Alpha &amp; Item-Total Corr</w:t>
            </w:r>
          </w:p>
        </w:tc>
        <w:tc>
          <w:tcPr>
            <w:tcW w:w="2214" w:type="dxa"/>
            <w:gridSpan w:val="2"/>
          </w:tcPr>
          <w:p w:rsidR="006F0FFC" w:rsidRDefault="006F0FFC" w:rsidP="006F0FFC">
            <w:r>
              <w:t>Hospital Rating</w:t>
            </w:r>
          </w:p>
        </w:tc>
        <w:tc>
          <w:tcPr>
            <w:tcW w:w="2214" w:type="dxa"/>
            <w:gridSpan w:val="2"/>
          </w:tcPr>
          <w:p w:rsidR="006F0FFC" w:rsidRDefault="006F0FFC" w:rsidP="006F0FFC">
            <w:r>
              <w:t>Recommend Hospital</w:t>
            </w:r>
          </w:p>
        </w:tc>
      </w:tr>
      <w:tr w:rsidR="006F0FFC" w:rsidTr="006F0FFC">
        <w:tc>
          <w:tcPr>
            <w:tcW w:w="3978" w:type="dxa"/>
            <w:gridSpan w:val="3"/>
          </w:tcPr>
          <w:p w:rsidR="006F0FFC" w:rsidRPr="00A223AB" w:rsidRDefault="006F0FFC" w:rsidP="006F0FFC">
            <w:pPr>
              <w:pStyle w:val="ListParagraph"/>
              <w:numPr>
                <w:ilvl w:val="0"/>
                <w:numId w:val="47"/>
              </w:numPr>
              <w:rPr>
                <w:b/>
              </w:rPr>
            </w:pPr>
            <w:r w:rsidRPr="00A223AB">
              <w:rPr>
                <w:b/>
              </w:rPr>
              <w:t>Physical Comfort</w:t>
            </w:r>
          </w:p>
        </w:tc>
        <w:tc>
          <w:tcPr>
            <w:tcW w:w="1170" w:type="dxa"/>
            <w:shd w:val="clear" w:color="auto" w:fill="BFBFBF" w:themeFill="background1" w:themeFillShade="BF"/>
            <w:vAlign w:val="center"/>
          </w:tcPr>
          <w:p w:rsidR="006F0FFC" w:rsidRDefault="006F0FFC" w:rsidP="006F0FFC">
            <w:pPr>
              <w:jc w:val="center"/>
            </w:pPr>
            <w:r>
              <w:t>α=0.81</w:t>
            </w:r>
          </w:p>
        </w:tc>
        <w:tc>
          <w:tcPr>
            <w:tcW w:w="1107" w:type="dxa"/>
            <w:shd w:val="clear" w:color="auto" w:fill="BFBFBF" w:themeFill="background1" w:themeFillShade="BF"/>
            <w:vAlign w:val="center"/>
          </w:tcPr>
          <w:p w:rsidR="006F0FFC" w:rsidRDefault="006F0FFC" w:rsidP="006F0FFC">
            <w:pPr>
              <w:jc w:val="center"/>
            </w:pPr>
            <w:r>
              <w:t>aR</w:t>
            </w:r>
            <w:r w:rsidRPr="00A223AB">
              <w:rPr>
                <w:vertAlign w:val="superscript"/>
              </w:rPr>
              <w:t>2</w:t>
            </w:r>
            <w:r>
              <w:rPr>
                <w:vertAlign w:val="superscript"/>
              </w:rPr>
              <w:t xml:space="preserve"> </w:t>
            </w:r>
            <w:r>
              <w:t>= 0.44*</w:t>
            </w:r>
          </w:p>
        </w:tc>
        <w:tc>
          <w:tcPr>
            <w:tcW w:w="1107" w:type="dxa"/>
            <w:shd w:val="clear" w:color="auto" w:fill="BFBFBF" w:themeFill="background1" w:themeFillShade="BF"/>
            <w:vAlign w:val="center"/>
          </w:tcPr>
          <w:p w:rsidR="006F0FFC" w:rsidRDefault="006F0FFC" w:rsidP="006F0FFC">
            <w:pPr>
              <w:jc w:val="center"/>
            </w:pPr>
            <w:r>
              <w:t>t-value= 54.18</w:t>
            </w:r>
          </w:p>
        </w:tc>
        <w:tc>
          <w:tcPr>
            <w:tcW w:w="1107" w:type="dxa"/>
            <w:shd w:val="clear" w:color="auto" w:fill="BFBFBF" w:themeFill="background1" w:themeFillShade="BF"/>
            <w:vAlign w:val="center"/>
          </w:tcPr>
          <w:p w:rsidR="006F0FFC" w:rsidRDefault="006F0FFC" w:rsidP="006F0FFC">
            <w:pPr>
              <w:jc w:val="center"/>
            </w:pPr>
            <w:r>
              <w:t>aR</w:t>
            </w:r>
            <w:r w:rsidRPr="00A223AB">
              <w:rPr>
                <w:vertAlign w:val="superscript"/>
              </w:rPr>
              <w:t>2</w:t>
            </w:r>
            <w:r>
              <w:rPr>
                <w:vertAlign w:val="superscript"/>
              </w:rPr>
              <w:t xml:space="preserve"> </w:t>
            </w:r>
            <w:r>
              <w:t>= 0.33</w:t>
            </w:r>
          </w:p>
        </w:tc>
        <w:tc>
          <w:tcPr>
            <w:tcW w:w="1107" w:type="dxa"/>
            <w:shd w:val="clear" w:color="auto" w:fill="BFBFBF" w:themeFill="background1" w:themeFillShade="BF"/>
            <w:vAlign w:val="center"/>
          </w:tcPr>
          <w:p w:rsidR="006F0FFC" w:rsidRDefault="006F0FFC" w:rsidP="006F0FFC">
            <w:pPr>
              <w:jc w:val="center"/>
            </w:pPr>
            <w:r>
              <w:t>t-value= 37.09</w:t>
            </w:r>
          </w:p>
        </w:tc>
      </w:tr>
      <w:tr w:rsidR="006F0FFC" w:rsidTr="006F0FFC">
        <w:tc>
          <w:tcPr>
            <w:tcW w:w="1144" w:type="dxa"/>
          </w:tcPr>
          <w:p w:rsidR="006F0FFC" w:rsidRDefault="006F0FFC" w:rsidP="006F0FFC">
            <w:r>
              <w:t>Q20</w:t>
            </w:r>
          </w:p>
        </w:tc>
        <w:tc>
          <w:tcPr>
            <w:tcW w:w="1574" w:type="dxa"/>
          </w:tcPr>
          <w:p w:rsidR="006F0FFC" w:rsidRDefault="006F0FFC" w:rsidP="006F0FFC">
            <w:r>
              <w:t>How often bathing</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0.64</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6.44</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4.56</w:t>
            </w:r>
          </w:p>
        </w:tc>
      </w:tr>
      <w:tr w:rsidR="006F0FFC" w:rsidTr="006F0FFC">
        <w:tc>
          <w:tcPr>
            <w:tcW w:w="1144" w:type="dxa"/>
          </w:tcPr>
          <w:p w:rsidR="006F0FFC" w:rsidRDefault="006F0FFC" w:rsidP="006F0FFC">
            <w:r>
              <w:t>Q22</w:t>
            </w:r>
          </w:p>
        </w:tc>
        <w:tc>
          <w:tcPr>
            <w:tcW w:w="1574" w:type="dxa"/>
          </w:tcPr>
          <w:p w:rsidR="006F0FFC" w:rsidRDefault="006F0FFC" w:rsidP="006F0FFC">
            <w:r>
              <w:t>How often bathroom</w:t>
            </w:r>
          </w:p>
        </w:tc>
        <w:tc>
          <w:tcPr>
            <w:tcW w:w="1260" w:type="dxa"/>
            <w:vAlign w:val="center"/>
          </w:tcPr>
          <w:p w:rsidR="006F0FFC" w:rsidRDefault="006F0FFC" w:rsidP="006F0FFC">
            <w:pPr>
              <w:jc w:val="center"/>
            </w:pPr>
            <w:r>
              <w:t>4(0.62)</w:t>
            </w:r>
          </w:p>
        </w:tc>
        <w:tc>
          <w:tcPr>
            <w:tcW w:w="1170" w:type="dxa"/>
            <w:vAlign w:val="center"/>
          </w:tcPr>
          <w:p w:rsidR="006F0FFC" w:rsidRDefault="006F0FFC" w:rsidP="006F0FFC">
            <w:pPr>
              <w:jc w:val="center"/>
            </w:pPr>
            <w:r>
              <w:t>0.64</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3.75</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3.44</w:t>
            </w:r>
          </w:p>
        </w:tc>
      </w:tr>
      <w:tr w:rsidR="006F0FFC" w:rsidTr="006F0FFC">
        <w:tc>
          <w:tcPr>
            <w:tcW w:w="1144" w:type="dxa"/>
          </w:tcPr>
          <w:p w:rsidR="006F0FFC" w:rsidRDefault="006F0FFC" w:rsidP="006F0FFC">
            <w:r>
              <w:t>Q17</w:t>
            </w:r>
          </w:p>
        </w:tc>
        <w:tc>
          <w:tcPr>
            <w:tcW w:w="1574" w:type="dxa"/>
          </w:tcPr>
          <w:p w:rsidR="006F0FFC" w:rsidRDefault="006F0FFC" w:rsidP="006F0FFC">
            <w:r>
              <w:t>Room clean</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0.54</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31.18</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21.43</w:t>
            </w:r>
          </w:p>
        </w:tc>
      </w:tr>
      <w:tr w:rsidR="006F0FFC" w:rsidTr="006F0FFC">
        <w:tc>
          <w:tcPr>
            <w:tcW w:w="1144" w:type="dxa"/>
          </w:tcPr>
          <w:p w:rsidR="006F0FFC" w:rsidRDefault="006F0FFC" w:rsidP="006F0FFC">
            <w:r>
              <w:t>Q18</w:t>
            </w:r>
          </w:p>
        </w:tc>
        <w:tc>
          <w:tcPr>
            <w:tcW w:w="1574" w:type="dxa"/>
          </w:tcPr>
          <w:p w:rsidR="006F0FFC" w:rsidRDefault="006F0FFC" w:rsidP="006F0FFC">
            <w:r>
              <w:t>Room quiet</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0.46</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11.78</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3.34</w:t>
            </w:r>
          </w:p>
        </w:tc>
      </w:tr>
      <w:tr w:rsidR="006F0FFC" w:rsidTr="006F0FFC">
        <w:tc>
          <w:tcPr>
            <w:tcW w:w="1144" w:type="dxa"/>
          </w:tcPr>
          <w:p w:rsidR="006F0FFC" w:rsidRDefault="006F0FFC" w:rsidP="006F0FFC">
            <w:r>
              <w:t>Q16</w:t>
            </w:r>
          </w:p>
        </w:tc>
        <w:tc>
          <w:tcPr>
            <w:tcW w:w="1574" w:type="dxa"/>
          </w:tcPr>
          <w:p w:rsidR="006F0FFC" w:rsidRDefault="006F0FFC" w:rsidP="006F0FFC">
            <w:r>
              <w:t>Temperature</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0.43</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14.17</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6.94</w:t>
            </w:r>
          </w:p>
        </w:tc>
      </w:tr>
      <w:tr w:rsidR="006F0FFC" w:rsidTr="006F0FFC">
        <w:tc>
          <w:tcPr>
            <w:tcW w:w="1144" w:type="dxa"/>
          </w:tcPr>
          <w:p w:rsidR="006F0FFC" w:rsidRDefault="006F0FFC" w:rsidP="006F0FFC">
            <w:r>
              <w:t>Q24</w:t>
            </w:r>
          </w:p>
        </w:tc>
        <w:tc>
          <w:tcPr>
            <w:tcW w:w="1574" w:type="dxa"/>
          </w:tcPr>
          <w:p w:rsidR="006F0FFC" w:rsidRDefault="006F0FFC" w:rsidP="006F0FFC">
            <w:r>
              <w:t>Privacy</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0.55</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5.28</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6.04</w:t>
            </w:r>
          </w:p>
        </w:tc>
      </w:tr>
      <w:tr w:rsidR="006F0FFC" w:rsidTr="006F0FFC">
        <w:tc>
          <w:tcPr>
            <w:tcW w:w="1144" w:type="dxa"/>
          </w:tcPr>
          <w:p w:rsidR="006F0FFC" w:rsidRDefault="006F0FFC" w:rsidP="006F0FFC">
            <w:r>
              <w:t>Q27</w:t>
            </w:r>
          </w:p>
        </w:tc>
        <w:tc>
          <w:tcPr>
            <w:tcW w:w="1574" w:type="dxa"/>
          </w:tcPr>
          <w:p w:rsidR="006F0FFC" w:rsidRDefault="006F0FFC" w:rsidP="006F0FFC">
            <w:r>
              <w:t>Visitors help</w:t>
            </w:r>
          </w:p>
        </w:tc>
        <w:tc>
          <w:tcPr>
            <w:tcW w:w="1260" w:type="dxa"/>
            <w:vAlign w:val="center"/>
          </w:tcPr>
          <w:p w:rsidR="006F0FFC" w:rsidRDefault="006F0FFC" w:rsidP="006F0FFC">
            <w:pPr>
              <w:jc w:val="center"/>
            </w:pPr>
            <w:r>
              <w:t>4 (0.57)</w:t>
            </w:r>
          </w:p>
        </w:tc>
        <w:tc>
          <w:tcPr>
            <w:tcW w:w="1170" w:type="dxa"/>
            <w:vAlign w:val="center"/>
          </w:tcPr>
          <w:p w:rsidR="006F0FFC" w:rsidRDefault="006F0FFC" w:rsidP="006F0FFC">
            <w:pPr>
              <w:jc w:val="center"/>
            </w:pPr>
            <w:r>
              <w:t>0.56</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26.29</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21.05</w:t>
            </w:r>
          </w:p>
        </w:tc>
      </w:tr>
      <w:tr w:rsidR="006F0FFC" w:rsidTr="006F0FFC">
        <w:tc>
          <w:tcPr>
            <w:tcW w:w="3978" w:type="dxa"/>
            <w:gridSpan w:val="3"/>
            <w:vAlign w:val="center"/>
          </w:tcPr>
          <w:p w:rsidR="006F0FFC" w:rsidRPr="00A223AB" w:rsidRDefault="006F0FFC" w:rsidP="006F0FFC">
            <w:pPr>
              <w:pStyle w:val="ListParagraph"/>
              <w:numPr>
                <w:ilvl w:val="0"/>
                <w:numId w:val="47"/>
              </w:numPr>
              <w:rPr>
                <w:b/>
              </w:rPr>
            </w:pPr>
            <w:r w:rsidRPr="00A223AB">
              <w:rPr>
                <w:b/>
              </w:rPr>
              <w:t>Communication with Doctors</w:t>
            </w:r>
          </w:p>
        </w:tc>
        <w:tc>
          <w:tcPr>
            <w:tcW w:w="1170" w:type="dxa"/>
            <w:shd w:val="clear" w:color="auto" w:fill="BFBFBF" w:themeFill="background1" w:themeFillShade="BF"/>
            <w:vAlign w:val="center"/>
          </w:tcPr>
          <w:p w:rsidR="006F0FFC" w:rsidRDefault="006F0FFC" w:rsidP="006F0FFC">
            <w:pPr>
              <w:jc w:val="center"/>
            </w:pPr>
            <w:r>
              <w:t>α=0.88</w:t>
            </w:r>
          </w:p>
        </w:tc>
        <w:tc>
          <w:tcPr>
            <w:tcW w:w="1107" w:type="dxa"/>
            <w:shd w:val="clear" w:color="auto" w:fill="BFBFBF" w:themeFill="background1" w:themeFillShade="BF"/>
            <w:vAlign w:val="center"/>
          </w:tcPr>
          <w:p w:rsidR="006F0FFC" w:rsidRDefault="006F0FFC" w:rsidP="006F0FFC">
            <w:pPr>
              <w:jc w:val="center"/>
            </w:pPr>
            <w:r>
              <w:t>aR</w:t>
            </w:r>
            <w:r w:rsidRPr="00A223AB">
              <w:rPr>
                <w:vertAlign w:val="superscript"/>
              </w:rPr>
              <w:t>2</w:t>
            </w:r>
            <w:r>
              <w:rPr>
                <w:vertAlign w:val="superscript"/>
              </w:rPr>
              <w:t xml:space="preserve"> </w:t>
            </w:r>
            <w:r>
              <w:t>= 0.31</w:t>
            </w:r>
          </w:p>
        </w:tc>
        <w:tc>
          <w:tcPr>
            <w:tcW w:w="1107" w:type="dxa"/>
            <w:shd w:val="clear" w:color="auto" w:fill="BFBFBF" w:themeFill="background1" w:themeFillShade="BF"/>
            <w:vAlign w:val="center"/>
          </w:tcPr>
          <w:p w:rsidR="006F0FFC" w:rsidRDefault="006F0FFC" w:rsidP="006F0FFC">
            <w:pPr>
              <w:jc w:val="center"/>
            </w:pPr>
            <w:r>
              <w:t>t-value= 31.14</w:t>
            </w:r>
          </w:p>
        </w:tc>
        <w:tc>
          <w:tcPr>
            <w:tcW w:w="1107" w:type="dxa"/>
            <w:shd w:val="clear" w:color="auto" w:fill="BFBFBF" w:themeFill="background1" w:themeFillShade="BF"/>
            <w:vAlign w:val="center"/>
          </w:tcPr>
          <w:p w:rsidR="006F0FFC" w:rsidRDefault="006F0FFC" w:rsidP="006F0FFC">
            <w:pPr>
              <w:jc w:val="center"/>
            </w:pPr>
            <w:r>
              <w:t>aR</w:t>
            </w:r>
            <w:r w:rsidRPr="00A223AB">
              <w:rPr>
                <w:vertAlign w:val="superscript"/>
              </w:rPr>
              <w:t>2</w:t>
            </w:r>
            <w:r>
              <w:rPr>
                <w:vertAlign w:val="superscript"/>
              </w:rPr>
              <w:t xml:space="preserve"> </w:t>
            </w:r>
            <w:r>
              <w:t>= 0.25</w:t>
            </w:r>
          </w:p>
        </w:tc>
        <w:tc>
          <w:tcPr>
            <w:tcW w:w="1107" w:type="dxa"/>
            <w:shd w:val="clear" w:color="auto" w:fill="BFBFBF" w:themeFill="background1" w:themeFillShade="BF"/>
            <w:vAlign w:val="center"/>
          </w:tcPr>
          <w:p w:rsidR="006F0FFC" w:rsidRDefault="006F0FFC" w:rsidP="006F0FFC">
            <w:pPr>
              <w:jc w:val="center"/>
            </w:pPr>
            <w:r>
              <w:t>t-value= 28.72</w:t>
            </w:r>
          </w:p>
        </w:tc>
      </w:tr>
      <w:tr w:rsidR="006F0FFC" w:rsidTr="006F0FFC">
        <w:tc>
          <w:tcPr>
            <w:tcW w:w="1144" w:type="dxa"/>
          </w:tcPr>
          <w:p w:rsidR="006F0FFC" w:rsidRDefault="006F0FFC" w:rsidP="006F0FFC">
            <w:r>
              <w:t>Q12</w:t>
            </w:r>
          </w:p>
        </w:tc>
        <w:tc>
          <w:tcPr>
            <w:tcW w:w="1574" w:type="dxa"/>
          </w:tcPr>
          <w:p w:rsidR="006F0FFC" w:rsidRDefault="006F0FFC" w:rsidP="006F0FFC">
            <w:r>
              <w:t>MD listen</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0.80</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10.80</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6.88</w:t>
            </w:r>
          </w:p>
        </w:tc>
      </w:tr>
      <w:tr w:rsidR="006F0FFC" w:rsidTr="006F0FFC">
        <w:tc>
          <w:tcPr>
            <w:tcW w:w="1144" w:type="dxa"/>
          </w:tcPr>
          <w:p w:rsidR="006F0FFC" w:rsidRDefault="006F0FFC" w:rsidP="006F0FFC">
            <w:r>
              <w:t>Q11</w:t>
            </w:r>
          </w:p>
        </w:tc>
        <w:tc>
          <w:tcPr>
            <w:tcW w:w="1574" w:type="dxa"/>
          </w:tcPr>
          <w:p w:rsidR="006F0FFC" w:rsidRDefault="006F0FFC" w:rsidP="006F0FFC">
            <w:r>
              <w:t>MD respect</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0.73</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16.60</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15.69</w:t>
            </w:r>
          </w:p>
        </w:tc>
      </w:tr>
      <w:tr w:rsidR="006F0FFC" w:rsidTr="006F0FFC">
        <w:tc>
          <w:tcPr>
            <w:tcW w:w="1144" w:type="dxa"/>
          </w:tcPr>
          <w:p w:rsidR="006F0FFC" w:rsidRDefault="006F0FFC" w:rsidP="006F0FFC">
            <w:r>
              <w:t>Q13</w:t>
            </w:r>
          </w:p>
        </w:tc>
        <w:tc>
          <w:tcPr>
            <w:tcW w:w="1574" w:type="dxa"/>
          </w:tcPr>
          <w:p w:rsidR="006F0FFC" w:rsidRDefault="006F0FFC" w:rsidP="006F0FFC">
            <w:r>
              <w:t>MD explain</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0.76</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-4.19</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-2.79</w:t>
            </w:r>
          </w:p>
        </w:tc>
      </w:tr>
      <w:tr w:rsidR="006F0FFC" w:rsidTr="006F0FFC">
        <w:tc>
          <w:tcPr>
            <w:tcW w:w="1144" w:type="dxa"/>
          </w:tcPr>
          <w:p w:rsidR="006F0FFC" w:rsidRDefault="006F0FFC" w:rsidP="006F0FFC">
            <w:r>
              <w:t>Q14</w:t>
            </w:r>
          </w:p>
        </w:tc>
        <w:tc>
          <w:tcPr>
            <w:tcW w:w="1574" w:type="dxa"/>
          </w:tcPr>
          <w:p w:rsidR="006F0FFC" w:rsidRDefault="006F0FFC" w:rsidP="006F0FFC">
            <w:r>
              <w:t>MD time</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0.73</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-0.33#</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-0.48#</w:t>
            </w:r>
          </w:p>
        </w:tc>
      </w:tr>
      <w:tr w:rsidR="006F0FFC" w:rsidTr="006F0FFC">
        <w:tc>
          <w:tcPr>
            <w:tcW w:w="1144" w:type="dxa"/>
          </w:tcPr>
          <w:p w:rsidR="006F0FFC" w:rsidRDefault="006F0FFC" w:rsidP="006F0FFC">
            <w:r>
              <w:t>Q25</w:t>
            </w:r>
          </w:p>
        </w:tc>
        <w:tc>
          <w:tcPr>
            <w:tcW w:w="1574" w:type="dxa"/>
          </w:tcPr>
          <w:p w:rsidR="006F0FFC" w:rsidRDefault="006F0FFC" w:rsidP="006F0FFC">
            <w:r>
              <w:t>Involve in TX decisions</w:t>
            </w:r>
          </w:p>
        </w:tc>
        <w:tc>
          <w:tcPr>
            <w:tcW w:w="1260" w:type="dxa"/>
            <w:vAlign w:val="center"/>
          </w:tcPr>
          <w:p w:rsidR="006F0FFC" w:rsidRDefault="006F0FFC" w:rsidP="006F0FFC">
            <w:pPr>
              <w:jc w:val="center"/>
            </w:pPr>
            <w:r>
              <w:t>1,4 (0.53)</w:t>
            </w:r>
          </w:p>
        </w:tc>
        <w:tc>
          <w:tcPr>
            <w:tcW w:w="1170" w:type="dxa"/>
            <w:vAlign w:val="center"/>
          </w:tcPr>
          <w:p w:rsidR="006F0FFC" w:rsidRDefault="006F0FFC" w:rsidP="006F0FFC">
            <w:pPr>
              <w:jc w:val="center"/>
            </w:pPr>
            <w:r>
              <w:t>0.55</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7.33</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9.85</w:t>
            </w:r>
          </w:p>
        </w:tc>
      </w:tr>
      <w:tr w:rsidR="006F0FFC" w:rsidTr="006F0FFC">
        <w:tc>
          <w:tcPr>
            <w:tcW w:w="3978" w:type="dxa"/>
            <w:gridSpan w:val="3"/>
            <w:vAlign w:val="center"/>
          </w:tcPr>
          <w:p w:rsidR="006F0FFC" w:rsidRPr="00A223AB" w:rsidRDefault="006F0FFC" w:rsidP="006F0FFC">
            <w:pPr>
              <w:pStyle w:val="ListParagraph"/>
              <w:numPr>
                <w:ilvl w:val="0"/>
                <w:numId w:val="47"/>
              </w:numPr>
              <w:rPr>
                <w:b/>
              </w:rPr>
            </w:pPr>
            <w:r w:rsidRPr="00A223AB">
              <w:rPr>
                <w:b/>
              </w:rPr>
              <w:t>Communication about Medication</w:t>
            </w:r>
          </w:p>
        </w:tc>
        <w:tc>
          <w:tcPr>
            <w:tcW w:w="1170" w:type="dxa"/>
            <w:shd w:val="clear" w:color="auto" w:fill="BFBFBF" w:themeFill="background1" w:themeFillShade="BF"/>
            <w:vAlign w:val="center"/>
          </w:tcPr>
          <w:p w:rsidR="006F0FFC" w:rsidRDefault="006F0FFC" w:rsidP="006F0FFC">
            <w:pPr>
              <w:jc w:val="center"/>
            </w:pPr>
            <w:r>
              <w:t>α=0.85</w:t>
            </w:r>
          </w:p>
        </w:tc>
        <w:tc>
          <w:tcPr>
            <w:tcW w:w="1107" w:type="dxa"/>
            <w:shd w:val="clear" w:color="auto" w:fill="BFBFBF" w:themeFill="background1" w:themeFillShade="BF"/>
            <w:vAlign w:val="center"/>
          </w:tcPr>
          <w:p w:rsidR="006F0FFC" w:rsidRDefault="006F0FFC" w:rsidP="006F0FFC">
            <w:pPr>
              <w:jc w:val="center"/>
            </w:pPr>
            <w:r>
              <w:t>aR</w:t>
            </w:r>
            <w:r w:rsidRPr="00A223AB">
              <w:rPr>
                <w:vertAlign w:val="superscript"/>
              </w:rPr>
              <w:t>2</w:t>
            </w:r>
            <w:r>
              <w:rPr>
                <w:vertAlign w:val="superscript"/>
              </w:rPr>
              <w:t xml:space="preserve"> </w:t>
            </w:r>
            <w:r>
              <w:t>= 0.21</w:t>
            </w:r>
          </w:p>
        </w:tc>
        <w:tc>
          <w:tcPr>
            <w:tcW w:w="1107" w:type="dxa"/>
            <w:shd w:val="clear" w:color="auto" w:fill="BFBFBF" w:themeFill="background1" w:themeFillShade="BF"/>
            <w:vAlign w:val="center"/>
          </w:tcPr>
          <w:p w:rsidR="006F0FFC" w:rsidRDefault="006F0FFC" w:rsidP="006F0FFC">
            <w:pPr>
              <w:jc w:val="center"/>
            </w:pPr>
            <w:r>
              <w:t>t-value= 7.82</w:t>
            </w:r>
          </w:p>
        </w:tc>
        <w:tc>
          <w:tcPr>
            <w:tcW w:w="1107" w:type="dxa"/>
            <w:shd w:val="clear" w:color="auto" w:fill="BFBFBF" w:themeFill="background1" w:themeFillShade="BF"/>
            <w:vAlign w:val="center"/>
          </w:tcPr>
          <w:p w:rsidR="006F0FFC" w:rsidRDefault="006F0FFC" w:rsidP="006F0FFC">
            <w:pPr>
              <w:jc w:val="center"/>
            </w:pPr>
            <w:r>
              <w:t>aR</w:t>
            </w:r>
            <w:r w:rsidRPr="00A223AB">
              <w:rPr>
                <w:vertAlign w:val="superscript"/>
              </w:rPr>
              <w:t>2</w:t>
            </w:r>
            <w:r>
              <w:rPr>
                <w:vertAlign w:val="superscript"/>
              </w:rPr>
              <w:t xml:space="preserve"> </w:t>
            </w:r>
            <w:r>
              <w:t>= 0.16</w:t>
            </w:r>
          </w:p>
        </w:tc>
        <w:tc>
          <w:tcPr>
            <w:tcW w:w="1107" w:type="dxa"/>
            <w:shd w:val="clear" w:color="auto" w:fill="BFBFBF" w:themeFill="background1" w:themeFillShade="BF"/>
            <w:vAlign w:val="center"/>
          </w:tcPr>
          <w:p w:rsidR="006F0FFC" w:rsidRDefault="006F0FFC" w:rsidP="006F0FFC">
            <w:pPr>
              <w:jc w:val="center"/>
            </w:pPr>
            <w:r>
              <w:t>t-value= 4.93</w:t>
            </w:r>
          </w:p>
        </w:tc>
      </w:tr>
      <w:tr w:rsidR="006F0FFC" w:rsidTr="006F0FFC">
        <w:tc>
          <w:tcPr>
            <w:tcW w:w="1144" w:type="dxa"/>
          </w:tcPr>
          <w:p w:rsidR="006F0FFC" w:rsidRDefault="006F0FFC" w:rsidP="006F0FFC">
            <w:r>
              <w:t>Q39</w:t>
            </w:r>
          </w:p>
        </w:tc>
        <w:tc>
          <w:tcPr>
            <w:tcW w:w="1574" w:type="dxa"/>
          </w:tcPr>
          <w:p w:rsidR="006F0FFC" w:rsidRDefault="006F0FFC" w:rsidP="006F0FFC">
            <w:r>
              <w:t>Taking other RX</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0.67</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2.29#</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1.31#</w:t>
            </w:r>
          </w:p>
        </w:tc>
      </w:tr>
      <w:tr w:rsidR="006F0FFC" w:rsidTr="006F0FFC">
        <w:tc>
          <w:tcPr>
            <w:tcW w:w="1144" w:type="dxa"/>
          </w:tcPr>
          <w:p w:rsidR="006F0FFC" w:rsidRDefault="006F0FFC" w:rsidP="006F0FFC">
            <w:r>
              <w:t>Q38</w:t>
            </w:r>
          </w:p>
        </w:tc>
        <w:tc>
          <w:tcPr>
            <w:tcW w:w="1574" w:type="dxa"/>
          </w:tcPr>
          <w:p w:rsidR="006F0FFC" w:rsidRDefault="006F0FFC" w:rsidP="006F0FFC">
            <w:r>
              <w:t>Purpose of RX</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0.70</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-2.67</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-2.88</w:t>
            </w:r>
          </w:p>
        </w:tc>
      </w:tr>
      <w:tr w:rsidR="006F0FFC" w:rsidTr="006F0FFC">
        <w:tc>
          <w:tcPr>
            <w:tcW w:w="1144" w:type="dxa"/>
          </w:tcPr>
          <w:p w:rsidR="006F0FFC" w:rsidRDefault="006F0FFC" w:rsidP="006F0FFC">
            <w:r>
              <w:t>Q37</w:t>
            </w:r>
          </w:p>
        </w:tc>
        <w:tc>
          <w:tcPr>
            <w:tcW w:w="1574" w:type="dxa"/>
          </w:tcPr>
          <w:p w:rsidR="006F0FFC" w:rsidRDefault="006F0FFC" w:rsidP="006F0FFC">
            <w:r>
              <w:t>Name of RX</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0.67</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-1.37#</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-0.63#</w:t>
            </w:r>
          </w:p>
        </w:tc>
      </w:tr>
      <w:tr w:rsidR="006F0FFC" w:rsidTr="006F0FFC">
        <w:tc>
          <w:tcPr>
            <w:tcW w:w="1144" w:type="dxa"/>
          </w:tcPr>
          <w:p w:rsidR="006F0FFC" w:rsidRDefault="006F0FFC" w:rsidP="006F0FFC">
            <w:r>
              <w:t>Q40</w:t>
            </w:r>
          </w:p>
        </w:tc>
        <w:tc>
          <w:tcPr>
            <w:tcW w:w="1574" w:type="dxa"/>
          </w:tcPr>
          <w:p w:rsidR="006F0FFC" w:rsidRDefault="006F0FFC" w:rsidP="006F0FFC">
            <w:r>
              <w:t>Allergic to RX</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0.63</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5.68</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4.13</w:t>
            </w:r>
          </w:p>
        </w:tc>
      </w:tr>
      <w:tr w:rsidR="006F0FFC" w:rsidTr="006F0FFC">
        <w:tc>
          <w:tcPr>
            <w:tcW w:w="1144" w:type="dxa"/>
          </w:tcPr>
          <w:p w:rsidR="006F0FFC" w:rsidRDefault="006F0FFC" w:rsidP="006F0FFC">
            <w:r>
              <w:t>Q41</w:t>
            </w:r>
          </w:p>
        </w:tc>
        <w:tc>
          <w:tcPr>
            <w:tcW w:w="1574" w:type="dxa"/>
          </w:tcPr>
          <w:p w:rsidR="006F0FFC" w:rsidRDefault="006F0FFC" w:rsidP="006F0FFC">
            <w:r>
              <w:t>Side effects to RX</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0.64</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4.43</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3.28</w:t>
            </w:r>
          </w:p>
        </w:tc>
      </w:tr>
      <w:tr w:rsidR="006F0FFC" w:rsidTr="006F0FFC">
        <w:tc>
          <w:tcPr>
            <w:tcW w:w="3978" w:type="dxa"/>
            <w:gridSpan w:val="3"/>
            <w:vAlign w:val="center"/>
          </w:tcPr>
          <w:p w:rsidR="006F0FFC" w:rsidRPr="005D7411" w:rsidRDefault="006F0FFC" w:rsidP="006F0FFC">
            <w:pPr>
              <w:pStyle w:val="ListParagraph"/>
              <w:numPr>
                <w:ilvl w:val="0"/>
                <w:numId w:val="47"/>
              </w:numPr>
              <w:rPr>
                <w:b/>
              </w:rPr>
            </w:pPr>
            <w:r w:rsidRPr="005D7411">
              <w:rPr>
                <w:b/>
              </w:rPr>
              <w:t>Communication with Nurses</w:t>
            </w:r>
          </w:p>
        </w:tc>
        <w:tc>
          <w:tcPr>
            <w:tcW w:w="1170" w:type="dxa"/>
            <w:shd w:val="clear" w:color="auto" w:fill="BFBFBF" w:themeFill="background1" w:themeFillShade="BF"/>
            <w:vAlign w:val="center"/>
          </w:tcPr>
          <w:p w:rsidR="006F0FFC" w:rsidRDefault="006F0FFC" w:rsidP="006F0FFC">
            <w:pPr>
              <w:jc w:val="center"/>
            </w:pPr>
            <w:r>
              <w:t>α=0.88</w:t>
            </w:r>
          </w:p>
        </w:tc>
        <w:tc>
          <w:tcPr>
            <w:tcW w:w="1107" w:type="dxa"/>
            <w:shd w:val="clear" w:color="auto" w:fill="BFBFBF" w:themeFill="background1" w:themeFillShade="BF"/>
            <w:vAlign w:val="center"/>
          </w:tcPr>
          <w:p w:rsidR="006F0FFC" w:rsidRDefault="006F0FFC" w:rsidP="006F0FFC">
            <w:pPr>
              <w:jc w:val="center"/>
            </w:pPr>
            <w:r>
              <w:t>aR</w:t>
            </w:r>
            <w:r w:rsidRPr="00A223AB">
              <w:rPr>
                <w:vertAlign w:val="superscript"/>
              </w:rPr>
              <w:t>2</w:t>
            </w:r>
            <w:r>
              <w:rPr>
                <w:vertAlign w:val="superscript"/>
              </w:rPr>
              <w:t xml:space="preserve"> </w:t>
            </w:r>
            <w:r>
              <w:t>= 0.50</w:t>
            </w:r>
          </w:p>
        </w:tc>
        <w:tc>
          <w:tcPr>
            <w:tcW w:w="1107" w:type="dxa"/>
            <w:shd w:val="clear" w:color="auto" w:fill="BFBFBF" w:themeFill="background1" w:themeFillShade="BF"/>
            <w:vAlign w:val="center"/>
          </w:tcPr>
          <w:p w:rsidR="006F0FFC" w:rsidRDefault="006F0FFC" w:rsidP="006F0FFC">
            <w:pPr>
              <w:jc w:val="center"/>
            </w:pPr>
            <w:r>
              <w:t>t-value= 93.42</w:t>
            </w:r>
          </w:p>
        </w:tc>
        <w:tc>
          <w:tcPr>
            <w:tcW w:w="1107" w:type="dxa"/>
            <w:shd w:val="clear" w:color="auto" w:fill="BFBFBF" w:themeFill="background1" w:themeFillShade="BF"/>
            <w:vAlign w:val="center"/>
          </w:tcPr>
          <w:p w:rsidR="006F0FFC" w:rsidRDefault="006F0FFC" w:rsidP="006F0FFC">
            <w:pPr>
              <w:jc w:val="center"/>
            </w:pPr>
            <w:r>
              <w:t>aR</w:t>
            </w:r>
            <w:r w:rsidRPr="00A223AB">
              <w:rPr>
                <w:vertAlign w:val="superscript"/>
              </w:rPr>
              <w:t>2</w:t>
            </w:r>
            <w:r>
              <w:rPr>
                <w:vertAlign w:val="superscript"/>
              </w:rPr>
              <w:t xml:space="preserve"> </w:t>
            </w:r>
            <w:r>
              <w:t>= 0.38</w:t>
            </w:r>
          </w:p>
        </w:tc>
        <w:tc>
          <w:tcPr>
            <w:tcW w:w="1107" w:type="dxa"/>
            <w:shd w:val="clear" w:color="auto" w:fill="BFBFBF" w:themeFill="background1" w:themeFillShade="BF"/>
            <w:vAlign w:val="center"/>
          </w:tcPr>
          <w:p w:rsidR="006F0FFC" w:rsidRDefault="006F0FFC" w:rsidP="006F0FFC">
            <w:pPr>
              <w:jc w:val="center"/>
            </w:pPr>
            <w:r>
              <w:t>t-value= 71.23</w:t>
            </w:r>
          </w:p>
        </w:tc>
      </w:tr>
      <w:tr w:rsidR="006F0FFC" w:rsidTr="006F0FFC">
        <w:tc>
          <w:tcPr>
            <w:tcW w:w="1144" w:type="dxa"/>
          </w:tcPr>
          <w:p w:rsidR="006F0FFC" w:rsidRDefault="006F0FFC" w:rsidP="006F0FFC">
            <w:r>
              <w:t>Q5</w:t>
            </w:r>
          </w:p>
        </w:tc>
        <w:tc>
          <w:tcPr>
            <w:tcW w:w="1574" w:type="dxa"/>
          </w:tcPr>
          <w:p w:rsidR="006F0FFC" w:rsidRDefault="006F0FFC" w:rsidP="006F0FFC">
            <w:r>
              <w:t>RN listen</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0.79</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30.10</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21.66</w:t>
            </w:r>
          </w:p>
        </w:tc>
      </w:tr>
      <w:tr w:rsidR="006F0FFC" w:rsidTr="006F0FFC">
        <w:tc>
          <w:tcPr>
            <w:tcW w:w="1144" w:type="dxa"/>
          </w:tcPr>
          <w:p w:rsidR="006F0FFC" w:rsidRDefault="006F0FFC" w:rsidP="006F0FFC">
            <w:r>
              <w:t>Q4</w:t>
            </w:r>
          </w:p>
        </w:tc>
        <w:tc>
          <w:tcPr>
            <w:tcW w:w="1574" w:type="dxa"/>
          </w:tcPr>
          <w:p w:rsidR="006F0FFC" w:rsidRDefault="006F0FFC" w:rsidP="006F0FFC">
            <w:r>
              <w:t>RN respect</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0.73</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39.90</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33.02</w:t>
            </w:r>
          </w:p>
        </w:tc>
      </w:tr>
      <w:tr w:rsidR="006F0FFC" w:rsidTr="006F0FFC">
        <w:tc>
          <w:tcPr>
            <w:tcW w:w="1144" w:type="dxa"/>
          </w:tcPr>
          <w:p w:rsidR="006F0FFC" w:rsidRDefault="006F0FFC" w:rsidP="006F0FFC">
            <w:r>
              <w:t>Q6</w:t>
            </w:r>
          </w:p>
        </w:tc>
        <w:tc>
          <w:tcPr>
            <w:tcW w:w="1574" w:type="dxa"/>
          </w:tcPr>
          <w:p w:rsidR="006F0FFC" w:rsidRDefault="006F0FFC" w:rsidP="006F0FFC">
            <w:r>
              <w:t>RN explain</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0.71</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12.59</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8.33</w:t>
            </w:r>
          </w:p>
        </w:tc>
      </w:tr>
      <w:tr w:rsidR="006F0FFC" w:rsidTr="006F0FFC">
        <w:tc>
          <w:tcPr>
            <w:tcW w:w="1144" w:type="dxa"/>
          </w:tcPr>
          <w:p w:rsidR="006F0FFC" w:rsidRDefault="006F0FFC" w:rsidP="006F0FFC">
            <w:r>
              <w:t>Q7</w:t>
            </w:r>
          </w:p>
        </w:tc>
        <w:tc>
          <w:tcPr>
            <w:tcW w:w="1574" w:type="dxa"/>
          </w:tcPr>
          <w:p w:rsidR="006F0FFC" w:rsidRDefault="006F0FFC" w:rsidP="006F0FFC">
            <w:r>
              <w:t>RN time</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0.72</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17.19</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12.15</w:t>
            </w:r>
          </w:p>
        </w:tc>
      </w:tr>
      <w:tr w:rsidR="006F0FFC" w:rsidTr="006F0FFC">
        <w:tc>
          <w:tcPr>
            <w:tcW w:w="1144" w:type="dxa"/>
          </w:tcPr>
          <w:p w:rsidR="006F0FFC" w:rsidRDefault="006F0FFC" w:rsidP="006F0FFC">
            <w:r>
              <w:t>Q9</w:t>
            </w:r>
          </w:p>
        </w:tc>
        <w:tc>
          <w:tcPr>
            <w:tcW w:w="1574" w:type="dxa"/>
          </w:tcPr>
          <w:p w:rsidR="006F0FFC" w:rsidRDefault="006F0FFC" w:rsidP="006F0FFC">
            <w:r>
              <w:t>Call button</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0.66</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15.08</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11.31</w:t>
            </w:r>
          </w:p>
        </w:tc>
      </w:tr>
      <w:tr w:rsidR="006F0FFC" w:rsidTr="006F0FFC">
        <w:tc>
          <w:tcPr>
            <w:tcW w:w="3978" w:type="dxa"/>
            <w:gridSpan w:val="3"/>
            <w:vAlign w:val="center"/>
          </w:tcPr>
          <w:p w:rsidR="006F0FFC" w:rsidRPr="005D7411" w:rsidRDefault="006F0FFC" w:rsidP="006F0FFC">
            <w:pPr>
              <w:pStyle w:val="ListParagraph"/>
              <w:numPr>
                <w:ilvl w:val="0"/>
                <w:numId w:val="47"/>
              </w:numPr>
              <w:rPr>
                <w:b/>
              </w:rPr>
            </w:pPr>
            <w:r w:rsidRPr="005D7411">
              <w:rPr>
                <w:b/>
              </w:rPr>
              <w:t>Pain Control</w:t>
            </w:r>
          </w:p>
        </w:tc>
        <w:tc>
          <w:tcPr>
            <w:tcW w:w="1170" w:type="dxa"/>
            <w:shd w:val="clear" w:color="auto" w:fill="BFBFBF" w:themeFill="background1" w:themeFillShade="BF"/>
            <w:vAlign w:val="center"/>
          </w:tcPr>
          <w:p w:rsidR="006F0FFC" w:rsidRDefault="006F0FFC" w:rsidP="006F0FFC">
            <w:pPr>
              <w:jc w:val="center"/>
            </w:pPr>
            <w:r>
              <w:t>α=0.80</w:t>
            </w:r>
          </w:p>
        </w:tc>
        <w:tc>
          <w:tcPr>
            <w:tcW w:w="1107" w:type="dxa"/>
            <w:shd w:val="clear" w:color="auto" w:fill="BFBFBF" w:themeFill="background1" w:themeFillShade="BF"/>
            <w:vAlign w:val="center"/>
          </w:tcPr>
          <w:p w:rsidR="006F0FFC" w:rsidRDefault="006F0FFC" w:rsidP="006F0FFC">
            <w:pPr>
              <w:jc w:val="center"/>
            </w:pPr>
            <w:r>
              <w:t>aR</w:t>
            </w:r>
            <w:r w:rsidRPr="00A223AB">
              <w:rPr>
                <w:vertAlign w:val="superscript"/>
              </w:rPr>
              <w:t>2</w:t>
            </w:r>
            <w:r>
              <w:rPr>
                <w:vertAlign w:val="superscript"/>
              </w:rPr>
              <w:t xml:space="preserve"> </w:t>
            </w:r>
            <w:r>
              <w:t>= 0.33</w:t>
            </w:r>
          </w:p>
        </w:tc>
        <w:tc>
          <w:tcPr>
            <w:tcW w:w="1107" w:type="dxa"/>
            <w:shd w:val="clear" w:color="auto" w:fill="BFBFBF" w:themeFill="background1" w:themeFillShade="BF"/>
            <w:vAlign w:val="center"/>
          </w:tcPr>
          <w:p w:rsidR="006F0FFC" w:rsidRDefault="006F0FFC" w:rsidP="006F0FFC">
            <w:pPr>
              <w:jc w:val="center"/>
            </w:pPr>
            <w:r>
              <w:t>t-value= 23.66</w:t>
            </w:r>
          </w:p>
        </w:tc>
        <w:tc>
          <w:tcPr>
            <w:tcW w:w="1107" w:type="dxa"/>
            <w:shd w:val="clear" w:color="auto" w:fill="BFBFBF" w:themeFill="background1" w:themeFillShade="BF"/>
            <w:vAlign w:val="center"/>
          </w:tcPr>
          <w:p w:rsidR="006F0FFC" w:rsidRDefault="006F0FFC" w:rsidP="006F0FFC">
            <w:pPr>
              <w:jc w:val="center"/>
            </w:pPr>
            <w:r>
              <w:t>aR</w:t>
            </w:r>
            <w:r w:rsidRPr="00A223AB">
              <w:rPr>
                <w:vertAlign w:val="superscript"/>
              </w:rPr>
              <w:t>2</w:t>
            </w:r>
            <w:r>
              <w:rPr>
                <w:vertAlign w:val="superscript"/>
              </w:rPr>
              <w:t xml:space="preserve"> </w:t>
            </w:r>
            <w:r>
              <w:t>= 0.26</w:t>
            </w:r>
          </w:p>
        </w:tc>
        <w:tc>
          <w:tcPr>
            <w:tcW w:w="1107" w:type="dxa"/>
            <w:shd w:val="clear" w:color="auto" w:fill="BFBFBF" w:themeFill="background1" w:themeFillShade="BF"/>
            <w:vAlign w:val="center"/>
          </w:tcPr>
          <w:p w:rsidR="006F0FFC" w:rsidRDefault="006F0FFC" w:rsidP="006F0FFC">
            <w:pPr>
              <w:jc w:val="center"/>
            </w:pPr>
            <w:r>
              <w:t>t-value= 22.77</w:t>
            </w:r>
          </w:p>
        </w:tc>
      </w:tr>
      <w:tr w:rsidR="006F0FFC" w:rsidTr="006F0FFC">
        <w:tc>
          <w:tcPr>
            <w:tcW w:w="1144" w:type="dxa"/>
          </w:tcPr>
          <w:p w:rsidR="006F0FFC" w:rsidRDefault="006F0FFC" w:rsidP="006F0FFC">
            <w:r>
              <w:t>Q32</w:t>
            </w:r>
          </w:p>
        </w:tc>
        <w:tc>
          <w:tcPr>
            <w:tcW w:w="1574" w:type="dxa"/>
          </w:tcPr>
          <w:p w:rsidR="006F0FFC" w:rsidRDefault="006F0FFC" w:rsidP="006F0FFC">
            <w:r>
              <w:t>Pain control</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0.70</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5.13</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3.37</w:t>
            </w:r>
          </w:p>
        </w:tc>
      </w:tr>
      <w:tr w:rsidR="006F0FFC" w:rsidTr="006F0FFC">
        <w:tc>
          <w:tcPr>
            <w:tcW w:w="1144" w:type="dxa"/>
          </w:tcPr>
          <w:p w:rsidR="006F0FFC" w:rsidRDefault="006F0FFC" w:rsidP="006F0FFC">
            <w:r>
              <w:t>Q33</w:t>
            </w:r>
          </w:p>
        </w:tc>
        <w:tc>
          <w:tcPr>
            <w:tcW w:w="1574" w:type="dxa"/>
          </w:tcPr>
          <w:p w:rsidR="006F0FFC" w:rsidRDefault="006F0FFC" w:rsidP="006F0FFC">
            <w:r>
              <w:t>Pain help</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0.74</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12.43</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11.63</w:t>
            </w:r>
          </w:p>
        </w:tc>
      </w:tr>
      <w:tr w:rsidR="006F0FFC" w:rsidTr="006F0FFC">
        <w:tc>
          <w:tcPr>
            <w:tcW w:w="1144" w:type="dxa"/>
          </w:tcPr>
          <w:p w:rsidR="006F0FFC" w:rsidRDefault="006F0FFC" w:rsidP="006F0FFC">
            <w:r>
              <w:t>Q31</w:t>
            </w:r>
          </w:p>
        </w:tc>
        <w:tc>
          <w:tcPr>
            <w:tcW w:w="1574" w:type="dxa"/>
          </w:tcPr>
          <w:p w:rsidR="006F0FFC" w:rsidRDefault="006F0FFC" w:rsidP="006F0FFC">
            <w:r>
              <w:t>Pain respond</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0.70</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4.26</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1.70#</w:t>
            </w:r>
          </w:p>
        </w:tc>
      </w:tr>
      <w:tr w:rsidR="006F0FFC" w:rsidTr="006F0FFC">
        <w:tc>
          <w:tcPr>
            <w:tcW w:w="1144" w:type="dxa"/>
          </w:tcPr>
          <w:p w:rsidR="006F0FFC" w:rsidRDefault="006F0FFC" w:rsidP="006F0FFC">
            <w:r>
              <w:t>Q35</w:t>
            </w:r>
          </w:p>
        </w:tc>
        <w:tc>
          <w:tcPr>
            <w:tcW w:w="1574" w:type="dxa"/>
          </w:tcPr>
          <w:p w:rsidR="006F0FFC" w:rsidRDefault="006F0FFC" w:rsidP="006F0FFC">
            <w:r>
              <w:t>Tests w/o pain</w:t>
            </w:r>
          </w:p>
        </w:tc>
        <w:tc>
          <w:tcPr>
            <w:tcW w:w="1260" w:type="dxa"/>
            <w:vAlign w:val="center"/>
          </w:tcPr>
          <w:p w:rsidR="006F0FFC" w:rsidRDefault="006F0FFC" w:rsidP="006F0FFC">
            <w:pPr>
              <w:jc w:val="center"/>
            </w:pPr>
            <w:r>
              <w:t>1 (0.35)</w:t>
            </w:r>
          </w:p>
          <w:p w:rsidR="006F0FFC" w:rsidRDefault="006F0FFC" w:rsidP="006F0FFC">
            <w:pPr>
              <w:jc w:val="center"/>
            </w:pPr>
            <w:r>
              <w:t>4 (0.35)</w:t>
            </w:r>
          </w:p>
        </w:tc>
        <w:tc>
          <w:tcPr>
            <w:tcW w:w="1170" w:type="dxa"/>
            <w:vAlign w:val="center"/>
          </w:tcPr>
          <w:p w:rsidR="006F0FFC" w:rsidRDefault="006F0FFC" w:rsidP="006F0FFC">
            <w:pPr>
              <w:jc w:val="center"/>
            </w:pPr>
            <w:r>
              <w:t>0.36</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0.55#</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6.69</w:t>
            </w:r>
          </w:p>
        </w:tc>
      </w:tr>
      <w:tr w:rsidR="006F0FFC" w:rsidTr="006F0FFC">
        <w:tc>
          <w:tcPr>
            <w:tcW w:w="3978" w:type="dxa"/>
            <w:gridSpan w:val="3"/>
            <w:vAlign w:val="center"/>
          </w:tcPr>
          <w:p w:rsidR="006F0FFC" w:rsidRPr="005D7411" w:rsidRDefault="006F0FFC" w:rsidP="006F0FFC">
            <w:pPr>
              <w:pStyle w:val="ListParagraph"/>
              <w:numPr>
                <w:ilvl w:val="0"/>
                <w:numId w:val="47"/>
              </w:numPr>
              <w:rPr>
                <w:b/>
              </w:rPr>
            </w:pPr>
            <w:r w:rsidRPr="005D7411">
              <w:rPr>
                <w:b/>
              </w:rPr>
              <w:t>Discharge Information</w:t>
            </w:r>
          </w:p>
        </w:tc>
        <w:tc>
          <w:tcPr>
            <w:tcW w:w="1170" w:type="dxa"/>
            <w:shd w:val="clear" w:color="auto" w:fill="BFBFBF" w:themeFill="background1" w:themeFillShade="BF"/>
            <w:vAlign w:val="center"/>
          </w:tcPr>
          <w:p w:rsidR="006F0FFC" w:rsidRDefault="006F0FFC" w:rsidP="006F0FFC">
            <w:pPr>
              <w:jc w:val="center"/>
            </w:pPr>
            <w:r>
              <w:t>α=0.68</w:t>
            </w:r>
          </w:p>
        </w:tc>
        <w:tc>
          <w:tcPr>
            <w:tcW w:w="1107" w:type="dxa"/>
            <w:shd w:val="clear" w:color="auto" w:fill="BFBFBF" w:themeFill="background1" w:themeFillShade="BF"/>
            <w:vAlign w:val="center"/>
          </w:tcPr>
          <w:p w:rsidR="006F0FFC" w:rsidRDefault="006F0FFC" w:rsidP="006F0FFC">
            <w:pPr>
              <w:jc w:val="center"/>
            </w:pPr>
            <w:r>
              <w:t>aR</w:t>
            </w:r>
            <w:r w:rsidRPr="00A223AB">
              <w:rPr>
                <w:vertAlign w:val="superscript"/>
              </w:rPr>
              <w:t>2</w:t>
            </w:r>
            <w:r>
              <w:rPr>
                <w:vertAlign w:val="superscript"/>
              </w:rPr>
              <w:t xml:space="preserve"> </w:t>
            </w:r>
            <w:r>
              <w:t>= 0.10</w:t>
            </w:r>
          </w:p>
        </w:tc>
        <w:tc>
          <w:tcPr>
            <w:tcW w:w="1107" w:type="dxa"/>
            <w:shd w:val="clear" w:color="auto" w:fill="BFBFBF" w:themeFill="background1" w:themeFillShade="BF"/>
            <w:vAlign w:val="center"/>
          </w:tcPr>
          <w:p w:rsidR="006F0FFC" w:rsidRDefault="006F0FFC" w:rsidP="006F0FFC">
            <w:pPr>
              <w:jc w:val="center"/>
            </w:pPr>
            <w:r>
              <w:t>t-value= 17.08</w:t>
            </w:r>
          </w:p>
        </w:tc>
        <w:tc>
          <w:tcPr>
            <w:tcW w:w="1107" w:type="dxa"/>
            <w:shd w:val="clear" w:color="auto" w:fill="BFBFBF" w:themeFill="background1" w:themeFillShade="BF"/>
            <w:vAlign w:val="center"/>
          </w:tcPr>
          <w:p w:rsidR="006F0FFC" w:rsidRDefault="006F0FFC" w:rsidP="006F0FFC">
            <w:pPr>
              <w:jc w:val="center"/>
            </w:pPr>
            <w:r>
              <w:t>aR</w:t>
            </w:r>
            <w:r w:rsidRPr="00A223AB">
              <w:rPr>
                <w:vertAlign w:val="superscript"/>
              </w:rPr>
              <w:t>2</w:t>
            </w:r>
            <w:r>
              <w:rPr>
                <w:vertAlign w:val="superscript"/>
              </w:rPr>
              <w:t xml:space="preserve"> </w:t>
            </w:r>
            <w:r>
              <w:t>= 0.08</w:t>
            </w:r>
          </w:p>
        </w:tc>
        <w:tc>
          <w:tcPr>
            <w:tcW w:w="1107" w:type="dxa"/>
            <w:shd w:val="clear" w:color="auto" w:fill="BFBFBF" w:themeFill="background1" w:themeFillShade="BF"/>
            <w:vAlign w:val="center"/>
          </w:tcPr>
          <w:p w:rsidR="006F0FFC" w:rsidRDefault="006F0FFC" w:rsidP="006F0FFC">
            <w:pPr>
              <w:jc w:val="center"/>
            </w:pPr>
            <w:r>
              <w:t>t-value= 15.22</w:t>
            </w:r>
          </w:p>
        </w:tc>
      </w:tr>
      <w:tr w:rsidR="006F0FFC" w:rsidTr="006F0FFC">
        <w:tc>
          <w:tcPr>
            <w:tcW w:w="1144" w:type="dxa"/>
          </w:tcPr>
          <w:p w:rsidR="006F0FFC" w:rsidRDefault="006F0FFC" w:rsidP="006F0FFC">
            <w:r>
              <w:t>Q49</w:t>
            </w:r>
          </w:p>
        </w:tc>
        <w:tc>
          <w:tcPr>
            <w:tcW w:w="1574" w:type="dxa"/>
          </w:tcPr>
          <w:p w:rsidR="006F0FFC" w:rsidRDefault="006F0FFC" w:rsidP="006F0FFC">
            <w:r>
              <w:t xml:space="preserve">Symptoms </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0.55</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6.49</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8.34</w:t>
            </w:r>
          </w:p>
        </w:tc>
      </w:tr>
      <w:tr w:rsidR="006F0FFC" w:rsidTr="006F0FFC">
        <w:tc>
          <w:tcPr>
            <w:tcW w:w="1144" w:type="dxa"/>
          </w:tcPr>
          <w:p w:rsidR="006F0FFC" w:rsidRDefault="006F0FFC" w:rsidP="006F0FFC">
            <w:r>
              <w:t>Q47</w:t>
            </w:r>
          </w:p>
        </w:tc>
        <w:tc>
          <w:tcPr>
            <w:tcW w:w="1574" w:type="dxa"/>
          </w:tcPr>
          <w:p w:rsidR="006F0FFC" w:rsidRDefault="006F0FFC" w:rsidP="006F0FFC">
            <w:r>
              <w:t>Activities can’t do</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0.53</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1.88#</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0.33#</w:t>
            </w:r>
          </w:p>
        </w:tc>
      </w:tr>
      <w:tr w:rsidR="006F0FFC" w:rsidTr="006F0FFC">
        <w:tc>
          <w:tcPr>
            <w:tcW w:w="1144" w:type="dxa"/>
          </w:tcPr>
          <w:p w:rsidR="006F0FFC" w:rsidRDefault="006F0FFC" w:rsidP="006F0FFC">
            <w:r>
              <w:t>Q48</w:t>
            </w:r>
          </w:p>
        </w:tc>
        <w:tc>
          <w:tcPr>
            <w:tcW w:w="1574" w:type="dxa"/>
          </w:tcPr>
          <w:p w:rsidR="006F0FFC" w:rsidRDefault="006F0FFC" w:rsidP="006F0FFC">
            <w:r>
              <w:t>Help at home</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0.41</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9.69</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7.16</w:t>
            </w:r>
          </w:p>
        </w:tc>
      </w:tr>
      <w:tr w:rsidR="006F0FFC" w:rsidTr="006F0FFC">
        <w:tc>
          <w:tcPr>
            <w:tcW w:w="1144" w:type="dxa"/>
          </w:tcPr>
          <w:p w:rsidR="006F0FFC" w:rsidRDefault="006F0FFC" w:rsidP="006F0FFC">
            <w:r>
              <w:t>Q51</w:t>
            </w:r>
          </w:p>
        </w:tc>
        <w:tc>
          <w:tcPr>
            <w:tcW w:w="1574" w:type="dxa"/>
          </w:tcPr>
          <w:p w:rsidR="006F0FFC" w:rsidRDefault="006F0FFC" w:rsidP="006F0FFC">
            <w:r>
              <w:t>Meds description</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0.38</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5.73</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2.56#</w:t>
            </w:r>
          </w:p>
        </w:tc>
      </w:tr>
      <w:tr w:rsidR="006F0FFC" w:rsidTr="006F0FFC">
        <w:tc>
          <w:tcPr>
            <w:tcW w:w="3978" w:type="dxa"/>
            <w:gridSpan w:val="3"/>
            <w:vAlign w:val="center"/>
          </w:tcPr>
          <w:p w:rsidR="006F0FFC" w:rsidRDefault="006F0FFC" w:rsidP="006F0FFC">
            <w:pPr>
              <w:jc w:val="center"/>
            </w:pPr>
            <w:r>
              <w:t>Other</w:t>
            </w:r>
          </w:p>
        </w:tc>
        <w:tc>
          <w:tcPr>
            <w:tcW w:w="1170" w:type="dxa"/>
            <w:vAlign w:val="center"/>
          </w:tcPr>
          <w:p w:rsidR="006F0FFC" w:rsidRDefault="006F0FFC" w:rsidP="006F0FFC">
            <w:pPr>
              <w:jc w:val="center"/>
            </w:pP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p>
        </w:tc>
      </w:tr>
      <w:tr w:rsidR="006F0FFC" w:rsidTr="006F0FFC">
        <w:tc>
          <w:tcPr>
            <w:tcW w:w="1144" w:type="dxa"/>
          </w:tcPr>
          <w:p w:rsidR="006F0FFC" w:rsidRDefault="006F0FFC" w:rsidP="006F0FFC">
            <w:r>
              <w:t>Q28</w:t>
            </w:r>
          </w:p>
        </w:tc>
        <w:tc>
          <w:tcPr>
            <w:tcW w:w="1574" w:type="dxa"/>
          </w:tcPr>
          <w:p w:rsidR="006F0FFC" w:rsidRDefault="006F0FFC" w:rsidP="006F0FFC">
            <w:r>
              <w:t>Introduce self</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N/A</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11.99</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7.07</w:t>
            </w:r>
          </w:p>
        </w:tc>
      </w:tr>
      <w:tr w:rsidR="006F0FFC" w:rsidTr="006F0FFC">
        <w:tc>
          <w:tcPr>
            <w:tcW w:w="1144" w:type="dxa"/>
          </w:tcPr>
          <w:p w:rsidR="006F0FFC" w:rsidRDefault="006F0FFC" w:rsidP="006F0FFC">
            <w:r>
              <w:t>Q43</w:t>
            </w:r>
          </w:p>
        </w:tc>
        <w:tc>
          <w:tcPr>
            <w:tcW w:w="1574" w:type="dxa"/>
          </w:tcPr>
          <w:p w:rsidR="006F0FFC" w:rsidRDefault="006F0FFC" w:rsidP="006F0FFC">
            <w:r>
              <w:t>Admission delays</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N/A</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21.96</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20.30</w:t>
            </w:r>
          </w:p>
        </w:tc>
      </w:tr>
      <w:tr w:rsidR="006F0FFC" w:rsidTr="006F0FFC">
        <w:tc>
          <w:tcPr>
            <w:tcW w:w="1144" w:type="dxa"/>
          </w:tcPr>
          <w:p w:rsidR="006F0FFC" w:rsidRDefault="006F0FFC" w:rsidP="006F0FFC">
            <w:r>
              <w:t>Q44</w:t>
            </w:r>
          </w:p>
        </w:tc>
        <w:tc>
          <w:tcPr>
            <w:tcW w:w="1574" w:type="dxa"/>
          </w:tcPr>
          <w:p w:rsidR="006F0FFC" w:rsidRDefault="006F0FFC" w:rsidP="006F0FFC">
            <w:r>
              <w:t>Living well</w:t>
            </w:r>
          </w:p>
        </w:tc>
        <w:tc>
          <w:tcPr>
            <w:tcW w:w="1260" w:type="dxa"/>
            <w:vAlign w:val="center"/>
          </w:tcPr>
          <w:p w:rsidR="006F0FFC" w:rsidRDefault="006F0FFC" w:rsidP="006F0FFC">
            <w:pPr>
              <w:jc w:val="center"/>
            </w:pPr>
          </w:p>
        </w:tc>
        <w:tc>
          <w:tcPr>
            <w:tcW w:w="1170" w:type="dxa"/>
            <w:vAlign w:val="center"/>
          </w:tcPr>
          <w:p w:rsidR="006F0FFC" w:rsidRDefault="006F0FFC" w:rsidP="006F0FFC">
            <w:pPr>
              <w:jc w:val="center"/>
            </w:pPr>
            <w:r>
              <w:t>N/A</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0.50#</w:t>
            </w:r>
          </w:p>
        </w:tc>
        <w:tc>
          <w:tcPr>
            <w:tcW w:w="1107" w:type="dxa"/>
            <w:vAlign w:val="center"/>
          </w:tcPr>
          <w:p w:rsidR="006F0FFC" w:rsidRDefault="006F0FFC" w:rsidP="006F0FFC">
            <w:pPr>
              <w:jc w:val="center"/>
            </w:pPr>
          </w:p>
        </w:tc>
        <w:tc>
          <w:tcPr>
            <w:tcW w:w="1107" w:type="dxa"/>
            <w:vAlign w:val="center"/>
          </w:tcPr>
          <w:p w:rsidR="006F0FFC" w:rsidRDefault="006F0FFC" w:rsidP="006F0FFC">
            <w:pPr>
              <w:jc w:val="center"/>
            </w:pPr>
            <w:r>
              <w:t>5.31</w:t>
            </w:r>
          </w:p>
        </w:tc>
      </w:tr>
    </w:tbl>
    <w:p w:rsidR="00D40757" w:rsidRDefault="00D40757" w:rsidP="000462DC">
      <w:pPr>
        <w:autoSpaceDE w:val="0"/>
        <w:autoSpaceDN w:val="0"/>
        <w:adjustRightInd w:val="0"/>
        <w:spacing w:after="0" w:line="240" w:lineRule="auto"/>
        <w:rPr>
          <w:rFonts w:ascii="Palatino Linotype" w:hAnsi="Palatino Linotype" w:cs="Times New Roman"/>
          <w:i/>
          <w:sz w:val="20"/>
          <w:szCs w:val="20"/>
        </w:rPr>
      </w:pPr>
    </w:p>
    <w:p w:rsidR="006F0FFC" w:rsidRDefault="006F0FFC" w:rsidP="006F0FFC">
      <w:r>
        <w:t>Table 6: Rank Order (Descending) of Correlations of Six Composites with Global Ratings</w:t>
      </w:r>
    </w:p>
    <w:tbl>
      <w:tblPr>
        <w:tblStyle w:val="TableGrid"/>
        <w:tblW w:w="0" w:type="auto"/>
        <w:tblLayout w:type="fixed"/>
        <w:tblLook w:val="04A0" w:firstRow="1" w:lastRow="0" w:firstColumn="1" w:lastColumn="0" w:noHBand="0" w:noVBand="1"/>
        <w:tblCaption w:val="Table with Rank Order (Descending) of Correlations of Six Composites"/>
        <w:tblDescription w:val="Rank Order (Descending) of Correlations of Six Composites with Global Ratings"/>
      </w:tblPr>
      <w:tblGrid>
        <w:gridCol w:w="1638"/>
        <w:gridCol w:w="756"/>
        <w:gridCol w:w="1674"/>
        <w:gridCol w:w="630"/>
        <w:gridCol w:w="1800"/>
        <w:gridCol w:w="684"/>
        <w:gridCol w:w="1656"/>
        <w:gridCol w:w="738"/>
      </w:tblGrid>
      <w:tr w:rsidR="006F0FFC" w:rsidTr="006F0FFC">
        <w:tc>
          <w:tcPr>
            <w:tcW w:w="2394" w:type="dxa"/>
            <w:gridSpan w:val="2"/>
            <w:vAlign w:val="center"/>
          </w:tcPr>
          <w:p w:rsidR="006F0FFC" w:rsidRDefault="006F0FFC" w:rsidP="006F0FFC">
            <w:pPr>
              <w:jc w:val="center"/>
            </w:pPr>
            <w:r>
              <w:t>HOSPITAL Rating</w:t>
            </w:r>
          </w:p>
        </w:tc>
        <w:tc>
          <w:tcPr>
            <w:tcW w:w="2304" w:type="dxa"/>
            <w:gridSpan w:val="2"/>
            <w:vAlign w:val="center"/>
          </w:tcPr>
          <w:p w:rsidR="006F0FFC" w:rsidRDefault="006F0FFC" w:rsidP="006F0FFC">
            <w:pPr>
              <w:jc w:val="center"/>
            </w:pPr>
            <w:r>
              <w:t>Nurses Rating</w:t>
            </w:r>
          </w:p>
        </w:tc>
        <w:tc>
          <w:tcPr>
            <w:tcW w:w="2484" w:type="dxa"/>
            <w:gridSpan w:val="2"/>
            <w:vAlign w:val="center"/>
          </w:tcPr>
          <w:p w:rsidR="006F0FFC" w:rsidRDefault="006F0FFC" w:rsidP="006F0FFC">
            <w:pPr>
              <w:jc w:val="center"/>
            </w:pPr>
            <w:r>
              <w:t>Doctors Rating</w:t>
            </w:r>
          </w:p>
        </w:tc>
        <w:tc>
          <w:tcPr>
            <w:tcW w:w="2394" w:type="dxa"/>
            <w:gridSpan w:val="2"/>
            <w:vAlign w:val="center"/>
          </w:tcPr>
          <w:p w:rsidR="006F0FFC" w:rsidRDefault="006F0FFC" w:rsidP="006F0FFC">
            <w:pPr>
              <w:jc w:val="center"/>
            </w:pPr>
            <w:r>
              <w:t>Recommend Hospital</w:t>
            </w:r>
          </w:p>
        </w:tc>
      </w:tr>
      <w:tr w:rsidR="006F0FFC" w:rsidTr="006F0FFC">
        <w:tc>
          <w:tcPr>
            <w:tcW w:w="1638" w:type="dxa"/>
          </w:tcPr>
          <w:p w:rsidR="006F0FFC" w:rsidRDefault="006F0FFC" w:rsidP="006F0FFC">
            <w:r>
              <w:t>Nurses</w:t>
            </w:r>
          </w:p>
        </w:tc>
        <w:tc>
          <w:tcPr>
            <w:tcW w:w="756" w:type="dxa"/>
          </w:tcPr>
          <w:p w:rsidR="006F0FFC" w:rsidRDefault="006F0FFC" w:rsidP="006F0FFC">
            <w:r>
              <w:t>0.70</w:t>
            </w:r>
          </w:p>
        </w:tc>
        <w:tc>
          <w:tcPr>
            <w:tcW w:w="1674" w:type="dxa"/>
          </w:tcPr>
          <w:p w:rsidR="006F0FFC" w:rsidRDefault="006F0FFC" w:rsidP="006F0FFC">
            <w:r>
              <w:t>Nurses</w:t>
            </w:r>
          </w:p>
        </w:tc>
        <w:tc>
          <w:tcPr>
            <w:tcW w:w="630" w:type="dxa"/>
          </w:tcPr>
          <w:p w:rsidR="006F0FFC" w:rsidRDefault="006F0FFC" w:rsidP="006F0FFC">
            <w:r>
              <w:t>0.81</w:t>
            </w:r>
          </w:p>
        </w:tc>
        <w:tc>
          <w:tcPr>
            <w:tcW w:w="1800" w:type="dxa"/>
          </w:tcPr>
          <w:p w:rsidR="006F0FFC" w:rsidRDefault="006F0FFC" w:rsidP="006F0FFC">
            <w:r>
              <w:t>Doctor</w:t>
            </w:r>
          </w:p>
        </w:tc>
        <w:tc>
          <w:tcPr>
            <w:tcW w:w="684" w:type="dxa"/>
          </w:tcPr>
          <w:p w:rsidR="006F0FFC" w:rsidRDefault="006F0FFC" w:rsidP="006F0FFC">
            <w:r>
              <w:t>0.80</w:t>
            </w:r>
          </w:p>
        </w:tc>
        <w:tc>
          <w:tcPr>
            <w:tcW w:w="1656" w:type="dxa"/>
          </w:tcPr>
          <w:p w:rsidR="006F0FFC" w:rsidRDefault="006F0FFC" w:rsidP="006F0FFC">
            <w:r>
              <w:t>Nurses</w:t>
            </w:r>
          </w:p>
        </w:tc>
        <w:tc>
          <w:tcPr>
            <w:tcW w:w="738" w:type="dxa"/>
          </w:tcPr>
          <w:p w:rsidR="006F0FFC" w:rsidRDefault="006F0FFC" w:rsidP="006F0FFC">
            <w:r>
              <w:t>0.63</w:t>
            </w:r>
          </w:p>
        </w:tc>
      </w:tr>
      <w:tr w:rsidR="006F0FFC" w:rsidTr="006F0FFC">
        <w:tc>
          <w:tcPr>
            <w:tcW w:w="1638" w:type="dxa"/>
          </w:tcPr>
          <w:p w:rsidR="006F0FFC" w:rsidRDefault="006F0FFC" w:rsidP="006F0FFC">
            <w:r>
              <w:t>Physical Comfort</w:t>
            </w:r>
          </w:p>
        </w:tc>
        <w:tc>
          <w:tcPr>
            <w:tcW w:w="756" w:type="dxa"/>
            <w:vAlign w:val="center"/>
          </w:tcPr>
          <w:p w:rsidR="006F0FFC" w:rsidRDefault="006F0FFC" w:rsidP="006F0FFC">
            <w:pPr>
              <w:jc w:val="center"/>
            </w:pPr>
            <w:r>
              <w:t>0.65</w:t>
            </w:r>
          </w:p>
        </w:tc>
        <w:tc>
          <w:tcPr>
            <w:tcW w:w="1674" w:type="dxa"/>
          </w:tcPr>
          <w:p w:rsidR="006F0FFC" w:rsidRDefault="006F0FFC" w:rsidP="006F0FFC">
            <w:r>
              <w:t>Physical Comfort</w:t>
            </w:r>
          </w:p>
        </w:tc>
        <w:tc>
          <w:tcPr>
            <w:tcW w:w="630" w:type="dxa"/>
            <w:vAlign w:val="center"/>
          </w:tcPr>
          <w:p w:rsidR="006F0FFC" w:rsidRDefault="006F0FFC" w:rsidP="006F0FFC">
            <w:pPr>
              <w:jc w:val="center"/>
            </w:pPr>
            <w:r>
              <w:t>0.65</w:t>
            </w:r>
          </w:p>
        </w:tc>
        <w:tc>
          <w:tcPr>
            <w:tcW w:w="1800" w:type="dxa"/>
          </w:tcPr>
          <w:p w:rsidR="006F0FFC" w:rsidRDefault="006F0FFC" w:rsidP="006F0FFC">
            <w:r>
              <w:t>Nurses</w:t>
            </w:r>
          </w:p>
        </w:tc>
        <w:tc>
          <w:tcPr>
            <w:tcW w:w="684" w:type="dxa"/>
            <w:vAlign w:val="center"/>
          </w:tcPr>
          <w:p w:rsidR="006F0FFC" w:rsidRDefault="006F0FFC" w:rsidP="006F0FFC">
            <w:pPr>
              <w:jc w:val="center"/>
            </w:pPr>
            <w:r>
              <w:t>0.49</w:t>
            </w:r>
          </w:p>
        </w:tc>
        <w:tc>
          <w:tcPr>
            <w:tcW w:w="1656" w:type="dxa"/>
          </w:tcPr>
          <w:p w:rsidR="006F0FFC" w:rsidRDefault="006F0FFC" w:rsidP="006F0FFC">
            <w:r>
              <w:t>Physical Comfort</w:t>
            </w:r>
          </w:p>
        </w:tc>
        <w:tc>
          <w:tcPr>
            <w:tcW w:w="738" w:type="dxa"/>
            <w:vAlign w:val="center"/>
          </w:tcPr>
          <w:p w:rsidR="006F0FFC" w:rsidRDefault="006F0FFC" w:rsidP="006F0FFC">
            <w:pPr>
              <w:jc w:val="center"/>
            </w:pPr>
            <w:r>
              <w:t>0.63</w:t>
            </w:r>
          </w:p>
        </w:tc>
      </w:tr>
      <w:tr w:rsidR="006F0FFC" w:rsidTr="006F0FFC">
        <w:tc>
          <w:tcPr>
            <w:tcW w:w="1638" w:type="dxa"/>
          </w:tcPr>
          <w:p w:rsidR="006F0FFC" w:rsidRDefault="006F0FFC" w:rsidP="006F0FFC">
            <w:r>
              <w:t>Doctor</w:t>
            </w:r>
          </w:p>
        </w:tc>
        <w:tc>
          <w:tcPr>
            <w:tcW w:w="756" w:type="dxa"/>
          </w:tcPr>
          <w:p w:rsidR="006F0FFC" w:rsidRDefault="006F0FFC" w:rsidP="006F0FFC">
            <w:r>
              <w:t>0.60</w:t>
            </w:r>
          </w:p>
        </w:tc>
        <w:tc>
          <w:tcPr>
            <w:tcW w:w="1674" w:type="dxa"/>
          </w:tcPr>
          <w:p w:rsidR="006F0FFC" w:rsidRDefault="006F0FFC" w:rsidP="006F0FFC">
            <w:r>
              <w:t>Pain Control</w:t>
            </w:r>
          </w:p>
        </w:tc>
        <w:tc>
          <w:tcPr>
            <w:tcW w:w="630" w:type="dxa"/>
          </w:tcPr>
          <w:p w:rsidR="006F0FFC" w:rsidRDefault="006F0FFC" w:rsidP="006F0FFC">
            <w:r>
              <w:t>0.46</w:t>
            </w:r>
          </w:p>
        </w:tc>
        <w:tc>
          <w:tcPr>
            <w:tcW w:w="1800" w:type="dxa"/>
          </w:tcPr>
          <w:p w:rsidR="006F0FFC" w:rsidRDefault="006F0FFC" w:rsidP="006F0FFC">
            <w:r>
              <w:t>Physical Comfort</w:t>
            </w:r>
          </w:p>
        </w:tc>
        <w:tc>
          <w:tcPr>
            <w:tcW w:w="684" w:type="dxa"/>
          </w:tcPr>
          <w:p w:rsidR="006F0FFC" w:rsidRDefault="006F0FFC" w:rsidP="006F0FFC">
            <w:r>
              <w:t>0.48</w:t>
            </w:r>
          </w:p>
        </w:tc>
        <w:tc>
          <w:tcPr>
            <w:tcW w:w="1656" w:type="dxa"/>
          </w:tcPr>
          <w:p w:rsidR="006F0FFC" w:rsidRDefault="006F0FFC" w:rsidP="006F0FFC">
            <w:r>
              <w:t>Pain Control</w:t>
            </w:r>
          </w:p>
        </w:tc>
        <w:tc>
          <w:tcPr>
            <w:tcW w:w="738" w:type="dxa"/>
          </w:tcPr>
          <w:p w:rsidR="006F0FFC" w:rsidRDefault="006F0FFC" w:rsidP="006F0FFC">
            <w:r>
              <w:t>0.56</w:t>
            </w:r>
          </w:p>
        </w:tc>
      </w:tr>
      <w:tr w:rsidR="006F0FFC" w:rsidTr="006F0FFC">
        <w:tc>
          <w:tcPr>
            <w:tcW w:w="1638" w:type="dxa"/>
          </w:tcPr>
          <w:p w:rsidR="006F0FFC" w:rsidRDefault="006F0FFC" w:rsidP="006F0FFC">
            <w:r>
              <w:t>Pain Control</w:t>
            </w:r>
          </w:p>
        </w:tc>
        <w:tc>
          <w:tcPr>
            <w:tcW w:w="756" w:type="dxa"/>
          </w:tcPr>
          <w:p w:rsidR="006F0FFC" w:rsidRDefault="006F0FFC" w:rsidP="006F0FFC">
            <w:r>
              <w:t>0.56</w:t>
            </w:r>
          </w:p>
        </w:tc>
        <w:tc>
          <w:tcPr>
            <w:tcW w:w="1674" w:type="dxa"/>
          </w:tcPr>
          <w:p w:rsidR="006F0FFC" w:rsidRDefault="006F0FFC" w:rsidP="006F0FFC">
            <w:r>
              <w:t>Doctor</w:t>
            </w:r>
          </w:p>
        </w:tc>
        <w:tc>
          <w:tcPr>
            <w:tcW w:w="630" w:type="dxa"/>
          </w:tcPr>
          <w:p w:rsidR="006F0FFC" w:rsidRDefault="006F0FFC" w:rsidP="006F0FFC">
            <w:r>
              <w:t>0.48</w:t>
            </w:r>
          </w:p>
        </w:tc>
        <w:tc>
          <w:tcPr>
            <w:tcW w:w="1800" w:type="dxa"/>
          </w:tcPr>
          <w:p w:rsidR="006F0FFC" w:rsidRDefault="006F0FFC" w:rsidP="006F0FFC">
            <w:r>
              <w:t>Pain Control</w:t>
            </w:r>
          </w:p>
        </w:tc>
        <w:tc>
          <w:tcPr>
            <w:tcW w:w="684" w:type="dxa"/>
          </w:tcPr>
          <w:p w:rsidR="006F0FFC" w:rsidRDefault="006F0FFC" w:rsidP="006F0FFC">
            <w:r>
              <w:t>0.46</w:t>
            </w:r>
          </w:p>
        </w:tc>
        <w:tc>
          <w:tcPr>
            <w:tcW w:w="1656" w:type="dxa"/>
          </w:tcPr>
          <w:p w:rsidR="006F0FFC" w:rsidRDefault="006F0FFC" w:rsidP="006F0FFC">
            <w:r>
              <w:t>Doctor</w:t>
            </w:r>
          </w:p>
        </w:tc>
        <w:tc>
          <w:tcPr>
            <w:tcW w:w="738" w:type="dxa"/>
          </w:tcPr>
          <w:p w:rsidR="006F0FFC" w:rsidRDefault="006F0FFC" w:rsidP="006F0FFC">
            <w:r>
              <w:t>0.48</w:t>
            </w:r>
          </w:p>
        </w:tc>
      </w:tr>
      <w:tr w:rsidR="006F0FFC" w:rsidTr="006F0FFC">
        <w:tc>
          <w:tcPr>
            <w:tcW w:w="1638" w:type="dxa"/>
          </w:tcPr>
          <w:p w:rsidR="006F0FFC" w:rsidRDefault="006F0FFC" w:rsidP="006F0FFC">
            <w:r>
              <w:t>Medication</w:t>
            </w:r>
          </w:p>
        </w:tc>
        <w:tc>
          <w:tcPr>
            <w:tcW w:w="756" w:type="dxa"/>
          </w:tcPr>
          <w:p w:rsidR="006F0FFC" w:rsidRDefault="006F0FFC" w:rsidP="006F0FFC">
            <w:r>
              <w:t>0.47</w:t>
            </w:r>
          </w:p>
        </w:tc>
        <w:tc>
          <w:tcPr>
            <w:tcW w:w="1674" w:type="dxa"/>
          </w:tcPr>
          <w:p w:rsidR="006F0FFC" w:rsidRDefault="006F0FFC" w:rsidP="006F0FFC">
            <w:r>
              <w:t>Medication</w:t>
            </w:r>
          </w:p>
        </w:tc>
        <w:tc>
          <w:tcPr>
            <w:tcW w:w="630" w:type="dxa"/>
          </w:tcPr>
          <w:p w:rsidR="006F0FFC" w:rsidRDefault="006F0FFC" w:rsidP="006F0FFC">
            <w:r>
              <w:t>0.46</w:t>
            </w:r>
          </w:p>
        </w:tc>
        <w:tc>
          <w:tcPr>
            <w:tcW w:w="1800" w:type="dxa"/>
          </w:tcPr>
          <w:p w:rsidR="006F0FFC" w:rsidRDefault="006F0FFC" w:rsidP="006F0FFC">
            <w:r>
              <w:t>Medication</w:t>
            </w:r>
          </w:p>
        </w:tc>
        <w:tc>
          <w:tcPr>
            <w:tcW w:w="684" w:type="dxa"/>
          </w:tcPr>
          <w:p w:rsidR="006F0FFC" w:rsidRDefault="006F0FFC" w:rsidP="006F0FFC">
            <w:r>
              <w:t>0.40</w:t>
            </w:r>
          </w:p>
        </w:tc>
        <w:tc>
          <w:tcPr>
            <w:tcW w:w="1656" w:type="dxa"/>
          </w:tcPr>
          <w:p w:rsidR="006F0FFC" w:rsidRDefault="006F0FFC" w:rsidP="006F0FFC">
            <w:r>
              <w:t>Medication</w:t>
            </w:r>
          </w:p>
        </w:tc>
        <w:tc>
          <w:tcPr>
            <w:tcW w:w="738" w:type="dxa"/>
          </w:tcPr>
          <w:p w:rsidR="006F0FFC" w:rsidRDefault="006F0FFC" w:rsidP="006F0FFC">
            <w:r>
              <w:t>0.45</w:t>
            </w:r>
          </w:p>
        </w:tc>
      </w:tr>
      <w:tr w:rsidR="006F0FFC" w:rsidTr="006F0FFC">
        <w:tc>
          <w:tcPr>
            <w:tcW w:w="1638" w:type="dxa"/>
          </w:tcPr>
          <w:p w:rsidR="006F0FFC" w:rsidRDefault="006F0FFC" w:rsidP="006F0FFC">
            <w:r>
              <w:t>Discharge Info</w:t>
            </w:r>
          </w:p>
        </w:tc>
        <w:tc>
          <w:tcPr>
            <w:tcW w:w="756" w:type="dxa"/>
          </w:tcPr>
          <w:p w:rsidR="006F0FFC" w:rsidRDefault="006F0FFC" w:rsidP="006F0FFC">
            <w:r>
              <w:t>0.30</w:t>
            </w:r>
          </w:p>
        </w:tc>
        <w:tc>
          <w:tcPr>
            <w:tcW w:w="1674" w:type="dxa"/>
          </w:tcPr>
          <w:p w:rsidR="006F0FFC" w:rsidRDefault="006F0FFC" w:rsidP="006F0FFC">
            <w:r>
              <w:t>Discharge Info</w:t>
            </w:r>
          </w:p>
        </w:tc>
        <w:tc>
          <w:tcPr>
            <w:tcW w:w="630" w:type="dxa"/>
          </w:tcPr>
          <w:p w:rsidR="006F0FFC" w:rsidRDefault="006F0FFC" w:rsidP="006F0FFC">
            <w:r>
              <w:t>0.28</w:t>
            </w:r>
          </w:p>
        </w:tc>
        <w:tc>
          <w:tcPr>
            <w:tcW w:w="1800" w:type="dxa"/>
          </w:tcPr>
          <w:p w:rsidR="006F0FFC" w:rsidRDefault="006F0FFC" w:rsidP="006F0FFC">
            <w:r>
              <w:t>Discharge Info</w:t>
            </w:r>
          </w:p>
        </w:tc>
        <w:tc>
          <w:tcPr>
            <w:tcW w:w="684" w:type="dxa"/>
          </w:tcPr>
          <w:p w:rsidR="006F0FFC" w:rsidRDefault="006F0FFC" w:rsidP="006F0FFC">
            <w:r>
              <w:t>0.28</w:t>
            </w:r>
          </w:p>
        </w:tc>
        <w:tc>
          <w:tcPr>
            <w:tcW w:w="1656" w:type="dxa"/>
          </w:tcPr>
          <w:p w:rsidR="006F0FFC" w:rsidRDefault="006F0FFC" w:rsidP="006F0FFC">
            <w:r>
              <w:t>Discharge Info</w:t>
            </w:r>
          </w:p>
        </w:tc>
        <w:tc>
          <w:tcPr>
            <w:tcW w:w="738" w:type="dxa"/>
          </w:tcPr>
          <w:p w:rsidR="006F0FFC" w:rsidRDefault="006F0FFC" w:rsidP="006F0FFC">
            <w:r>
              <w:t>0.30</w:t>
            </w:r>
          </w:p>
        </w:tc>
      </w:tr>
    </w:tbl>
    <w:p w:rsidR="006F0FFC" w:rsidRDefault="006F0FFC" w:rsidP="006F0FFC"/>
    <w:p w:rsidR="006F0FFC" w:rsidRDefault="006F0FFC" w:rsidP="006F0FFC"/>
    <w:p w:rsidR="006F0FFC" w:rsidRDefault="006F0FFC" w:rsidP="006F0FFC"/>
    <w:p w:rsidR="006F0FFC" w:rsidRDefault="006F0FFC" w:rsidP="006F0FFC"/>
    <w:p w:rsidR="006F0FFC" w:rsidRDefault="006F0FFC" w:rsidP="006F0FFC"/>
    <w:p w:rsidR="006F0FFC" w:rsidRDefault="006F0FFC" w:rsidP="006F0FFC"/>
    <w:p w:rsidR="006F0FFC" w:rsidRDefault="006F0FFC" w:rsidP="006F0FFC"/>
    <w:p w:rsidR="006F0FFC" w:rsidRDefault="006F0FFC" w:rsidP="006F0FFC"/>
    <w:p w:rsidR="006F0FFC" w:rsidRDefault="006F0FFC" w:rsidP="006F0FFC"/>
    <w:p w:rsidR="006F0FFC" w:rsidRDefault="006F0FFC" w:rsidP="006F0FFC">
      <w:r>
        <w:t>Table 7: Hospital Level Factor Analysis with Four Factors, Stratified for Surgery and Childbirth Service</w:t>
      </w:r>
    </w:p>
    <w:tbl>
      <w:tblPr>
        <w:tblStyle w:val="TableGrid"/>
        <w:tblW w:w="0" w:type="auto"/>
        <w:tblLook w:val="04A0" w:firstRow="1" w:lastRow="0" w:firstColumn="1" w:lastColumn="0" w:noHBand="0" w:noVBand="1"/>
        <w:tblCaption w:val="Table with Hospital Level Factor Analysis"/>
        <w:tblDescription w:val="Hospital Level Factor Analysis with Four Factors, Stratified for Surgery and Childbirth Service"/>
      </w:tblPr>
      <w:tblGrid>
        <w:gridCol w:w="2704"/>
        <w:gridCol w:w="859"/>
        <w:gridCol w:w="859"/>
        <w:gridCol w:w="859"/>
        <w:gridCol w:w="859"/>
        <w:gridCol w:w="859"/>
        <w:gridCol w:w="859"/>
        <w:gridCol w:w="859"/>
        <w:gridCol w:w="859"/>
      </w:tblGrid>
      <w:tr w:rsidR="006F0FFC" w:rsidTr="006F0FFC">
        <w:tc>
          <w:tcPr>
            <w:tcW w:w="2704" w:type="dxa"/>
            <w:vAlign w:val="center"/>
          </w:tcPr>
          <w:p w:rsidR="006F0FFC" w:rsidRDefault="006F0FFC" w:rsidP="006F0FFC">
            <w:pPr>
              <w:jc w:val="center"/>
            </w:pPr>
            <w:r>
              <w:t>Item</w:t>
            </w:r>
          </w:p>
        </w:tc>
        <w:tc>
          <w:tcPr>
            <w:tcW w:w="3436" w:type="dxa"/>
            <w:gridSpan w:val="4"/>
            <w:vAlign w:val="center"/>
          </w:tcPr>
          <w:p w:rsidR="006F0FFC" w:rsidRDefault="006F0FFC" w:rsidP="006F0FFC">
            <w:pPr>
              <w:jc w:val="center"/>
            </w:pPr>
            <w:r>
              <w:t>Surgery Service</w:t>
            </w:r>
          </w:p>
        </w:tc>
        <w:tc>
          <w:tcPr>
            <w:tcW w:w="3436" w:type="dxa"/>
            <w:gridSpan w:val="4"/>
          </w:tcPr>
          <w:p w:rsidR="006F0FFC" w:rsidRDefault="006F0FFC" w:rsidP="006F0FFC">
            <w:pPr>
              <w:jc w:val="center"/>
            </w:pPr>
            <w:r>
              <w:t>Childbirth Service</w:t>
            </w:r>
          </w:p>
        </w:tc>
      </w:tr>
      <w:tr w:rsidR="006F0FFC" w:rsidTr="006F0FFC">
        <w:tc>
          <w:tcPr>
            <w:tcW w:w="2704" w:type="dxa"/>
            <w:vAlign w:val="center"/>
          </w:tcPr>
          <w:p w:rsidR="006F0FFC" w:rsidRDefault="006F0FFC" w:rsidP="006F0FFC">
            <w:pPr>
              <w:jc w:val="center"/>
            </w:pPr>
          </w:p>
        </w:tc>
        <w:tc>
          <w:tcPr>
            <w:tcW w:w="859" w:type="dxa"/>
            <w:vAlign w:val="center"/>
          </w:tcPr>
          <w:p w:rsidR="006F0FFC" w:rsidRDefault="006F0FFC" w:rsidP="006F0FFC">
            <w:pPr>
              <w:jc w:val="center"/>
            </w:pPr>
            <w:r>
              <w:t>Factor 1</w:t>
            </w:r>
          </w:p>
        </w:tc>
        <w:tc>
          <w:tcPr>
            <w:tcW w:w="859" w:type="dxa"/>
            <w:vAlign w:val="center"/>
          </w:tcPr>
          <w:p w:rsidR="006F0FFC" w:rsidRDefault="006F0FFC" w:rsidP="006F0FFC">
            <w:pPr>
              <w:jc w:val="center"/>
            </w:pPr>
            <w:r>
              <w:t>Factor 2</w:t>
            </w:r>
          </w:p>
        </w:tc>
        <w:tc>
          <w:tcPr>
            <w:tcW w:w="859" w:type="dxa"/>
            <w:vAlign w:val="center"/>
          </w:tcPr>
          <w:p w:rsidR="006F0FFC" w:rsidRDefault="006F0FFC" w:rsidP="006F0FFC">
            <w:pPr>
              <w:jc w:val="center"/>
            </w:pPr>
            <w:r>
              <w:t>Factor 3</w:t>
            </w:r>
          </w:p>
        </w:tc>
        <w:tc>
          <w:tcPr>
            <w:tcW w:w="859" w:type="dxa"/>
          </w:tcPr>
          <w:p w:rsidR="006F0FFC" w:rsidRDefault="006F0FFC" w:rsidP="006F0FFC">
            <w:pPr>
              <w:jc w:val="center"/>
            </w:pPr>
            <w:r>
              <w:t>Factor 4</w:t>
            </w:r>
          </w:p>
        </w:tc>
        <w:tc>
          <w:tcPr>
            <w:tcW w:w="859" w:type="dxa"/>
          </w:tcPr>
          <w:p w:rsidR="006F0FFC" w:rsidRDefault="006F0FFC" w:rsidP="006F0FFC">
            <w:pPr>
              <w:jc w:val="center"/>
            </w:pPr>
            <w:r>
              <w:t>Factor 1</w:t>
            </w:r>
          </w:p>
        </w:tc>
        <w:tc>
          <w:tcPr>
            <w:tcW w:w="859" w:type="dxa"/>
          </w:tcPr>
          <w:p w:rsidR="006F0FFC" w:rsidRDefault="006F0FFC" w:rsidP="006F0FFC">
            <w:pPr>
              <w:jc w:val="center"/>
            </w:pPr>
            <w:r>
              <w:t>Factor 2</w:t>
            </w:r>
          </w:p>
        </w:tc>
        <w:tc>
          <w:tcPr>
            <w:tcW w:w="859" w:type="dxa"/>
            <w:vAlign w:val="center"/>
          </w:tcPr>
          <w:p w:rsidR="006F0FFC" w:rsidRDefault="006F0FFC" w:rsidP="006F0FFC">
            <w:pPr>
              <w:jc w:val="center"/>
            </w:pPr>
            <w:r>
              <w:t>Factor 3</w:t>
            </w:r>
          </w:p>
        </w:tc>
        <w:tc>
          <w:tcPr>
            <w:tcW w:w="859" w:type="dxa"/>
          </w:tcPr>
          <w:p w:rsidR="006F0FFC" w:rsidRDefault="006F0FFC" w:rsidP="006F0FFC">
            <w:pPr>
              <w:jc w:val="center"/>
            </w:pPr>
            <w:r>
              <w:t>Factor 4</w:t>
            </w:r>
          </w:p>
        </w:tc>
      </w:tr>
      <w:tr w:rsidR="006F0FFC" w:rsidTr="006F0FFC">
        <w:tc>
          <w:tcPr>
            <w:tcW w:w="2704" w:type="dxa"/>
          </w:tcPr>
          <w:p w:rsidR="006F0FFC" w:rsidRDefault="006F0FFC" w:rsidP="006F0FFC">
            <w:r>
              <w:t>Call Help Frequently (Q9)</w:t>
            </w:r>
          </w:p>
        </w:tc>
        <w:tc>
          <w:tcPr>
            <w:tcW w:w="859" w:type="dxa"/>
            <w:shd w:val="clear" w:color="auto" w:fill="BFBFBF" w:themeFill="background1" w:themeFillShade="BF"/>
          </w:tcPr>
          <w:p w:rsidR="006F0FFC" w:rsidRDefault="006F0FFC" w:rsidP="006F0FFC">
            <w:pPr>
              <w:jc w:val="right"/>
            </w:pPr>
            <w:r>
              <w:t>0.86</w:t>
            </w:r>
          </w:p>
        </w:tc>
        <w:tc>
          <w:tcPr>
            <w:tcW w:w="859" w:type="dxa"/>
          </w:tcPr>
          <w:p w:rsidR="006F0FFC" w:rsidRDefault="006F0FFC" w:rsidP="006F0FFC">
            <w:pPr>
              <w:jc w:val="right"/>
            </w:pPr>
            <w:r>
              <w:t>-0.03</w:t>
            </w:r>
          </w:p>
        </w:tc>
        <w:tc>
          <w:tcPr>
            <w:tcW w:w="859" w:type="dxa"/>
          </w:tcPr>
          <w:p w:rsidR="006F0FFC" w:rsidRDefault="006F0FFC" w:rsidP="006F0FFC">
            <w:pPr>
              <w:jc w:val="right"/>
            </w:pPr>
            <w:r>
              <w:t>-0.08</w:t>
            </w:r>
          </w:p>
        </w:tc>
        <w:tc>
          <w:tcPr>
            <w:tcW w:w="859" w:type="dxa"/>
          </w:tcPr>
          <w:p w:rsidR="006F0FFC" w:rsidRDefault="006F0FFC" w:rsidP="006F0FFC">
            <w:pPr>
              <w:jc w:val="right"/>
            </w:pPr>
            <w:r>
              <w:t>0.03</w:t>
            </w:r>
          </w:p>
        </w:tc>
        <w:tc>
          <w:tcPr>
            <w:tcW w:w="859" w:type="dxa"/>
            <w:shd w:val="clear" w:color="auto" w:fill="BFBFBF" w:themeFill="background1" w:themeFillShade="BF"/>
          </w:tcPr>
          <w:p w:rsidR="006F0FFC" w:rsidRDefault="006F0FFC" w:rsidP="006F0FFC">
            <w:pPr>
              <w:jc w:val="right"/>
            </w:pPr>
            <w:r>
              <w:t>0.62</w:t>
            </w:r>
          </w:p>
        </w:tc>
        <w:tc>
          <w:tcPr>
            <w:tcW w:w="859" w:type="dxa"/>
          </w:tcPr>
          <w:p w:rsidR="006F0FFC" w:rsidRDefault="006F0FFC" w:rsidP="006F0FFC">
            <w:pPr>
              <w:jc w:val="right"/>
            </w:pPr>
            <w:r>
              <w:t>0.10</w:t>
            </w:r>
          </w:p>
        </w:tc>
        <w:tc>
          <w:tcPr>
            <w:tcW w:w="859" w:type="dxa"/>
          </w:tcPr>
          <w:p w:rsidR="006F0FFC" w:rsidRDefault="006F0FFC" w:rsidP="006F0FFC">
            <w:pPr>
              <w:jc w:val="right"/>
            </w:pPr>
            <w:r>
              <w:t>0.03</w:t>
            </w:r>
          </w:p>
        </w:tc>
        <w:tc>
          <w:tcPr>
            <w:tcW w:w="859" w:type="dxa"/>
          </w:tcPr>
          <w:p w:rsidR="006F0FFC" w:rsidRDefault="006F0FFC" w:rsidP="006F0FFC">
            <w:pPr>
              <w:jc w:val="right"/>
            </w:pPr>
            <w:r>
              <w:t>0.15</w:t>
            </w:r>
          </w:p>
        </w:tc>
      </w:tr>
      <w:tr w:rsidR="006F0FFC" w:rsidTr="006F0FFC">
        <w:tc>
          <w:tcPr>
            <w:tcW w:w="2704" w:type="dxa"/>
          </w:tcPr>
          <w:p w:rsidR="006F0FFC" w:rsidRDefault="006F0FFC" w:rsidP="006F0FFC">
            <w:r>
              <w:t>Spend Enough Time (Q7)</w:t>
            </w:r>
          </w:p>
        </w:tc>
        <w:tc>
          <w:tcPr>
            <w:tcW w:w="859" w:type="dxa"/>
            <w:shd w:val="clear" w:color="auto" w:fill="BFBFBF" w:themeFill="background1" w:themeFillShade="BF"/>
          </w:tcPr>
          <w:p w:rsidR="006F0FFC" w:rsidRDefault="006F0FFC" w:rsidP="006F0FFC">
            <w:pPr>
              <w:jc w:val="right"/>
            </w:pPr>
            <w:r>
              <w:t>0.84</w:t>
            </w:r>
          </w:p>
        </w:tc>
        <w:tc>
          <w:tcPr>
            <w:tcW w:w="859" w:type="dxa"/>
          </w:tcPr>
          <w:p w:rsidR="006F0FFC" w:rsidRDefault="006F0FFC" w:rsidP="006F0FFC">
            <w:pPr>
              <w:jc w:val="right"/>
            </w:pPr>
            <w:r>
              <w:t>-0.06</w:t>
            </w:r>
          </w:p>
        </w:tc>
        <w:tc>
          <w:tcPr>
            <w:tcW w:w="859" w:type="dxa"/>
          </w:tcPr>
          <w:p w:rsidR="006F0FFC" w:rsidRDefault="006F0FFC" w:rsidP="006F0FFC">
            <w:pPr>
              <w:jc w:val="right"/>
            </w:pPr>
            <w:r>
              <w:t>0.01</w:t>
            </w:r>
          </w:p>
        </w:tc>
        <w:tc>
          <w:tcPr>
            <w:tcW w:w="859" w:type="dxa"/>
          </w:tcPr>
          <w:p w:rsidR="006F0FFC" w:rsidRDefault="006F0FFC" w:rsidP="006F0FFC">
            <w:pPr>
              <w:jc w:val="right"/>
            </w:pPr>
            <w:r>
              <w:t>0.04</w:t>
            </w:r>
          </w:p>
        </w:tc>
        <w:tc>
          <w:tcPr>
            <w:tcW w:w="859" w:type="dxa"/>
            <w:shd w:val="clear" w:color="auto" w:fill="BFBFBF" w:themeFill="background1" w:themeFillShade="BF"/>
          </w:tcPr>
          <w:p w:rsidR="006F0FFC" w:rsidRDefault="006F0FFC" w:rsidP="006F0FFC">
            <w:pPr>
              <w:jc w:val="right"/>
            </w:pPr>
            <w:r>
              <w:t>0.72</w:t>
            </w:r>
          </w:p>
        </w:tc>
        <w:tc>
          <w:tcPr>
            <w:tcW w:w="859" w:type="dxa"/>
          </w:tcPr>
          <w:p w:rsidR="006F0FFC" w:rsidRDefault="006F0FFC" w:rsidP="006F0FFC">
            <w:pPr>
              <w:jc w:val="right"/>
            </w:pPr>
            <w:r>
              <w:t>-0.10</w:t>
            </w:r>
          </w:p>
        </w:tc>
        <w:tc>
          <w:tcPr>
            <w:tcW w:w="859" w:type="dxa"/>
          </w:tcPr>
          <w:p w:rsidR="006F0FFC" w:rsidRDefault="006F0FFC" w:rsidP="006F0FFC">
            <w:pPr>
              <w:jc w:val="right"/>
            </w:pPr>
            <w:r>
              <w:t>0.15</w:t>
            </w:r>
          </w:p>
        </w:tc>
        <w:tc>
          <w:tcPr>
            <w:tcW w:w="859" w:type="dxa"/>
          </w:tcPr>
          <w:p w:rsidR="006F0FFC" w:rsidRDefault="006F0FFC" w:rsidP="006F0FFC">
            <w:pPr>
              <w:jc w:val="right"/>
            </w:pPr>
            <w:r>
              <w:t>0.09</w:t>
            </w:r>
          </w:p>
        </w:tc>
      </w:tr>
      <w:tr w:rsidR="006F0FFC" w:rsidTr="006F0FFC">
        <w:tc>
          <w:tcPr>
            <w:tcW w:w="2704" w:type="dxa"/>
          </w:tcPr>
          <w:p w:rsidR="006F0FFC" w:rsidRDefault="006F0FFC" w:rsidP="006F0FFC">
            <w:r>
              <w:t>Respect (Q4)</w:t>
            </w:r>
          </w:p>
        </w:tc>
        <w:tc>
          <w:tcPr>
            <w:tcW w:w="859" w:type="dxa"/>
            <w:shd w:val="clear" w:color="auto" w:fill="BFBFBF" w:themeFill="background1" w:themeFillShade="BF"/>
          </w:tcPr>
          <w:p w:rsidR="006F0FFC" w:rsidRDefault="006F0FFC" w:rsidP="006F0FFC">
            <w:pPr>
              <w:jc w:val="right"/>
            </w:pPr>
            <w:r>
              <w:t>0.83</w:t>
            </w:r>
          </w:p>
        </w:tc>
        <w:tc>
          <w:tcPr>
            <w:tcW w:w="859" w:type="dxa"/>
          </w:tcPr>
          <w:p w:rsidR="006F0FFC" w:rsidRDefault="006F0FFC" w:rsidP="006F0FFC">
            <w:pPr>
              <w:jc w:val="right"/>
            </w:pPr>
            <w:r>
              <w:t>0.02</w:t>
            </w:r>
          </w:p>
        </w:tc>
        <w:tc>
          <w:tcPr>
            <w:tcW w:w="859" w:type="dxa"/>
          </w:tcPr>
          <w:p w:rsidR="006F0FFC" w:rsidRDefault="006F0FFC" w:rsidP="006F0FFC">
            <w:pPr>
              <w:jc w:val="right"/>
            </w:pPr>
            <w:r>
              <w:t>-0.07</w:t>
            </w:r>
          </w:p>
        </w:tc>
        <w:tc>
          <w:tcPr>
            <w:tcW w:w="859" w:type="dxa"/>
          </w:tcPr>
          <w:p w:rsidR="006F0FFC" w:rsidRDefault="006F0FFC" w:rsidP="006F0FFC">
            <w:pPr>
              <w:jc w:val="right"/>
            </w:pPr>
            <w:r>
              <w:t>-0.02</w:t>
            </w:r>
          </w:p>
        </w:tc>
        <w:tc>
          <w:tcPr>
            <w:tcW w:w="859" w:type="dxa"/>
            <w:shd w:val="clear" w:color="auto" w:fill="BFBFBF" w:themeFill="background1" w:themeFillShade="BF"/>
          </w:tcPr>
          <w:p w:rsidR="006F0FFC" w:rsidRDefault="006F0FFC" w:rsidP="006F0FFC">
            <w:pPr>
              <w:jc w:val="right"/>
            </w:pPr>
            <w:r>
              <w:t>0.80</w:t>
            </w:r>
          </w:p>
        </w:tc>
        <w:tc>
          <w:tcPr>
            <w:tcW w:w="859" w:type="dxa"/>
          </w:tcPr>
          <w:p w:rsidR="006F0FFC" w:rsidRDefault="006F0FFC" w:rsidP="006F0FFC">
            <w:pPr>
              <w:jc w:val="right"/>
            </w:pPr>
            <w:r>
              <w:t>-0.05</w:t>
            </w:r>
          </w:p>
        </w:tc>
        <w:tc>
          <w:tcPr>
            <w:tcW w:w="859" w:type="dxa"/>
          </w:tcPr>
          <w:p w:rsidR="006F0FFC" w:rsidRDefault="006F0FFC" w:rsidP="006F0FFC">
            <w:pPr>
              <w:jc w:val="right"/>
            </w:pPr>
            <w:r>
              <w:t>0.05</w:t>
            </w:r>
          </w:p>
        </w:tc>
        <w:tc>
          <w:tcPr>
            <w:tcW w:w="859" w:type="dxa"/>
          </w:tcPr>
          <w:p w:rsidR="006F0FFC" w:rsidRDefault="006F0FFC" w:rsidP="006F0FFC">
            <w:pPr>
              <w:jc w:val="right"/>
            </w:pPr>
            <w:r>
              <w:t>0.19</w:t>
            </w:r>
          </w:p>
        </w:tc>
      </w:tr>
      <w:tr w:rsidR="006F0FFC" w:rsidTr="006F0FFC">
        <w:tc>
          <w:tcPr>
            <w:tcW w:w="2704" w:type="dxa"/>
          </w:tcPr>
          <w:p w:rsidR="006F0FFC" w:rsidRDefault="006F0FFC" w:rsidP="006F0FFC">
            <w:r>
              <w:t>Listen (Q5)</w:t>
            </w:r>
          </w:p>
        </w:tc>
        <w:tc>
          <w:tcPr>
            <w:tcW w:w="859" w:type="dxa"/>
            <w:shd w:val="clear" w:color="auto" w:fill="BFBFBF" w:themeFill="background1" w:themeFillShade="BF"/>
          </w:tcPr>
          <w:p w:rsidR="006F0FFC" w:rsidRDefault="006F0FFC" w:rsidP="006F0FFC">
            <w:pPr>
              <w:jc w:val="right"/>
            </w:pPr>
            <w:r>
              <w:t>0.81</w:t>
            </w:r>
          </w:p>
        </w:tc>
        <w:tc>
          <w:tcPr>
            <w:tcW w:w="859" w:type="dxa"/>
          </w:tcPr>
          <w:p w:rsidR="006F0FFC" w:rsidRDefault="006F0FFC" w:rsidP="006F0FFC">
            <w:pPr>
              <w:jc w:val="right"/>
            </w:pPr>
            <w:r>
              <w:t>-0.04</w:t>
            </w:r>
          </w:p>
        </w:tc>
        <w:tc>
          <w:tcPr>
            <w:tcW w:w="859" w:type="dxa"/>
          </w:tcPr>
          <w:p w:rsidR="006F0FFC" w:rsidRDefault="006F0FFC" w:rsidP="006F0FFC">
            <w:pPr>
              <w:jc w:val="right"/>
            </w:pPr>
            <w:r>
              <w:t>0.02</w:t>
            </w:r>
          </w:p>
        </w:tc>
        <w:tc>
          <w:tcPr>
            <w:tcW w:w="859" w:type="dxa"/>
          </w:tcPr>
          <w:p w:rsidR="006F0FFC" w:rsidRDefault="006F0FFC" w:rsidP="006F0FFC">
            <w:pPr>
              <w:jc w:val="right"/>
            </w:pPr>
            <w:r>
              <w:t>0.08</w:t>
            </w:r>
          </w:p>
        </w:tc>
        <w:tc>
          <w:tcPr>
            <w:tcW w:w="859" w:type="dxa"/>
            <w:shd w:val="clear" w:color="auto" w:fill="BFBFBF" w:themeFill="background1" w:themeFillShade="BF"/>
          </w:tcPr>
          <w:p w:rsidR="006F0FFC" w:rsidRDefault="006F0FFC" w:rsidP="006F0FFC">
            <w:pPr>
              <w:jc w:val="right"/>
            </w:pPr>
            <w:r>
              <w:t>0.88</w:t>
            </w:r>
          </w:p>
        </w:tc>
        <w:tc>
          <w:tcPr>
            <w:tcW w:w="859" w:type="dxa"/>
          </w:tcPr>
          <w:p w:rsidR="006F0FFC" w:rsidRDefault="006F0FFC" w:rsidP="006F0FFC">
            <w:pPr>
              <w:jc w:val="right"/>
            </w:pPr>
            <w:r>
              <w:t>0.00</w:t>
            </w:r>
          </w:p>
        </w:tc>
        <w:tc>
          <w:tcPr>
            <w:tcW w:w="859" w:type="dxa"/>
          </w:tcPr>
          <w:p w:rsidR="006F0FFC" w:rsidRDefault="006F0FFC" w:rsidP="006F0FFC">
            <w:pPr>
              <w:jc w:val="right"/>
            </w:pPr>
            <w:r>
              <w:t>0.04</w:t>
            </w:r>
          </w:p>
        </w:tc>
        <w:tc>
          <w:tcPr>
            <w:tcW w:w="859" w:type="dxa"/>
          </w:tcPr>
          <w:p w:rsidR="006F0FFC" w:rsidRDefault="006F0FFC" w:rsidP="006F0FFC">
            <w:pPr>
              <w:jc w:val="right"/>
            </w:pPr>
            <w:r>
              <w:t>-0.06</w:t>
            </w:r>
          </w:p>
        </w:tc>
      </w:tr>
      <w:tr w:rsidR="006F0FFC" w:rsidTr="006F0FFC">
        <w:tc>
          <w:tcPr>
            <w:tcW w:w="2704" w:type="dxa"/>
          </w:tcPr>
          <w:p w:rsidR="006F0FFC" w:rsidRDefault="006F0FFC" w:rsidP="006F0FFC">
            <w:r>
              <w:t>Visitors Help (Q27)</w:t>
            </w:r>
          </w:p>
        </w:tc>
        <w:tc>
          <w:tcPr>
            <w:tcW w:w="859" w:type="dxa"/>
            <w:shd w:val="clear" w:color="auto" w:fill="BFBFBF" w:themeFill="background1" w:themeFillShade="BF"/>
          </w:tcPr>
          <w:p w:rsidR="006F0FFC" w:rsidRDefault="006F0FFC" w:rsidP="006F0FFC">
            <w:pPr>
              <w:jc w:val="right"/>
            </w:pPr>
            <w:r>
              <w:t>0.70</w:t>
            </w:r>
          </w:p>
        </w:tc>
        <w:tc>
          <w:tcPr>
            <w:tcW w:w="859" w:type="dxa"/>
          </w:tcPr>
          <w:p w:rsidR="006F0FFC" w:rsidRDefault="006F0FFC" w:rsidP="006F0FFC">
            <w:pPr>
              <w:jc w:val="right"/>
            </w:pPr>
            <w:r>
              <w:t>0.00</w:t>
            </w:r>
          </w:p>
        </w:tc>
        <w:tc>
          <w:tcPr>
            <w:tcW w:w="859" w:type="dxa"/>
          </w:tcPr>
          <w:p w:rsidR="006F0FFC" w:rsidRDefault="006F0FFC" w:rsidP="006F0FFC">
            <w:pPr>
              <w:jc w:val="right"/>
            </w:pPr>
            <w:r>
              <w:t>0.07</w:t>
            </w:r>
          </w:p>
        </w:tc>
        <w:tc>
          <w:tcPr>
            <w:tcW w:w="859" w:type="dxa"/>
          </w:tcPr>
          <w:p w:rsidR="006F0FFC" w:rsidRDefault="006F0FFC" w:rsidP="006F0FFC">
            <w:pPr>
              <w:jc w:val="right"/>
            </w:pPr>
            <w:r>
              <w:t>-0.05</w:t>
            </w:r>
          </w:p>
        </w:tc>
        <w:tc>
          <w:tcPr>
            <w:tcW w:w="859" w:type="dxa"/>
            <w:shd w:val="clear" w:color="auto" w:fill="BFBFBF" w:themeFill="background1" w:themeFillShade="BF"/>
          </w:tcPr>
          <w:p w:rsidR="006F0FFC" w:rsidRDefault="006F0FFC" w:rsidP="006F0FFC">
            <w:pPr>
              <w:jc w:val="right"/>
            </w:pPr>
            <w:r>
              <w:t>0.78</w:t>
            </w:r>
          </w:p>
        </w:tc>
        <w:tc>
          <w:tcPr>
            <w:tcW w:w="859" w:type="dxa"/>
          </w:tcPr>
          <w:p w:rsidR="006F0FFC" w:rsidRDefault="006F0FFC" w:rsidP="006F0FFC">
            <w:pPr>
              <w:jc w:val="right"/>
            </w:pPr>
            <w:r>
              <w:t>-0.03</w:t>
            </w:r>
          </w:p>
        </w:tc>
        <w:tc>
          <w:tcPr>
            <w:tcW w:w="859" w:type="dxa"/>
          </w:tcPr>
          <w:p w:rsidR="006F0FFC" w:rsidRDefault="006F0FFC" w:rsidP="006F0FFC">
            <w:pPr>
              <w:jc w:val="right"/>
            </w:pPr>
            <w:r>
              <w:t>0.10</w:t>
            </w:r>
          </w:p>
        </w:tc>
        <w:tc>
          <w:tcPr>
            <w:tcW w:w="859" w:type="dxa"/>
          </w:tcPr>
          <w:p w:rsidR="006F0FFC" w:rsidRDefault="006F0FFC" w:rsidP="006F0FFC">
            <w:pPr>
              <w:jc w:val="right"/>
            </w:pPr>
            <w:r>
              <w:t>0.01</w:t>
            </w:r>
          </w:p>
        </w:tc>
      </w:tr>
      <w:tr w:rsidR="006F0FFC" w:rsidTr="006F0FFC">
        <w:tc>
          <w:tcPr>
            <w:tcW w:w="2704" w:type="dxa"/>
          </w:tcPr>
          <w:p w:rsidR="006F0FFC" w:rsidRDefault="006F0FFC" w:rsidP="006F0FFC">
            <w:r>
              <w:t>MD Pain Help (Q33)</w:t>
            </w:r>
          </w:p>
        </w:tc>
        <w:tc>
          <w:tcPr>
            <w:tcW w:w="859" w:type="dxa"/>
            <w:shd w:val="clear" w:color="auto" w:fill="BFBFBF" w:themeFill="background1" w:themeFillShade="BF"/>
          </w:tcPr>
          <w:p w:rsidR="006F0FFC" w:rsidRDefault="006F0FFC" w:rsidP="006F0FFC">
            <w:pPr>
              <w:jc w:val="right"/>
            </w:pPr>
            <w:r>
              <w:t>0.63</w:t>
            </w:r>
          </w:p>
        </w:tc>
        <w:tc>
          <w:tcPr>
            <w:tcW w:w="859" w:type="dxa"/>
          </w:tcPr>
          <w:p w:rsidR="006F0FFC" w:rsidRDefault="006F0FFC" w:rsidP="006F0FFC">
            <w:pPr>
              <w:jc w:val="right"/>
            </w:pPr>
            <w:r>
              <w:t>0.13</w:t>
            </w:r>
          </w:p>
        </w:tc>
        <w:tc>
          <w:tcPr>
            <w:tcW w:w="859" w:type="dxa"/>
          </w:tcPr>
          <w:p w:rsidR="006F0FFC" w:rsidRDefault="006F0FFC" w:rsidP="006F0FFC">
            <w:pPr>
              <w:jc w:val="right"/>
            </w:pPr>
            <w:r>
              <w:t>0.14</w:t>
            </w:r>
          </w:p>
        </w:tc>
        <w:tc>
          <w:tcPr>
            <w:tcW w:w="859" w:type="dxa"/>
          </w:tcPr>
          <w:p w:rsidR="006F0FFC" w:rsidRDefault="006F0FFC" w:rsidP="006F0FFC">
            <w:pPr>
              <w:jc w:val="right"/>
            </w:pPr>
            <w:r>
              <w:t>-0.01</w:t>
            </w:r>
          </w:p>
        </w:tc>
        <w:tc>
          <w:tcPr>
            <w:tcW w:w="859" w:type="dxa"/>
            <w:shd w:val="clear" w:color="auto" w:fill="BFBFBF" w:themeFill="background1" w:themeFillShade="BF"/>
          </w:tcPr>
          <w:p w:rsidR="006F0FFC" w:rsidRDefault="006F0FFC" w:rsidP="006F0FFC">
            <w:pPr>
              <w:jc w:val="right"/>
            </w:pPr>
            <w:r>
              <w:t>0.66</w:t>
            </w:r>
          </w:p>
        </w:tc>
        <w:tc>
          <w:tcPr>
            <w:tcW w:w="859" w:type="dxa"/>
          </w:tcPr>
          <w:p w:rsidR="006F0FFC" w:rsidRDefault="006F0FFC" w:rsidP="006F0FFC">
            <w:pPr>
              <w:jc w:val="right"/>
            </w:pPr>
            <w:r>
              <w:t>-0.06</w:t>
            </w:r>
          </w:p>
        </w:tc>
        <w:tc>
          <w:tcPr>
            <w:tcW w:w="859" w:type="dxa"/>
          </w:tcPr>
          <w:p w:rsidR="006F0FFC" w:rsidRDefault="006F0FFC" w:rsidP="006F0FFC">
            <w:pPr>
              <w:jc w:val="right"/>
            </w:pPr>
            <w:r>
              <w:t>0.27</w:t>
            </w:r>
          </w:p>
        </w:tc>
        <w:tc>
          <w:tcPr>
            <w:tcW w:w="859" w:type="dxa"/>
          </w:tcPr>
          <w:p w:rsidR="006F0FFC" w:rsidRDefault="006F0FFC" w:rsidP="006F0FFC">
            <w:pPr>
              <w:jc w:val="right"/>
            </w:pPr>
            <w:r>
              <w:t>0.12</w:t>
            </w:r>
          </w:p>
        </w:tc>
      </w:tr>
      <w:tr w:rsidR="006F0FFC" w:rsidTr="006F0FFC">
        <w:tc>
          <w:tcPr>
            <w:tcW w:w="2704" w:type="dxa"/>
          </w:tcPr>
          <w:p w:rsidR="006F0FFC" w:rsidRDefault="006F0FFC" w:rsidP="006F0FFC">
            <w:r>
              <w:t>How Often Bathroom (Q22)</w:t>
            </w:r>
          </w:p>
        </w:tc>
        <w:tc>
          <w:tcPr>
            <w:tcW w:w="859" w:type="dxa"/>
            <w:shd w:val="clear" w:color="auto" w:fill="BFBFBF" w:themeFill="background1" w:themeFillShade="BF"/>
          </w:tcPr>
          <w:p w:rsidR="006F0FFC" w:rsidRDefault="006F0FFC" w:rsidP="006F0FFC">
            <w:pPr>
              <w:jc w:val="right"/>
            </w:pPr>
            <w:r>
              <w:t>0.62</w:t>
            </w:r>
          </w:p>
        </w:tc>
        <w:tc>
          <w:tcPr>
            <w:tcW w:w="859" w:type="dxa"/>
          </w:tcPr>
          <w:p w:rsidR="006F0FFC" w:rsidRDefault="006F0FFC" w:rsidP="006F0FFC">
            <w:pPr>
              <w:jc w:val="right"/>
            </w:pPr>
            <w:r>
              <w:t>-0.01</w:t>
            </w:r>
          </w:p>
        </w:tc>
        <w:tc>
          <w:tcPr>
            <w:tcW w:w="859" w:type="dxa"/>
          </w:tcPr>
          <w:p w:rsidR="006F0FFC" w:rsidRDefault="006F0FFC" w:rsidP="006F0FFC">
            <w:pPr>
              <w:jc w:val="right"/>
            </w:pPr>
            <w:r>
              <w:t>-0.03</w:t>
            </w:r>
          </w:p>
        </w:tc>
        <w:tc>
          <w:tcPr>
            <w:tcW w:w="859" w:type="dxa"/>
          </w:tcPr>
          <w:p w:rsidR="006F0FFC" w:rsidRDefault="006F0FFC" w:rsidP="006F0FFC">
            <w:pPr>
              <w:jc w:val="right"/>
            </w:pPr>
            <w:r>
              <w:t>0.14</w:t>
            </w:r>
          </w:p>
        </w:tc>
        <w:tc>
          <w:tcPr>
            <w:tcW w:w="859" w:type="dxa"/>
            <w:shd w:val="clear" w:color="auto" w:fill="BFBFBF" w:themeFill="background1" w:themeFillShade="BF"/>
          </w:tcPr>
          <w:p w:rsidR="006F0FFC" w:rsidRDefault="006F0FFC" w:rsidP="006F0FFC">
            <w:pPr>
              <w:jc w:val="right"/>
            </w:pPr>
            <w:r>
              <w:t>0.57</w:t>
            </w:r>
          </w:p>
        </w:tc>
        <w:tc>
          <w:tcPr>
            <w:tcW w:w="859" w:type="dxa"/>
          </w:tcPr>
          <w:p w:rsidR="006F0FFC" w:rsidRDefault="006F0FFC" w:rsidP="006F0FFC">
            <w:pPr>
              <w:jc w:val="right"/>
            </w:pPr>
            <w:r>
              <w:t>0.21</w:t>
            </w:r>
          </w:p>
        </w:tc>
        <w:tc>
          <w:tcPr>
            <w:tcW w:w="859" w:type="dxa"/>
          </w:tcPr>
          <w:p w:rsidR="006F0FFC" w:rsidRDefault="006F0FFC" w:rsidP="006F0FFC">
            <w:pPr>
              <w:jc w:val="right"/>
            </w:pPr>
            <w:r>
              <w:t>-0.09</w:t>
            </w:r>
          </w:p>
        </w:tc>
        <w:tc>
          <w:tcPr>
            <w:tcW w:w="859" w:type="dxa"/>
          </w:tcPr>
          <w:p w:rsidR="006F0FFC" w:rsidRDefault="006F0FFC" w:rsidP="006F0FFC">
            <w:pPr>
              <w:jc w:val="right"/>
            </w:pPr>
            <w:r>
              <w:t>-0.20</w:t>
            </w:r>
          </w:p>
        </w:tc>
      </w:tr>
      <w:tr w:rsidR="006F0FFC" w:rsidTr="006F0FFC">
        <w:tc>
          <w:tcPr>
            <w:tcW w:w="2704" w:type="dxa"/>
          </w:tcPr>
          <w:p w:rsidR="006F0FFC" w:rsidRDefault="006F0FFC" w:rsidP="006F0FFC">
            <w:r>
              <w:t>Explain Things (Q6)</w:t>
            </w:r>
          </w:p>
        </w:tc>
        <w:tc>
          <w:tcPr>
            <w:tcW w:w="859" w:type="dxa"/>
            <w:shd w:val="clear" w:color="auto" w:fill="BFBFBF" w:themeFill="background1" w:themeFillShade="BF"/>
          </w:tcPr>
          <w:p w:rsidR="006F0FFC" w:rsidRDefault="006F0FFC" w:rsidP="006F0FFC">
            <w:pPr>
              <w:jc w:val="right"/>
            </w:pPr>
            <w:r>
              <w:t>0.57</w:t>
            </w:r>
          </w:p>
        </w:tc>
        <w:tc>
          <w:tcPr>
            <w:tcW w:w="859" w:type="dxa"/>
          </w:tcPr>
          <w:p w:rsidR="006F0FFC" w:rsidRDefault="006F0FFC" w:rsidP="006F0FFC">
            <w:pPr>
              <w:jc w:val="right"/>
            </w:pPr>
            <w:r>
              <w:t>0.10</w:t>
            </w:r>
          </w:p>
        </w:tc>
        <w:tc>
          <w:tcPr>
            <w:tcW w:w="859" w:type="dxa"/>
          </w:tcPr>
          <w:p w:rsidR="006F0FFC" w:rsidRDefault="006F0FFC" w:rsidP="006F0FFC">
            <w:pPr>
              <w:jc w:val="right"/>
            </w:pPr>
            <w:r>
              <w:t>0.14</w:t>
            </w:r>
          </w:p>
        </w:tc>
        <w:tc>
          <w:tcPr>
            <w:tcW w:w="859" w:type="dxa"/>
          </w:tcPr>
          <w:p w:rsidR="006F0FFC" w:rsidRDefault="006F0FFC" w:rsidP="006F0FFC">
            <w:pPr>
              <w:jc w:val="right"/>
            </w:pPr>
            <w:r>
              <w:t>0.10</w:t>
            </w:r>
          </w:p>
        </w:tc>
        <w:tc>
          <w:tcPr>
            <w:tcW w:w="859" w:type="dxa"/>
            <w:shd w:val="clear" w:color="auto" w:fill="BFBFBF" w:themeFill="background1" w:themeFillShade="BF"/>
          </w:tcPr>
          <w:p w:rsidR="006F0FFC" w:rsidRDefault="006F0FFC" w:rsidP="006F0FFC">
            <w:pPr>
              <w:jc w:val="right"/>
            </w:pPr>
            <w:r>
              <w:t>0.78</w:t>
            </w:r>
          </w:p>
        </w:tc>
        <w:tc>
          <w:tcPr>
            <w:tcW w:w="859" w:type="dxa"/>
          </w:tcPr>
          <w:p w:rsidR="006F0FFC" w:rsidRDefault="006F0FFC" w:rsidP="006F0FFC">
            <w:pPr>
              <w:jc w:val="right"/>
            </w:pPr>
            <w:r>
              <w:t>-0.08</w:t>
            </w:r>
          </w:p>
        </w:tc>
        <w:tc>
          <w:tcPr>
            <w:tcW w:w="859" w:type="dxa"/>
          </w:tcPr>
          <w:p w:rsidR="006F0FFC" w:rsidRDefault="006F0FFC" w:rsidP="006F0FFC">
            <w:pPr>
              <w:jc w:val="right"/>
            </w:pPr>
            <w:r>
              <w:t>0.20</w:t>
            </w:r>
          </w:p>
        </w:tc>
        <w:tc>
          <w:tcPr>
            <w:tcW w:w="859" w:type="dxa"/>
          </w:tcPr>
          <w:p w:rsidR="006F0FFC" w:rsidRDefault="006F0FFC" w:rsidP="006F0FFC">
            <w:pPr>
              <w:jc w:val="right"/>
            </w:pPr>
            <w:r>
              <w:t>-0.06</w:t>
            </w:r>
          </w:p>
        </w:tc>
      </w:tr>
      <w:tr w:rsidR="006F0FFC" w:rsidTr="006F0FFC">
        <w:tc>
          <w:tcPr>
            <w:tcW w:w="2704" w:type="dxa"/>
          </w:tcPr>
          <w:p w:rsidR="006F0FFC" w:rsidRDefault="006F0FFC" w:rsidP="006F0FFC">
            <w:r>
              <w:t>How Often Bathing (Q20)</w:t>
            </w:r>
          </w:p>
        </w:tc>
        <w:tc>
          <w:tcPr>
            <w:tcW w:w="859" w:type="dxa"/>
            <w:shd w:val="clear" w:color="auto" w:fill="BFBFBF" w:themeFill="background1" w:themeFillShade="BF"/>
          </w:tcPr>
          <w:p w:rsidR="006F0FFC" w:rsidRDefault="006F0FFC" w:rsidP="006F0FFC">
            <w:pPr>
              <w:jc w:val="right"/>
            </w:pPr>
            <w:r>
              <w:t>0.53</w:t>
            </w:r>
          </w:p>
        </w:tc>
        <w:tc>
          <w:tcPr>
            <w:tcW w:w="859" w:type="dxa"/>
          </w:tcPr>
          <w:p w:rsidR="006F0FFC" w:rsidRDefault="006F0FFC" w:rsidP="006F0FFC">
            <w:pPr>
              <w:jc w:val="right"/>
            </w:pPr>
            <w:r>
              <w:t>0.16</w:t>
            </w:r>
          </w:p>
        </w:tc>
        <w:tc>
          <w:tcPr>
            <w:tcW w:w="859" w:type="dxa"/>
          </w:tcPr>
          <w:p w:rsidR="006F0FFC" w:rsidRDefault="006F0FFC" w:rsidP="006F0FFC">
            <w:pPr>
              <w:jc w:val="right"/>
            </w:pPr>
            <w:r>
              <w:t>-0.11</w:t>
            </w:r>
          </w:p>
        </w:tc>
        <w:tc>
          <w:tcPr>
            <w:tcW w:w="859" w:type="dxa"/>
          </w:tcPr>
          <w:p w:rsidR="006F0FFC" w:rsidRDefault="006F0FFC" w:rsidP="006F0FFC">
            <w:pPr>
              <w:jc w:val="right"/>
            </w:pPr>
            <w:r>
              <w:t>0.09</w:t>
            </w:r>
          </w:p>
        </w:tc>
        <w:tc>
          <w:tcPr>
            <w:tcW w:w="859" w:type="dxa"/>
            <w:shd w:val="clear" w:color="auto" w:fill="BFBFBF" w:themeFill="background1" w:themeFillShade="BF"/>
          </w:tcPr>
          <w:p w:rsidR="006F0FFC" w:rsidRDefault="006F0FFC" w:rsidP="006F0FFC">
            <w:pPr>
              <w:jc w:val="right"/>
            </w:pPr>
            <w:r>
              <w:t>0.56</w:t>
            </w:r>
          </w:p>
        </w:tc>
        <w:tc>
          <w:tcPr>
            <w:tcW w:w="859" w:type="dxa"/>
          </w:tcPr>
          <w:p w:rsidR="006F0FFC" w:rsidRDefault="006F0FFC" w:rsidP="006F0FFC">
            <w:pPr>
              <w:jc w:val="right"/>
            </w:pPr>
            <w:r>
              <w:t>0.18</w:t>
            </w:r>
          </w:p>
        </w:tc>
        <w:tc>
          <w:tcPr>
            <w:tcW w:w="859" w:type="dxa"/>
          </w:tcPr>
          <w:p w:rsidR="006F0FFC" w:rsidRDefault="006F0FFC" w:rsidP="006F0FFC">
            <w:pPr>
              <w:jc w:val="right"/>
            </w:pPr>
            <w:r>
              <w:t>-0.05</w:t>
            </w:r>
          </w:p>
        </w:tc>
        <w:tc>
          <w:tcPr>
            <w:tcW w:w="859" w:type="dxa"/>
          </w:tcPr>
          <w:p w:rsidR="006F0FFC" w:rsidRDefault="006F0FFC" w:rsidP="006F0FFC">
            <w:pPr>
              <w:jc w:val="right"/>
            </w:pPr>
            <w:r>
              <w:t>-0.14</w:t>
            </w:r>
          </w:p>
        </w:tc>
      </w:tr>
      <w:tr w:rsidR="006F0FFC" w:rsidTr="006F0FFC">
        <w:tc>
          <w:tcPr>
            <w:tcW w:w="2704" w:type="dxa"/>
          </w:tcPr>
          <w:p w:rsidR="006F0FFC" w:rsidRDefault="006F0FFC" w:rsidP="006F0FFC">
            <w:r>
              <w:t>Pain Controlled (Q32)</w:t>
            </w:r>
          </w:p>
        </w:tc>
        <w:tc>
          <w:tcPr>
            <w:tcW w:w="859" w:type="dxa"/>
            <w:shd w:val="clear" w:color="auto" w:fill="BFBFBF" w:themeFill="background1" w:themeFillShade="BF"/>
          </w:tcPr>
          <w:p w:rsidR="006F0FFC" w:rsidRDefault="006F0FFC" w:rsidP="006F0FFC">
            <w:pPr>
              <w:jc w:val="right"/>
            </w:pPr>
            <w:r>
              <w:t>0.51</w:t>
            </w:r>
          </w:p>
        </w:tc>
        <w:tc>
          <w:tcPr>
            <w:tcW w:w="859" w:type="dxa"/>
          </w:tcPr>
          <w:p w:rsidR="006F0FFC" w:rsidRDefault="006F0FFC" w:rsidP="006F0FFC">
            <w:pPr>
              <w:jc w:val="right"/>
            </w:pPr>
            <w:r>
              <w:t>0.21</w:t>
            </w:r>
          </w:p>
        </w:tc>
        <w:tc>
          <w:tcPr>
            <w:tcW w:w="859" w:type="dxa"/>
          </w:tcPr>
          <w:p w:rsidR="006F0FFC" w:rsidRDefault="006F0FFC" w:rsidP="006F0FFC">
            <w:pPr>
              <w:jc w:val="right"/>
            </w:pPr>
            <w:r>
              <w:t>0.20</w:t>
            </w:r>
          </w:p>
        </w:tc>
        <w:tc>
          <w:tcPr>
            <w:tcW w:w="859" w:type="dxa"/>
          </w:tcPr>
          <w:p w:rsidR="006F0FFC" w:rsidRDefault="006F0FFC" w:rsidP="006F0FFC">
            <w:pPr>
              <w:jc w:val="right"/>
            </w:pPr>
            <w:r>
              <w:t>-0.18</w:t>
            </w:r>
          </w:p>
        </w:tc>
        <w:tc>
          <w:tcPr>
            <w:tcW w:w="859" w:type="dxa"/>
            <w:shd w:val="clear" w:color="auto" w:fill="BFBFBF" w:themeFill="background1" w:themeFillShade="BF"/>
          </w:tcPr>
          <w:p w:rsidR="006F0FFC" w:rsidRDefault="006F0FFC" w:rsidP="006F0FFC">
            <w:pPr>
              <w:jc w:val="right"/>
            </w:pPr>
            <w:r>
              <w:t>0.55</w:t>
            </w:r>
          </w:p>
        </w:tc>
        <w:tc>
          <w:tcPr>
            <w:tcW w:w="859" w:type="dxa"/>
          </w:tcPr>
          <w:p w:rsidR="006F0FFC" w:rsidRDefault="006F0FFC" w:rsidP="006F0FFC">
            <w:pPr>
              <w:jc w:val="right"/>
            </w:pPr>
            <w:r>
              <w:t>0.04</w:t>
            </w:r>
          </w:p>
        </w:tc>
        <w:tc>
          <w:tcPr>
            <w:tcW w:w="859" w:type="dxa"/>
          </w:tcPr>
          <w:p w:rsidR="006F0FFC" w:rsidRDefault="006F0FFC" w:rsidP="006F0FFC">
            <w:pPr>
              <w:jc w:val="right"/>
            </w:pPr>
            <w:r>
              <w:t>0.23</w:t>
            </w:r>
          </w:p>
        </w:tc>
        <w:tc>
          <w:tcPr>
            <w:tcW w:w="859" w:type="dxa"/>
          </w:tcPr>
          <w:p w:rsidR="006F0FFC" w:rsidRDefault="006F0FFC" w:rsidP="006F0FFC">
            <w:pPr>
              <w:jc w:val="right"/>
            </w:pPr>
            <w:r>
              <w:t>0.10</w:t>
            </w:r>
          </w:p>
        </w:tc>
      </w:tr>
      <w:tr w:rsidR="006F0FFC" w:rsidTr="006F0FFC">
        <w:tc>
          <w:tcPr>
            <w:tcW w:w="2704" w:type="dxa"/>
          </w:tcPr>
          <w:p w:rsidR="006F0FFC" w:rsidRDefault="006F0FFC" w:rsidP="006F0FFC">
            <w:r>
              <w:t>Room Quiet (Q18)</w:t>
            </w:r>
          </w:p>
        </w:tc>
        <w:tc>
          <w:tcPr>
            <w:tcW w:w="859" w:type="dxa"/>
            <w:shd w:val="clear" w:color="auto" w:fill="BFBFBF" w:themeFill="background1" w:themeFillShade="BF"/>
          </w:tcPr>
          <w:p w:rsidR="006F0FFC" w:rsidRDefault="006F0FFC" w:rsidP="006F0FFC">
            <w:pPr>
              <w:jc w:val="right"/>
            </w:pPr>
            <w:r>
              <w:t>0.48</w:t>
            </w:r>
          </w:p>
        </w:tc>
        <w:tc>
          <w:tcPr>
            <w:tcW w:w="859" w:type="dxa"/>
          </w:tcPr>
          <w:p w:rsidR="006F0FFC" w:rsidRDefault="006F0FFC" w:rsidP="006F0FFC">
            <w:pPr>
              <w:jc w:val="right"/>
            </w:pPr>
            <w:r>
              <w:t>0.03</w:t>
            </w:r>
          </w:p>
        </w:tc>
        <w:tc>
          <w:tcPr>
            <w:tcW w:w="859" w:type="dxa"/>
          </w:tcPr>
          <w:p w:rsidR="006F0FFC" w:rsidRDefault="006F0FFC" w:rsidP="006F0FFC">
            <w:pPr>
              <w:jc w:val="right"/>
            </w:pPr>
            <w:r>
              <w:t>0.00</w:t>
            </w:r>
          </w:p>
        </w:tc>
        <w:tc>
          <w:tcPr>
            <w:tcW w:w="859" w:type="dxa"/>
          </w:tcPr>
          <w:p w:rsidR="006F0FFC" w:rsidRDefault="006F0FFC" w:rsidP="006F0FFC">
            <w:pPr>
              <w:jc w:val="right"/>
            </w:pPr>
            <w:r>
              <w:t>-0.06</w:t>
            </w:r>
          </w:p>
        </w:tc>
        <w:tc>
          <w:tcPr>
            <w:tcW w:w="859" w:type="dxa"/>
            <w:shd w:val="clear" w:color="auto" w:fill="BFBFBF" w:themeFill="background1" w:themeFillShade="BF"/>
          </w:tcPr>
          <w:p w:rsidR="006F0FFC" w:rsidRDefault="006F0FFC" w:rsidP="006F0FFC">
            <w:pPr>
              <w:jc w:val="right"/>
            </w:pPr>
            <w:r>
              <w:t>0.42</w:t>
            </w:r>
          </w:p>
        </w:tc>
        <w:tc>
          <w:tcPr>
            <w:tcW w:w="859" w:type="dxa"/>
          </w:tcPr>
          <w:p w:rsidR="006F0FFC" w:rsidRDefault="006F0FFC" w:rsidP="006F0FFC">
            <w:pPr>
              <w:jc w:val="right"/>
            </w:pPr>
            <w:r>
              <w:t>0.05</w:t>
            </w:r>
          </w:p>
        </w:tc>
        <w:tc>
          <w:tcPr>
            <w:tcW w:w="859" w:type="dxa"/>
          </w:tcPr>
          <w:p w:rsidR="006F0FFC" w:rsidRDefault="006F0FFC" w:rsidP="006F0FFC">
            <w:pPr>
              <w:jc w:val="right"/>
            </w:pPr>
            <w:r>
              <w:t>-0.19</w:t>
            </w:r>
          </w:p>
        </w:tc>
        <w:tc>
          <w:tcPr>
            <w:tcW w:w="859" w:type="dxa"/>
          </w:tcPr>
          <w:p w:rsidR="006F0FFC" w:rsidRDefault="006F0FFC" w:rsidP="006F0FFC">
            <w:pPr>
              <w:jc w:val="right"/>
            </w:pPr>
            <w:r>
              <w:t>0.26</w:t>
            </w:r>
          </w:p>
        </w:tc>
      </w:tr>
      <w:tr w:rsidR="006F0FFC" w:rsidTr="006F0FFC">
        <w:tc>
          <w:tcPr>
            <w:tcW w:w="2704" w:type="dxa"/>
          </w:tcPr>
          <w:p w:rsidR="006F0FFC" w:rsidRDefault="006F0FFC" w:rsidP="006F0FFC">
            <w:r>
              <w:t>MD Respond Pain (Q31)</w:t>
            </w:r>
          </w:p>
        </w:tc>
        <w:tc>
          <w:tcPr>
            <w:tcW w:w="859" w:type="dxa"/>
            <w:shd w:val="clear" w:color="auto" w:fill="BFBFBF" w:themeFill="background1" w:themeFillShade="BF"/>
          </w:tcPr>
          <w:p w:rsidR="006F0FFC" w:rsidRDefault="006F0FFC" w:rsidP="006F0FFC">
            <w:pPr>
              <w:jc w:val="right"/>
            </w:pPr>
            <w:r>
              <w:t>0.48</w:t>
            </w:r>
          </w:p>
        </w:tc>
        <w:tc>
          <w:tcPr>
            <w:tcW w:w="859" w:type="dxa"/>
          </w:tcPr>
          <w:p w:rsidR="006F0FFC" w:rsidRDefault="006F0FFC" w:rsidP="006F0FFC">
            <w:pPr>
              <w:jc w:val="right"/>
            </w:pPr>
            <w:r>
              <w:t>0.21</w:t>
            </w:r>
          </w:p>
        </w:tc>
        <w:tc>
          <w:tcPr>
            <w:tcW w:w="859" w:type="dxa"/>
          </w:tcPr>
          <w:p w:rsidR="006F0FFC" w:rsidRDefault="006F0FFC" w:rsidP="006F0FFC">
            <w:pPr>
              <w:jc w:val="right"/>
            </w:pPr>
            <w:r>
              <w:t>-0.03</w:t>
            </w:r>
          </w:p>
        </w:tc>
        <w:tc>
          <w:tcPr>
            <w:tcW w:w="859" w:type="dxa"/>
          </w:tcPr>
          <w:p w:rsidR="006F0FFC" w:rsidRDefault="006F0FFC" w:rsidP="006F0FFC">
            <w:pPr>
              <w:jc w:val="right"/>
            </w:pPr>
            <w:r>
              <w:t>0.07</w:t>
            </w:r>
          </w:p>
        </w:tc>
        <w:tc>
          <w:tcPr>
            <w:tcW w:w="859" w:type="dxa"/>
            <w:shd w:val="clear" w:color="auto" w:fill="BFBFBF" w:themeFill="background1" w:themeFillShade="BF"/>
          </w:tcPr>
          <w:p w:rsidR="006F0FFC" w:rsidRDefault="006F0FFC" w:rsidP="006F0FFC">
            <w:pPr>
              <w:jc w:val="right"/>
            </w:pPr>
            <w:r>
              <w:t>0.65</w:t>
            </w:r>
          </w:p>
        </w:tc>
        <w:tc>
          <w:tcPr>
            <w:tcW w:w="859" w:type="dxa"/>
          </w:tcPr>
          <w:p w:rsidR="006F0FFC" w:rsidRDefault="006F0FFC" w:rsidP="006F0FFC">
            <w:pPr>
              <w:jc w:val="right"/>
            </w:pPr>
            <w:r>
              <w:t>0.15</w:t>
            </w:r>
          </w:p>
        </w:tc>
        <w:tc>
          <w:tcPr>
            <w:tcW w:w="859" w:type="dxa"/>
          </w:tcPr>
          <w:p w:rsidR="006F0FFC" w:rsidRDefault="006F0FFC" w:rsidP="006F0FFC">
            <w:pPr>
              <w:jc w:val="right"/>
            </w:pPr>
            <w:r>
              <w:t>0.08</w:t>
            </w:r>
          </w:p>
        </w:tc>
        <w:tc>
          <w:tcPr>
            <w:tcW w:w="859" w:type="dxa"/>
          </w:tcPr>
          <w:p w:rsidR="006F0FFC" w:rsidRDefault="006F0FFC" w:rsidP="006F0FFC">
            <w:pPr>
              <w:jc w:val="right"/>
            </w:pPr>
            <w:r>
              <w:t>-0.01</w:t>
            </w:r>
          </w:p>
        </w:tc>
      </w:tr>
      <w:tr w:rsidR="006F0FFC" w:rsidTr="006F0FFC">
        <w:tc>
          <w:tcPr>
            <w:tcW w:w="2704" w:type="dxa"/>
          </w:tcPr>
          <w:p w:rsidR="006F0FFC" w:rsidRDefault="006F0FFC" w:rsidP="006F0FFC">
            <w:r>
              <w:t>Room Clean (Q17)</w:t>
            </w:r>
          </w:p>
        </w:tc>
        <w:tc>
          <w:tcPr>
            <w:tcW w:w="859" w:type="dxa"/>
            <w:shd w:val="clear" w:color="auto" w:fill="BFBFBF" w:themeFill="background1" w:themeFillShade="BF"/>
          </w:tcPr>
          <w:p w:rsidR="006F0FFC" w:rsidRDefault="006F0FFC" w:rsidP="006F0FFC">
            <w:pPr>
              <w:jc w:val="right"/>
            </w:pPr>
            <w:r>
              <w:t>0.44</w:t>
            </w:r>
          </w:p>
        </w:tc>
        <w:tc>
          <w:tcPr>
            <w:tcW w:w="859" w:type="dxa"/>
          </w:tcPr>
          <w:p w:rsidR="006F0FFC" w:rsidRDefault="006F0FFC" w:rsidP="006F0FFC">
            <w:pPr>
              <w:jc w:val="right"/>
            </w:pPr>
            <w:r>
              <w:t>0.27</w:t>
            </w:r>
          </w:p>
        </w:tc>
        <w:tc>
          <w:tcPr>
            <w:tcW w:w="859" w:type="dxa"/>
          </w:tcPr>
          <w:p w:rsidR="006F0FFC" w:rsidRDefault="006F0FFC" w:rsidP="006F0FFC">
            <w:pPr>
              <w:jc w:val="right"/>
            </w:pPr>
            <w:r>
              <w:t>0.01</w:t>
            </w:r>
          </w:p>
        </w:tc>
        <w:tc>
          <w:tcPr>
            <w:tcW w:w="859" w:type="dxa"/>
          </w:tcPr>
          <w:p w:rsidR="006F0FFC" w:rsidRDefault="006F0FFC" w:rsidP="006F0FFC">
            <w:pPr>
              <w:jc w:val="right"/>
            </w:pPr>
            <w:r>
              <w:t>-0.19</w:t>
            </w:r>
          </w:p>
        </w:tc>
        <w:tc>
          <w:tcPr>
            <w:tcW w:w="859" w:type="dxa"/>
            <w:shd w:val="clear" w:color="auto" w:fill="BFBFBF" w:themeFill="background1" w:themeFillShade="BF"/>
          </w:tcPr>
          <w:p w:rsidR="006F0FFC" w:rsidRDefault="006F0FFC" w:rsidP="006F0FFC">
            <w:pPr>
              <w:jc w:val="right"/>
            </w:pPr>
            <w:r>
              <w:t>0.64</w:t>
            </w:r>
          </w:p>
        </w:tc>
        <w:tc>
          <w:tcPr>
            <w:tcW w:w="859" w:type="dxa"/>
          </w:tcPr>
          <w:p w:rsidR="006F0FFC" w:rsidRDefault="006F0FFC" w:rsidP="006F0FFC">
            <w:pPr>
              <w:jc w:val="right"/>
            </w:pPr>
            <w:r>
              <w:t>-0.03</w:t>
            </w:r>
          </w:p>
        </w:tc>
        <w:tc>
          <w:tcPr>
            <w:tcW w:w="859" w:type="dxa"/>
          </w:tcPr>
          <w:p w:rsidR="006F0FFC" w:rsidRDefault="006F0FFC" w:rsidP="006F0FFC">
            <w:pPr>
              <w:jc w:val="right"/>
            </w:pPr>
            <w:r>
              <w:t>-0.29</w:t>
            </w:r>
          </w:p>
        </w:tc>
        <w:tc>
          <w:tcPr>
            <w:tcW w:w="859" w:type="dxa"/>
          </w:tcPr>
          <w:p w:rsidR="006F0FFC" w:rsidRDefault="006F0FFC" w:rsidP="006F0FFC">
            <w:pPr>
              <w:jc w:val="right"/>
            </w:pPr>
            <w:r>
              <w:t>0.26</w:t>
            </w:r>
          </w:p>
        </w:tc>
      </w:tr>
      <w:tr w:rsidR="006F0FFC" w:rsidTr="006F0FFC">
        <w:tc>
          <w:tcPr>
            <w:tcW w:w="2704" w:type="dxa"/>
          </w:tcPr>
          <w:p w:rsidR="006F0FFC" w:rsidRDefault="006F0FFC" w:rsidP="006F0FFC">
            <w:r>
              <w:t>Introduce (Q28)</w:t>
            </w:r>
          </w:p>
        </w:tc>
        <w:tc>
          <w:tcPr>
            <w:tcW w:w="859" w:type="dxa"/>
            <w:shd w:val="clear" w:color="auto" w:fill="BFBFBF" w:themeFill="background1" w:themeFillShade="BF"/>
          </w:tcPr>
          <w:p w:rsidR="006F0FFC" w:rsidRDefault="006F0FFC" w:rsidP="006F0FFC">
            <w:pPr>
              <w:jc w:val="right"/>
            </w:pPr>
            <w:r>
              <w:t>0.40</w:t>
            </w:r>
          </w:p>
        </w:tc>
        <w:tc>
          <w:tcPr>
            <w:tcW w:w="859" w:type="dxa"/>
          </w:tcPr>
          <w:p w:rsidR="006F0FFC" w:rsidRDefault="006F0FFC" w:rsidP="006F0FFC">
            <w:pPr>
              <w:jc w:val="right"/>
            </w:pPr>
            <w:r>
              <w:t>0.26</w:t>
            </w:r>
          </w:p>
        </w:tc>
        <w:tc>
          <w:tcPr>
            <w:tcW w:w="859" w:type="dxa"/>
          </w:tcPr>
          <w:p w:rsidR="006F0FFC" w:rsidRDefault="006F0FFC" w:rsidP="006F0FFC">
            <w:pPr>
              <w:jc w:val="right"/>
            </w:pPr>
            <w:r>
              <w:t>0.11</w:t>
            </w:r>
          </w:p>
        </w:tc>
        <w:tc>
          <w:tcPr>
            <w:tcW w:w="859" w:type="dxa"/>
          </w:tcPr>
          <w:p w:rsidR="006F0FFC" w:rsidRDefault="006F0FFC" w:rsidP="006F0FFC">
            <w:pPr>
              <w:jc w:val="right"/>
            </w:pPr>
            <w:r>
              <w:t>-0.11</w:t>
            </w:r>
          </w:p>
        </w:tc>
        <w:tc>
          <w:tcPr>
            <w:tcW w:w="859" w:type="dxa"/>
            <w:shd w:val="clear" w:color="auto" w:fill="BFBFBF" w:themeFill="background1" w:themeFillShade="BF"/>
          </w:tcPr>
          <w:p w:rsidR="006F0FFC" w:rsidRDefault="006F0FFC" w:rsidP="006F0FFC">
            <w:pPr>
              <w:jc w:val="right"/>
            </w:pPr>
            <w:r>
              <w:t>0.55</w:t>
            </w:r>
          </w:p>
        </w:tc>
        <w:tc>
          <w:tcPr>
            <w:tcW w:w="859" w:type="dxa"/>
          </w:tcPr>
          <w:p w:rsidR="006F0FFC" w:rsidRDefault="006F0FFC" w:rsidP="006F0FFC">
            <w:pPr>
              <w:jc w:val="right"/>
            </w:pPr>
            <w:r>
              <w:t>-0.11</w:t>
            </w:r>
          </w:p>
        </w:tc>
        <w:tc>
          <w:tcPr>
            <w:tcW w:w="859" w:type="dxa"/>
          </w:tcPr>
          <w:p w:rsidR="006F0FFC" w:rsidRDefault="006F0FFC" w:rsidP="006F0FFC">
            <w:pPr>
              <w:jc w:val="right"/>
            </w:pPr>
            <w:r>
              <w:t>0.04</w:t>
            </w:r>
          </w:p>
        </w:tc>
        <w:tc>
          <w:tcPr>
            <w:tcW w:w="859" w:type="dxa"/>
          </w:tcPr>
          <w:p w:rsidR="006F0FFC" w:rsidRDefault="006F0FFC" w:rsidP="006F0FFC">
            <w:pPr>
              <w:jc w:val="right"/>
            </w:pPr>
            <w:r>
              <w:t>0.30</w:t>
            </w:r>
          </w:p>
        </w:tc>
      </w:tr>
      <w:tr w:rsidR="006F0FFC" w:rsidTr="006F0FFC">
        <w:tc>
          <w:tcPr>
            <w:tcW w:w="2704" w:type="dxa"/>
          </w:tcPr>
          <w:p w:rsidR="006F0FFC" w:rsidRDefault="006F0FFC" w:rsidP="006F0FFC">
            <w:r>
              <w:t>Purpose of TX (Q38)</w:t>
            </w:r>
          </w:p>
        </w:tc>
        <w:tc>
          <w:tcPr>
            <w:tcW w:w="859" w:type="dxa"/>
          </w:tcPr>
          <w:p w:rsidR="006F0FFC" w:rsidRDefault="006F0FFC" w:rsidP="006F0FFC">
            <w:pPr>
              <w:jc w:val="right"/>
            </w:pPr>
            <w:r>
              <w:t>-0.06</w:t>
            </w:r>
          </w:p>
        </w:tc>
        <w:tc>
          <w:tcPr>
            <w:tcW w:w="859" w:type="dxa"/>
            <w:shd w:val="clear" w:color="auto" w:fill="BFBFBF" w:themeFill="background1" w:themeFillShade="BF"/>
          </w:tcPr>
          <w:p w:rsidR="006F0FFC" w:rsidRDefault="006F0FFC" w:rsidP="006F0FFC">
            <w:pPr>
              <w:jc w:val="right"/>
            </w:pPr>
            <w:r>
              <w:t>0.85</w:t>
            </w:r>
          </w:p>
        </w:tc>
        <w:tc>
          <w:tcPr>
            <w:tcW w:w="859" w:type="dxa"/>
          </w:tcPr>
          <w:p w:rsidR="006F0FFC" w:rsidRDefault="006F0FFC" w:rsidP="006F0FFC">
            <w:pPr>
              <w:jc w:val="right"/>
            </w:pPr>
            <w:r>
              <w:t>0.00</w:t>
            </w:r>
          </w:p>
        </w:tc>
        <w:tc>
          <w:tcPr>
            <w:tcW w:w="859" w:type="dxa"/>
          </w:tcPr>
          <w:p w:rsidR="006F0FFC" w:rsidRDefault="006F0FFC" w:rsidP="006F0FFC">
            <w:pPr>
              <w:jc w:val="right"/>
            </w:pPr>
            <w:r>
              <w:t>-0.01</w:t>
            </w:r>
          </w:p>
        </w:tc>
        <w:tc>
          <w:tcPr>
            <w:tcW w:w="859" w:type="dxa"/>
            <w:shd w:val="clear" w:color="auto" w:fill="BFBFBF" w:themeFill="background1" w:themeFillShade="BF"/>
          </w:tcPr>
          <w:p w:rsidR="006F0FFC" w:rsidRDefault="006F0FFC" w:rsidP="006F0FFC">
            <w:pPr>
              <w:jc w:val="right"/>
            </w:pPr>
            <w:r>
              <w:t>0.41</w:t>
            </w:r>
          </w:p>
        </w:tc>
        <w:tc>
          <w:tcPr>
            <w:tcW w:w="859" w:type="dxa"/>
            <w:shd w:val="clear" w:color="auto" w:fill="BFBFBF" w:themeFill="background1" w:themeFillShade="BF"/>
          </w:tcPr>
          <w:p w:rsidR="006F0FFC" w:rsidRDefault="006F0FFC" w:rsidP="006F0FFC">
            <w:pPr>
              <w:jc w:val="right"/>
            </w:pPr>
            <w:r>
              <w:t>0.63</w:t>
            </w:r>
          </w:p>
        </w:tc>
        <w:tc>
          <w:tcPr>
            <w:tcW w:w="859" w:type="dxa"/>
          </w:tcPr>
          <w:p w:rsidR="006F0FFC" w:rsidRDefault="006F0FFC" w:rsidP="006F0FFC">
            <w:pPr>
              <w:jc w:val="right"/>
            </w:pPr>
            <w:r>
              <w:t>-0.04</w:t>
            </w:r>
          </w:p>
        </w:tc>
        <w:tc>
          <w:tcPr>
            <w:tcW w:w="859" w:type="dxa"/>
          </w:tcPr>
          <w:p w:rsidR="006F0FFC" w:rsidRDefault="006F0FFC" w:rsidP="006F0FFC">
            <w:pPr>
              <w:jc w:val="right"/>
            </w:pPr>
            <w:r>
              <w:t>-0.18</w:t>
            </w:r>
          </w:p>
        </w:tc>
      </w:tr>
      <w:tr w:rsidR="006F0FFC" w:rsidTr="006F0FFC">
        <w:tc>
          <w:tcPr>
            <w:tcW w:w="2704" w:type="dxa"/>
          </w:tcPr>
          <w:p w:rsidR="006F0FFC" w:rsidRDefault="006F0FFC" w:rsidP="006F0FFC">
            <w:r>
              <w:t>Name of TX (Q37)</w:t>
            </w:r>
          </w:p>
        </w:tc>
        <w:tc>
          <w:tcPr>
            <w:tcW w:w="859" w:type="dxa"/>
          </w:tcPr>
          <w:p w:rsidR="006F0FFC" w:rsidRDefault="006F0FFC" w:rsidP="006F0FFC">
            <w:pPr>
              <w:jc w:val="right"/>
            </w:pPr>
            <w:r>
              <w:t>-0.03</w:t>
            </w:r>
          </w:p>
        </w:tc>
        <w:tc>
          <w:tcPr>
            <w:tcW w:w="859" w:type="dxa"/>
            <w:shd w:val="clear" w:color="auto" w:fill="BFBFBF" w:themeFill="background1" w:themeFillShade="BF"/>
          </w:tcPr>
          <w:p w:rsidR="006F0FFC" w:rsidRDefault="006F0FFC" w:rsidP="006F0FFC">
            <w:pPr>
              <w:jc w:val="right"/>
            </w:pPr>
            <w:r>
              <w:t>0.78</w:t>
            </w:r>
          </w:p>
        </w:tc>
        <w:tc>
          <w:tcPr>
            <w:tcW w:w="859" w:type="dxa"/>
          </w:tcPr>
          <w:p w:rsidR="006F0FFC" w:rsidRDefault="006F0FFC" w:rsidP="006F0FFC">
            <w:pPr>
              <w:jc w:val="right"/>
            </w:pPr>
            <w:r>
              <w:t>0.00</w:t>
            </w:r>
          </w:p>
        </w:tc>
        <w:tc>
          <w:tcPr>
            <w:tcW w:w="859" w:type="dxa"/>
          </w:tcPr>
          <w:p w:rsidR="006F0FFC" w:rsidRDefault="006F0FFC" w:rsidP="006F0FFC">
            <w:pPr>
              <w:jc w:val="right"/>
            </w:pPr>
            <w:r>
              <w:t>0.05</w:t>
            </w:r>
          </w:p>
        </w:tc>
        <w:tc>
          <w:tcPr>
            <w:tcW w:w="859" w:type="dxa"/>
            <w:shd w:val="clear" w:color="auto" w:fill="BFBFBF" w:themeFill="background1" w:themeFillShade="BF"/>
          </w:tcPr>
          <w:p w:rsidR="006F0FFC" w:rsidRDefault="006F0FFC" w:rsidP="006F0FFC">
            <w:pPr>
              <w:jc w:val="right"/>
            </w:pPr>
            <w:r>
              <w:t>0.43</w:t>
            </w:r>
          </w:p>
        </w:tc>
        <w:tc>
          <w:tcPr>
            <w:tcW w:w="859" w:type="dxa"/>
            <w:shd w:val="clear" w:color="auto" w:fill="BFBFBF" w:themeFill="background1" w:themeFillShade="BF"/>
          </w:tcPr>
          <w:p w:rsidR="006F0FFC" w:rsidRDefault="006F0FFC" w:rsidP="006F0FFC">
            <w:pPr>
              <w:jc w:val="right"/>
            </w:pPr>
            <w:r>
              <w:t>0.40</w:t>
            </w:r>
          </w:p>
        </w:tc>
        <w:tc>
          <w:tcPr>
            <w:tcW w:w="859" w:type="dxa"/>
          </w:tcPr>
          <w:p w:rsidR="006F0FFC" w:rsidRDefault="006F0FFC" w:rsidP="006F0FFC">
            <w:pPr>
              <w:jc w:val="right"/>
            </w:pPr>
            <w:r>
              <w:t>0.11</w:t>
            </w:r>
          </w:p>
        </w:tc>
        <w:tc>
          <w:tcPr>
            <w:tcW w:w="859" w:type="dxa"/>
          </w:tcPr>
          <w:p w:rsidR="006F0FFC" w:rsidRDefault="006F0FFC" w:rsidP="006F0FFC">
            <w:pPr>
              <w:jc w:val="right"/>
            </w:pPr>
            <w:r>
              <w:t>0.09</w:t>
            </w:r>
          </w:p>
        </w:tc>
      </w:tr>
      <w:tr w:rsidR="006F0FFC" w:rsidTr="006F0FFC">
        <w:tc>
          <w:tcPr>
            <w:tcW w:w="2704" w:type="dxa"/>
          </w:tcPr>
          <w:p w:rsidR="006F0FFC" w:rsidRDefault="006F0FFC" w:rsidP="006F0FFC">
            <w:r>
              <w:t>Allergic to RX (Q40)</w:t>
            </w:r>
          </w:p>
        </w:tc>
        <w:tc>
          <w:tcPr>
            <w:tcW w:w="859" w:type="dxa"/>
          </w:tcPr>
          <w:p w:rsidR="006F0FFC" w:rsidRDefault="006F0FFC" w:rsidP="006F0FFC">
            <w:pPr>
              <w:jc w:val="right"/>
            </w:pPr>
            <w:r>
              <w:t>0.06</w:t>
            </w:r>
          </w:p>
        </w:tc>
        <w:tc>
          <w:tcPr>
            <w:tcW w:w="859" w:type="dxa"/>
            <w:shd w:val="clear" w:color="auto" w:fill="BFBFBF" w:themeFill="background1" w:themeFillShade="BF"/>
          </w:tcPr>
          <w:p w:rsidR="006F0FFC" w:rsidRDefault="006F0FFC" w:rsidP="006F0FFC">
            <w:pPr>
              <w:jc w:val="right"/>
            </w:pPr>
            <w:r>
              <w:t>0.75</w:t>
            </w:r>
          </w:p>
        </w:tc>
        <w:tc>
          <w:tcPr>
            <w:tcW w:w="859" w:type="dxa"/>
          </w:tcPr>
          <w:p w:rsidR="006F0FFC" w:rsidRDefault="006F0FFC" w:rsidP="006F0FFC">
            <w:pPr>
              <w:jc w:val="right"/>
            </w:pPr>
            <w:r>
              <w:t>-0.09</w:t>
            </w:r>
          </w:p>
        </w:tc>
        <w:tc>
          <w:tcPr>
            <w:tcW w:w="859" w:type="dxa"/>
          </w:tcPr>
          <w:p w:rsidR="006F0FFC" w:rsidRDefault="006F0FFC" w:rsidP="006F0FFC">
            <w:pPr>
              <w:jc w:val="right"/>
            </w:pPr>
            <w:r>
              <w:t>0.08</w:t>
            </w:r>
          </w:p>
        </w:tc>
        <w:tc>
          <w:tcPr>
            <w:tcW w:w="859" w:type="dxa"/>
          </w:tcPr>
          <w:p w:rsidR="006F0FFC" w:rsidRDefault="006F0FFC" w:rsidP="006F0FFC">
            <w:pPr>
              <w:jc w:val="right"/>
            </w:pPr>
            <w:r>
              <w:t>-0.02</w:t>
            </w:r>
          </w:p>
        </w:tc>
        <w:tc>
          <w:tcPr>
            <w:tcW w:w="859" w:type="dxa"/>
            <w:shd w:val="clear" w:color="auto" w:fill="BFBFBF" w:themeFill="background1" w:themeFillShade="BF"/>
          </w:tcPr>
          <w:p w:rsidR="006F0FFC" w:rsidRDefault="006F0FFC" w:rsidP="006F0FFC">
            <w:pPr>
              <w:jc w:val="right"/>
            </w:pPr>
            <w:r>
              <w:t>0.83</w:t>
            </w:r>
          </w:p>
        </w:tc>
        <w:tc>
          <w:tcPr>
            <w:tcW w:w="859" w:type="dxa"/>
          </w:tcPr>
          <w:p w:rsidR="006F0FFC" w:rsidRDefault="006F0FFC" w:rsidP="006F0FFC">
            <w:pPr>
              <w:jc w:val="right"/>
            </w:pPr>
            <w:r>
              <w:t>0.02</w:t>
            </w:r>
          </w:p>
        </w:tc>
        <w:tc>
          <w:tcPr>
            <w:tcW w:w="859" w:type="dxa"/>
          </w:tcPr>
          <w:p w:rsidR="006F0FFC" w:rsidRDefault="006F0FFC" w:rsidP="006F0FFC">
            <w:pPr>
              <w:jc w:val="right"/>
            </w:pPr>
            <w:r>
              <w:t>0.00</w:t>
            </w:r>
          </w:p>
        </w:tc>
      </w:tr>
      <w:tr w:rsidR="006F0FFC" w:rsidTr="006F0FFC">
        <w:tc>
          <w:tcPr>
            <w:tcW w:w="2704" w:type="dxa"/>
          </w:tcPr>
          <w:p w:rsidR="006F0FFC" w:rsidRDefault="006F0FFC" w:rsidP="006F0FFC">
            <w:r>
              <w:t>Taking Other RX (Q39)</w:t>
            </w:r>
          </w:p>
        </w:tc>
        <w:tc>
          <w:tcPr>
            <w:tcW w:w="859" w:type="dxa"/>
          </w:tcPr>
          <w:p w:rsidR="006F0FFC" w:rsidRDefault="006F0FFC" w:rsidP="006F0FFC">
            <w:pPr>
              <w:jc w:val="right"/>
            </w:pPr>
            <w:r>
              <w:t>0.02</w:t>
            </w:r>
          </w:p>
        </w:tc>
        <w:tc>
          <w:tcPr>
            <w:tcW w:w="859" w:type="dxa"/>
            <w:shd w:val="clear" w:color="auto" w:fill="BFBFBF" w:themeFill="background1" w:themeFillShade="BF"/>
          </w:tcPr>
          <w:p w:rsidR="006F0FFC" w:rsidRDefault="006F0FFC" w:rsidP="006F0FFC">
            <w:pPr>
              <w:jc w:val="right"/>
            </w:pPr>
            <w:r>
              <w:t>0.73</w:t>
            </w:r>
          </w:p>
        </w:tc>
        <w:tc>
          <w:tcPr>
            <w:tcW w:w="859" w:type="dxa"/>
          </w:tcPr>
          <w:p w:rsidR="006F0FFC" w:rsidRDefault="006F0FFC" w:rsidP="006F0FFC">
            <w:pPr>
              <w:jc w:val="right"/>
            </w:pPr>
            <w:r>
              <w:t>0.00</w:t>
            </w:r>
          </w:p>
        </w:tc>
        <w:tc>
          <w:tcPr>
            <w:tcW w:w="859" w:type="dxa"/>
          </w:tcPr>
          <w:p w:rsidR="006F0FFC" w:rsidRDefault="006F0FFC" w:rsidP="006F0FFC">
            <w:pPr>
              <w:jc w:val="right"/>
            </w:pPr>
            <w:r>
              <w:t>0.12</w:t>
            </w:r>
          </w:p>
        </w:tc>
        <w:tc>
          <w:tcPr>
            <w:tcW w:w="859" w:type="dxa"/>
          </w:tcPr>
          <w:p w:rsidR="006F0FFC" w:rsidRDefault="006F0FFC" w:rsidP="006F0FFC">
            <w:pPr>
              <w:jc w:val="right"/>
            </w:pPr>
            <w:r>
              <w:t>-0.15</w:t>
            </w:r>
          </w:p>
        </w:tc>
        <w:tc>
          <w:tcPr>
            <w:tcW w:w="859" w:type="dxa"/>
            <w:shd w:val="clear" w:color="auto" w:fill="BFBFBF" w:themeFill="background1" w:themeFillShade="BF"/>
          </w:tcPr>
          <w:p w:rsidR="006F0FFC" w:rsidRDefault="006F0FFC" w:rsidP="006F0FFC">
            <w:pPr>
              <w:jc w:val="right"/>
            </w:pPr>
            <w:r>
              <w:t>0.90</w:t>
            </w:r>
          </w:p>
        </w:tc>
        <w:tc>
          <w:tcPr>
            <w:tcW w:w="859" w:type="dxa"/>
          </w:tcPr>
          <w:p w:rsidR="006F0FFC" w:rsidRDefault="006F0FFC" w:rsidP="006F0FFC">
            <w:pPr>
              <w:jc w:val="right"/>
            </w:pPr>
            <w:r>
              <w:t>0.10</w:t>
            </w:r>
          </w:p>
        </w:tc>
        <w:tc>
          <w:tcPr>
            <w:tcW w:w="859" w:type="dxa"/>
          </w:tcPr>
          <w:p w:rsidR="006F0FFC" w:rsidRDefault="006F0FFC" w:rsidP="006F0FFC">
            <w:pPr>
              <w:jc w:val="right"/>
            </w:pPr>
            <w:r>
              <w:t>0.07</w:t>
            </w:r>
          </w:p>
        </w:tc>
      </w:tr>
      <w:tr w:rsidR="006F0FFC" w:rsidTr="006F0FFC">
        <w:tc>
          <w:tcPr>
            <w:tcW w:w="2704" w:type="dxa"/>
          </w:tcPr>
          <w:p w:rsidR="006F0FFC" w:rsidRDefault="006F0FFC" w:rsidP="006F0FFC">
            <w:r>
              <w:t>RX Side Effects (Q41)</w:t>
            </w:r>
          </w:p>
        </w:tc>
        <w:tc>
          <w:tcPr>
            <w:tcW w:w="859" w:type="dxa"/>
          </w:tcPr>
          <w:p w:rsidR="006F0FFC" w:rsidRDefault="006F0FFC" w:rsidP="006F0FFC">
            <w:pPr>
              <w:jc w:val="right"/>
            </w:pPr>
            <w:r>
              <w:t>0.03</w:t>
            </w:r>
          </w:p>
        </w:tc>
        <w:tc>
          <w:tcPr>
            <w:tcW w:w="859" w:type="dxa"/>
            <w:shd w:val="clear" w:color="auto" w:fill="BFBFBF" w:themeFill="background1" w:themeFillShade="BF"/>
          </w:tcPr>
          <w:p w:rsidR="006F0FFC" w:rsidRDefault="006F0FFC" w:rsidP="006F0FFC">
            <w:pPr>
              <w:jc w:val="right"/>
            </w:pPr>
            <w:r>
              <w:t>0.68</w:t>
            </w:r>
          </w:p>
        </w:tc>
        <w:tc>
          <w:tcPr>
            <w:tcW w:w="859" w:type="dxa"/>
          </w:tcPr>
          <w:p w:rsidR="006F0FFC" w:rsidRDefault="006F0FFC" w:rsidP="006F0FFC">
            <w:pPr>
              <w:jc w:val="right"/>
            </w:pPr>
            <w:r>
              <w:t>0.05</w:t>
            </w:r>
          </w:p>
        </w:tc>
        <w:tc>
          <w:tcPr>
            <w:tcW w:w="859" w:type="dxa"/>
          </w:tcPr>
          <w:p w:rsidR="006F0FFC" w:rsidRDefault="006F0FFC" w:rsidP="006F0FFC">
            <w:pPr>
              <w:jc w:val="right"/>
            </w:pPr>
            <w:r>
              <w:t>0.08</w:t>
            </w:r>
          </w:p>
        </w:tc>
        <w:tc>
          <w:tcPr>
            <w:tcW w:w="859" w:type="dxa"/>
          </w:tcPr>
          <w:p w:rsidR="006F0FFC" w:rsidRDefault="006F0FFC" w:rsidP="006F0FFC">
            <w:pPr>
              <w:jc w:val="right"/>
            </w:pPr>
            <w:r>
              <w:t>0.15</w:t>
            </w:r>
          </w:p>
        </w:tc>
        <w:tc>
          <w:tcPr>
            <w:tcW w:w="859" w:type="dxa"/>
            <w:shd w:val="clear" w:color="auto" w:fill="BFBFBF" w:themeFill="background1" w:themeFillShade="BF"/>
          </w:tcPr>
          <w:p w:rsidR="006F0FFC" w:rsidRDefault="006F0FFC" w:rsidP="006F0FFC">
            <w:pPr>
              <w:jc w:val="right"/>
            </w:pPr>
            <w:r>
              <w:t>0.65</w:t>
            </w:r>
          </w:p>
        </w:tc>
        <w:tc>
          <w:tcPr>
            <w:tcW w:w="859" w:type="dxa"/>
          </w:tcPr>
          <w:p w:rsidR="006F0FFC" w:rsidRDefault="006F0FFC" w:rsidP="006F0FFC">
            <w:pPr>
              <w:jc w:val="right"/>
            </w:pPr>
            <w:r>
              <w:t>-0.09</w:t>
            </w:r>
          </w:p>
        </w:tc>
        <w:tc>
          <w:tcPr>
            <w:tcW w:w="859" w:type="dxa"/>
          </w:tcPr>
          <w:p w:rsidR="006F0FFC" w:rsidRDefault="006F0FFC" w:rsidP="006F0FFC">
            <w:pPr>
              <w:jc w:val="right"/>
            </w:pPr>
            <w:r>
              <w:t>0.26</w:t>
            </w:r>
          </w:p>
        </w:tc>
      </w:tr>
      <w:tr w:rsidR="006F0FFC" w:rsidTr="006F0FFC">
        <w:tc>
          <w:tcPr>
            <w:tcW w:w="2704" w:type="dxa"/>
          </w:tcPr>
          <w:p w:rsidR="006F0FFC" w:rsidRDefault="006F0FFC" w:rsidP="006F0FFC">
            <w:r>
              <w:t>Temperature (Q16)</w:t>
            </w:r>
          </w:p>
        </w:tc>
        <w:tc>
          <w:tcPr>
            <w:tcW w:w="859" w:type="dxa"/>
          </w:tcPr>
          <w:p w:rsidR="006F0FFC" w:rsidRDefault="006F0FFC" w:rsidP="006F0FFC">
            <w:pPr>
              <w:jc w:val="right"/>
            </w:pPr>
            <w:r>
              <w:t>0.18</w:t>
            </w:r>
          </w:p>
        </w:tc>
        <w:tc>
          <w:tcPr>
            <w:tcW w:w="859" w:type="dxa"/>
            <w:shd w:val="clear" w:color="auto" w:fill="BFBFBF" w:themeFill="background1" w:themeFillShade="BF"/>
          </w:tcPr>
          <w:p w:rsidR="006F0FFC" w:rsidRDefault="006F0FFC" w:rsidP="006F0FFC">
            <w:pPr>
              <w:jc w:val="right"/>
            </w:pPr>
            <w:r>
              <w:t>0.39</w:t>
            </w:r>
          </w:p>
        </w:tc>
        <w:tc>
          <w:tcPr>
            <w:tcW w:w="859" w:type="dxa"/>
          </w:tcPr>
          <w:p w:rsidR="006F0FFC" w:rsidRDefault="006F0FFC" w:rsidP="006F0FFC">
            <w:pPr>
              <w:jc w:val="right"/>
            </w:pPr>
            <w:r>
              <w:t>0.04</w:t>
            </w:r>
          </w:p>
        </w:tc>
        <w:tc>
          <w:tcPr>
            <w:tcW w:w="859" w:type="dxa"/>
          </w:tcPr>
          <w:p w:rsidR="006F0FFC" w:rsidRDefault="006F0FFC" w:rsidP="006F0FFC">
            <w:pPr>
              <w:jc w:val="right"/>
            </w:pPr>
            <w:r>
              <w:t>-0.17</w:t>
            </w:r>
          </w:p>
        </w:tc>
        <w:tc>
          <w:tcPr>
            <w:tcW w:w="859" w:type="dxa"/>
          </w:tcPr>
          <w:p w:rsidR="006F0FFC" w:rsidRDefault="006F0FFC" w:rsidP="006F0FFC">
            <w:pPr>
              <w:jc w:val="right"/>
            </w:pPr>
            <w:r>
              <w:t>0.22</w:t>
            </w:r>
          </w:p>
        </w:tc>
        <w:tc>
          <w:tcPr>
            <w:tcW w:w="859" w:type="dxa"/>
          </w:tcPr>
          <w:p w:rsidR="006F0FFC" w:rsidRDefault="006F0FFC" w:rsidP="006F0FFC">
            <w:pPr>
              <w:jc w:val="right"/>
            </w:pPr>
            <w:r>
              <w:t>0.08</w:t>
            </w:r>
          </w:p>
        </w:tc>
        <w:tc>
          <w:tcPr>
            <w:tcW w:w="859" w:type="dxa"/>
          </w:tcPr>
          <w:p w:rsidR="006F0FFC" w:rsidRDefault="006F0FFC" w:rsidP="006F0FFC">
            <w:pPr>
              <w:jc w:val="right"/>
            </w:pPr>
            <w:r>
              <w:t>0.01</w:t>
            </w:r>
          </w:p>
        </w:tc>
        <w:tc>
          <w:tcPr>
            <w:tcW w:w="859" w:type="dxa"/>
            <w:shd w:val="clear" w:color="auto" w:fill="BFBFBF" w:themeFill="background1" w:themeFillShade="BF"/>
          </w:tcPr>
          <w:p w:rsidR="006F0FFC" w:rsidRDefault="006F0FFC" w:rsidP="006F0FFC">
            <w:pPr>
              <w:jc w:val="right"/>
            </w:pPr>
            <w:r>
              <w:t>0.39</w:t>
            </w:r>
          </w:p>
        </w:tc>
      </w:tr>
      <w:tr w:rsidR="006F0FFC" w:rsidTr="006F0FFC">
        <w:tc>
          <w:tcPr>
            <w:tcW w:w="2704" w:type="dxa"/>
          </w:tcPr>
          <w:p w:rsidR="006F0FFC" w:rsidRDefault="006F0FFC" w:rsidP="006F0FFC">
            <w:r>
              <w:t>MD Listen (Q5)</w:t>
            </w:r>
          </w:p>
        </w:tc>
        <w:tc>
          <w:tcPr>
            <w:tcW w:w="859" w:type="dxa"/>
          </w:tcPr>
          <w:p w:rsidR="006F0FFC" w:rsidRDefault="006F0FFC" w:rsidP="006F0FFC">
            <w:pPr>
              <w:jc w:val="right"/>
            </w:pPr>
            <w:r>
              <w:t>-0.04</w:t>
            </w:r>
          </w:p>
        </w:tc>
        <w:tc>
          <w:tcPr>
            <w:tcW w:w="859" w:type="dxa"/>
          </w:tcPr>
          <w:p w:rsidR="006F0FFC" w:rsidRDefault="006F0FFC" w:rsidP="006F0FFC">
            <w:pPr>
              <w:jc w:val="right"/>
            </w:pPr>
            <w:r>
              <w:t>0.00</w:t>
            </w:r>
          </w:p>
        </w:tc>
        <w:tc>
          <w:tcPr>
            <w:tcW w:w="859" w:type="dxa"/>
            <w:shd w:val="clear" w:color="auto" w:fill="BFBFBF" w:themeFill="background1" w:themeFillShade="BF"/>
          </w:tcPr>
          <w:p w:rsidR="006F0FFC" w:rsidRDefault="006F0FFC" w:rsidP="006F0FFC">
            <w:pPr>
              <w:jc w:val="right"/>
            </w:pPr>
            <w:r>
              <w:t>0.91</w:t>
            </w:r>
          </w:p>
        </w:tc>
        <w:tc>
          <w:tcPr>
            <w:tcW w:w="859" w:type="dxa"/>
          </w:tcPr>
          <w:p w:rsidR="006F0FFC" w:rsidRDefault="006F0FFC" w:rsidP="006F0FFC">
            <w:pPr>
              <w:jc w:val="right"/>
            </w:pPr>
            <w:r>
              <w:t>0.03</w:t>
            </w:r>
          </w:p>
        </w:tc>
        <w:tc>
          <w:tcPr>
            <w:tcW w:w="859" w:type="dxa"/>
          </w:tcPr>
          <w:p w:rsidR="006F0FFC" w:rsidRDefault="006F0FFC" w:rsidP="006F0FFC">
            <w:pPr>
              <w:jc w:val="right"/>
            </w:pPr>
            <w:r>
              <w:t>-0.11</w:t>
            </w:r>
          </w:p>
        </w:tc>
        <w:tc>
          <w:tcPr>
            <w:tcW w:w="859" w:type="dxa"/>
          </w:tcPr>
          <w:p w:rsidR="006F0FFC" w:rsidRDefault="006F0FFC" w:rsidP="006F0FFC">
            <w:pPr>
              <w:jc w:val="right"/>
            </w:pPr>
            <w:r>
              <w:t>0.04</w:t>
            </w:r>
          </w:p>
        </w:tc>
        <w:tc>
          <w:tcPr>
            <w:tcW w:w="859" w:type="dxa"/>
            <w:shd w:val="clear" w:color="auto" w:fill="BFBFBF" w:themeFill="background1" w:themeFillShade="BF"/>
          </w:tcPr>
          <w:p w:rsidR="006F0FFC" w:rsidRDefault="006F0FFC" w:rsidP="006F0FFC">
            <w:pPr>
              <w:jc w:val="right"/>
            </w:pPr>
            <w:r>
              <w:t>0.98</w:t>
            </w:r>
          </w:p>
        </w:tc>
        <w:tc>
          <w:tcPr>
            <w:tcW w:w="859" w:type="dxa"/>
          </w:tcPr>
          <w:p w:rsidR="006F0FFC" w:rsidRDefault="006F0FFC" w:rsidP="006F0FFC">
            <w:pPr>
              <w:jc w:val="right"/>
            </w:pPr>
            <w:r>
              <w:t>0.01</w:t>
            </w:r>
          </w:p>
        </w:tc>
      </w:tr>
      <w:tr w:rsidR="006F0FFC" w:rsidTr="006F0FFC">
        <w:tc>
          <w:tcPr>
            <w:tcW w:w="2704" w:type="dxa"/>
          </w:tcPr>
          <w:p w:rsidR="006F0FFC" w:rsidRDefault="006F0FFC" w:rsidP="006F0FFC">
            <w:r>
              <w:t>MD Respect (Q11)</w:t>
            </w:r>
          </w:p>
        </w:tc>
        <w:tc>
          <w:tcPr>
            <w:tcW w:w="859" w:type="dxa"/>
          </w:tcPr>
          <w:p w:rsidR="006F0FFC" w:rsidRDefault="006F0FFC" w:rsidP="006F0FFC">
            <w:pPr>
              <w:jc w:val="right"/>
            </w:pPr>
            <w:r>
              <w:t>0.05</w:t>
            </w:r>
          </w:p>
        </w:tc>
        <w:tc>
          <w:tcPr>
            <w:tcW w:w="859" w:type="dxa"/>
          </w:tcPr>
          <w:p w:rsidR="006F0FFC" w:rsidRDefault="006F0FFC" w:rsidP="006F0FFC">
            <w:pPr>
              <w:jc w:val="right"/>
            </w:pPr>
            <w:r>
              <w:t>-0.08</w:t>
            </w:r>
          </w:p>
        </w:tc>
        <w:tc>
          <w:tcPr>
            <w:tcW w:w="859" w:type="dxa"/>
            <w:shd w:val="clear" w:color="auto" w:fill="BFBFBF" w:themeFill="background1" w:themeFillShade="BF"/>
          </w:tcPr>
          <w:p w:rsidR="006F0FFC" w:rsidRDefault="006F0FFC" w:rsidP="006F0FFC">
            <w:pPr>
              <w:jc w:val="right"/>
            </w:pPr>
            <w:r>
              <w:t>0.82</w:t>
            </w:r>
          </w:p>
        </w:tc>
        <w:tc>
          <w:tcPr>
            <w:tcW w:w="859" w:type="dxa"/>
          </w:tcPr>
          <w:p w:rsidR="006F0FFC" w:rsidRDefault="006F0FFC" w:rsidP="006F0FFC">
            <w:pPr>
              <w:jc w:val="right"/>
            </w:pPr>
            <w:r>
              <w:t>-0.13</w:t>
            </w:r>
          </w:p>
        </w:tc>
        <w:tc>
          <w:tcPr>
            <w:tcW w:w="859" w:type="dxa"/>
          </w:tcPr>
          <w:p w:rsidR="006F0FFC" w:rsidRDefault="006F0FFC" w:rsidP="006F0FFC">
            <w:pPr>
              <w:jc w:val="right"/>
            </w:pPr>
            <w:r>
              <w:t>0.08</w:t>
            </w:r>
          </w:p>
        </w:tc>
        <w:tc>
          <w:tcPr>
            <w:tcW w:w="859" w:type="dxa"/>
          </w:tcPr>
          <w:p w:rsidR="006F0FFC" w:rsidRDefault="006F0FFC" w:rsidP="006F0FFC">
            <w:pPr>
              <w:jc w:val="right"/>
            </w:pPr>
            <w:r>
              <w:t>0.04</w:t>
            </w:r>
          </w:p>
        </w:tc>
        <w:tc>
          <w:tcPr>
            <w:tcW w:w="859" w:type="dxa"/>
            <w:shd w:val="clear" w:color="auto" w:fill="BFBFBF" w:themeFill="background1" w:themeFillShade="BF"/>
          </w:tcPr>
          <w:p w:rsidR="006F0FFC" w:rsidRDefault="006F0FFC" w:rsidP="006F0FFC">
            <w:pPr>
              <w:jc w:val="right"/>
            </w:pPr>
            <w:r>
              <w:t>0.79</w:t>
            </w:r>
          </w:p>
        </w:tc>
        <w:tc>
          <w:tcPr>
            <w:tcW w:w="859" w:type="dxa"/>
          </w:tcPr>
          <w:p w:rsidR="006F0FFC" w:rsidRDefault="006F0FFC" w:rsidP="006F0FFC">
            <w:pPr>
              <w:jc w:val="right"/>
            </w:pPr>
            <w:r>
              <w:t>0.10</w:t>
            </w:r>
          </w:p>
        </w:tc>
      </w:tr>
      <w:tr w:rsidR="006F0FFC" w:rsidTr="006F0FFC">
        <w:tc>
          <w:tcPr>
            <w:tcW w:w="2704" w:type="dxa"/>
          </w:tcPr>
          <w:p w:rsidR="006F0FFC" w:rsidRDefault="006F0FFC" w:rsidP="006F0FFC">
            <w:r>
              <w:t>MD Explain (Q13)</w:t>
            </w:r>
          </w:p>
        </w:tc>
        <w:tc>
          <w:tcPr>
            <w:tcW w:w="859" w:type="dxa"/>
          </w:tcPr>
          <w:p w:rsidR="006F0FFC" w:rsidRDefault="006F0FFC" w:rsidP="006F0FFC">
            <w:pPr>
              <w:jc w:val="right"/>
            </w:pPr>
            <w:r>
              <w:t>-0.03</w:t>
            </w:r>
          </w:p>
        </w:tc>
        <w:tc>
          <w:tcPr>
            <w:tcW w:w="859" w:type="dxa"/>
          </w:tcPr>
          <w:p w:rsidR="006F0FFC" w:rsidRDefault="006F0FFC" w:rsidP="006F0FFC">
            <w:pPr>
              <w:jc w:val="right"/>
            </w:pPr>
            <w:r>
              <w:t>0.09</w:t>
            </w:r>
          </w:p>
        </w:tc>
        <w:tc>
          <w:tcPr>
            <w:tcW w:w="859" w:type="dxa"/>
            <w:shd w:val="clear" w:color="auto" w:fill="BFBFBF" w:themeFill="background1" w:themeFillShade="BF"/>
          </w:tcPr>
          <w:p w:rsidR="006F0FFC" w:rsidRDefault="006F0FFC" w:rsidP="006F0FFC">
            <w:pPr>
              <w:jc w:val="right"/>
            </w:pPr>
            <w:r>
              <w:t>0.77</w:t>
            </w:r>
          </w:p>
        </w:tc>
        <w:tc>
          <w:tcPr>
            <w:tcW w:w="859" w:type="dxa"/>
          </w:tcPr>
          <w:p w:rsidR="006F0FFC" w:rsidRDefault="006F0FFC" w:rsidP="006F0FFC">
            <w:pPr>
              <w:jc w:val="right"/>
            </w:pPr>
            <w:r>
              <w:t>0.06</w:t>
            </w:r>
          </w:p>
        </w:tc>
        <w:tc>
          <w:tcPr>
            <w:tcW w:w="859" w:type="dxa"/>
          </w:tcPr>
          <w:p w:rsidR="006F0FFC" w:rsidRDefault="006F0FFC" w:rsidP="006F0FFC">
            <w:pPr>
              <w:jc w:val="right"/>
            </w:pPr>
            <w:r>
              <w:t>-0.03</w:t>
            </w:r>
          </w:p>
        </w:tc>
        <w:tc>
          <w:tcPr>
            <w:tcW w:w="859" w:type="dxa"/>
          </w:tcPr>
          <w:p w:rsidR="006F0FFC" w:rsidRDefault="006F0FFC" w:rsidP="006F0FFC">
            <w:pPr>
              <w:jc w:val="right"/>
            </w:pPr>
            <w:r>
              <w:t>-0.08</w:t>
            </w:r>
          </w:p>
        </w:tc>
        <w:tc>
          <w:tcPr>
            <w:tcW w:w="859" w:type="dxa"/>
            <w:shd w:val="clear" w:color="auto" w:fill="BFBFBF" w:themeFill="background1" w:themeFillShade="BF"/>
          </w:tcPr>
          <w:p w:rsidR="006F0FFC" w:rsidRDefault="006F0FFC" w:rsidP="006F0FFC">
            <w:pPr>
              <w:jc w:val="right"/>
            </w:pPr>
            <w:r>
              <w:t>0.80</w:t>
            </w:r>
          </w:p>
        </w:tc>
        <w:tc>
          <w:tcPr>
            <w:tcW w:w="859" w:type="dxa"/>
          </w:tcPr>
          <w:p w:rsidR="006F0FFC" w:rsidRDefault="006F0FFC" w:rsidP="006F0FFC">
            <w:pPr>
              <w:jc w:val="right"/>
            </w:pPr>
            <w:r>
              <w:t>0.16</w:t>
            </w:r>
          </w:p>
        </w:tc>
      </w:tr>
      <w:tr w:rsidR="006F0FFC" w:rsidTr="006F0FFC">
        <w:tc>
          <w:tcPr>
            <w:tcW w:w="2704" w:type="dxa"/>
          </w:tcPr>
          <w:p w:rsidR="006F0FFC" w:rsidRDefault="006F0FFC" w:rsidP="006F0FFC">
            <w:r>
              <w:t>MD Enough Time (Q14)</w:t>
            </w:r>
          </w:p>
        </w:tc>
        <w:tc>
          <w:tcPr>
            <w:tcW w:w="859" w:type="dxa"/>
          </w:tcPr>
          <w:p w:rsidR="006F0FFC" w:rsidRDefault="006F0FFC" w:rsidP="006F0FFC">
            <w:pPr>
              <w:jc w:val="right"/>
            </w:pPr>
            <w:r>
              <w:t>0.06</w:t>
            </w:r>
          </w:p>
        </w:tc>
        <w:tc>
          <w:tcPr>
            <w:tcW w:w="859" w:type="dxa"/>
          </w:tcPr>
          <w:p w:rsidR="006F0FFC" w:rsidRDefault="006F0FFC" w:rsidP="006F0FFC">
            <w:pPr>
              <w:jc w:val="right"/>
            </w:pPr>
            <w:r>
              <w:t>0.00</w:t>
            </w:r>
          </w:p>
        </w:tc>
        <w:tc>
          <w:tcPr>
            <w:tcW w:w="859" w:type="dxa"/>
            <w:shd w:val="clear" w:color="auto" w:fill="BFBFBF" w:themeFill="background1" w:themeFillShade="BF"/>
          </w:tcPr>
          <w:p w:rsidR="006F0FFC" w:rsidRDefault="006F0FFC" w:rsidP="006F0FFC">
            <w:pPr>
              <w:jc w:val="right"/>
            </w:pPr>
            <w:r>
              <w:t>0.70</w:t>
            </w:r>
          </w:p>
        </w:tc>
        <w:tc>
          <w:tcPr>
            <w:tcW w:w="859" w:type="dxa"/>
          </w:tcPr>
          <w:p w:rsidR="006F0FFC" w:rsidRDefault="006F0FFC" w:rsidP="006F0FFC">
            <w:pPr>
              <w:jc w:val="right"/>
            </w:pPr>
            <w:r>
              <w:t>0.06</w:t>
            </w:r>
          </w:p>
        </w:tc>
        <w:tc>
          <w:tcPr>
            <w:tcW w:w="859" w:type="dxa"/>
          </w:tcPr>
          <w:p w:rsidR="006F0FFC" w:rsidRDefault="006F0FFC" w:rsidP="006F0FFC">
            <w:pPr>
              <w:jc w:val="right"/>
            </w:pPr>
            <w:r>
              <w:t>0.15</w:t>
            </w:r>
          </w:p>
        </w:tc>
        <w:tc>
          <w:tcPr>
            <w:tcW w:w="859" w:type="dxa"/>
          </w:tcPr>
          <w:p w:rsidR="006F0FFC" w:rsidRDefault="006F0FFC" w:rsidP="006F0FFC">
            <w:pPr>
              <w:jc w:val="right"/>
            </w:pPr>
            <w:r>
              <w:t>0.03</w:t>
            </w:r>
          </w:p>
        </w:tc>
        <w:tc>
          <w:tcPr>
            <w:tcW w:w="859" w:type="dxa"/>
            <w:shd w:val="clear" w:color="auto" w:fill="BFBFBF" w:themeFill="background1" w:themeFillShade="BF"/>
          </w:tcPr>
          <w:p w:rsidR="006F0FFC" w:rsidRDefault="006F0FFC" w:rsidP="006F0FFC">
            <w:pPr>
              <w:jc w:val="right"/>
            </w:pPr>
            <w:r>
              <w:t>0.70</w:t>
            </w:r>
          </w:p>
        </w:tc>
        <w:tc>
          <w:tcPr>
            <w:tcW w:w="859" w:type="dxa"/>
          </w:tcPr>
          <w:p w:rsidR="006F0FFC" w:rsidRDefault="006F0FFC" w:rsidP="006F0FFC">
            <w:pPr>
              <w:jc w:val="right"/>
            </w:pPr>
            <w:r>
              <w:t>0.00</w:t>
            </w:r>
          </w:p>
        </w:tc>
      </w:tr>
      <w:tr w:rsidR="006F0FFC" w:rsidTr="006F0FFC">
        <w:tc>
          <w:tcPr>
            <w:tcW w:w="2704" w:type="dxa"/>
          </w:tcPr>
          <w:p w:rsidR="006F0FFC" w:rsidRDefault="006F0FFC" w:rsidP="006F0FFC">
            <w:r>
              <w:t>TX Decisions (Q25)</w:t>
            </w:r>
          </w:p>
        </w:tc>
        <w:tc>
          <w:tcPr>
            <w:tcW w:w="859" w:type="dxa"/>
          </w:tcPr>
          <w:p w:rsidR="006F0FFC" w:rsidRDefault="006F0FFC" w:rsidP="006F0FFC">
            <w:pPr>
              <w:jc w:val="right"/>
            </w:pPr>
            <w:r>
              <w:t>0.32</w:t>
            </w:r>
          </w:p>
        </w:tc>
        <w:tc>
          <w:tcPr>
            <w:tcW w:w="859" w:type="dxa"/>
          </w:tcPr>
          <w:p w:rsidR="006F0FFC" w:rsidRDefault="006F0FFC" w:rsidP="006F0FFC">
            <w:pPr>
              <w:jc w:val="right"/>
            </w:pPr>
            <w:r>
              <w:t>0.05</w:t>
            </w:r>
          </w:p>
        </w:tc>
        <w:tc>
          <w:tcPr>
            <w:tcW w:w="859" w:type="dxa"/>
            <w:shd w:val="clear" w:color="auto" w:fill="BFBFBF" w:themeFill="background1" w:themeFillShade="BF"/>
          </w:tcPr>
          <w:p w:rsidR="006F0FFC" w:rsidRDefault="006F0FFC" w:rsidP="006F0FFC">
            <w:pPr>
              <w:jc w:val="right"/>
            </w:pPr>
            <w:r>
              <w:t>0.44</w:t>
            </w:r>
          </w:p>
        </w:tc>
        <w:tc>
          <w:tcPr>
            <w:tcW w:w="859" w:type="dxa"/>
          </w:tcPr>
          <w:p w:rsidR="006F0FFC" w:rsidRDefault="006F0FFC" w:rsidP="006F0FFC">
            <w:pPr>
              <w:jc w:val="right"/>
            </w:pPr>
            <w:r>
              <w:t>0.13</w:t>
            </w:r>
          </w:p>
        </w:tc>
        <w:tc>
          <w:tcPr>
            <w:tcW w:w="859" w:type="dxa"/>
          </w:tcPr>
          <w:p w:rsidR="006F0FFC" w:rsidRDefault="006F0FFC" w:rsidP="006F0FFC">
            <w:pPr>
              <w:jc w:val="right"/>
            </w:pPr>
            <w:r>
              <w:t>0.53</w:t>
            </w:r>
          </w:p>
        </w:tc>
        <w:tc>
          <w:tcPr>
            <w:tcW w:w="859" w:type="dxa"/>
          </w:tcPr>
          <w:p w:rsidR="006F0FFC" w:rsidRDefault="006F0FFC" w:rsidP="006F0FFC">
            <w:pPr>
              <w:jc w:val="right"/>
            </w:pPr>
            <w:r>
              <w:t>-0.06</w:t>
            </w:r>
          </w:p>
        </w:tc>
        <w:tc>
          <w:tcPr>
            <w:tcW w:w="859" w:type="dxa"/>
            <w:shd w:val="clear" w:color="auto" w:fill="BFBFBF" w:themeFill="background1" w:themeFillShade="BF"/>
          </w:tcPr>
          <w:p w:rsidR="006F0FFC" w:rsidRDefault="006F0FFC" w:rsidP="006F0FFC">
            <w:pPr>
              <w:jc w:val="right"/>
            </w:pPr>
            <w:r>
              <w:t>0.46</w:t>
            </w:r>
          </w:p>
        </w:tc>
        <w:tc>
          <w:tcPr>
            <w:tcW w:w="859" w:type="dxa"/>
          </w:tcPr>
          <w:p w:rsidR="006F0FFC" w:rsidRDefault="006F0FFC" w:rsidP="006F0FFC">
            <w:pPr>
              <w:jc w:val="right"/>
            </w:pPr>
            <w:r>
              <w:t>-0.08</w:t>
            </w:r>
          </w:p>
        </w:tc>
      </w:tr>
      <w:tr w:rsidR="006F0FFC" w:rsidTr="006F0FFC">
        <w:tc>
          <w:tcPr>
            <w:tcW w:w="2704" w:type="dxa"/>
          </w:tcPr>
          <w:p w:rsidR="006F0FFC" w:rsidRDefault="006F0FFC" w:rsidP="006F0FFC">
            <w:r>
              <w:t>Writing Activities (Q47)</w:t>
            </w:r>
          </w:p>
        </w:tc>
        <w:tc>
          <w:tcPr>
            <w:tcW w:w="859" w:type="dxa"/>
          </w:tcPr>
          <w:p w:rsidR="006F0FFC" w:rsidRDefault="006F0FFC" w:rsidP="006F0FFC">
            <w:pPr>
              <w:jc w:val="right"/>
            </w:pPr>
            <w:r>
              <w:t>0.01</w:t>
            </w:r>
          </w:p>
        </w:tc>
        <w:tc>
          <w:tcPr>
            <w:tcW w:w="859" w:type="dxa"/>
          </w:tcPr>
          <w:p w:rsidR="006F0FFC" w:rsidRDefault="006F0FFC" w:rsidP="006F0FFC">
            <w:pPr>
              <w:jc w:val="right"/>
            </w:pPr>
            <w:r>
              <w:t>-0.16</w:t>
            </w:r>
          </w:p>
        </w:tc>
        <w:tc>
          <w:tcPr>
            <w:tcW w:w="859" w:type="dxa"/>
          </w:tcPr>
          <w:p w:rsidR="006F0FFC" w:rsidRDefault="006F0FFC" w:rsidP="006F0FFC">
            <w:pPr>
              <w:jc w:val="right"/>
            </w:pPr>
            <w:r>
              <w:t>0.05</w:t>
            </w:r>
          </w:p>
        </w:tc>
        <w:tc>
          <w:tcPr>
            <w:tcW w:w="859" w:type="dxa"/>
            <w:shd w:val="clear" w:color="auto" w:fill="BFBFBF" w:themeFill="background1" w:themeFillShade="BF"/>
          </w:tcPr>
          <w:p w:rsidR="006F0FFC" w:rsidRDefault="006F0FFC" w:rsidP="006F0FFC">
            <w:pPr>
              <w:jc w:val="right"/>
            </w:pPr>
            <w:r>
              <w:t>0.69</w:t>
            </w:r>
          </w:p>
        </w:tc>
        <w:tc>
          <w:tcPr>
            <w:tcW w:w="859" w:type="dxa"/>
          </w:tcPr>
          <w:p w:rsidR="006F0FFC" w:rsidRDefault="006F0FFC" w:rsidP="006F0FFC">
            <w:pPr>
              <w:jc w:val="right"/>
            </w:pPr>
            <w:r>
              <w:t>-0.08</w:t>
            </w:r>
          </w:p>
        </w:tc>
        <w:tc>
          <w:tcPr>
            <w:tcW w:w="859" w:type="dxa"/>
          </w:tcPr>
          <w:p w:rsidR="006F0FFC" w:rsidRDefault="006F0FFC" w:rsidP="006F0FFC">
            <w:pPr>
              <w:jc w:val="right"/>
            </w:pPr>
            <w:r>
              <w:t>0.02</w:t>
            </w:r>
          </w:p>
        </w:tc>
        <w:tc>
          <w:tcPr>
            <w:tcW w:w="859" w:type="dxa"/>
          </w:tcPr>
          <w:p w:rsidR="006F0FFC" w:rsidRDefault="006F0FFC" w:rsidP="006F0FFC">
            <w:pPr>
              <w:jc w:val="right"/>
            </w:pPr>
            <w:r>
              <w:t>0.01</w:t>
            </w:r>
          </w:p>
        </w:tc>
        <w:tc>
          <w:tcPr>
            <w:tcW w:w="859" w:type="dxa"/>
            <w:shd w:val="clear" w:color="auto" w:fill="BFBFBF" w:themeFill="background1" w:themeFillShade="BF"/>
          </w:tcPr>
          <w:p w:rsidR="006F0FFC" w:rsidRDefault="006F0FFC" w:rsidP="006F0FFC">
            <w:pPr>
              <w:jc w:val="right"/>
            </w:pPr>
            <w:r>
              <w:t>0.83</w:t>
            </w:r>
          </w:p>
        </w:tc>
      </w:tr>
      <w:tr w:rsidR="006F0FFC" w:rsidTr="006F0FFC">
        <w:tc>
          <w:tcPr>
            <w:tcW w:w="2704" w:type="dxa"/>
          </w:tcPr>
          <w:p w:rsidR="006F0FFC" w:rsidRDefault="006F0FFC" w:rsidP="006F0FFC">
            <w:r>
              <w:t>Help After Discharge (Q48)</w:t>
            </w:r>
          </w:p>
        </w:tc>
        <w:tc>
          <w:tcPr>
            <w:tcW w:w="859" w:type="dxa"/>
          </w:tcPr>
          <w:p w:rsidR="006F0FFC" w:rsidRDefault="006F0FFC" w:rsidP="006F0FFC">
            <w:pPr>
              <w:jc w:val="right"/>
            </w:pPr>
            <w:r>
              <w:t>0.07</w:t>
            </w:r>
          </w:p>
        </w:tc>
        <w:tc>
          <w:tcPr>
            <w:tcW w:w="859" w:type="dxa"/>
          </w:tcPr>
          <w:p w:rsidR="006F0FFC" w:rsidRDefault="006F0FFC" w:rsidP="006F0FFC">
            <w:pPr>
              <w:jc w:val="right"/>
            </w:pPr>
            <w:r>
              <w:t>0.08</w:t>
            </w:r>
          </w:p>
        </w:tc>
        <w:tc>
          <w:tcPr>
            <w:tcW w:w="859" w:type="dxa"/>
          </w:tcPr>
          <w:p w:rsidR="006F0FFC" w:rsidRDefault="006F0FFC" w:rsidP="006F0FFC">
            <w:pPr>
              <w:jc w:val="right"/>
            </w:pPr>
            <w:r>
              <w:t>-0.02</w:t>
            </w:r>
          </w:p>
        </w:tc>
        <w:tc>
          <w:tcPr>
            <w:tcW w:w="859" w:type="dxa"/>
            <w:shd w:val="clear" w:color="auto" w:fill="BFBFBF" w:themeFill="background1" w:themeFillShade="BF"/>
          </w:tcPr>
          <w:p w:rsidR="006F0FFC" w:rsidRDefault="006F0FFC" w:rsidP="006F0FFC">
            <w:pPr>
              <w:jc w:val="right"/>
            </w:pPr>
            <w:r>
              <w:t>0.64</w:t>
            </w:r>
          </w:p>
        </w:tc>
        <w:tc>
          <w:tcPr>
            <w:tcW w:w="859" w:type="dxa"/>
          </w:tcPr>
          <w:p w:rsidR="006F0FFC" w:rsidRDefault="006F0FFC" w:rsidP="006F0FFC">
            <w:pPr>
              <w:jc w:val="right"/>
            </w:pPr>
            <w:r>
              <w:t>0.14</w:t>
            </w:r>
          </w:p>
        </w:tc>
        <w:tc>
          <w:tcPr>
            <w:tcW w:w="859" w:type="dxa"/>
          </w:tcPr>
          <w:p w:rsidR="006F0FFC" w:rsidRDefault="006F0FFC" w:rsidP="006F0FFC">
            <w:pPr>
              <w:jc w:val="right"/>
            </w:pPr>
            <w:r>
              <w:t>0.10</w:t>
            </w:r>
          </w:p>
        </w:tc>
        <w:tc>
          <w:tcPr>
            <w:tcW w:w="859" w:type="dxa"/>
          </w:tcPr>
          <w:p w:rsidR="006F0FFC" w:rsidRDefault="006F0FFC" w:rsidP="006F0FFC">
            <w:pPr>
              <w:jc w:val="right"/>
            </w:pPr>
            <w:r>
              <w:t>0.05</w:t>
            </w:r>
          </w:p>
        </w:tc>
        <w:tc>
          <w:tcPr>
            <w:tcW w:w="859" w:type="dxa"/>
          </w:tcPr>
          <w:p w:rsidR="006F0FFC" w:rsidRDefault="006F0FFC" w:rsidP="006F0FFC">
            <w:pPr>
              <w:jc w:val="right"/>
            </w:pPr>
            <w:r>
              <w:t>0.33</w:t>
            </w:r>
          </w:p>
        </w:tc>
      </w:tr>
      <w:tr w:rsidR="006F0FFC" w:rsidTr="006F0FFC">
        <w:tc>
          <w:tcPr>
            <w:tcW w:w="2704" w:type="dxa"/>
          </w:tcPr>
          <w:p w:rsidR="006F0FFC" w:rsidRDefault="006F0FFC" w:rsidP="006F0FFC">
            <w:r>
              <w:t>Writing Symptoms (Q49)</w:t>
            </w:r>
          </w:p>
        </w:tc>
        <w:tc>
          <w:tcPr>
            <w:tcW w:w="859" w:type="dxa"/>
          </w:tcPr>
          <w:p w:rsidR="006F0FFC" w:rsidRDefault="006F0FFC" w:rsidP="006F0FFC">
            <w:pPr>
              <w:jc w:val="right"/>
            </w:pPr>
            <w:r>
              <w:t>-0.06</w:t>
            </w:r>
          </w:p>
        </w:tc>
        <w:tc>
          <w:tcPr>
            <w:tcW w:w="859" w:type="dxa"/>
          </w:tcPr>
          <w:p w:rsidR="006F0FFC" w:rsidRDefault="006F0FFC" w:rsidP="006F0FFC">
            <w:pPr>
              <w:jc w:val="right"/>
            </w:pPr>
            <w:r>
              <w:t>0.06</w:t>
            </w:r>
          </w:p>
        </w:tc>
        <w:tc>
          <w:tcPr>
            <w:tcW w:w="859" w:type="dxa"/>
          </w:tcPr>
          <w:p w:rsidR="006F0FFC" w:rsidRDefault="006F0FFC" w:rsidP="006F0FFC">
            <w:pPr>
              <w:jc w:val="right"/>
            </w:pPr>
            <w:r>
              <w:t>0.08</w:t>
            </w:r>
          </w:p>
        </w:tc>
        <w:tc>
          <w:tcPr>
            <w:tcW w:w="859" w:type="dxa"/>
            <w:shd w:val="clear" w:color="auto" w:fill="BFBFBF" w:themeFill="background1" w:themeFillShade="BF"/>
          </w:tcPr>
          <w:p w:rsidR="006F0FFC" w:rsidRDefault="006F0FFC" w:rsidP="006F0FFC">
            <w:pPr>
              <w:jc w:val="right"/>
            </w:pPr>
            <w:r>
              <w:t>0.55</w:t>
            </w:r>
          </w:p>
        </w:tc>
        <w:tc>
          <w:tcPr>
            <w:tcW w:w="859" w:type="dxa"/>
          </w:tcPr>
          <w:p w:rsidR="006F0FFC" w:rsidRDefault="006F0FFC" w:rsidP="006F0FFC">
            <w:pPr>
              <w:jc w:val="right"/>
            </w:pPr>
            <w:r>
              <w:t>-0.11</w:t>
            </w:r>
          </w:p>
        </w:tc>
        <w:tc>
          <w:tcPr>
            <w:tcW w:w="859" w:type="dxa"/>
          </w:tcPr>
          <w:p w:rsidR="006F0FFC" w:rsidRDefault="006F0FFC" w:rsidP="006F0FFC">
            <w:pPr>
              <w:jc w:val="right"/>
            </w:pPr>
            <w:r>
              <w:t>-0.01</w:t>
            </w:r>
          </w:p>
        </w:tc>
        <w:tc>
          <w:tcPr>
            <w:tcW w:w="859" w:type="dxa"/>
          </w:tcPr>
          <w:p w:rsidR="006F0FFC" w:rsidRDefault="006F0FFC" w:rsidP="006F0FFC">
            <w:pPr>
              <w:jc w:val="right"/>
            </w:pPr>
            <w:r>
              <w:t>0.05</w:t>
            </w:r>
          </w:p>
        </w:tc>
        <w:tc>
          <w:tcPr>
            <w:tcW w:w="859" w:type="dxa"/>
            <w:shd w:val="clear" w:color="auto" w:fill="BFBFBF" w:themeFill="background1" w:themeFillShade="BF"/>
          </w:tcPr>
          <w:p w:rsidR="006F0FFC" w:rsidRDefault="006F0FFC" w:rsidP="006F0FFC">
            <w:pPr>
              <w:jc w:val="right"/>
            </w:pPr>
            <w:r>
              <w:t>0.76</w:t>
            </w:r>
          </w:p>
        </w:tc>
      </w:tr>
      <w:tr w:rsidR="006F0FFC" w:rsidTr="006F0FFC">
        <w:tc>
          <w:tcPr>
            <w:tcW w:w="2704" w:type="dxa"/>
          </w:tcPr>
          <w:p w:rsidR="006F0FFC" w:rsidRDefault="006F0FFC" w:rsidP="006F0FFC">
            <w:r>
              <w:t>Living Will (Q44)</w:t>
            </w:r>
          </w:p>
        </w:tc>
        <w:tc>
          <w:tcPr>
            <w:tcW w:w="859" w:type="dxa"/>
          </w:tcPr>
          <w:p w:rsidR="006F0FFC" w:rsidRDefault="006F0FFC" w:rsidP="006F0FFC">
            <w:pPr>
              <w:jc w:val="right"/>
            </w:pPr>
            <w:r>
              <w:t>-0.06</w:t>
            </w:r>
          </w:p>
        </w:tc>
        <w:tc>
          <w:tcPr>
            <w:tcW w:w="859" w:type="dxa"/>
          </w:tcPr>
          <w:p w:rsidR="006F0FFC" w:rsidRDefault="006F0FFC" w:rsidP="006F0FFC">
            <w:pPr>
              <w:jc w:val="right"/>
            </w:pPr>
            <w:r>
              <w:t>0.03</w:t>
            </w:r>
          </w:p>
        </w:tc>
        <w:tc>
          <w:tcPr>
            <w:tcW w:w="859" w:type="dxa"/>
          </w:tcPr>
          <w:p w:rsidR="006F0FFC" w:rsidRDefault="006F0FFC" w:rsidP="006F0FFC">
            <w:pPr>
              <w:jc w:val="right"/>
            </w:pPr>
            <w:r>
              <w:t>-0.07</w:t>
            </w:r>
          </w:p>
        </w:tc>
        <w:tc>
          <w:tcPr>
            <w:tcW w:w="859" w:type="dxa"/>
            <w:shd w:val="clear" w:color="auto" w:fill="BFBFBF" w:themeFill="background1" w:themeFillShade="BF"/>
          </w:tcPr>
          <w:p w:rsidR="006F0FFC" w:rsidRDefault="006F0FFC" w:rsidP="006F0FFC">
            <w:pPr>
              <w:jc w:val="right"/>
            </w:pPr>
            <w:r>
              <w:t>0.47</w:t>
            </w:r>
          </w:p>
        </w:tc>
        <w:tc>
          <w:tcPr>
            <w:tcW w:w="859" w:type="dxa"/>
          </w:tcPr>
          <w:p w:rsidR="006F0FFC" w:rsidRDefault="006F0FFC" w:rsidP="006F0FFC">
            <w:pPr>
              <w:jc w:val="right"/>
            </w:pPr>
            <w:r>
              <w:t>0.21</w:t>
            </w:r>
          </w:p>
        </w:tc>
        <w:tc>
          <w:tcPr>
            <w:tcW w:w="859" w:type="dxa"/>
          </w:tcPr>
          <w:p w:rsidR="006F0FFC" w:rsidRDefault="006F0FFC" w:rsidP="006F0FFC">
            <w:pPr>
              <w:jc w:val="right"/>
            </w:pPr>
            <w:r>
              <w:t>-0.18</w:t>
            </w:r>
          </w:p>
        </w:tc>
        <w:tc>
          <w:tcPr>
            <w:tcW w:w="859" w:type="dxa"/>
          </w:tcPr>
          <w:p w:rsidR="006F0FFC" w:rsidRDefault="006F0FFC" w:rsidP="006F0FFC">
            <w:pPr>
              <w:jc w:val="right"/>
            </w:pPr>
            <w:r>
              <w:t>-0.02</w:t>
            </w:r>
          </w:p>
        </w:tc>
        <w:tc>
          <w:tcPr>
            <w:tcW w:w="859" w:type="dxa"/>
          </w:tcPr>
          <w:p w:rsidR="006F0FFC" w:rsidRDefault="006F0FFC" w:rsidP="006F0FFC">
            <w:pPr>
              <w:jc w:val="right"/>
            </w:pPr>
            <w:r>
              <w:t>0.23</w:t>
            </w:r>
          </w:p>
        </w:tc>
      </w:tr>
      <w:tr w:rsidR="006F0FFC" w:rsidTr="006F0FFC">
        <w:tc>
          <w:tcPr>
            <w:tcW w:w="2704" w:type="dxa"/>
          </w:tcPr>
          <w:p w:rsidR="006F0FFC" w:rsidRDefault="006F0FFC" w:rsidP="006F0FFC">
            <w:r>
              <w:t>Tests Without Pain (Q35)</w:t>
            </w:r>
          </w:p>
        </w:tc>
        <w:tc>
          <w:tcPr>
            <w:tcW w:w="859" w:type="dxa"/>
          </w:tcPr>
          <w:p w:rsidR="006F0FFC" w:rsidRDefault="006F0FFC" w:rsidP="006F0FFC">
            <w:pPr>
              <w:jc w:val="right"/>
            </w:pPr>
            <w:r>
              <w:t>0.25</w:t>
            </w:r>
          </w:p>
        </w:tc>
        <w:tc>
          <w:tcPr>
            <w:tcW w:w="859" w:type="dxa"/>
          </w:tcPr>
          <w:p w:rsidR="006F0FFC" w:rsidRDefault="006F0FFC" w:rsidP="006F0FFC">
            <w:pPr>
              <w:jc w:val="right"/>
            </w:pPr>
            <w:r>
              <w:t>0.09</w:t>
            </w:r>
          </w:p>
        </w:tc>
        <w:tc>
          <w:tcPr>
            <w:tcW w:w="859" w:type="dxa"/>
          </w:tcPr>
          <w:p w:rsidR="006F0FFC" w:rsidRDefault="006F0FFC" w:rsidP="006F0FFC">
            <w:pPr>
              <w:jc w:val="right"/>
            </w:pPr>
            <w:r>
              <w:t>0.22</w:t>
            </w:r>
          </w:p>
        </w:tc>
        <w:tc>
          <w:tcPr>
            <w:tcW w:w="859" w:type="dxa"/>
          </w:tcPr>
          <w:p w:rsidR="006F0FFC" w:rsidRDefault="006F0FFC" w:rsidP="006F0FFC">
            <w:pPr>
              <w:jc w:val="right"/>
            </w:pPr>
            <w:r>
              <w:t>0.07</w:t>
            </w:r>
          </w:p>
        </w:tc>
        <w:tc>
          <w:tcPr>
            <w:tcW w:w="859" w:type="dxa"/>
          </w:tcPr>
          <w:p w:rsidR="006F0FFC" w:rsidRDefault="006F0FFC" w:rsidP="006F0FFC">
            <w:pPr>
              <w:jc w:val="right"/>
            </w:pPr>
            <w:r>
              <w:t>0.12</w:t>
            </w:r>
          </w:p>
        </w:tc>
        <w:tc>
          <w:tcPr>
            <w:tcW w:w="859" w:type="dxa"/>
          </w:tcPr>
          <w:p w:rsidR="006F0FFC" w:rsidRDefault="006F0FFC" w:rsidP="006F0FFC">
            <w:pPr>
              <w:jc w:val="right"/>
            </w:pPr>
            <w:r>
              <w:t>0.06</w:t>
            </w:r>
          </w:p>
        </w:tc>
        <w:tc>
          <w:tcPr>
            <w:tcW w:w="859" w:type="dxa"/>
          </w:tcPr>
          <w:p w:rsidR="006F0FFC" w:rsidRDefault="006F0FFC" w:rsidP="006F0FFC">
            <w:pPr>
              <w:jc w:val="right"/>
            </w:pPr>
            <w:r>
              <w:t>0.53</w:t>
            </w:r>
          </w:p>
        </w:tc>
        <w:tc>
          <w:tcPr>
            <w:tcW w:w="859" w:type="dxa"/>
          </w:tcPr>
          <w:p w:rsidR="006F0FFC" w:rsidRDefault="006F0FFC" w:rsidP="006F0FFC">
            <w:pPr>
              <w:jc w:val="right"/>
            </w:pPr>
            <w:r>
              <w:t>-0.27</w:t>
            </w:r>
          </w:p>
        </w:tc>
      </w:tr>
      <w:tr w:rsidR="006F0FFC" w:rsidTr="006F0FFC">
        <w:tc>
          <w:tcPr>
            <w:tcW w:w="2704" w:type="dxa"/>
          </w:tcPr>
          <w:p w:rsidR="006F0FFC" w:rsidRDefault="006F0FFC" w:rsidP="006F0FFC">
            <w:r>
              <w:t>Writing How to take RX (Q51)</w:t>
            </w:r>
          </w:p>
        </w:tc>
        <w:tc>
          <w:tcPr>
            <w:tcW w:w="859" w:type="dxa"/>
          </w:tcPr>
          <w:p w:rsidR="006F0FFC" w:rsidRDefault="006F0FFC" w:rsidP="006F0FFC">
            <w:pPr>
              <w:jc w:val="right"/>
            </w:pPr>
            <w:r>
              <w:t>-0.02</w:t>
            </w:r>
          </w:p>
        </w:tc>
        <w:tc>
          <w:tcPr>
            <w:tcW w:w="859" w:type="dxa"/>
          </w:tcPr>
          <w:p w:rsidR="006F0FFC" w:rsidRDefault="006F0FFC" w:rsidP="006F0FFC">
            <w:pPr>
              <w:jc w:val="right"/>
            </w:pPr>
            <w:r>
              <w:t>0.15</w:t>
            </w:r>
          </w:p>
        </w:tc>
        <w:tc>
          <w:tcPr>
            <w:tcW w:w="859" w:type="dxa"/>
          </w:tcPr>
          <w:p w:rsidR="006F0FFC" w:rsidRDefault="006F0FFC" w:rsidP="006F0FFC">
            <w:pPr>
              <w:jc w:val="right"/>
            </w:pPr>
            <w:r>
              <w:t>0.02</w:t>
            </w:r>
          </w:p>
        </w:tc>
        <w:tc>
          <w:tcPr>
            <w:tcW w:w="859" w:type="dxa"/>
          </w:tcPr>
          <w:p w:rsidR="006F0FFC" w:rsidRDefault="006F0FFC" w:rsidP="006F0FFC">
            <w:pPr>
              <w:jc w:val="right"/>
            </w:pPr>
            <w:r>
              <w:t>0.34</w:t>
            </w:r>
          </w:p>
        </w:tc>
        <w:tc>
          <w:tcPr>
            <w:tcW w:w="859" w:type="dxa"/>
          </w:tcPr>
          <w:p w:rsidR="006F0FFC" w:rsidRDefault="006F0FFC" w:rsidP="006F0FFC">
            <w:pPr>
              <w:jc w:val="right"/>
            </w:pPr>
            <w:r>
              <w:t>-0.09</w:t>
            </w:r>
          </w:p>
        </w:tc>
        <w:tc>
          <w:tcPr>
            <w:tcW w:w="859" w:type="dxa"/>
          </w:tcPr>
          <w:p w:rsidR="006F0FFC" w:rsidRDefault="006F0FFC" w:rsidP="006F0FFC">
            <w:pPr>
              <w:jc w:val="right"/>
            </w:pPr>
            <w:r>
              <w:t>0.13</w:t>
            </w:r>
          </w:p>
        </w:tc>
        <w:tc>
          <w:tcPr>
            <w:tcW w:w="859" w:type="dxa"/>
          </w:tcPr>
          <w:p w:rsidR="006F0FFC" w:rsidRDefault="006F0FFC" w:rsidP="006F0FFC">
            <w:pPr>
              <w:jc w:val="right"/>
            </w:pPr>
            <w:r>
              <w:t>0.06</w:t>
            </w:r>
          </w:p>
        </w:tc>
        <w:tc>
          <w:tcPr>
            <w:tcW w:w="859" w:type="dxa"/>
            <w:shd w:val="clear" w:color="auto" w:fill="BFBFBF" w:themeFill="background1" w:themeFillShade="BF"/>
          </w:tcPr>
          <w:p w:rsidR="006F0FFC" w:rsidRDefault="006F0FFC" w:rsidP="006F0FFC">
            <w:pPr>
              <w:jc w:val="right"/>
            </w:pPr>
            <w:r>
              <w:t>0.59</w:t>
            </w:r>
          </w:p>
        </w:tc>
      </w:tr>
      <w:tr w:rsidR="006F0FFC" w:rsidTr="006F0FFC">
        <w:tc>
          <w:tcPr>
            <w:tcW w:w="2704" w:type="dxa"/>
          </w:tcPr>
          <w:p w:rsidR="006F0FFC" w:rsidRDefault="006F0FFC" w:rsidP="006F0FFC">
            <w:r>
              <w:t>Delays in Admission (Q43)</w:t>
            </w:r>
          </w:p>
        </w:tc>
        <w:tc>
          <w:tcPr>
            <w:tcW w:w="859" w:type="dxa"/>
          </w:tcPr>
          <w:p w:rsidR="006F0FFC" w:rsidRDefault="006F0FFC" w:rsidP="006F0FFC">
            <w:pPr>
              <w:jc w:val="right"/>
            </w:pPr>
            <w:r>
              <w:t>0.29</w:t>
            </w:r>
          </w:p>
        </w:tc>
        <w:tc>
          <w:tcPr>
            <w:tcW w:w="859" w:type="dxa"/>
          </w:tcPr>
          <w:p w:rsidR="006F0FFC" w:rsidRDefault="006F0FFC" w:rsidP="006F0FFC">
            <w:pPr>
              <w:jc w:val="right"/>
            </w:pPr>
            <w:r>
              <w:t>-0.16</w:t>
            </w:r>
          </w:p>
        </w:tc>
        <w:tc>
          <w:tcPr>
            <w:tcW w:w="859" w:type="dxa"/>
          </w:tcPr>
          <w:p w:rsidR="006F0FFC" w:rsidRDefault="006F0FFC" w:rsidP="006F0FFC">
            <w:pPr>
              <w:jc w:val="right"/>
            </w:pPr>
            <w:r>
              <w:t>0.07</w:t>
            </w:r>
          </w:p>
        </w:tc>
        <w:tc>
          <w:tcPr>
            <w:tcW w:w="859" w:type="dxa"/>
          </w:tcPr>
          <w:p w:rsidR="006F0FFC" w:rsidRDefault="006F0FFC" w:rsidP="006F0FFC">
            <w:pPr>
              <w:jc w:val="right"/>
            </w:pPr>
            <w:r>
              <w:t>-0.01</w:t>
            </w:r>
          </w:p>
        </w:tc>
        <w:tc>
          <w:tcPr>
            <w:tcW w:w="859" w:type="dxa"/>
          </w:tcPr>
          <w:p w:rsidR="006F0FFC" w:rsidRDefault="006F0FFC" w:rsidP="006F0FFC">
            <w:pPr>
              <w:jc w:val="right"/>
            </w:pPr>
            <w:r>
              <w:t>0.11</w:t>
            </w:r>
          </w:p>
        </w:tc>
        <w:tc>
          <w:tcPr>
            <w:tcW w:w="859" w:type="dxa"/>
          </w:tcPr>
          <w:p w:rsidR="006F0FFC" w:rsidRDefault="006F0FFC" w:rsidP="006F0FFC">
            <w:pPr>
              <w:jc w:val="right"/>
            </w:pPr>
            <w:r>
              <w:t>-0.02</w:t>
            </w:r>
          </w:p>
        </w:tc>
        <w:tc>
          <w:tcPr>
            <w:tcW w:w="859" w:type="dxa"/>
          </w:tcPr>
          <w:p w:rsidR="006F0FFC" w:rsidRDefault="006F0FFC" w:rsidP="006F0FFC">
            <w:pPr>
              <w:jc w:val="right"/>
            </w:pPr>
            <w:r>
              <w:t>-0.07</w:t>
            </w:r>
          </w:p>
        </w:tc>
        <w:tc>
          <w:tcPr>
            <w:tcW w:w="859" w:type="dxa"/>
          </w:tcPr>
          <w:p w:rsidR="006F0FFC" w:rsidRDefault="006F0FFC" w:rsidP="006F0FFC">
            <w:pPr>
              <w:jc w:val="right"/>
            </w:pPr>
            <w:r>
              <w:t>0.31</w:t>
            </w:r>
          </w:p>
        </w:tc>
      </w:tr>
      <w:tr w:rsidR="006F0FFC" w:rsidTr="006F0FFC">
        <w:tc>
          <w:tcPr>
            <w:tcW w:w="2704" w:type="dxa"/>
          </w:tcPr>
          <w:p w:rsidR="006F0FFC" w:rsidRDefault="006F0FFC" w:rsidP="006F0FFC">
            <w:r>
              <w:t>Privacy (Q24)</w:t>
            </w:r>
          </w:p>
        </w:tc>
        <w:tc>
          <w:tcPr>
            <w:tcW w:w="859" w:type="dxa"/>
          </w:tcPr>
          <w:p w:rsidR="006F0FFC" w:rsidRDefault="006F0FFC" w:rsidP="006F0FFC">
            <w:pPr>
              <w:jc w:val="right"/>
            </w:pPr>
            <w:r>
              <w:t>0.25</w:t>
            </w:r>
          </w:p>
        </w:tc>
        <w:tc>
          <w:tcPr>
            <w:tcW w:w="859" w:type="dxa"/>
          </w:tcPr>
          <w:p w:rsidR="006F0FFC" w:rsidRDefault="006F0FFC" w:rsidP="006F0FFC">
            <w:pPr>
              <w:jc w:val="right"/>
            </w:pPr>
            <w:r>
              <w:t>0.00</w:t>
            </w:r>
          </w:p>
        </w:tc>
        <w:tc>
          <w:tcPr>
            <w:tcW w:w="859" w:type="dxa"/>
          </w:tcPr>
          <w:p w:rsidR="006F0FFC" w:rsidRDefault="006F0FFC" w:rsidP="006F0FFC">
            <w:pPr>
              <w:jc w:val="right"/>
            </w:pPr>
            <w:r>
              <w:t>-0.01</w:t>
            </w:r>
          </w:p>
        </w:tc>
        <w:tc>
          <w:tcPr>
            <w:tcW w:w="859" w:type="dxa"/>
          </w:tcPr>
          <w:p w:rsidR="006F0FFC" w:rsidRDefault="006F0FFC" w:rsidP="006F0FFC">
            <w:pPr>
              <w:jc w:val="right"/>
            </w:pPr>
            <w:r>
              <w:t>-0.03</w:t>
            </w:r>
          </w:p>
        </w:tc>
        <w:tc>
          <w:tcPr>
            <w:tcW w:w="859" w:type="dxa"/>
          </w:tcPr>
          <w:p w:rsidR="006F0FFC" w:rsidRDefault="006F0FFC" w:rsidP="006F0FFC">
            <w:pPr>
              <w:jc w:val="right"/>
            </w:pPr>
            <w:r>
              <w:t>0.28</w:t>
            </w:r>
          </w:p>
        </w:tc>
        <w:tc>
          <w:tcPr>
            <w:tcW w:w="859" w:type="dxa"/>
          </w:tcPr>
          <w:p w:rsidR="006F0FFC" w:rsidRDefault="006F0FFC" w:rsidP="006F0FFC">
            <w:pPr>
              <w:jc w:val="right"/>
            </w:pPr>
            <w:r>
              <w:t>-0.01</w:t>
            </w:r>
          </w:p>
        </w:tc>
        <w:tc>
          <w:tcPr>
            <w:tcW w:w="859" w:type="dxa"/>
          </w:tcPr>
          <w:p w:rsidR="006F0FFC" w:rsidRDefault="006F0FFC" w:rsidP="006F0FFC">
            <w:pPr>
              <w:jc w:val="right"/>
            </w:pPr>
            <w:r>
              <w:t>0.07</w:t>
            </w:r>
          </w:p>
        </w:tc>
        <w:tc>
          <w:tcPr>
            <w:tcW w:w="859" w:type="dxa"/>
          </w:tcPr>
          <w:p w:rsidR="006F0FFC" w:rsidRDefault="006F0FFC" w:rsidP="006F0FFC">
            <w:pPr>
              <w:jc w:val="right"/>
            </w:pPr>
            <w:r>
              <w:t>-0.13</w:t>
            </w:r>
          </w:p>
        </w:tc>
      </w:tr>
    </w:tbl>
    <w:p w:rsidR="0061736A" w:rsidRDefault="0061736A" w:rsidP="000462DC">
      <w:pPr>
        <w:autoSpaceDE w:val="0"/>
        <w:autoSpaceDN w:val="0"/>
        <w:adjustRightInd w:val="0"/>
        <w:spacing w:after="0" w:line="240" w:lineRule="auto"/>
        <w:rPr>
          <w:rFonts w:ascii="Palatino Linotype" w:hAnsi="Palatino Linotype" w:cs="Times New Roman"/>
          <w:i/>
          <w:sz w:val="20"/>
          <w:szCs w:val="20"/>
        </w:rPr>
      </w:pPr>
    </w:p>
    <w:p w:rsidR="00D40757" w:rsidRDefault="00D40757" w:rsidP="000462DC">
      <w:pPr>
        <w:autoSpaceDE w:val="0"/>
        <w:autoSpaceDN w:val="0"/>
        <w:adjustRightInd w:val="0"/>
        <w:spacing w:after="0" w:line="240" w:lineRule="auto"/>
        <w:rPr>
          <w:rFonts w:ascii="Palatino Linotype" w:hAnsi="Palatino Linotype" w:cs="Times New Roman"/>
          <w:i/>
          <w:sz w:val="20"/>
          <w:szCs w:val="20"/>
        </w:rPr>
      </w:pPr>
    </w:p>
    <w:p w:rsidR="006F0FFC" w:rsidRDefault="006F0FFC" w:rsidP="006F0FFC"/>
    <w:p w:rsidR="006F0FFC" w:rsidRDefault="006F0FFC" w:rsidP="006F0FFC"/>
    <w:p w:rsidR="006F0FFC" w:rsidRDefault="006F0FFC" w:rsidP="006F0FFC">
      <w:r>
        <w:t>Table 8: Factor Analysis with Five Factors</w:t>
      </w:r>
    </w:p>
    <w:tbl>
      <w:tblPr>
        <w:tblStyle w:val="TableGrid"/>
        <w:tblW w:w="0" w:type="auto"/>
        <w:tblLook w:val="04A0" w:firstRow="1" w:lastRow="0" w:firstColumn="1" w:lastColumn="0" w:noHBand="0" w:noVBand="1"/>
        <w:tblCaption w:val="Table with Factor Analysis with Five Factors"/>
        <w:tblDescription w:val="Factor Analysis with Five Factors"/>
      </w:tblPr>
      <w:tblGrid>
        <w:gridCol w:w="2898"/>
        <w:gridCol w:w="1134"/>
        <w:gridCol w:w="1134"/>
        <w:gridCol w:w="1134"/>
        <w:gridCol w:w="1134"/>
        <w:gridCol w:w="1134"/>
      </w:tblGrid>
      <w:tr w:rsidR="006F0FFC" w:rsidTr="006F0FFC">
        <w:tc>
          <w:tcPr>
            <w:tcW w:w="2898" w:type="dxa"/>
            <w:vAlign w:val="center"/>
          </w:tcPr>
          <w:p w:rsidR="006F0FFC" w:rsidRDefault="006F0FFC" w:rsidP="006F0FFC">
            <w:pPr>
              <w:jc w:val="center"/>
            </w:pPr>
            <w:r>
              <w:t>Item</w:t>
            </w:r>
          </w:p>
        </w:tc>
        <w:tc>
          <w:tcPr>
            <w:tcW w:w="1134" w:type="dxa"/>
            <w:vAlign w:val="center"/>
          </w:tcPr>
          <w:p w:rsidR="006F0FFC" w:rsidRDefault="006F0FFC" w:rsidP="006F0FFC">
            <w:pPr>
              <w:jc w:val="center"/>
            </w:pPr>
            <w:r>
              <w:t>Factor 1</w:t>
            </w:r>
          </w:p>
        </w:tc>
        <w:tc>
          <w:tcPr>
            <w:tcW w:w="1134" w:type="dxa"/>
            <w:vAlign w:val="center"/>
          </w:tcPr>
          <w:p w:rsidR="006F0FFC" w:rsidRDefault="006F0FFC" w:rsidP="006F0FFC">
            <w:pPr>
              <w:jc w:val="center"/>
            </w:pPr>
            <w:r>
              <w:t>Factor 2</w:t>
            </w:r>
          </w:p>
        </w:tc>
        <w:tc>
          <w:tcPr>
            <w:tcW w:w="1134" w:type="dxa"/>
            <w:vAlign w:val="center"/>
          </w:tcPr>
          <w:p w:rsidR="006F0FFC" w:rsidRDefault="006F0FFC" w:rsidP="006F0FFC">
            <w:pPr>
              <w:jc w:val="center"/>
            </w:pPr>
            <w:r>
              <w:t>Factor 3</w:t>
            </w:r>
          </w:p>
        </w:tc>
        <w:tc>
          <w:tcPr>
            <w:tcW w:w="1134" w:type="dxa"/>
          </w:tcPr>
          <w:p w:rsidR="006F0FFC" w:rsidRDefault="006F0FFC" w:rsidP="006F0FFC">
            <w:pPr>
              <w:jc w:val="center"/>
            </w:pPr>
            <w:r>
              <w:t>Factor 4</w:t>
            </w:r>
          </w:p>
        </w:tc>
        <w:tc>
          <w:tcPr>
            <w:tcW w:w="1134" w:type="dxa"/>
          </w:tcPr>
          <w:p w:rsidR="006F0FFC" w:rsidRDefault="006F0FFC" w:rsidP="006F0FFC">
            <w:pPr>
              <w:jc w:val="center"/>
            </w:pPr>
            <w:r>
              <w:t>Factor 5</w:t>
            </w:r>
          </w:p>
        </w:tc>
      </w:tr>
      <w:tr w:rsidR="006F0FFC" w:rsidTr="006F0FFC">
        <w:tc>
          <w:tcPr>
            <w:tcW w:w="2898" w:type="dxa"/>
          </w:tcPr>
          <w:p w:rsidR="006F0FFC" w:rsidRDefault="006F0FFC" w:rsidP="006F0FFC">
            <w:r>
              <w:t>Respect (Q4)</w:t>
            </w:r>
          </w:p>
        </w:tc>
        <w:tc>
          <w:tcPr>
            <w:tcW w:w="1134" w:type="dxa"/>
            <w:shd w:val="clear" w:color="auto" w:fill="BFBFBF" w:themeFill="background1" w:themeFillShade="BF"/>
          </w:tcPr>
          <w:p w:rsidR="006F0FFC" w:rsidRDefault="006F0FFC" w:rsidP="006F0FFC">
            <w:pPr>
              <w:jc w:val="right"/>
            </w:pPr>
            <w:r>
              <w:t>0.83</w:t>
            </w:r>
          </w:p>
        </w:tc>
        <w:tc>
          <w:tcPr>
            <w:tcW w:w="1134" w:type="dxa"/>
            <w:shd w:val="clear" w:color="auto" w:fill="auto"/>
          </w:tcPr>
          <w:p w:rsidR="006F0FFC" w:rsidRDefault="006F0FFC" w:rsidP="006F0FFC">
            <w:pPr>
              <w:jc w:val="right"/>
            </w:pPr>
            <w:r>
              <w:t>-0.03</w:t>
            </w:r>
          </w:p>
        </w:tc>
        <w:tc>
          <w:tcPr>
            <w:tcW w:w="1134" w:type="dxa"/>
            <w:shd w:val="clear" w:color="auto" w:fill="auto"/>
          </w:tcPr>
          <w:p w:rsidR="006F0FFC" w:rsidRDefault="006F0FFC" w:rsidP="006F0FFC">
            <w:pPr>
              <w:jc w:val="right"/>
            </w:pPr>
            <w:r>
              <w:t>-0.03</w:t>
            </w:r>
          </w:p>
        </w:tc>
        <w:tc>
          <w:tcPr>
            <w:tcW w:w="1134" w:type="dxa"/>
            <w:shd w:val="clear" w:color="auto" w:fill="auto"/>
          </w:tcPr>
          <w:p w:rsidR="006F0FFC" w:rsidRDefault="006F0FFC" w:rsidP="006F0FFC">
            <w:pPr>
              <w:jc w:val="right"/>
            </w:pPr>
            <w:r>
              <w:t>0.10</w:t>
            </w:r>
          </w:p>
        </w:tc>
        <w:tc>
          <w:tcPr>
            <w:tcW w:w="1134" w:type="dxa"/>
            <w:shd w:val="clear" w:color="auto" w:fill="auto"/>
          </w:tcPr>
          <w:p w:rsidR="006F0FFC" w:rsidRDefault="006F0FFC" w:rsidP="006F0FFC">
            <w:pPr>
              <w:jc w:val="right"/>
            </w:pPr>
            <w:r>
              <w:t>-0.04</w:t>
            </w:r>
          </w:p>
        </w:tc>
      </w:tr>
      <w:tr w:rsidR="006F0FFC" w:rsidTr="006F0FFC">
        <w:tc>
          <w:tcPr>
            <w:tcW w:w="2898" w:type="dxa"/>
          </w:tcPr>
          <w:p w:rsidR="006F0FFC" w:rsidRDefault="006F0FFC" w:rsidP="006F0FFC">
            <w:r>
              <w:t>Listen (Q5)</w:t>
            </w:r>
          </w:p>
        </w:tc>
        <w:tc>
          <w:tcPr>
            <w:tcW w:w="1134" w:type="dxa"/>
            <w:shd w:val="clear" w:color="auto" w:fill="BFBFBF" w:themeFill="background1" w:themeFillShade="BF"/>
          </w:tcPr>
          <w:p w:rsidR="006F0FFC" w:rsidRDefault="006F0FFC" w:rsidP="006F0FFC">
            <w:pPr>
              <w:jc w:val="right"/>
            </w:pPr>
            <w:r>
              <w:t>0.78</w:t>
            </w:r>
          </w:p>
        </w:tc>
        <w:tc>
          <w:tcPr>
            <w:tcW w:w="1134" w:type="dxa"/>
            <w:shd w:val="clear" w:color="auto" w:fill="auto"/>
          </w:tcPr>
          <w:p w:rsidR="006F0FFC" w:rsidRDefault="006F0FFC" w:rsidP="006F0FFC">
            <w:pPr>
              <w:jc w:val="right"/>
            </w:pPr>
            <w:r>
              <w:t>0.03</w:t>
            </w:r>
          </w:p>
        </w:tc>
        <w:tc>
          <w:tcPr>
            <w:tcW w:w="1134" w:type="dxa"/>
            <w:shd w:val="clear" w:color="auto" w:fill="auto"/>
          </w:tcPr>
          <w:p w:rsidR="006F0FFC" w:rsidRDefault="006F0FFC" w:rsidP="006F0FFC">
            <w:pPr>
              <w:jc w:val="right"/>
            </w:pPr>
            <w:r>
              <w:t>0.02</w:t>
            </w:r>
          </w:p>
        </w:tc>
        <w:tc>
          <w:tcPr>
            <w:tcW w:w="1134" w:type="dxa"/>
            <w:shd w:val="clear" w:color="auto" w:fill="auto"/>
          </w:tcPr>
          <w:p w:rsidR="006F0FFC" w:rsidRDefault="006F0FFC" w:rsidP="006F0FFC">
            <w:pPr>
              <w:jc w:val="right"/>
            </w:pPr>
            <w:r>
              <w:t>0.14</w:t>
            </w:r>
          </w:p>
        </w:tc>
        <w:tc>
          <w:tcPr>
            <w:tcW w:w="1134" w:type="dxa"/>
            <w:shd w:val="clear" w:color="auto" w:fill="auto"/>
          </w:tcPr>
          <w:p w:rsidR="006F0FFC" w:rsidRDefault="006F0FFC" w:rsidP="006F0FFC">
            <w:pPr>
              <w:jc w:val="right"/>
            </w:pPr>
            <w:r>
              <w:t>-0.08</w:t>
            </w:r>
          </w:p>
        </w:tc>
      </w:tr>
      <w:tr w:rsidR="006F0FFC" w:rsidTr="006F0FFC">
        <w:tc>
          <w:tcPr>
            <w:tcW w:w="2898" w:type="dxa"/>
          </w:tcPr>
          <w:p w:rsidR="006F0FFC" w:rsidRDefault="006F0FFC" w:rsidP="006F0FFC">
            <w:r>
              <w:t>Explain Things (Q6)</w:t>
            </w:r>
          </w:p>
        </w:tc>
        <w:tc>
          <w:tcPr>
            <w:tcW w:w="1134" w:type="dxa"/>
            <w:shd w:val="clear" w:color="auto" w:fill="BFBFBF" w:themeFill="background1" w:themeFillShade="BF"/>
          </w:tcPr>
          <w:p w:rsidR="006F0FFC" w:rsidRDefault="006F0FFC" w:rsidP="006F0FFC">
            <w:pPr>
              <w:jc w:val="right"/>
            </w:pPr>
            <w:r>
              <w:t>0.63</w:t>
            </w:r>
          </w:p>
        </w:tc>
        <w:tc>
          <w:tcPr>
            <w:tcW w:w="1134" w:type="dxa"/>
            <w:shd w:val="clear" w:color="auto" w:fill="auto"/>
          </w:tcPr>
          <w:p w:rsidR="006F0FFC" w:rsidRDefault="006F0FFC" w:rsidP="006F0FFC">
            <w:pPr>
              <w:jc w:val="right"/>
            </w:pPr>
            <w:r>
              <w:t>0.19</w:t>
            </w:r>
          </w:p>
        </w:tc>
        <w:tc>
          <w:tcPr>
            <w:tcW w:w="1134" w:type="dxa"/>
            <w:shd w:val="clear" w:color="auto" w:fill="auto"/>
          </w:tcPr>
          <w:p w:rsidR="006F0FFC" w:rsidRDefault="006F0FFC" w:rsidP="006F0FFC">
            <w:pPr>
              <w:jc w:val="right"/>
            </w:pPr>
            <w:r>
              <w:t>0.07</w:t>
            </w:r>
          </w:p>
        </w:tc>
        <w:tc>
          <w:tcPr>
            <w:tcW w:w="1134" w:type="dxa"/>
            <w:shd w:val="clear" w:color="auto" w:fill="auto"/>
          </w:tcPr>
          <w:p w:rsidR="006F0FFC" w:rsidRDefault="006F0FFC" w:rsidP="006F0FFC">
            <w:pPr>
              <w:jc w:val="right"/>
            </w:pPr>
            <w:r>
              <w:t>0.07</w:t>
            </w:r>
          </w:p>
        </w:tc>
        <w:tc>
          <w:tcPr>
            <w:tcW w:w="1134" w:type="dxa"/>
            <w:shd w:val="clear" w:color="auto" w:fill="auto"/>
          </w:tcPr>
          <w:p w:rsidR="006F0FFC" w:rsidRDefault="006F0FFC" w:rsidP="006F0FFC">
            <w:pPr>
              <w:jc w:val="right"/>
            </w:pPr>
            <w:r>
              <w:t>-0.04</w:t>
            </w:r>
          </w:p>
        </w:tc>
      </w:tr>
      <w:tr w:rsidR="006F0FFC" w:rsidTr="006F0FFC">
        <w:tc>
          <w:tcPr>
            <w:tcW w:w="2898" w:type="dxa"/>
          </w:tcPr>
          <w:p w:rsidR="006F0FFC" w:rsidRDefault="006F0FFC" w:rsidP="006F0FFC">
            <w:r>
              <w:t>MD Pain Help (Q33)</w:t>
            </w:r>
          </w:p>
        </w:tc>
        <w:tc>
          <w:tcPr>
            <w:tcW w:w="1134" w:type="dxa"/>
            <w:shd w:val="clear" w:color="auto" w:fill="BFBFBF" w:themeFill="background1" w:themeFillShade="BF"/>
          </w:tcPr>
          <w:p w:rsidR="006F0FFC" w:rsidRDefault="006F0FFC" w:rsidP="006F0FFC">
            <w:pPr>
              <w:jc w:val="right"/>
            </w:pPr>
            <w:r>
              <w:t>0.63</w:t>
            </w:r>
          </w:p>
        </w:tc>
        <w:tc>
          <w:tcPr>
            <w:tcW w:w="1134" w:type="dxa"/>
            <w:shd w:val="clear" w:color="auto" w:fill="auto"/>
          </w:tcPr>
          <w:p w:rsidR="006F0FFC" w:rsidRDefault="006F0FFC" w:rsidP="006F0FFC">
            <w:pPr>
              <w:jc w:val="right"/>
            </w:pPr>
            <w:r>
              <w:t>0.15</w:t>
            </w:r>
          </w:p>
        </w:tc>
        <w:tc>
          <w:tcPr>
            <w:tcW w:w="1134" w:type="dxa"/>
            <w:shd w:val="clear" w:color="auto" w:fill="auto"/>
          </w:tcPr>
          <w:p w:rsidR="006F0FFC" w:rsidRDefault="006F0FFC" w:rsidP="006F0FFC">
            <w:pPr>
              <w:jc w:val="right"/>
            </w:pPr>
            <w:r>
              <w:t>-0.02</w:t>
            </w:r>
          </w:p>
        </w:tc>
        <w:tc>
          <w:tcPr>
            <w:tcW w:w="1134" w:type="dxa"/>
            <w:shd w:val="clear" w:color="auto" w:fill="auto"/>
          </w:tcPr>
          <w:p w:rsidR="006F0FFC" w:rsidRDefault="006F0FFC" w:rsidP="006F0FFC">
            <w:pPr>
              <w:jc w:val="right"/>
            </w:pPr>
            <w:r>
              <w:t>0.11</w:t>
            </w:r>
          </w:p>
        </w:tc>
        <w:tc>
          <w:tcPr>
            <w:tcW w:w="1134" w:type="dxa"/>
            <w:shd w:val="clear" w:color="auto" w:fill="auto"/>
          </w:tcPr>
          <w:p w:rsidR="006F0FFC" w:rsidRDefault="006F0FFC" w:rsidP="006F0FFC">
            <w:pPr>
              <w:jc w:val="right"/>
            </w:pPr>
            <w:r>
              <w:t>0.07</w:t>
            </w:r>
          </w:p>
        </w:tc>
      </w:tr>
      <w:tr w:rsidR="006F0FFC" w:rsidTr="006F0FFC">
        <w:tc>
          <w:tcPr>
            <w:tcW w:w="2898" w:type="dxa"/>
          </w:tcPr>
          <w:p w:rsidR="006F0FFC" w:rsidRDefault="006F0FFC" w:rsidP="006F0FFC">
            <w:r>
              <w:t>Introduce (Q28)</w:t>
            </w:r>
          </w:p>
        </w:tc>
        <w:tc>
          <w:tcPr>
            <w:tcW w:w="1134" w:type="dxa"/>
            <w:shd w:val="clear" w:color="auto" w:fill="BFBFBF" w:themeFill="background1" w:themeFillShade="BF"/>
          </w:tcPr>
          <w:p w:rsidR="006F0FFC" w:rsidRDefault="006F0FFC" w:rsidP="006F0FFC">
            <w:pPr>
              <w:jc w:val="right"/>
            </w:pPr>
            <w:r>
              <w:t>0.62</w:t>
            </w:r>
          </w:p>
        </w:tc>
        <w:tc>
          <w:tcPr>
            <w:tcW w:w="1134" w:type="dxa"/>
            <w:shd w:val="clear" w:color="auto" w:fill="auto"/>
          </w:tcPr>
          <w:p w:rsidR="006F0FFC" w:rsidRDefault="006F0FFC" w:rsidP="006F0FFC">
            <w:pPr>
              <w:jc w:val="right"/>
            </w:pPr>
            <w:r>
              <w:t>0.05</w:t>
            </w:r>
          </w:p>
        </w:tc>
        <w:tc>
          <w:tcPr>
            <w:tcW w:w="1134" w:type="dxa"/>
            <w:shd w:val="clear" w:color="auto" w:fill="auto"/>
          </w:tcPr>
          <w:p w:rsidR="006F0FFC" w:rsidRDefault="006F0FFC" w:rsidP="006F0FFC">
            <w:pPr>
              <w:jc w:val="right"/>
            </w:pPr>
            <w:r>
              <w:t>0.08</w:t>
            </w:r>
          </w:p>
        </w:tc>
        <w:tc>
          <w:tcPr>
            <w:tcW w:w="1134" w:type="dxa"/>
            <w:shd w:val="clear" w:color="auto" w:fill="auto"/>
          </w:tcPr>
          <w:p w:rsidR="006F0FFC" w:rsidRDefault="006F0FFC" w:rsidP="006F0FFC">
            <w:pPr>
              <w:jc w:val="right"/>
            </w:pPr>
            <w:r>
              <w:t>-0.11</w:t>
            </w:r>
          </w:p>
        </w:tc>
        <w:tc>
          <w:tcPr>
            <w:tcW w:w="1134" w:type="dxa"/>
            <w:shd w:val="clear" w:color="auto" w:fill="auto"/>
          </w:tcPr>
          <w:p w:rsidR="006F0FFC" w:rsidRDefault="006F0FFC" w:rsidP="006F0FFC">
            <w:pPr>
              <w:jc w:val="right"/>
            </w:pPr>
            <w:r>
              <w:t>0.06</w:t>
            </w:r>
          </w:p>
        </w:tc>
      </w:tr>
      <w:tr w:rsidR="006F0FFC" w:rsidTr="006F0FFC">
        <w:tc>
          <w:tcPr>
            <w:tcW w:w="2898" w:type="dxa"/>
          </w:tcPr>
          <w:p w:rsidR="006F0FFC" w:rsidRDefault="006F0FFC" w:rsidP="006F0FFC">
            <w:r>
              <w:t>Spend Enough Time (Q7)</w:t>
            </w:r>
          </w:p>
        </w:tc>
        <w:tc>
          <w:tcPr>
            <w:tcW w:w="1134" w:type="dxa"/>
            <w:shd w:val="clear" w:color="auto" w:fill="BFBFBF" w:themeFill="background1" w:themeFillShade="BF"/>
          </w:tcPr>
          <w:p w:rsidR="006F0FFC" w:rsidRDefault="006F0FFC" w:rsidP="006F0FFC">
            <w:pPr>
              <w:jc w:val="right"/>
            </w:pPr>
            <w:r>
              <w:t>0.59</w:t>
            </w:r>
          </w:p>
        </w:tc>
        <w:tc>
          <w:tcPr>
            <w:tcW w:w="1134" w:type="dxa"/>
            <w:shd w:val="clear" w:color="auto" w:fill="auto"/>
          </w:tcPr>
          <w:p w:rsidR="006F0FFC" w:rsidRDefault="006F0FFC" w:rsidP="006F0FFC">
            <w:pPr>
              <w:jc w:val="right"/>
            </w:pPr>
            <w:r>
              <w:t>0.07</w:t>
            </w:r>
          </w:p>
        </w:tc>
        <w:tc>
          <w:tcPr>
            <w:tcW w:w="1134" w:type="dxa"/>
            <w:shd w:val="clear" w:color="auto" w:fill="auto"/>
          </w:tcPr>
          <w:p w:rsidR="006F0FFC" w:rsidRDefault="006F0FFC" w:rsidP="006F0FFC">
            <w:pPr>
              <w:jc w:val="right"/>
            </w:pPr>
            <w:r>
              <w:t>-0.06</w:t>
            </w:r>
          </w:p>
        </w:tc>
        <w:tc>
          <w:tcPr>
            <w:tcW w:w="1134" w:type="dxa"/>
            <w:shd w:val="clear" w:color="auto" w:fill="auto"/>
          </w:tcPr>
          <w:p w:rsidR="006F0FFC" w:rsidRDefault="006F0FFC" w:rsidP="006F0FFC">
            <w:pPr>
              <w:jc w:val="right"/>
            </w:pPr>
            <w:r>
              <w:t>0.32</w:t>
            </w:r>
          </w:p>
        </w:tc>
        <w:tc>
          <w:tcPr>
            <w:tcW w:w="1134" w:type="dxa"/>
            <w:shd w:val="clear" w:color="auto" w:fill="auto"/>
          </w:tcPr>
          <w:p w:rsidR="006F0FFC" w:rsidRDefault="006F0FFC" w:rsidP="006F0FFC">
            <w:pPr>
              <w:jc w:val="right"/>
            </w:pPr>
            <w:r>
              <w:t>0.00</w:t>
            </w:r>
          </w:p>
        </w:tc>
      </w:tr>
      <w:tr w:rsidR="006F0FFC" w:rsidTr="006F0FFC">
        <w:tc>
          <w:tcPr>
            <w:tcW w:w="2898" w:type="dxa"/>
          </w:tcPr>
          <w:p w:rsidR="006F0FFC" w:rsidRDefault="006F0FFC" w:rsidP="006F0FFC">
            <w:r>
              <w:t>Pain Controlled (Q32)</w:t>
            </w:r>
          </w:p>
        </w:tc>
        <w:tc>
          <w:tcPr>
            <w:tcW w:w="1134" w:type="dxa"/>
            <w:shd w:val="clear" w:color="auto" w:fill="BFBFBF" w:themeFill="background1" w:themeFillShade="BF"/>
          </w:tcPr>
          <w:p w:rsidR="006F0FFC" w:rsidRDefault="006F0FFC" w:rsidP="006F0FFC">
            <w:pPr>
              <w:jc w:val="right"/>
            </w:pPr>
            <w:r>
              <w:t>0.58</w:t>
            </w:r>
          </w:p>
        </w:tc>
        <w:tc>
          <w:tcPr>
            <w:tcW w:w="1134" w:type="dxa"/>
            <w:shd w:val="clear" w:color="auto" w:fill="auto"/>
          </w:tcPr>
          <w:p w:rsidR="006F0FFC" w:rsidRDefault="006F0FFC" w:rsidP="006F0FFC">
            <w:pPr>
              <w:jc w:val="right"/>
            </w:pPr>
            <w:r>
              <w:t>0.08</w:t>
            </w:r>
          </w:p>
        </w:tc>
        <w:tc>
          <w:tcPr>
            <w:tcW w:w="1134" w:type="dxa"/>
            <w:shd w:val="clear" w:color="auto" w:fill="auto"/>
          </w:tcPr>
          <w:p w:rsidR="006F0FFC" w:rsidRDefault="006F0FFC" w:rsidP="006F0FFC">
            <w:pPr>
              <w:jc w:val="right"/>
            </w:pPr>
            <w:r>
              <w:t>0.02</w:t>
            </w:r>
          </w:p>
        </w:tc>
        <w:tc>
          <w:tcPr>
            <w:tcW w:w="1134" w:type="dxa"/>
            <w:shd w:val="clear" w:color="auto" w:fill="auto"/>
          </w:tcPr>
          <w:p w:rsidR="006F0FFC" w:rsidRDefault="006F0FFC" w:rsidP="006F0FFC">
            <w:pPr>
              <w:jc w:val="right"/>
            </w:pPr>
            <w:r>
              <w:t>0.12</w:t>
            </w:r>
          </w:p>
        </w:tc>
        <w:tc>
          <w:tcPr>
            <w:tcW w:w="1134" w:type="dxa"/>
            <w:shd w:val="clear" w:color="auto" w:fill="auto"/>
          </w:tcPr>
          <w:p w:rsidR="006F0FFC" w:rsidRDefault="006F0FFC" w:rsidP="006F0FFC">
            <w:pPr>
              <w:jc w:val="right"/>
            </w:pPr>
            <w:r>
              <w:t>0.00</w:t>
            </w:r>
          </w:p>
        </w:tc>
      </w:tr>
      <w:tr w:rsidR="006F0FFC" w:rsidTr="006F0FFC">
        <w:tc>
          <w:tcPr>
            <w:tcW w:w="2898" w:type="dxa"/>
          </w:tcPr>
          <w:p w:rsidR="006F0FFC" w:rsidRDefault="006F0FFC" w:rsidP="006F0FFC">
            <w:r>
              <w:t>Visitors Help (Q27)</w:t>
            </w:r>
          </w:p>
        </w:tc>
        <w:tc>
          <w:tcPr>
            <w:tcW w:w="1134" w:type="dxa"/>
            <w:shd w:val="clear" w:color="auto" w:fill="BFBFBF" w:themeFill="background1" w:themeFillShade="BF"/>
          </w:tcPr>
          <w:p w:rsidR="006F0FFC" w:rsidRDefault="006F0FFC" w:rsidP="006F0FFC">
            <w:pPr>
              <w:jc w:val="right"/>
            </w:pPr>
            <w:r>
              <w:t>0.56</w:t>
            </w:r>
          </w:p>
        </w:tc>
        <w:tc>
          <w:tcPr>
            <w:tcW w:w="1134" w:type="dxa"/>
            <w:shd w:val="clear" w:color="auto" w:fill="auto"/>
          </w:tcPr>
          <w:p w:rsidR="006F0FFC" w:rsidRDefault="006F0FFC" w:rsidP="006F0FFC">
            <w:pPr>
              <w:jc w:val="right"/>
            </w:pPr>
            <w:r>
              <w:t>0.12</w:t>
            </w:r>
          </w:p>
        </w:tc>
        <w:tc>
          <w:tcPr>
            <w:tcW w:w="1134" w:type="dxa"/>
            <w:shd w:val="clear" w:color="auto" w:fill="auto"/>
          </w:tcPr>
          <w:p w:rsidR="006F0FFC" w:rsidRDefault="006F0FFC" w:rsidP="006F0FFC">
            <w:pPr>
              <w:jc w:val="right"/>
            </w:pPr>
            <w:r>
              <w:t>-0.01</w:t>
            </w:r>
          </w:p>
        </w:tc>
        <w:tc>
          <w:tcPr>
            <w:tcW w:w="1134" w:type="dxa"/>
            <w:shd w:val="clear" w:color="auto" w:fill="auto"/>
          </w:tcPr>
          <w:p w:rsidR="006F0FFC" w:rsidRDefault="006F0FFC" w:rsidP="006F0FFC">
            <w:pPr>
              <w:jc w:val="right"/>
            </w:pPr>
            <w:r>
              <w:t>0.24</w:t>
            </w:r>
          </w:p>
        </w:tc>
        <w:tc>
          <w:tcPr>
            <w:tcW w:w="1134" w:type="dxa"/>
            <w:shd w:val="clear" w:color="auto" w:fill="auto"/>
          </w:tcPr>
          <w:p w:rsidR="006F0FFC" w:rsidRDefault="006F0FFC" w:rsidP="006F0FFC">
            <w:pPr>
              <w:jc w:val="right"/>
            </w:pPr>
            <w:r>
              <w:t>-0.02</w:t>
            </w:r>
          </w:p>
        </w:tc>
      </w:tr>
      <w:tr w:rsidR="006F0FFC" w:rsidTr="006F0FFC">
        <w:tc>
          <w:tcPr>
            <w:tcW w:w="2898" w:type="dxa"/>
          </w:tcPr>
          <w:p w:rsidR="006F0FFC" w:rsidRDefault="006F0FFC" w:rsidP="006F0FFC">
            <w:r>
              <w:t>Room Clean (Q17)</w:t>
            </w:r>
          </w:p>
        </w:tc>
        <w:tc>
          <w:tcPr>
            <w:tcW w:w="1134" w:type="dxa"/>
            <w:shd w:val="clear" w:color="auto" w:fill="BFBFBF" w:themeFill="background1" w:themeFillShade="BF"/>
          </w:tcPr>
          <w:p w:rsidR="006F0FFC" w:rsidRDefault="006F0FFC" w:rsidP="006F0FFC">
            <w:pPr>
              <w:jc w:val="right"/>
            </w:pPr>
            <w:r>
              <w:t>0.52</w:t>
            </w:r>
          </w:p>
        </w:tc>
        <w:tc>
          <w:tcPr>
            <w:tcW w:w="1134" w:type="dxa"/>
            <w:shd w:val="clear" w:color="auto" w:fill="auto"/>
          </w:tcPr>
          <w:p w:rsidR="006F0FFC" w:rsidRDefault="006F0FFC" w:rsidP="006F0FFC">
            <w:pPr>
              <w:jc w:val="right"/>
            </w:pPr>
            <w:r>
              <w:t>-0.14</w:t>
            </w:r>
          </w:p>
        </w:tc>
        <w:tc>
          <w:tcPr>
            <w:tcW w:w="1134" w:type="dxa"/>
            <w:shd w:val="clear" w:color="auto" w:fill="auto"/>
          </w:tcPr>
          <w:p w:rsidR="006F0FFC" w:rsidRDefault="006F0FFC" w:rsidP="006F0FFC">
            <w:pPr>
              <w:jc w:val="right"/>
            </w:pPr>
            <w:r>
              <w:t>0.08</w:t>
            </w:r>
          </w:p>
        </w:tc>
        <w:tc>
          <w:tcPr>
            <w:tcW w:w="1134" w:type="dxa"/>
            <w:shd w:val="clear" w:color="auto" w:fill="auto"/>
          </w:tcPr>
          <w:p w:rsidR="006F0FFC" w:rsidRDefault="006F0FFC" w:rsidP="006F0FFC">
            <w:pPr>
              <w:jc w:val="right"/>
            </w:pPr>
            <w:r>
              <w:t>0.09</w:t>
            </w:r>
          </w:p>
        </w:tc>
        <w:tc>
          <w:tcPr>
            <w:tcW w:w="1134" w:type="dxa"/>
            <w:shd w:val="clear" w:color="auto" w:fill="auto"/>
          </w:tcPr>
          <w:p w:rsidR="006F0FFC" w:rsidRDefault="006F0FFC" w:rsidP="006F0FFC">
            <w:pPr>
              <w:jc w:val="right"/>
            </w:pPr>
            <w:r>
              <w:t>0.05</w:t>
            </w:r>
          </w:p>
        </w:tc>
      </w:tr>
      <w:tr w:rsidR="006F0FFC" w:rsidTr="006F0FFC">
        <w:tc>
          <w:tcPr>
            <w:tcW w:w="2898" w:type="dxa"/>
          </w:tcPr>
          <w:p w:rsidR="006F0FFC" w:rsidRDefault="006F0FFC" w:rsidP="006F0FFC">
            <w:r>
              <w:t>Living Will (Q44)</w:t>
            </w:r>
          </w:p>
        </w:tc>
        <w:tc>
          <w:tcPr>
            <w:tcW w:w="1134" w:type="dxa"/>
            <w:shd w:val="clear" w:color="auto" w:fill="BFBFBF" w:themeFill="background1" w:themeFillShade="BF"/>
          </w:tcPr>
          <w:p w:rsidR="006F0FFC" w:rsidRDefault="006F0FFC" w:rsidP="006F0FFC">
            <w:pPr>
              <w:jc w:val="right"/>
            </w:pPr>
            <w:r>
              <w:t>0.52</w:t>
            </w:r>
          </w:p>
        </w:tc>
        <w:tc>
          <w:tcPr>
            <w:tcW w:w="1134" w:type="dxa"/>
            <w:shd w:val="clear" w:color="auto" w:fill="auto"/>
          </w:tcPr>
          <w:p w:rsidR="006F0FFC" w:rsidRDefault="006F0FFC" w:rsidP="006F0FFC">
            <w:pPr>
              <w:jc w:val="right"/>
            </w:pPr>
            <w:r>
              <w:t>-0.01</w:t>
            </w:r>
          </w:p>
        </w:tc>
        <w:tc>
          <w:tcPr>
            <w:tcW w:w="1134" w:type="dxa"/>
            <w:shd w:val="clear" w:color="auto" w:fill="auto"/>
          </w:tcPr>
          <w:p w:rsidR="006F0FFC" w:rsidRDefault="006F0FFC" w:rsidP="006F0FFC">
            <w:pPr>
              <w:jc w:val="right"/>
            </w:pPr>
            <w:r>
              <w:t>-0.08</w:t>
            </w:r>
          </w:p>
        </w:tc>
        <w:tc>
          <w:tcPr>
            <w:tcW w:w="1134" w:type="dxa"/>
            <w:shd w:val="clear" w:color="auto" w:fill="auto"/>
          </w:tcPr>
          <w:p w:rsidR="006F0FFC" w:rsidRDefault="006F0FFC" w:rsidP="006F0FFC">
            <w:pPr>
              <w:jc w:val="right"/>
            </w:pPr>
            <w:r>
              <w:t>-0.30</w:t>
            </w:r>
          </w:p>
        </w:tc>
        <w:tc>
          <w:tcPr>
            <w:tcW w:w="1134" w:type="dxa"/>
            <w:shd w:val="clear" w:color="auto" w:fill="auto"/>
          </w:tcPr>
          <w:p w:rsidR="006F0FFC" w:rsidRDefault="006F0FFC" w:rsidP="006F0FFC">
            <w:pPr>
              <w:jc w:val="right"/>
            </w:pPr>
            <w:r>
              <w:t>0.09</w:t>
            </w:r>
          </w:p>
        </w:tc>
      </w:tr>
      <w:tr w:rsidR="006F0FFC" w:rsidTr="006F0FFC">
        <w:tc>
          <w:tcPr>
            <w:tcW w:w="2898" w:type="dxa"/>
          </w:tcPr>
          <w:p w:rsidR="006F0FFC" w:rsidRDefault="006F0FFC" w:rsidP="006F0FFC">
            <w:r>
              <w:t>Temperature (Q16)</w:t>
            </w:r>
          </w:p>
        </w:tc>
        <w:tc>
          <w:tcPr>
            <w:tcW w:w="1134" w:type="dxa"/>
            <w:shd w:val="clear" w:color="auto" w:fill="BFBFBF" w:themeFill="background1" w:themeFillShade="BF"/>
          </w:tcPr>
          <w:p w:rsidR="006F0FFC" w:rsidRDefault="006F0FFC" w:rsidP="006F0FFC">
            <w:pPr>
              <w:jc w:val="right"/>
            </w:pPr>
            <w:r>
              <w:t>0.49</w:t>
            </w:r>
          </w:p>
        </w:tc>
        <w:tc>
          <w:tcPr>
            <w:tcW w:w="1134" w:type="dxa"/>
            <w:shd w:val="clear" w:color="auto" w:fill="auto"/>
          </w:tcPr>
          <w:p w:rsidR="006F0FFC" w:rsidRDefault="006F0FFC" w:rsidP="006F0FFC">
            <w:pPr>
              <w:jc w:val="right"/>
            </w:pPr>
            <w:r>
              <w:t>0.03</w:t>
            </w:r>
          </w:p>
        </w:tc>
        <w:tc>
          <w:tcPr>
            <w:tcW w:w="1134" w:type="dxa"/>
            <w:shd w:val="clear" w:color="auto" w:fill="auto"/>
          </w:tcPr>
          <w:p w:rsidR="006F0FFC" w:rsidRDefault="006F0FFC" w:rsidP="006F0FFC">
            <w:pPr>
              <w:jc w:val="right"/>
            </w:pPr>
            <w:r>
              <w:t>0.03</w:t>
            </w:r>
          </w:p>
        </w:tc>
        <w:tc>
          <w:tcPr>
            <w:tcW w:w="1134" w:type="dxa"/>
            <w:shd w:val="clear" w:color="auto" w:fill="auto"/>
          </w:tcPr>
          <w:p w:rsidR="006F0FFC" w:rsidRDefault="006F0FFC" w:rsidP="006F0FFC">
            <w:pPr>
              <w:jc w:val="right"/>
            </w:pPr>
            <w:r>
              <w:t>-0.10</w:t>
            </w:r>
          </w:p>
        </w:tc>
        <w:tc>
          <w:tcPr>
            <w:tcW w:w="1134" w:type="dxa"/>
            <w:shd w:val="clear" w:color="auto" w:fill="auto"/>
          </w:tcPr>
          <w:p w:rsidR="006F0FFC" w:rsidRDefault="006F0FFC" w:rsidP="006F0FFC">
            <w:pPr>
              <w:jc w:val="right"/>
            </w:pPr>
            <w:r>
              <w:t>0.15</w:t>
            </w:r>
          </w:p>
        </w:tc>
      </w:tr>
      <w:tr w:rsidR="006F0FFC" w:rsidTr="006F0FFC">
        <w:tc>
          <w:tcPr>
            <w:tcW w:w="2898" w:type="dxa"/>
          </w:tcPr>
          <w:p w:rsidR="006F0FFC" w:rsidRDefault="006F0FFC" w:rsidP="006F0FFC">
            <w:r>
              <w:t>MD Listen (Q5)</w:t>
            </w:r>
          </w:p>
        </w:tc>
        <w:tc>
          <w:tcPr>
            <w:tcW w:w="1134" w:type="dxa"/>
            <w:shd w:val="clear" w:color="auto" w:fill="auto"/>
          </w:tcPr>
          <w:p w:rsidR="006F0FFC" w:rsidRDefault="006F0FFC" w:rsidP="006F0FFC">
            <w:pPr>
              <w:jc w:val="right"/>
            </w:pPr>
            <w:r>
              <w:t>0.02</w:t>
            </w:r>
          </w:p>
        </w:tc>
        <w:tc>
          <w:tcPr>
            <w:tcW w:w="1134" w:type="dxa"/>
            <w:shd w:val="clear" w:color="auto" w:fill="BFBFBF" w:themeFill="background1" w:themeFillShade="BF"/>
          </w:tcPr>
          <w:p w:rsidR="006F0FFC" w:rsidRDefault="006F0FFC" w:rsidP="006F0FFC">
            <w:pPr>
              <w:jc w:val="right"/>
            </w:pPr>
            <w:r>
              <w:t>0.90</w:t>
            </w:r>
          </w:p>
        </w:tc>
        <w:tc>
          <w:tcPr>
            <w:tcW w:w="1134" w:type="dxa"/>
            <w:shd w:val="clear" w:color="auto" w:fill="auto"/>
          </w:tcPr>
          <w:p w:rsidR="006F0FFC" w:rsidRDefault="006F0FFC" w:rsidP="006F0FFC">
            <w:pPr>
              <w:jc w:val="right"/>
            </w:pPr>
            <w:r>
              <w:t>0.02</w:t>
            </w:r>
          </w:p>
        </w:tc>
        <w:tc>
          <w:tcPr>
            <w:tcW w:w="1134" w:type="dxa"/>
            <w:shd w:val="clear" w:color="auto" w:fill="auto"/>
          </w:tcPr>
          <w:p w:rsidR="006F0FFC" w:rsidRDefault="006F0FFC" w:rsidP="006F0FFC">
            <w:pPr>
              <w:jc w:val="right"/>
            </w:pPr>
            <w:r>
              <w:t>-0.02</w:t>
            </w:r>
          </w:p>
        </w:tc>
        <w:tc>
          <w:tcPr>
            <w:tcW w:w="1134" w:type="dxa"/>
            <w:shd w:val="clear" w:color="auto" w:fill="auto"/>
          </w:tcPr>
          <w:p w:rsidR="006F0FFC" w:rsidRDefault="006F0FFC" w:rsidP="006F0FFC">
            <w:pPr>
              <w:jc w:val="right"/>
            </w:pPr>
            <w:r>
              <w:t>0.02</w:t>
            </w:r>
          </w:p>
        </w:tc>
      </w:tr>
      <w:tr w:rsidR="006F0FFC" w:rsidTr="006F0FFC">
        <w:tc>
          <w:tcPr>
            <w:tcW w:w="2898" w:type="dxa"/>
          </w:tcPr>
          <w:p w:rsidR="006F0FFC" w:rsidRDefault="006F0FFC" w:rsidP="006F0FFC">
            <w:r>
              <w:t>MD Explain (Q13)</w:t>
            </w:r>
          </w:p>
        </w:tc>
        <w:tc>
          <w:tcPr>
            <w:tcW w:w="1134" w:type="dxa"/>
            <w:shd w:val="clear" w:color="auto" w:fill="auto"/>
          </w:tcPr>
          <w:p w:rsidR="006F0FFC" w:rsidRDefault="006F0FFC" w:rsidP="006F0FFC">
            <w:pPr>
              <w:jc w:val="right"/>
            </w:pPr>
            <w:r>
              <w:t>-0.02</w:t>
            </w:r>
          </w:p>
        </w:tc>
        <w:tc>
          <w:tcPr>
            <w:tcW w:w="1134" w:type="dxa"/>
            <w:shd w:val="clear" w:color="auto" w:fill="BFBFBF" w:themeFill="background1" w:themeFillShade="BF"/>
          </w:tcPr>
          <w:p w:rsidR="006F0FFC" w:rsidRDefault="006F0FFC" w:rsidP="006F0FFC">
            <w:pPr>
              <w:jc w:val="right"/>
            </w:pPr>
            <w:r>
              <w:t>0.82</w:t>
            </w:r>
          </w:p>
        </w:tc>
        <w:tc>
          <w:tcPr>
            <w:tcW w:w="1134" w:type="dxa"/>
            <w:shd w:val="clear" w:color="auto" w:fill="auto"/>
          </w:tcPr>
          <w:p w:rsidR="006F0FFC" w:rsidRDefault="006F0FFC" w:rsidP="006F0FFC">
            <w:pPr>
              <w:jc w:val="right"/>
            </w:pPr>
            <w:r>
              <w:t>0.03</w:t>
            </w:r>
          </w:p>
        </w:tc>
        <w:tc>
          <w:tcPr>
            <w:tcW w:w="1134" w:type="dxa"/>
            <w:shd w:val="clear" w:color="auto" w:fill="auto"/>
          </w:tcPr>
          <w:p w:rsidR="006F0FFC" w:rsidRDefault="006F0FFC" w:rsidP="006F0FFC">
            <w:pPr>
              <w:jc w:val="right"/>
            </w:pPr>
            <w:r>
              <w:t>0.02</w:t>
            </w:r>
          </w:p>
        </w:tc>
        <w:tc>
          <w:tcPr>
            <w:tcW w:w="1134" w:type="dxa"/>
            <w:shd w:val="clear" w:color="auto" w:fill="auto"/>
          </w:tcPr>
          <w:p w:rsidR="006F0FFC" w:rsidRDefault="006F0FFC" w:rsidP="006F0FFC">
            <w:pPr>
              <w:jc w:val="right"/>
            </w:pPr>
            <w:r>
              <w:t>0.03</w:t>
            </w:r>
          </w:p>
        </w:tc>
      </w:tr>
      <w:tr w:rsidR="006F0FFC" w:rsidTr="006F0FFC">
        <w:tc>
          <w:tcPr>
            <w:tcW w:w="2898" w:type="dxa"/>
          </w:tcPr>
          <w:p w:rsidR="006F0FFC" w:rsidRDefault="006F0FFC" w:rsidP="006F0FFC">
            <w:r>
              <w:t>MD Enough Time (Q14)</w:t>
            </w:r>
          </w:p>
        </w:tc>
        <w:tc>
          <w:tcPr>
            <w:tcW w:w="1134" w:type="dxa"/>
            <w:shd w:val="clear" w:color="auto" w:fill="auto"/>
          </w:tcPr>
          <w:p w:rsidR="006F0FFC" w:rsidRDefault="006F0FFC" w:rsidP="006F0FFC">
            <w:pPr>
              <w:jc w:val="right"/>
            </w:pPr>
            <w:r>
              <w:t>0.03</w:t>
            </w:r>
          </w:p>
        </w:tc>
        <w:tc>
          <w:tcPr>
            <w:tcW w:w="1134" w:type="dxa"/>
            <w:shd w:val="clear" w:color="auto" w:fill="BFBFBF" w:themeFill="background1" w:themeFillShade="BF"/>
          </w:tcPr>
          <w:p w:rsidR="006F0FFC" w:rsidRDefault="006F0FFC" w:rsidP="006F0FFC">
            <w:pPr>
              <w:jc w:val="right"/>
            </w:pPr>
            <w:r>
              <w:t>0.80</w:t>
            </w:r>
          </w:p>
        </w:tc>
        <w:tc>
          <w:tcPr>
            <w:tcW w:w="1134" w:type="dxa"/>
            <w:shd w:val="clear" w:color="auto" w:fill="auto"/>
          </w:tcPr>
          <w:p w:rsidR="006F0FFC" w:rsidRDefault="006F0FFC" w:rsidP="006F0FFC">
            <w:pPr>
              <w:jc w:val="right"/>
            </w:pPr>
            <w:r>
              <w:t>-0.02</w:t>
            </w:r>
          </w:p>
        </w:tc>
        <w:tc>
          <w:tcPr>
            <w:tcW w:w="1134" w:type="dxa"/>
            <w:shd w:val="clear" w:color="auto" w:fill="auto"/>
          </w:tcPr>
          <w:p w:rsidR="006F0FFC" w:rsidRDefault="006F0FFC" w:rsidP="006F0FFC">
            <w:pPr>
              <w:jc w:val="right"/>
            </w:pPr>
            <w:r>
              <w:t>0.09</w:t>
            </w:r>
          </w:p>
        </w:tc>
        <w:tc>
          <w:tcPr>
            <w:tcW w:w="1134" w:type="dxa"/>
            <w:shd w:val="clear" w:color="auto" w:fill="auto"/>
          </w:tcPr>
          <w:p w:rsidR="006F0FFC" w:rsidRDefault="006F0FFC" w:rsidP="006F0FFC">
            <w:pPr>
              <w:jc w:val="right"/>
            </w:pPr>
            <w:r>
              <w:t>-0.03</w:t>
            </w:r>
          </w:p>
        </w:tc>
      </w:tr>
      <w:tr w:rsidR="006F0FFC" w:rsidTr="006F0FFC">
        <w:tc>
          <w:tcPr>
            <w:tcW w:w="2898" w:type="dxa"/>
          </w:tcPr>
          <w:p w:rsidR="006F0FFC" w:rsidRDefault="006F0FFC" w:rsidP="006F0FFC">
            <w:r>
              <w:t>MD Respect (Q11)</w:t>
            </w:r>
          </w:p>
        </w:tc>
        <w:tc>
          <w:tcPr>
            <w:tcW w:w="1134" w:type="dxa"/>
            <w:shd w:val="clear" w:color="auto" w:fill="auto"/>
          </w:tcPr>
          <w:p w:rsidR="006F0FFC" w:rsidRDefault="006F0FFC" w:rsidP="006F0FFC">
            <w:pPr>
              <w:jc w:val="right"/>
            </w:pPr>
            <w:r>
              <w:t>0.25</w:t>
            </w:r>
          </w:p>
        </w:tc>
        <w:tc>
          <w:tcPr>
            <w:tcW w:w="1134" w:type="dxa"/>
            <w:shd w:val="clear" w:color="auto" w:fill="BFBFBF" w:themeFill="background1" w:themeFillShade="BF"/>
          </w:tcPr>
          <w:p w:rsidR="006F0FFC" w:rsidRDefault="006F0FFC" w:rsidP="006F0FFC">
            <w:pPr>
              <w:jc w:val="right"/>
            </w:pPr>
            <w:r>
              <w:t>0.76</w:t>
            </w:r>
          </w:p>
        </w:tc>
        <w:tc>
          <w:tcPr>
            <w:tcW w:w="1134" w:type="dxa"/>
            <w:shd w:val="clear" w:color="auto" w:fill="auto"/>
          </w:tcPr>
          <w:p w:rsidR="006F0FFC" w:rsidRDefault="006F0FFC" w:rsidP="006F0FFC">
            <w:pPr>
              <w:jc w:val="right"/>
            </w:pPr>
            <w:r>
              <w:t>-0.02</w:t>
            </w:r>
          </w:p>
        </w:tc>
        <w:tc>
          <w:tcPr>
            <w:tcW w:w="1134" w:type="dxa"/>
            <w:shd w:val="clear" w:color="auto" w:fill="auto"/>
          </w:tcPr>
          <w:p w:rsidR="006F0FFC" w:rsidRDefault="006F0FFC" w:rsidP="006F0FFC">
            <w:pPr>
              <w:jc w:val="right"/>
            </w:pPr>
            <w:r>
              <w:t>-0.19</w:t>
            </w:r>
          </w:p>
        </w:tc>
        <w:tc>
          <w:tcPr>
            <w:tcW w:w="1134" w:type="dxa"/>
            <w:shd w:val="clear" w:color="auto" w:fill="auto"/>
          </w:tcPr>
          <w:p w:rsidR="006F0FFC" w:rsidRDefault="006F0FFC" w:rsidP="006F0FFC">
            <w:pPr>
              <w:jc w:val="right"/>
            </w:pPr>
            <w:r>
              <w:t>-0.02</w:t>
            </w:r>
          </w:p>
        </w:tc>
      </w:tr>
      <w:tr w:rsidR="006F0FFC" w:rsidTr="006F0FFC">
        <w:tc>
          <w:tcPr>
            <w:tcW w:w="2898" w:type="dxa"/>
          </w:tcPr>
          <w:p w:rsidR="006F0FFC" w:rsidRDefault="006F0FFC" w:rsidP="006F0FFC">
            <w:r>
              <w:t>TX Decisions (Q25)</w:t>
            </w:r>
          </w:p>
        </w:tc>
        <w:tc>
          <w:tcPr>
            <w:tcW w:w="1134" w:type="dxa"/>
            <w:shd w:val="clear" w:color="auto" w:fill="auto"/>
          </w:tcPr>
          <w:p w:rsidR="006F0FFC" w:rsidRDefault="006F0FFC" w:rsidP="006F0FFC">
            <w:pPr>
              <w:jc w:val="right"/>
            </w:pPr>
            <w:r>
              <w:t>0.13</w:t>
            </w:r>
          </w:p>
        </w:tc>
        <w:tc>
          <w:tcPr>
            <w:tcW w:w="1134" w:type="dxa"/>
            <w:shd w:val="clear" w:color="auto" w:fill="BFBFBF" w:themeFill="background1" w:themeFillShade="BF"/>
          </w:tcPr>
          <w:p w:rsidR="006F0FFC" w:rsidRDefault="006F0FFC" w:rsidP="006F0FFC">
            <w:pPr>
              <w:jc w:val="right"/>
            </w:pPr>
            <w:r>
              <w:t>0.37</w:t>
            </w:r>
          </w:p>
        </w:tc>
        <w:tc>
          <w:tcPr>
            <w:tcW w:w="1134" w:type="dxa"/>
            <w:shd w:val="clear" w:color="auto" w:fill="auto"/>
          </w:tcPr>
          <w:p w:rsidR="006F0FFC" w:rsidRDefault="006F0FFC" w:rsidP="006F0FFC">
            <w:pPr>
              <w:jc w:val="right"/>
            </w:pPr>
            <w:r>
              <w:t>0.05</w:t>
            </w:r>
          </w:p>
        </w:tc>
        <w:tc>
          <w:tcPr>
            <w:tcW w:w="1134" w:type="dxa"/>
            <w:shd w:val="clear" w:color="auto" w:fill="auto"/>
          </w:tcPr>
          <w:p w:rsidR="006F0FFC" w:rsidRDefault="006F0FFC" w:rsidP="006F0FFC">
            <w:pPr>
              <w:jc w:val="right"/>
            </w:pPr>
            <w:r>
              <w:t>0.29</w:t>
            </w:r>
          </w:p>
        </w:tc>
        <w:tc>
          <w:tcPr>
            <w:tcW w:w="1134" w:type="dxa"/>
            <w:shd w:val="clear" w:color="auto" w:fill="auto"/>
          </w:tcPr>
          <w:p w:rsidR="006F0FFC" w:rsidRDefault="006F0FFC" w:rsidP="006F0FFC">
            <w:pPr>
              <w:jc w:val="right"/>
            </w:pPr>
            <w:r>
              <w:t>0.13</w:t>
            </w:r>
          </w:p>
        </w:tc>
      </w:tr>
      <w:tr w:rsidR="006F0FFC" w:rsidTr="006F0FFC">
        <w:tc>
          <w:tcPr>
            <w:tcW w:w="2898" w:type="dxa"/>
          </w:tcPr>
          <w:p w:rsidR="006F0FFC" w:rsidRDefault="006F0FFC" w:rsidP="006F0FFC">
            <w:r>
              <w:t>Taking Other RX (Q39)</w:t>
            </w:r>
          </w:p>
        </w:tc>
        <w:tc>
          <w:tcPr>
            <w:tcW w:w="1134" w:type="dxa"/>
            <w:shd w:val="clear" w:color="auto" w:fill="auto"/>
          </w:tcPr>
          <w:p w:rsidR="006F0FFC" w:rsidRDefault="006F0FFC" w:rsidP="006F0FFC">
            <w:pPr>
              <w:jc w:val="right"/>
            </w:pPr>
            <w:r>
              <w:t>0.02</w:t>
            </w:r>
          </w:p>
        </w:tc>
        <w:tc>
          <w:tcPr>
            <w:tcW w:w="1134" w:type="dxa"/>
            <w:shd w:val="clear" w:color="auto" w:fill="auto"/>
          </w:tcPr>
          <w:p w:rsidR="006F0FFC" w:rsidRDefault="006F0FFC" w:rsidP="006F0FFC">
            <w:pPr>
              <w:jc w:val="right"/>
            </w:pPr>
            <w:r>
              <w:t>-0.01</w:t>
            </w:r>
          </w:p>
        </w:tc>
        <w:tc>
          <w:tcPr>
            <w:tcW w:w="1134" w:type="dxa"/>
            <w:shd w:val="clear" w:color="auto" w:fill="BFBFBF" w:themeFill="background1" w:themeFillShade="BF"/>
          </w:tcPr>
          <w:p w:rsidR="006F0FFC" w:rsidRDefault="006F0FFC" w:rsidP="006F0FFC">
            <w:pPr>
              <w:jc w:val="right"/>
            </w:pPr>
            <w:r>
              <w:t>0.87</w:t>
            </w:r>
          </w:p>
        </w:tc>
        <w:tc>
          <w:tcPr>
            <w:tcW w:w="1134" w:type="dxa"/>
            <w:shd w:val="clear" w:color="auto" w:fill="auto"/>
          </w:tcPr>
          <w:p w:rsidR="006F0FFC" w:rsidRDefault="006F0FFC" w:rsidP="006F0FFC">
            <w:pPr>
              <w:jc w:val="right"/>
            </w:pPr>
            <w:r>
              <w:t>-0.10</w:t>
            </w:r>
          </w:p>
        </w:tc>
        <w:tc>
          <w:tcPr>
            <w:tcW w:w="1134" w:type="dxa"/>
            <w:shd w:val="clear" w:color="auto" w:fill="auto"/>
          </w:tcPr>
          <w:p w:rsidR="006F0FFC" w:rsidRDefault="006F0FFC" w:rsidP="006F0FFC">
            <w:pPr>
              <w:jc w:val="right"/>
            </w:pPr>
            <w:r>
              <w:t>-0.03</w:t>
            </w:r>
          </w:p>
        </w:tc>
      </w:tr>
      <w:tr w:rsidR="006F0FFC" w:rsidTr="006F0FFC">
        <w:tc>
          <w:tcPr>
            <w:tcW w:w="2898" w:type="dxa"/>
          </w:tcPr>
          <w:p w:rsidR="006F0FFC" w:rsidRDefault="006F0FFC" w:rsidP="006F0FFC">
            <w:r>
              <w:t>Allergic to RX (Q40)</w:t>
            </w:r>
          </w:p>
        </w:tc>
        <w:tc>
          <w:tcPr>
            <w:tcW w:w="1134" w:type="dxa"/>
            <w:shd w:val="clear" w:color="auto" w:fill="auto"/>
          </w:tcPr>
          <w:p w:rsidR="006F0FFC" w:rsidRDefault="006F0FFC" w:rsidP="006F0FFC">
            <w:pPr>
              <w:jc w:val="right"/>
            </w:pPr>
            <w:r>
              <w:t>0.13</w:t>
            </w:r>
          </w:p>
        </w:tc>
        <w:tc>
          <w:tcPr>
            <w:tcW w:w="1134" w:type="dxa"/>
            <w:shd w:val="clear" w:color="auto" w:fill="auto"/>
          </w:tcPr>
          <w:p w:rsidR="006F0FFC" w:rsidRDefault="006F0FFC" w:rsidP="006F0FFC">
            <w:pPr>
              <w:jc w:val="right"/>
            </w:pPr>
            <w:r>
              <w:t>-0.05</w:t>
            </w:r>
          </w:p>
        </w:tc>
        <w:tc>
          <w:tcPr>
            <w:tcW w:w="1134" w:type="dxa"/>
            <w:shd w:val="clear" w:color="auto" w:fill="BFBFBF" w:themeFill="background1" w:themeFillShade="BF"/>
          </w:tcPr>
          <w:p w:rsidR="006F0FFC" w:rsidRDefault="006F0FFC" w:rsidP="006F0FFC">
            <w:pPr>
              <w:jc w:val="right"/>
            </w:pPr>
            <w:r>
              <w:t>0.84</w:t>
            </w:r>
          </w:p>
        </w:tc>
        <w:tc>
          <w:tcPr>
            <w:tcW w:w="1134" w:type="dxa"/>
            <w:shd w:val="clear" w:color="auto" w:fill="auto"/>
          </w:tcPr>
          <w:p w:rsidR="006F0FFC" w:rsidRDefault="006F0FFC" w:rsidP="006F0FFC">
            <w:pPr>
              <w:jc w:val="right"/>
            </w:pPr>
            <w:r>
              <w:t>-0.14</w:t>
            </w:r>
          </w:p>
        </w:tc>
        <w:tc>
          <w:tcPr>
            <w:tcW w:w="1134" w:type="dxa"/>
            <w:shd w:val="clear" w:color="auto" w:fill="auto"/>
          </w:tcPr>
          <w:p w:rsidR="006F0FFC" w:rsidRDefault="006F0FFC" w:rsidP="006F0FFC">
            <w:pPr>
              <w:jc w:val="right"/>
            </w:pPr>
            <w:r>
              <w:t>-0.05</w:t>
            </w:r>
          </w:p>
        </w:tc>
      </w:tr>
      <w:tr w:rsidR="006F0FFC" w:rsidTr="006F0FFC">
        <w:tc>
          <w:tcPr>
            <w:tcW w:w="2898" w:type="dxa"/>
          </w:tcPr>
          <w:p w:rsidR="006F0FFC" w:rsidRDefault="006F0FFC" w:rsidP="006F0FFC">
            <w:r>
              <w:t>Purpose of TX (Q38)</w:t>
            </w:r>
          </w:p>
        </w:tc>
        <w:tc>
          <w:tcPr>
            <w:tcW w:w="1134" w:type="dxa"/>
            <w:shd w:val="clear" w:color="auto" w:fill="auto"/>
          </w:tcPr>
          <w:p w:rsidR="006F0FFC" w:rsidRDefault="006F0FFC" w:rsidP="006F0FFC">
            <w:pPr>
              <w:jc w:val="right"/>
            </w:pPr>
            <w:r>
              <w:t>-0.10</w:t>
            </w:r>
          </w:p>
        </w:tc>
        <w:tc>
          <w:tcPr>
            <w:tcW w:w="1134" w:type="dxa"/>
            <w:shd w:val="clear" w:color="auto" w:fill="auto"/>
          </w:tcPr>
          <w:p w:rsidR="006F0FFC" w:rsidRDefault="006F0FFC" w:rsidP="006F0FFC">
            <w:pPr>
              <w:jc w:val="right"/>
            </w:pPr>
            <w:r>
              <w:t>0.08</w:t>
            </w:r>
          </w:p>
        </w:tc>
        <w:tc>
          <w:tcPr>
            <w:tcW w:w="1134" w:type="dxa"/>
            <w:shd w:val="clear" w:color="auto" w:fill="BFBFBF" w:themeFill="background1" w:themeFillShade="BF"/>
          </w:tcPr>
          <w:p w:rsidR="006F0FFC" w:rsidRDefault="006F0FFC" w:rsidP="006F0FFC">
            <w:pPr>
              <w:jc w:val="right"/>
            </w:pPr>
            <w:r>
              <w:t>0.72</w:t>
            </w:r>
          </w:p>
        </w:tc>
        <w:tc>
          <w:tcPr>
            <w:tcW w:w="1134" w:type="dxa"/>
            <w:shd w:val="clear" w:color="auto" w:fill="auto"/>
          </w:tcPr>
          <w:p w:rsidR="006F0FFC" w:rsidRDefault="006F0FFC" w:rsidP="006F0FFC">
            <w:pPr>
              <w:jc w:val="right"/>
            </w:pPr>
            <w:r>
              <w:t>0.22</w:t>
            </w:r>
          </w:p>
        </w:tc>
        <w:tc>
          <w:tcPr>
            <w:tcW w:w="1134" w:type="dxa"/>
            <w:shd w:val="clear" w:color="auto" w:fill="auto"/>
          </w:tcPr>
          <w:p w:rsidR="006F0FFC" w:rsidRDefault="006F0FFC" w:rsidP="006F0FFC">
            <w:pPr>
              <w:jc w:val="right"/>
            </w:pPr>
            <w:r>
              <w:t>-0.01</w:t>
            </w:r>
          </w:p>
        </w:tc>
      </w:tr>
      <w:tr w:rsidR="006F0FFC" w:rsidTr="006F0FFC">
        <w:tc>
          <w:tcPr>
            <w:tcW w:w="2898" w:type="dxa"/>
          </w:tcPr>
          <w:p w:rsidR="006F0FFC" w:rsidRDefault="006F0FFC" w:rsidP="006F0FFC">
            <w:r>
              <w:t>Name of TX (Q37)</w:t>
            </w:r>
          </w:p>
        </w:tc>
        <w:tc>
          <w:tcPr>
            <w:tcW w:w="1134" w:type="dxa"/>
            <w:shd w:val="clear" w:color="auto" w:fill="auto"/>
          </w:tcPr>
          <w:p w:rsidR="006F0FFC" w:rsidRDefault="006F0FFC" w:rsidP="006F0FFC">
            <w:pPr>
              <w:jc w:val="right"/>
            </w:pPr>
            <w:r>
              <w:t>0.04</w:t>
            </w:r>
          </w:p>
        </w:tc>
        <w:tc>
          <w:tcPr>
            <w:tcW w:w="1134" w:type="dxa"/>
            <w:shd w:val="clear" w:color="auto" w:fill="auto"/>
          </w:tcPr>
          <w:p w:rsidR="006F0FFC" w:rsidRDefault="006F0FFC" w:rsidP="006F0FFC">
            <w:pPr>
              <w:jc w:val="right"/>
            </w:pPr>
            <w:r>
              <w:t>0.09</w:t>
            </w:r>
          </w:p>
        </w:tc>
        <w:tc>
          <w:tcPr>
            <w:tcW w:w="1134" w:type="dxa"/>
            <w:shd w:val="clear" w:color="auto" w:fill="BFBFBF" w:themeFill="background1" w:themeFillShade="BF"/>
          </w:tcPr>
          <w:p w:rsidR="006F0FFC" w:rsidRDefault="006F0FFC" w:rsidP="006F0FFC">
            <w:pPr>
              <w:jc w:val="right"/>
            </w:pPr>
            <w:r>
              <w:t>0.63</w:t>
            </w:r>
          </w:p>
        </w:tc>
        <w:tc>
          <w:tcPr>
            <w:tcW w:w="1134" w:type="dxa"/>
            <w:shd w:val="clear" w:color="auto" w:fill="auto"/>
          </w:tcPr>
          <w:p w:rsidR="006F0FFC" w:rsidRDefault="006F0FFC" w:rsidP="006F0FFC">
            <w:pPr>
              <w:jc w:val="right"/>
            </w:pPr>
            <w:r>
              <w:t>0.14</w:t>
            </w:r>
          </w:p>
        </w:tc>
        <w:tc>
          <w:tcPr>
            <w:tcW w:w="1134" w:type="dxa"/>
            <w:shd w:val="clear" w:color="auto" w:fill="auto"/>
          </w:tcPr>
          <w:p w:rsidR="006F0FFC" w:rsidRDefault="006F0FFC" w:rsidP="006F0FFC">
            <w:pPr>
              <w:jc w:val="right"/>
            </w:pPr>
            <w:r>
              <w:t>0.02</w:t>
            </w:r>
          </w:p>
        </w:tc>
      </w:tr>
      <w:tr w:rsidR="006F0FFC" w:rsidTr="006F0FFC">
        <w:tc>
          <w:tcPr>
            <w:tcW w:w="2898" w:type="dxa"/>
          </w:tcPr>
          <w:p w:rsidR="006F0FFC" w:rsidRDefault="006F0FFC" w:rsidP="006F0FFC">
            <w:r>
              <w:t>RX Side Effects (Q41)</w:t>
            </w:r>
          </w:p>
        </w:tc>
        <w:tc>
          <w:tcPr>
            <w:tcW w:w="1134" w:type="dxa"/>
            <w:shd w:val="clear" w:color="auto" w:fill="auto"/>
          </w:tcPr>
          <w:p w:rsidR="006F0FFC" w:rsidRDefault="006F0FFC" w:rsidP="006F0FFC">
            <w:pPr>
              <w:jc w:val="right"/>
            </w:pPr>
            <w:r>
              <w:t>-0.06</w:t>
            </w:r>
          </w:p>
        </w:tc>
        <w:tc>
          <w:tcPr>
            <w:tcW w:w="1134" w:type="dxa"/>
            <w:shd w:val="clear" w:color="auto" w:fill="auto"/>
          </w:tcPr>
          <w:p w:rsidR="006F0FFC" w:rsidRDefault="006F0FFC" w:rsidP="006F0FFC">
            <w:pPr>
              <w:jc w:val="right"/>
            </w:pPr>
            <w:r>
              <w:t>-0.04</w:t>
            </w:r>
          </w:p>
        </w:tc>
        <w:tc>
          <w:tcPr>
            <w:tcW w:w="1134" w:type="dxa"/>
            <w:shd w:val="clear" w:color="auto" w:fill="BFBFBF" w:themeFill="background1" w:themeFillShade="BF"/>
          </w:tcPr>
          <w:p w:rsidR="006F0FFC" w:rsidRDefault="006F0FFC" w:rsidP="006F0FFC">
            <w:pPr>
              <w:jc w:val="right"/>
            </w:pPr>
            <w:r>
              <w:t>0.63</w:t>
            </w:r>
          </w:p>
        </w:tc>
        <w:tc>
          <w:tcPr>
            <w:tcW w:w="1134" w:type="dxa"/>
            <w:shd w:val="clear" w:color="auto" w:fill="auto"/>
          </w:tcPr>
          <w:p w:rsidR="006F0FFC" w:rsidRDefault="006F0FFC" w:rsidP="006F0FFC">
            <w:pPr>
              <w:jc w:val="right"/>
            </w:pPr>
            <w:r>
              <w:t>0.19</w:t>
            </w:r>
          </w:p>
        </w:tc>
        <w:tc>
          <w:tcPr>
            <w:tcW w:w="1134" w:type="dxa"/>
            <w:shd w:val="clear" w:color="auto" w:fill="auto"/>
          </w:tcPr>
          <w:p w:rsidR="006F0FFC" w:rsidRDefault="006F0FFC" w:rsidP="006F0FFC">
            <w:pPr>
              <w:jc w:val="right"/>
            </w:pPr>
            <w:r>
              <w:t>0.15</w:t>
            </w:r>
          </w:p>
        </w:tc>
      </w:tr>
      <w:tr w:rsidR="006F0FFC" w:rsidTr="006F0FFC">
        <w:tc>
          <w:tcPr>
            <w:tcW w:w="2898" w:type="dxa"/>
          </w:tcPr>
          <w:p w:rsidR="006F0FFC" w:rsidRDefault="006F0FFC" w:rsidP="006F0FFC">
            <w:r>
              <w:t>How Often Bathroom (Q22)</w:t>
            </w:r>
          </w:p>
        </w:tc>
        <w:tc>
          <w:tcPr>
            <w:tcW w:w="1134" w:type="dxa"/>
            <w:shd w:val="clear" w:color="auto" w:fill="auto"/>
          </w:tcPr>
          <w:p w:rsidR="006F0FFC" w:rsidRDefault="006F0FFC" w:rsidP="006F0FFC">
            <w:pPr>
              <w:jc w:val="right"/>
            </w:pPr>
            <w:r>
              <w:t>0.09</w:t>
            </w:r>
          </w:p>
        </w:tc>
        <w:tc>
          <w:tcPr>
            <w:tcW w:w="1134" w:type="dxa"/>
            <w:shd w:val="clear" w:color="auto" w:fill="auto"/>
          </w:tcPr>
          <w:p w:rsidR="006F0FFC" w:rsidRDefault="006F0FFC" w:rsidP="006F0FFC">
            <w:pPr>
              <w:jc w:val="right"/>
            </w:pPr>
            <w:r>
              <w:t>-0.05</w:t>
            </w:r>
          </w:p>
        </w:tc>
        <w:tc>
          <w:tcPr>
            <w:tcW w:w="1134" w:type="dxa"/>
            <w:shd w:val="clear" w:color="auto" w:fill="auto"/>
          </w:tcPr>
          <w:p w:rsidR="006F0FFC" w:rsidRDefault="006F0FFC" w:rsidP="006F0FFC">
            <w:pPr>
              <w:jc w:val="right"/>
            </w:pPr>
            <w:r>
              <w:t>0.05</w:t>
            </w:r>
          </w:p>
        </w:tc>
        <w:tc>
          <w:tcPr>
            <w:tcW w:w="1134" w:type="dxa"/>
            <w:shd w:val="clear" w:color="auto" w:fill="BFBFBF" w:themeFill="background1" w:themeFillShade="BF"/>
          </w:tcPr>
          <w:p w:rsidR="006F0FFC" w:rsidRDefault="006F0FFC" w:rsidP="006F0FFC">
            <w:pPr>
              <w:jc w:val="right"/>
            </w:pPr>
            <w:r>
              <w:t>0.62</w:t>
            </w:r>
          </w:p>
        </w:tc>
        <w:tc>
          <w:tcPr>
            <w:tcW w:w="1134" w:type="dxa"/>
            <w:shd w:val="clear" w:color="auto" w:fill="auto"/>
          </w:tcPr>
          <w:p w:rsidR="006F0FFC" w:rsidRDefault="006F0FFC" w:rsidP="006F0FFC">
            <w:pPr>
              <w:jc w:val="right"/>
            </w:pPr>
            <w:r>
              <w:t>-0.04</w:t>
            </w:r>
          </w:p>
        </w:tc>
      </w:tr>
      <w:tr w:rsidR="006F0FFC" w:rsidTr="006F0FFC">
        <w:tc>
          <w:tcPr>
            <w:tcW w:w="2898" w:type="dxa"/>
          </w:tcPr>
          <w:p w:rsidR="006F0FFC" w:rsidRDefault="006F0FFC" w:rsidP="006F0FFC">
            <w:r>
              <w:t>How Often Bathing (Q20)</w:t>
            </w:r>
          </w:p>
        </w:tc>
        <w:tc>
          <w:tcPr>
            <w:tcW w:w="1134" w:type="dxa"/>
            <w:shd w:val="clear" w:color="auto" w:fill="auto"/>
          </w:tcPr>
          <w:p w:rsidR="006F0FFC" w:rsidRDefault="006F0FFC" w:rsidP="006F0FFC">
            <w:pPr>
              <w:jc w:val="right"/>
            </w:pPr>
            <w:r>
              <w:t>0.04</w:t>
            </w:r>
          </w:p>
        </w:tc>
        <w:tc>
          <w:tcPr>
            <w:tcW w:w="1134" w:type="dxa"/>
            <w:shd w:val="clear" w:color="auto" w:fill="auto"/>
          </w:tcPr>
          <w:p w:rsidR="006F0FFC" w:rsidRDefault="006F0FFC" w:rsidP="006F0FFC">
            <w:pPr>
              <w:jc w:val="right"/>
            </w:pPr>
            <w:r>
              <w:t>-0.06</w:t>
            </w:r>
          </w:p>
        </w:tc>
        <w:tc>
          <w:tcPr>
            <w:tcW w:w="1134" w:type="dxa"/>
            <w:shd w:val="clear" w:color="auto" w:fill="auto"/>
          </w:tcPr>
          <w:p w:rsidR="006F0FFC" w:rsidRDefault="006F0FFC" w:rsidP="006F0FFC">
            <w:pPr>
              <w:jc w:val="right"/>
            </w:pPr>
            <w:r>
              <w:t>0.05</w:t>
            </w:r>
          </w:p>
        </w:tc>
        <w:tc>
          <w:tcPr>
            <w:tcW w:w="1134" w:type="dxa"/>
            <w:shd w:val="clear" w:color="auto" w:fill="BFBFBF" w:themeFill="background1" w:themeFillShade="BF"/>
          </w:tcPr>
          <w:p w:rsidR="006F0FFC" w:rsidRDefault="006F0FFC" w:rsidP="006F0FFC">
            <w:pPr>
              <w:jc w:val="right"/>
            </w:pPr>
            <w:r>
              <w:t>0.62</w:t>
            </w:r>
          </w:p>
        </w:tc>
        <w:tc>
          <w:tcPr>
            <w:tcW w:w="1134" w:type="dxa"/>
            <w:shd w:val="clear" w:color="auto" w:fill="auto"/>
          </w:tcPr>
          <w:p w:rsidR="006F0FFC" w:rsidRDefault="006F0FFC" w:rsidP="006F0FFC">
            <w:pPr>
              <w:jc w:val="right"/>
            </w:pPr>
            <w:r>
              <w:t>0.03</w:t>
            </w:r>
          </w:p>
        </w:tc>
      </w:tr>
      <w:tr w:rsidR="006F0FFC" w:rsidTr="006F0FFC">
        <w:tc>
          <w:tcPr>
            <w:tcW w:w="2898" w:type="dxa"/>
          </w:tcPr>
          <w:p w:rsidR="006F0FFC" w:rsidRDefault="006F0FFC" w:rsidP="006F0FFC">
            <w:r>
              <w:t>Call Help Frequently (Q9)</w:t>
            </w:r>
          </w:p>
        </w:tc>
        <w:tc>
          <w:tcPr>
            <w:tcW w:w="1134" w:type="dxa"/>
            <w:shd w:val="clear" w:color="auto" w:fill="auto"/>
          </w:tcPr>
          <w:p w:rsidR="006F0FFC" w:rsidRDefault="006F0FFC" w:rsidP="006F0FFC">
            <w:pPr>
              <w:jc w:val="right"/>
            </w:pPr>
            <w:r>
              <w:t>0.32</w:t>
            </w:r>
          </w:p>
        </w:tc>
        <w:tc>
          <w:tcPr>
            <w:tcW w:w="1134" w:type="dxa"/>
            <w:shd w:val="clear" w:color="auto" w:fill="auto"/>
          </w:tcPr>
          <w:p w:rsidR="006F0FFC" w:rsidRDefault="006F0FFC" w:rsidP="006F0FFC">
            <w:pPr>
              <w:jc w:val="right"/>
            </w:pPr>
            <w:r>
              <w:t>0.02</w:t>
            </w:r>
          </w:p>
        </w:tc>
        <w:tc>
          <w:tcPr>
            <w:tcW w:w="1134" w:type="dxa"/>
            <w:shd w:val="clear" w:color="auto" w:fill="auto"/>
          </w:tcPr>
          <w:p w:rsidR="006F0FFC" w:rsidRDefault="006F0FFC" w:rsidP="006F0FFC">
            <w:pPr>
              <w:jc w:val="right"/>
            </w:pPr>
            <w:r>
              <w:t>0.03</w:t>
            </w:r>
          </w:p>
        </w:tc>
        <w:tc>
          <w:tcPr>
            <w:tcW w:w="1134" w:type="dxa"/>
            <w:shd w:val="clear" w:color="auto" w:fill="BFBFBF" w:themeFill="background1" w:themeFillShade="BF"/>
          </w:tcPr>
          <w:p w:rsidR="006F0FFC" w:rsidRDefault="006F0FFC" w:rsidP="006F0FFC">
            <w:pPr>
              <w:jc w:val="right"/>
            </w:pPr>
            <w:r>
              <w:t>0.48</w:t>
            </w:r>
          </w:p>
        </w:tc>
        <w:tc>
          <w:tcPr>
            <w:tcW w:w="1134" w:type="dxa"/>
            <w:shd w:val="clear" w:color="auto" w:fill="auto"/>
          </w:tcPr>
          <w:p w:rsidR="006F0FFC" w:rsidRDefault="006F0FFC" w:rsidP="006F0FFC">
            <w:pPr>
              <w:jc w:val="right"/>
            </w:pPr>
            <w:r>
              <w:t>0.03</w:t>
            </w:r>
          </w:p>
        </w:tc>
      </w:tr>
      <w:tr w:rsidR="006F0FFC" w:rsidTr="006F0FFC">
        <w:tc>
          <w:tcPr>
            <w:tcW w:w="2898" w:type="dxa"/>
          </w:tcPr>
          <w:p w:rsidR="006F0FFC" w:rsidRDefault="006F0FFC" w:rsidP="006F0FFC">
            <w:r>
              <w:t>Writing Activities (Q47)</w:t>
            </w:r>
          </w:p>
        </w:tc>
        <w:tc>
          <w:tcPr>
            <w:tcW w:w="1134" w:type="dxa"/>
            <w:shd w:val="clear" w:color="auto" w:fill="auto"/>
          </w:tcPr>
          <w:p w:rsidR="006F0FFC" w:rsidRDefault="006F0FFC" w:rsidP="006F0FFC">
            <w:pPr>
              <w:jc w:val="right"/>
            </w:pPr>
            <w:r>
              <w:t>0.03</w:t>
            </w:r>
          </w:p>
        </w:tc>
        <w:tc>
          <w:tcPr>
            <w:tcW w:w="1134" w:type="dxa"/>
            <w:shd w:val="clear" w:color="auto" w:fill="auto"/>
          </w:tcPr>
          <w:p w:rsidR="006F0FFC" w:rsidRDefault="006F0FFC" w:rsidP="006F0FFC">
            <w:pPr>
              <w:jc w:val="right"/>
            </w:pPr>
            <w:r>
              <w:t>0.02</w:t>
            </w:r>
          </w:p>
        </w:tc>
        <w:tc>
          <w:tcPr>
            <w:tcW w:w="1134" w:type="dxa"/>
            <w:shd w:val="clear" w:color="auto" w:fill="auto"/>
          </w:tcPr>
          <w:p w:rsidR="006F0FFC" w:rsidRDefault="006F0FFC" w:rsidP="006F0FFC">
            <w:pPr>
              <w:jc w:val="right"/>
            </w:pPr>
            <w:r>
              <w:t>-0.02</w:t>
            </w:r>
          </w:p>
        </w:tc>
        <w:tc>
          <w:tcPr>
            <w:tcW w:w="1134" w:type="dxa"/>
            <w:shd w:val="clear" w:color="auto" w:fill="auto"/>
          </w:tcPr>
          <w:p w:rsidR="006F0FFC" w:rsidRDefault="006F0FFC" w:rsidP="006F0FFC">
            <w:pPr>
              <w:jc w:val="right"/>
            </w:pPr>
            <w:r>
              <w:t>0.00</w:t>
            </w:r>
          </w:p>
        </w:tc>
        <w:tc>
          <w:tcPr>
            <w:tcW w:w="1134" w:type="dxa"/>
            <w:shd w:val="clear" w:color="auto" w:fill="BFBFBF" w:themeFill="background1" w:themeFillShade="BF"/>
          </w:tcPr>
          <w:p w:rsidR="006F0FFC" w:rsidRDefault="006F0FFC" w:rsidP="006F0FFC">
            <w:pPr>
              <w:jc w:val="right"/>
            </w:pPr>
            <w:r>
              <w:t>0.70</w:t>
            </w:r>
          </w:p>
        </w:tc>
      </w:tr>
      <w:tr w:rsidR="006F0FFC" w:rsidTr="006F0FFC">
        <w:tc>
          <w:tcPr>
            <w:tcW w:w="2898" w:type="dxa"/>
          </w:tcPr>
          <w:p w:rsidR="006F0FFC" w:rsidRDefault="006F0FFC" w:rsidP="006F0FFC">
            <w:r>
              <w:t>Writing Symptoms (Q49)</w:t>
            </w:r>
          </w:p>
        </w:tc>
        <w:tc>
          <w:tcPr>
            <w:tcW w:w="1134" w:type="dxa"/>
            <w:shd w:val="clear" w:color="auto" w:fill="auto"/>
          </w:tcPr>
          <w:p w:rsidR="006F0FFC" w:rsidRDefault="006F0FFC" w:rsidP="006F0FFC">
            <w:pPr>
              <w:jc w:val="right"/>
            </w:pPr>
            <w:r>
              <w:t>-0.04</w:t>
            </w:r>
          </w:p>
        </w:tc>
        <w:tc>
          <w:tcPr>
            <w:tcW w:w="1134" w:type="dxa"/>
            <w:shd w:val="clear" w:color="auto" w:fill="auto"/>
          </w:tcPr>
          <w:p w:rsidR="006F0FFC" w:rsidRDefault="006F0FFC" w:rsidP="006F0FFC">
            <w:pPr>
              <w:jc w:val="right"/>
            </w:pPr>
            <w:r>
              <w:t>0.02</w:t>
            </w:r>
          </w:p>
        </w:tc>
        <w:tc>
          <w:tcPr>
            <w:tcW w:w="1134" w:type="dxa"/>
            <w:shd w:val="clear" w:color="auto" w:fill="auto"/>
          </w:tcPr>
          <w:p w:rsidR="006F0FFC" w:rsidRDefault="006F0FFC" w:rsidP="006F0FFC">
            <w:pPr>
              <w:jc w:val="right"/>
            </w:pPr>
            <w:r>
              <w:t>0.03</w:t>
            </w:r>
          </w:p>
        </w:tc>
        <w:tc>
          <w:tcPr>
            <w:tcW w:w="1134" w:type="dxa"/>
            <w:shd w:val="clear" w:color="auto" w:fill="auto"/>
          </w:tcPr>
          <w:p w:rsidR="006F0FFC" w:rsidRDefault="006F0FFC" w:rsidP="006F0FFC">
            <w:pPr>
              <w:jc w:val="right"/>
            </w:pPr>
            <w:r>
              <w:t>0.07</w:t>
            </w:r>
          </w:p>
        </w:tc>
        <w:tc>
          <w:tcPr>
            <w:tcW w:w="1134" w:type="dxa"/>
            <w:shd w:val="clear" w:color="auto" w:fill="BFBFBF" w:themeFill="background1" w:themeFillShade="BF"/>
          </w:tcPr>
          <w:p w:rsidR="006F0FFC" w:rsidRDefault="006F0FFC" w:rsidP="006F0FFC">
            <w:pPr>
              <w:jc w:val="right"/>
            </w:pPr>
            <w:r>
              <w:t>0.69</w:t>
            </w:r>
          </w:p>
        </w:tc>
      </w:tr>
      <w:tr w:rsidR="006F0FFC" w:rsidTr="006F0FFC">
        <w:tc>
          <w:tcPr>
            <w:tcW w:w="2898" w:type="dxa"/>
          </w:tcPr>
          <w:p w:rsidR="006F0FFC" w:rsidRDefault="006F0FFC" w:rsidP="006F0FFC">
            <w:r>
              <w:t>Help After Discharge (Q48)</w:t>
            </w:r>
          </w:p>
        </w:tc>
        <w:tc>
          <w:tcPr>
            <w:tcW w:w="1134" w:type="dxa"/>
            <w:shd w:val="clear" w:color="auto" w:fill="auto"/>
          </w:tcPr>
          <w:p w:rsidR="006F0FFC" w:rsidRDefault="006F0FFC" w:rsidP="006F0FFC">
            <w:pPr>
              <w:jc w:val="right"/>
            </w:pPr>
            <w:r>
              <w:t>0.08</w:t>
            </w:r>
          </w:p>
        </w:tc>
        <w:tc>
          <w:tcPr>
            <w:tcW w:w="1134" w:type="dxa"/>
            <w:shd w:val="clear" w:color="auto" w:fill="auto"/>
          </w:tcPr>
          <w:p w:rsidR="006F0FFC" w:rsidRDefault="006F0FFC" w:rsidP="006F0FFC">
            <w:pPr>
              <w:jc w:val="right"/>
            </w:pPr>
            <w:r>
              <w:t>-0.03</w:t>
            </w:r>
          </w:p>
        </w:tc>
        <w:tc>
          <w:tcPr>
            <w:tcW w:w="1134" w:type="dxa"/>
            <w:shd w:val="clear" w:color="auto" w:fill="auto"/>
          </w:tcPr>
          <w:p w:rsidR="006F0FFC" w:rsidRDefault="006F0FFC" w:rsidP="006F0FFC">
            <w:pPr>
              <w:jc w:val="right"/>
            </w:pPr>
            <w:r>
              <w:t>-0.04</w:t>
            </w:r>
          </w:p>
        </w:tc>
        <w:tc>
          <w:tcPr>
            <w:tcW w:w="1134" w:type="dxa"/>
            <w:shd w:val="clear" w:color="auto" w:fill="auto"/>
          </w:tcPr>
          <w:p w:rsidR="006F0FFC" w:rsidRDefault="006F0FFC" w:rsidP="006F0FFC">
            <w:pPr>
              <w:jc w:val="right"/>
            </w:pPr>
            <w:r>
              <w:t>0.18</w:t>
            </w:r>
          </w:p>
        </w:tc>
        <w:tc>
          <w:tcPr>
            <w:tcW w:w="1134" w:type="dxa"/>
            <w:shd w:val="clear" w:color="auto" w:fill="BFBFBF" w:themeFill="background1" w:themeFillShade="BF"/>
          </w:tcPr>
          <w:p w:rsidR="006F0FFC" w:rsidRDefault="006F0FFC" w:rsidP="006F0FFC">
            <w:pPr>
              <w:jc w:val="right"/>
            </w:pPr>
            <w:r>
              <w:t>0.49</w:t>
            </w:r>
          </w:p>
        </w:tc>
      </w:tr>
      <w:tr w:rsidR="006F0FFC" w:rsidTr="006F0FFC">
        <w:tc>
          <w:tcPr>
            <w:tcW w:w="2898" w:type="dxa"/>
          </w:tcPr>
          <w:p w:rsidR="006F0FFC" w:rsidRDefault="006F0FFC" w:rsidP="006F0FFC">
            <w:r>
              <w:t>Writing How to take RX (Q51)</w:t>
            </w:r>
          </w:p>
        </w:tc>
        <w:tc>
          <w:tcPr>
            <w:tcW w:w="1134" w:type="dxa"/>
            <w:shd w:val="clear" w:color="auto" w:fill="auto"/>
          </w:tcPr>
          <w:p w:rsidR="006F0FFC" w:rsidRDefault="006F0FFC" w:rsidP="006F0FFC">
            <w:pPr>
              <w:jc w:val="right"/>
            </w:pPr>
            <w:r>
              <w:t>0.26</w:t>
            </w:r>
          </w:p>
        </w:tc>
        <w:tc>
          <w:tcPr>
            <w:tcW w:w="1134" w:type="dxa"/>
            <w:shd w:val="clear" w:color="auto" w:fill="auto"/>
          </w:tcPr>
          <w:p w:rsidR="006F0FFC" w:rsidRDefault="006F0FFC" w:rsidP="006F0FFC">
            <w:pPr>
              <w:jc w:val="right"/>
            </w:pPr>
            <w:r>
              <w:t>0.00</w:t>
            </w:r>
          </w:p>
        </w:tc>
        <w:tc>
          <w:tcPr>
            <w:tcW w:w="1134" w:type="dxa"/>
            <w:shd w:val="clear" w:color="auto" w:fill="auto"/>
          </w:tcPr>
          <w:p w:rsidR="006F0FFC" w:rsidRDefault="006F0FFC" w:rsidP="006F0FFC">
            <w:pPr>
              <w:jc w:val="right"/>
            </w:pPr>
            <w:r>
              <w:t>0.14</w:t>
            </w:r>
          </w:p>
        </w:tc>
        <w:tc>
          <w:tcPr>
            <w:tcW w:w="1134" w:type="dxa"/>
            <w:shd w:val="clear" w:color="auto" w:fill="auto"/>
          </w:tcPr>
          <w:p w:rsidR="006F0FFC" w:rsidRDefault="006F0FFC" w:rsidP="006F0FFC">
            <w:pPr>
              <w:jc w:val="right"/>
            </w:pPr>
            <w:r>
              <w:t>-0.22</w:t>
            </w:r>
          </w:p>
        </w:tc>
        <w:tc>
          <w:tcPr>
            <w:tcW w:w="1134" w:type="dxa"/>
            <w:shd w:val="clear" w:color="auto" w:fill="BFBFBF" w:themeFill="background1" w:themeFillShade="BF"/>
          </w:tcPr>
          <w:p w:rsidR="006F0FFC" w:rsidRDefault="006F0FFC" w:rsidP="006F0FFC">
            <w:pPr>
              <w:jc w:val="right"/>
            </w:pPr>
            <w:r>
              <w:t>0.41</w:t>
            </w:r>
          </w:p>
        </w:tc>
      </w:tr>
      <w:tr w:rsidR="006F0FFC" w:rsidTr="006F0FFC">
        <w:tc>
          <w:tcPr>
            <w:tcW w:w="2898" w:type="dxa"/>
          </w:tcPr>
          <w:p w:rsidR="006F0FFC" w:rsidRDefault="006F0FFC" w:rsidP="006F0FFC">
            <w:r>
              <w:t>Room Quiet (Q18)</w:t>
            </w:r>
          </w:p>
        </w:tc>
        <w:tc>
          <w:tcPr>
            <w:tcW w:w="1134" w:type="dxa"/>
            <w:shd w:val="clear" w:color="auto" w:fill="auto"/>
          </w:tcPr>
          <w:p w:rsidR="006F0FFC" w:rsidRDefault="006F0FFC" w:rsidP="006F0FFC">
            <w:pPr>
              <w:jc w:val="right"/>
            </w:pPr>
            <w:r>
              <w:t>0.32</w:t>
            </w:r>
          </w:p>
        </w:tc>
        <w:tc>
          <w:tcPr>
            <w:tcW w:w="1134" w:type="dxa"/>
            <w:shd w:val="clear" w:color="auto" w:fill="auto"/>
          </w:tcPr>
          <w:p w:rsidR="006F0FFC" w:rsidRDefault="006F0FFC" w:rsidP="006F0FFC">
            <w:pPr>
              <w:jc w:val="right"/>
            </w:pPr>
            <w:r>
              <w:t>-0.06</w:t>
            </w:r>
          </w:p>
        </w:tc>
        <w:tc>
          <w:tcPr>
            <w:tcW w:w="1134" w:type="dxa"/>
            <w:shd w:val="clear" w:color="auto" w:fill="auto"/>
          </w:tcPr>
          <w:p w:rsidR="006F0FFC" w:rsidRDefault="006F0FFC" w:rsidP="006F0FFC">
            <w:pPr>
              <w:jc w:val="right"/>
            </w:pPr>
            <w:r>
              <w:t>0.02</w:t>
            </w:r>
          </w:p>
        </w:tc>
        <w:tc>
          <w:tcPr>
            <w:tcW w:w="1134" w:type="dxa"/>
            <w:shd w:val="clear" w:color="auto" w:fill="auto"/>
          </w:tcPr>
          <w:p w:rsidR="006F0FFC" w:rsidRDefault="006F0FFC" w:rsidP="006F0FFC">
            <w:pPr>
              <w:jc w:val="right"/>
            </w:pPr>
            <w:r>
              <w:t>0.14</w:t>
            </w:r>
          </w:p>
        </w:tc>
        <w:tc>
          <w:tcPr>
            <w:tcW w:w="1134" w:type="dxa"/>
            <w:shd w:val="clear" w:color="auto" w:fill="auto"/>
          </w:tcPr>
          <w:p w:rsidR="006F0FFC" w:rsidRDefault="006F0FFC" w:rsidP="006F0FFC">
            <w:pPr>
              <w:jc w:val="right"/>
            </w:pPr>
            <w:r>
              <w:t>0.10</w:t>
            </w:r>
          </w:p>
        </w:tc>
      </w:tr>
      <w:tr w:rsidR="006F0FFC" w:rsidTr="006F0FFC">
        <w:tc>
          <w:tcPr>
            <w:tcW w:w="2898" w:type="dxa"/>
          </w:tcPr>
          <w:p w:rsidR="006F0FFC" w:rsidRDefault="006F0FFC" w:rsidP="006F0FFC">
            <w:r>
              <w:t>Privacy (Q24)</w:t>
            </w:r>
          </w:p>
        </w:tc>
        <w:tc>
          <w:tcPr>
            <w:tcW w:w="1134" w:type="dxa"/>
            <w:shd w:val="clear" w:color="auto" w:fill="auto"/>
          </w:tcPr>
          <w:p w:rsidR="006F0FFC" w:rsidRDefault="006F0FFC" w:rsidP="006F0FFC">
            <w:pPr>
              <w:jc w:val="right"/>
            </w:pPr>
            <w:r>
              <w:t>0.21</w:t>
            </w:r>
          </w:p>
        </w:tc>
        <w:tc>
          <w:tcPr>
            <w:tcW w:w="1134" w:type="dxa"/>
            <w:shd w:val="clear" w:color="auto" w:fill="auto"/>
          </w:tcPr>
          <w:p w:rsidR="006F0FFC" w:rsidRDefault="006F0FFC" w:rsidP="006F0FFC">
            <w:pPr>
              <w:jc w:val="right"/>
            </w:pPr>
            <w:r>
              <w:t>0.08</w:t>
            </w:r>
          </w:p>
        </w:tc>
        <w:tc>
          <w:tcPr>
            <w:tcW w:w="1134" w:type="dxa"/>
            <w:shd w:val="clear" w:color="auto" w:fill="auto"/>
          </w:tcPr>
          <w:p w:rsidR="006F0FFC" w:rsidRDefault="006F0FFC" w:rsidP="006F0FFC">
            <w:pPr>
              <w:jc w:val="right"/>
            </w:pPr>
            <w:r>
              <w:t>0.02</w:t>
            </w:r>
          </w:p>
        </w:tc>
        <w:tc>
          <w:tcPr>
            <w:tcW w:w="1134" w:type="dxa"/>
            <w:shd w:val="clear" w:color="auto" w:fill="auto"/>
          </w:tcPr>
          <w:p w:rsidR="006F0FFC" w:rsidRDefault="006F0FFC" w:rsidP="006F0FFC">
            <w:pPr>
              <w:jc w:val="right"/>
            </w:pPr>
            <w:r>
              <w:t>0.06</w:t>
            </w:r>
          </w:p>
        </w:tc>
        <w:tc>
          <w:tcPr>
            <w:tcW w:w="1134" w:type="dxa"/>
            <w:shd w:val="clear" w:color="auto" w:fill="auto"/>
          </w:tcPr>
          <w:p w:rsidR="006F0FFC" w:rsidRDefault="006F0FFC" w:rsidP="006F0FFC">
            <w:pPr>
              <w:jc w:val="right"/>
            </w:pPr>
            <w:r>
              <w:t>-0.07</w:t>
            </w:r>
          </w:p>
        </w:tc>
      </w:tr>
      <w:tr w:rsidR="006F0FFC" w:rsidTr="006F0FFC">
        <w:tc>
          <w:tcPr>
            <w:tcW w:w="2898" w:type="dxa"/>
          </w:tcPr>
          <w:p w:rsidR="006F0FFC" w:rsidRDefault="006F0FFC" w:rsidP="006F0FFC">
            <w:r>
              <w:t>MD Respond Pain (Q31)</w:t>
            </w:r>
          </w:p>
        </w:tc>
        <w:tc>
          <w:tcPr>
            <w:tcW w:w="1134" w:type="dxa"/>
            <w:shd w:val="clear" w:color="auto" w:fill="auto"/>
          </w:tcPr>
          <w:p w:rsidR="006F0FFC" w:rsidRDefault="006F0FFC" w:rsidP="006F0FFC">
            <w:pPr>
              <w:jc w:val="right"/>
            </w:pPr>
            <w:r>
              <w:t>0.33</w:t>
            </w:r>
          </w:p>
        </w:tc>
        <w:tc>
          <w:tcPr>
            <w:tcW w:w="1134" w:type="dxa"/>
            <w:shd w:val="clear" w:color="auto" w:fill="auto"/>
          </w:tcPr>
          <w:p w:rsidR="006F0FFC" w:rsidRDefault="006F0FFC" w:rsidP="006F0FFC">
            <w:pPr>
              <w:jc w:val="right"/>
            </w:pPr>
            <w:r>
              <w:t>0.03</w:t>
            </w:r>
          </w:p>
        </w:tc>
        <w:tc>
          <w:tcPr>
            <w:tcW w:w="1134" w:type="dxa"/>
            <w:shd w:val="clear" w:color="auto" w:fill="auto"/>
          </w:tcPr>
          <w:p w:rsidR="006F0FFC" w:rsidRDefault="006F0FFC" w:rsidP="006F0FFC">
            <w:pPr>
              <w:jc w:val="right"/>
            </w:pPr>
            <w:r>
              <w:t>0.11</w:t>
            </w:r>
          </w:p>
        </w:tc>
        <w:tc>
          <w:tcPr>
            <w:tcW w:w="1134" w:type="dxa"/>
            <w:shd w:val="clear" w:color="auto" w:fill="auto"/>
          </w:tcPr>
          <w:p w:rsidR="006F0FFC" w:rsidRDefault="006F0FFC" w:rsidP="006F0FFC">
            <w:pPr>
              <w:jc w:val="right"/>
            </w:pPr>
            <w:r>
              <w:t>0.33</w:t>
            </w:r>
          </w:p>
        </w:tc>
        <w:tc>
          <w:tcPr>
            <w:tcW w:w="1134" w:type="dxa"/>
            <w:shd w:val="clear" w:color="auto" w:fill="auto"/>
          </w:tcPr>
          <w:p w:rsidR="006F0FFC" w:rsidRDefault="006F0FFC" w:rsidP="006F0FFC">
            <w:pPr>
              <w:jc w:val="right"/>
            </w:pPr>
            <w:r>
              <w:t>0.01</w:t>
            </w:r>
          </w:p>
        </w:tc>
      </w:tr>
      <w:tr w:rsidR="006F0FFC" w:rsidTr="006F0FFC">
        <w:tc>
          <w:tcPr>
            <w:tcW w:w="2898" w:type="dxa"/>
          </w:tcPr>
          <w:p w:rsidR="006F0FFC" w:rsidRDefault="006F0FFC" w:rsidP="006F0FFC">
            <w:r>
              <w:t>Tests Without Pain (Q35)</w:t>
            </w:r>
          </w:p>
        </w:tc>
        <w:tc>
          <w:tcPr>
            <w:tcW w:w="1134" w:type="dxa"/>
            <w:shd w:val="clear" w:color="auto" w:fill="auto"/>
          </w:tcPr>
          <w:p w:rsidR="006F0FFC" w:rsidRDefault="006F0FFC" w:rsidP="006F0FFC">
            <w:pPr>
              <w:jc w:val="right"/>
            </w:pPr>
            <w:r>
              <w:t>0.09</w:t>
            </w:r>
          </w:p>
        </w:tc>
        <w:tc>
          <w:tcPr>
            <w:tcW w:w="1134" w:type="dxa"/>
            <w:shd w:val="clear" w:color="auto" w:fill="auto"/>
          </w:tcPr>
          <w:p w:rsidR="006F0FFC" w:rsidRDefault="006F0FFC" w:rsidP="006F0FFC">
            <w:pPr>
              <w:jc w:val="right"/>
            </w:pPr>
            <w:r>
              <w:t>0.26</w:t>
            </w:r>
          </w:p>
        </w:tc>
        <w:tc>
          <w:tcPr>
            <w:tcW w:w="1134" w:type="dxa"/>
            <w:shd w:val="clear" w:color="auto" w:fill="auto"/>
          </w:tcPr>
          <w:p w:rsidR="006F0FFC" w:rsidRDefault="006F0FFC" w:rsidP="006F0FFC">
            <w:pPr>
              <w:jc w:val="right"/>
            </w:pPr>
            <w:r>
              <w:t>0.06</w:t>
            </w:r>
          </w:p>
        </w:tc>
        <w:tc>
          <w:tcPr>
            <w:tcW w:w="1134" w:type="dxa"/>
            <w:shd w:val="clear" w:color="auto" w:fill="auto"/>
          </w:tcPr>
          <w:p w:rsidR="006F0FFC" w:rsidRDefault="006F0FFC" w:rsidP="006F0FFC">
            <w:pPr>
              <w:jc w:val="right"/>
            </w:pPr>
            <w:r>
              <w:t>0.25</w:t>
            </w:r>
          </w:p>
        </w:tc>
        <w:tc>
          <w:tcPr>
            <w:tcW w:w="1134" w:type="dxa"/>
            <w:shd w:val="clear" w:color="auto" w:fill="auto"/>
          </w:tcPr>
          <w:p w:rsidR="006F0FFC" w:rsidRDefault="006F0FFC" w:rsidP="006F0FFC">
            <w:pPr>
              <w:jc w:val="right"/>
            </w:pPr>
            <w:r>
              <w:t>-0.07</w:t>
            </w:r>
          </w:p>
        </w:tc>
      </w:tr>
      <w:tr w:rsidR="006F0FFC" w:rsidTr="006F0FFC">
        <w:tc>
          <w:tcPr>
            <w:tcW w:w="2898" w:type="dxa"/>
          </w:tcPr>
          <w:p w:rsidR="006F0FFC" w:rsidRDefault="006F0FFC" w:rsidP="006F0FFC">
            <w:r>
              <w:t>Delays in Admission (Q43)</w:t>
            </w:r>
          </w:p>
        </w:tc>
        <w:tc>
          <w:tcPr>
            <w:tcW w:w="1134" w:type="dxa"/>
            <w:shd w:val="clear" w:color="auto" w:fill="auto"/>
          </w:tcPr>
          <w:p w:rsidR="006F0FFC" w:rsidRDefault="006F0FFC" w:rsidP="006F0FFC">
            <w:pPr>
              <w:jc w:val="right"/>
            </w:pPr>
            <w:r>
              <w:t>-0.13</w:t>
            </w:r>
          </w:p>
        </w:tc>
        <w:tc>
          <w:tcPr>
            <w:tcW w:w="1134" w:type="dxa"/>
            <w:shd w:val="clear" w:color="auto" w:fill="auto"/>
          </w:tcPr>
          <w:p w:rsidR="006F0FFC" w:rsidRDefault="006F0FFC" w:rsidP="006F0FFC">
            <w:pPr>
              <w:jc w:val="right"/>
            </w:pPr>
            <w:r>
              <w:t>0.20</w:t>
            </w:r>
          </w:p>
        </w:tc>
        <w:tc>
          <w:tcPr>
            <w:tcW w:w="1134" w:type="dxa"/>
            <w:shd w:val="clear" w:color="auto" w:fill="auto"/>
          </w:tcPr>
          <w:p w:rsidR="006F0FFC" w:rsidRDefault="006F0FFC" w:rsidP="006F0FFC">
            <w:pPr>
              <w:jc w:val="right"/>
            </w:pPr>
            <w:r>
              <w:t>-0.14</w:t>
            </w:r>
          </w:p>
        </w:tc>
        <w:tc>
          <w:tcPr>
            <w:tcW w:w="1134" w:type="dxa"/>
            <w:shd w:val="clear" w:color="auto" w:fill="auto"/>
          </w:tcPr>
          <w:p w:rsidR="006F0FFC" w:rsidRDefault="006F0FFC" w:rsidP="006F0FFC">
            <w:pPr>
              <w:jc w:val="right"/>
            </w:pPr>
            <w:r>
              <w:t>0.33</w:t>
            </w:r>
          </w:p>
        </w:tc>
        <w:tc>
          <w:tcPr>
            <w:tcW w:w="1134" w:type="dxa"/>
            <w:shd w:val="clear" w:color="auto" w:fill="auto"/>
          </w:tcPr>
          <w:p w:rsidR="006F0FFC" w:rsidRDefault="006F0FFC" w:rsidP="006F0FFC">
            <w:pPr>
              <w:jc w:val="right"/>
            </w:pPr>
            <w:r>
              <w:t>0.21</w:t>
            </w:r>
          </w:p>
        </w:tc>
      </w:tr>
    </w:tbl>
    <w:p w:rsidR="00ED4ABB" w:rsidRDefault="00ED4ABB" w:rsidP="000462DC">
      <w:pPr>
        <w:autoSpaceDE w:val="0"/>
        <w:autoSpaceDN w:val="0"/>
        <w:adjustRightInd w:val="0"/>
        <w:spacing w:after="0" w:line="240" w:lineRule="auto"/>
        <w:rPr>
          <w:rFonts w:ascii="Palatino Linotype" w:hAnsi="Palatino Linotype" w:cs="Times New Roman"/>
          <w:i/>
          <w:sz w:val="20"/>
          <w:szCs w:val="20"/>
        </w:rPr>
      </w:pPr>
    </w:p>
    <w:p w:rsidR="006F0FFC" w:rsidRDefault="006F0FFC" w:rsidP="006F0FFC"/>
    <w:p w:rsidR="006F0FFC" w:rsidRDefault="006F0FFC" w:rsidP="006F0FFC"/>
    <w:p w:rsidR="006F0FFC" w:rsidRDefault="006F0FFC" w:rsidP="006F0FFC"/>
    <w:p w:rsidR="006F0FFC" w:rsidRDefault="006F0FFC" w:rsidP="006F0FFC"/>
    <w:p w:rsidR="006F0FFC" w:rsidRDefault="006F0FFC" w:rsidP="006F0FFC"/>
    <w:p w:rsidR="006F0FFC" w:rsidRDefault="006F0FFC" w:rsidP="006F0FFC">
      <w:r>
        <w:t>Table 9: Factor Analysis with Six Factors</w:t>
      </w:r>
    </w:p>
    <w:tbl>
      <w:tblPr>
        <w:tblStyle w:val="TableGrid"/>
        <w:tblW w:w="0" w:type="auto"/>
        <w:tblLook w:val="04A0" w:firstRow="1" w:lastRow="0" w:firstColumn="1" w:lastColumn="0" w:noHBand="0" w:noVBand="1"/>
        <w:tblCaption w:val="Table with Factor Analysis with Six Factors"/>
        <w:tblDescription w:val="Factor Analysis with Six Factors"/>
      </w:tblPr>
      <w:tblGrid>
        <w:gridCol w:w="2898"/>
        <w:gridCol w:w="1080"/>
        <w:gridCol w:w="1080"/>
        <w:gridCol w:w="1080"/>
        <w:gridCol w:w="1080"/>
        <w:gridCol w:w="1080"/>
        <w:gridCol w:w="1080"/>
      </w:tblGrid>
      <w:tr w:rsidR="006F0FFC" w:rsidTr="006F0FFC">
        <w:tc>
          <w:tcPr>
            <w:tcW w:w="2898" w:type="dxa"/>
            <w:vAlign w:val="center"/>
          </w:tcPr>
          <w:p w:rsidR="006F0FFC" w:rsidRDefault="006F0FFC" w:rsidP="006F0FFC">
            <w:pPr>
              <w:jc w:val="center"/>
            </w:pPr>
            <w:r>
              <w:t>Item</w:t>
            </w:r>
          </w:p>
        </w:tc>
        <w:tc>
          <w:tcPr>
            <w:tcW w:w="1080" w:type="dxa"/>
            <w:vAlign w:val="center"/>
          </w:tcPr>
          <w:p w:rsidR="006F0FFC" w:rsidRDefault="006F0FFC" w:rsidP="006F0FFC">
            <w:pPr>
              <w:jc w:val="center"/>
            </w:pPr>
            <w:r>
              <w:t>Factor 1</w:t>
            </w:r>
          </w:p>
        </w:tc>
        <w:tc>
          <w:tcPr>
            <w:tcW w:w="1080" w:type="dxa"/>
            <w:vAlign w:val="center"/>
          </w:tcPr>
          <w:p w:rsidR="006F0FFC" w:rsidRDefault="006F0FFC" w:rsidP="006F0FFC">
            <w:pPr>
              <w:jc w:val="center"/>
            </w:pPr>
            <w:r>
              <w:t>Factor 2</w:t>
            </w:r>
          </w:p>
        </w:tc>
        <w:tc>
          <w:tcPr>
            <w:tcW w:w="1080" w:type="dxa"/>
            <w:vAlign w:val="center"/>
          </w:tcPr>
          <w:p w:rsidR="006F0FFC" w:rsidRDefault="006F0FFC" w:rsidP="006F0FFC">
            <w:pPr>
              <w:jc w:val="center"/>
            </w:pPr>
            <w:r>
              <w:t>Factor 3</w:t>
            </w:r>
          </w:p>
        </w:tc>
        <w:tc>
          <w:tcPr>
            <w:tcW w:w="1080" w:type="dxa"/>
          </w:tcPr>
          <w:p w:rsidR="006F0FFC" w:rsidRDefault="006F0FFC" w:rsidP="006F0FFC">
            <w:pPr>
              <w:jc w:val="center"/>
            </w:pPr>
            <w:r>
              <w:t>Factor 4</w:t>
            </w:r>
          </w:p>
        </w:tc>
        <w:tc>
          <w:tcPr>
            <w:tcW w:w="1080" w:type="dxa"/>
          </w:tcPr>
          <w:p w:rsidR="006F0FFC" w:rsidRDefault="006F0FFC" w:rsidP="006F0FFC">
            <w:pPr>
              <w:jc w:val="center"/>
            </w:pPr>
            <w:r>
              <w:t>Factor 5</w:t>
            </w:r>
          </w:p>
        </w:tc>
        <w:tc>
          <w:tcPr>
            <w:tcW w:w="1080" w:type="dxa"/>
          </w:tcPr>
          <w:p w:rsidR="006F0FFC" w:rsidRDefault="006F0FFC" w:rsidP="006F0FFC">
            <w:pPr>
              <w:jc w:val="center"/>
            </w:pPr>
            <w:r>
              <w:t>Factor 6</w:t>
            </w:r>
          </w:p>
        </w:tc>
      </w:tr>
      <w:tr w:rsidR="006F0FFC" w:rsidTr="006F0FFC">
        <w:tc>
          <w:tcPr>
            <w:tcW w:w="2898" w:type="dxa"/>
          </w:tcPr>
          <w:p w:rsidR="006F0FFC" w:rsidRDefault="006F0FFC" w:rsidP="006F0FFC">
            <w:r>
              <w:t>Respect (Q4)</w:t>
            </w:r>
          </w:p>
        </w:tc>
        <w:tc>
          <w:tcPr>
            <w:tcW w:w="1080" w:type="dxa"/>
            <w:shd w:val="clear" w:color="auto" w:fill="BFBFBF" w:themeFill="background1" w:themeFillShade="BF"/>
          </w:tcPr>
          <w:p w:rsidR="006F0FFC" w:rsidRDefault="006F0FFC" w:rsidP="006F0FFC">
            <w:pPr>
              <w:jc w:val="right"/>
            </w:pPr>
            <w:r>
              <w:t>0.88</w:t>
            </w:r>
          </w:p>
        </w:tc>
        <w:tc>
          <w:tcPr>
            <w:tcW w:w="1080" w:type="dxa"/>
            <w:shd w:val="clear" w:color="auto" w:fill="auto"/>
          </w:tcPr>
          <w:p w:rsidR="006F0FFC" w:rsidRDefault="006F0FFC" w:rsidP="006F0FFC">
            <w:pPr>
              <w:jc w:val="right"/>
            </w:pPr>
            <w:r>
              <w:t>-0.03</w:t>
            </w:r>
          </w:p>
        </w:tc>
        <w:tc>
          <w:tcPr>
            <w:tcW w:w="1080" w:type="dxa"/>
            <w:shd w:val="clear" w:color="auto" w:fill="auto"/>
          </w:tcPr>
          <w:p w:rsidR="006F0FFC" w:rsidRDefault="006F0FFC" w:rsidP="006F0FFC">
            <w:pPr>
              <w:jc w:val="right"/>
            </w:pPr>
            <w:r>
              <w:t>-0.06</w:t>
            </w:r>
          </w:p>
        </w:tc>
        <w:tc>
          <w:tcPr>
            <w:tcW w:w="1080" w:type="dxa"/>
            <w:shd w:val="clear" w:color="auto" w:fill="auto"/>
          </w:tcPr>
          <w:p w:rsidR="006F0FFC" w:rsidRDefault="006F0FFC" w:rsidP="006F0FFC">
            <w:pPr>
              <w:jc w:val="right"/>
            </w:pPr>
            <w:r>
              <w:t>-0.03</w:t>
            </w:r>
          </w:p>
        </w:tc>
        <w:tc>
          <w:tcPr>
            <w:tcW w:w="1080" w:type="dxa"/>
            <w:shd w:val="clear" w:color="auto" w:fill="auto"/>
          </w:tcPr>
          <w:p w:rsidR="006F0FFC" w:rsidRDefault="006F0FFC" w:rsidP="006F0FFC">
            <w:pPr>
              <w:jc w:val="right"/>
            </w:pPr>
            <w:r>
              <w:t>0.03</w:t>
            </w:r>
          </w:p>
        </w:tc>
        <w:tc>
          <w:tcPr>
            <w:tcW w:w="1080" w:type="dxa"/>
          </w:tcPr>
          <w:p w:rsidR="006F0FFC" w:rsidRDefault="006F0FFC" w:rsidP="006F0FFC">
            <w:pPr>
              <w:jc w:val="right"/>
            </w:pPr>
            <w:r>
              <w:t>0.07</w:t>
            </w:r>
          </w:p>
        </w:tc>
      </w:tr>
      <w:tr w:rsidR="006F0FFC" w:rsidTr="006F0FFC">
        <w:tc>
          <w:tcPr>
            <w:tcW w:w="2898" w:type="dxa"/>
          </w:tcPr>
          <w:p w:rsidR="006F0FFC" w:rsidRDefault="006F0FFC" w:rsidP="006F0FFC">
            <w:r>
              <w:t>Listen (Q5)</w:t>
            </w:r>
          </w:p>
        </w:tc>
        <w:tc>
          <w:tcPr>
            <w:tcW w:w="1080" w:type="dxa"/>
            <w:shd w:val="clear" w:color="auto" w:fill="BFBFBF" w:themeFill="background1" w:themeFillShade="BF"/>
          </w:tcPr>
          <w:p w:rsidR="006F0FFC" w:rsidRDefault="006F0FFC" w:rsidP="006F0FFC">
            <w:pPr>
              <w:jc w:val="right"/>
            </w:pPr>
            <w:r>
              <w:t>0.85</w:t>
            </w:r>
          </w:p>
        </w:tc>
        <w:tc>
          <w:tcPr>
            <w:tcW w:w="1080" w:type="dxa"/>
            <w:shd w:val="clear" w:color="auto" w:fill="auto"/>
          </w:tcPr>
          <w:p w:rsidR="006F0FFC" w:rsidRDefault="006F0FFC" w:rsidP="006F0FFC">
            <w:pPr>
              <w:jc w:val="right"/>
            </w:pPr>
            <w:r>
              <w:t>0.01</w:t>
            </w:r>
          </w:p>
        </w:tc>
        <w:tc>
          <w:tcPr>
            <w:tcW w:w="1080" w:type="dxa"/>
            <w:shd w:val="clear" w:color="auto" w:fill="auto"/>
          </w:tcPr>
          <w:p w:rsidR="006F0FFC" w:rsidRDefault="006F0FFC" w:rsidP="006F0FFC">
            <w:pPr>
              <w:jc w:val="right"/>
            </w:pPr>
            <w:r>
              <w:t>-0.01</w:t>
            </w:r>
          </w:p>
        </w:tc>
        <w:tc>
          <w:tcPr>
            <w:tcW w:w="1080" w:type="dxa"/>
            <w:shd w:val="clear" w:color="auto" w:fill="auto"/>
          </w:tcPr>
          <w:p w:rsidR="006F0FFC" w:rsidRDefault="006F0FFC" w:rsidP="006F0FFC">
            <w:pPr>
              <w:jc w:val="right"/>
            </w:pPr>
            <w:r>
              <w:t>-0.07</w:t>
            </w:r>
          </w:p>
        </w:tc>
        <w:tc>
          <w:tcPr>
            <w:tcW w:w="1080" w:type="dxa"/>
            <w:shd w:val="clear" w:color="auto" w:fill="auto"/>
          </w:tcPr>
          <w:p w:rsidR="006F0FFC" w:rsidRDefault="006F0FFC" w:rsidP="006F0FFC">
            <w:pPr>
              <w:jc w:val="right"/>
            </w:pPr>
            <w:r>
              <w:t>0.06</w:t>
            </w:r>
          </w:p>
        </w:tc>
        <w:tc>
          <w:tcPr>
            <w:tcW w:w="1080" w:type="dxa"/>
          </w:tcPr>
          <w:p w:rsidR="006F0FFC" w:rsidRDefault="006F0FFC" w:rsidP="006F0FFC">
            <w:pPr>
              <w:jc w:val="right"/>
            </w:pPr>
            <w:r>
              <w:t>0.05</w:t>
            </w:r>
          </w:p>
        </w:tc>
      </w:tr>
      <w:tr w:rsidR="006F0FFC" w:rsidTr="006F0FFC">
        <w:tc>
          <w:tcPr>
            <w:tcW w:w="2898" w:type="dxa"/>
          </w:tcPr>
          <w:p w:rsidR="006F0FFC" w:rsidRDefault="006F0FFC" w:rsidP="006F0FFC">
            <w:r>
              <w:t>Explain Things (Q6)</w:t>
            </w:r>
          </w:p>
        </w:tc>
        <w:tc>
          <w:tcPr>
            <w:tcW w:w="1080" w:type="dxa"/>
            <w:shd w:val="clear" w:color="auto" w:fill="BFBFBF" w:themeFill="background1" w:themeFillShade="BF"/>
          </w:tcPr>
          <w:p w:rsidR="006F0FFC" w:rsidRDefault="006F0FFC" w:rsidP="006F0FFC">
            <w:pPr>
              <w:jc w:val="right"/>
            </w:pPr>
            <w:r>
              <w:t>0.76</w:t>
            </w:r>
          </w:p>
        </w:tc>
        <w:tc>
          <w:tcPr>
            <w:tcW w:w="1080" w:type="dxa"/>
            <w:shd w:val="clear" w:color="auto" w:fill="auto"/>
          </w:tcPr>
          <w:p w:rsidR="006F0FFC" w:rsidRDefault="006F0FFC" w:rsidP="006F0FFC">
            <w:pPr>
              <w:jc w:val="right"/>
            </w:pPr>
            <w:r>
              <w:t>0.07</w:t>
            </w:r>
          </w:p>
        </w:tc>
        <w:tc>
          <w:tcPr>
            <w:tcW w:w="1080" w:type="dxa"/>
            <w:shd w:val="clear" w:color="auto" w:fill="auto"/>
          </w:tcPr>
          <w:p w:rsidR="006F0FFC" w:rsidRDefault="006F0FFC" w:rsidP="006F0FFC">
            <w:pPr>
              <w:jc w:val="right"/>
            </w:pPr>
            <w:r>
              <w:t>0.12</w:t>
            </w:r>
          </w:p>
        </w:tc>
        <w:tc>
          <w:tcPr>
            <w:tcW w:w="1080" w:type="dxa"/>
            <w:shd w:val="clear" w:color="auto" w:fill="auto"/>
          </w:tcPr>
          <w:p w:rsidR="006F0FFC" w:rsidRDefault="006F0FFC" w:rsidP="006F0FFC">
            <w:pPr>
              <w:jc w:val="right"/>
            </w:pPr>
            <w:r>
              <w:t>-0.01</w:t>
            </w:r>
          </w:p>
        </w:tc>
        <w:tc>
          <w:tcPr>
            <w:tcW w:w="1080" w:type="dxa"/>
            <w:shd w:val="clear" w:color="auto" w:fill="auto"/>
          </w:tcPr>
          <w:p w:rsidR="006F0FFC" w:rsidRDefault="006F0FFC" w:rsidP="006F0FFC">
            <w:pPr>
              <w:jc w:val="right"/>
            </w:pPr>
            <w:r>
              <w:t>-0.02</w:t>
            </w:r>
          </w:p>
        </w:tc>
        <w:tc>
          <w:tcPr>
            <w:tcW w:w="1080" w:type="dxa"/>
          </w:tcPr>
          <w:p w:rsidR="006F0FFC" w:rsidRDefault="006F0FFC" w:rsidP="006F0FFC">
            <w:pPr>
              <w:jc w:val="right"/>
            </w:pPr>
            <w:r>
              <w:t>-0.06</w:t>
            </w:r>
          </w:p>
        </w:tc>
      </w:tr>
      <w:tr w:rsidR="006F0FFC" w:rsidTr="006F0FFC">
        <w:tc>
          <w:tcPr>
            <w:tcW w:w="2898" w:type="dxa"/>
          </w:tcPr>
          <w:p w:rsidR="006F0FFC" w:rsidRDefault="006F0FFC" w:rsidP="006F0FFC">
            <w:r>
              <w:t>MD Pain Help (Q33)</w:t>
            </w:r>
          </w:p>
        </w:tc>
        <w:tc>
          <w:tcPr>
            <w:tcW w:w="1080" w:type="dxa"/>
            <w:shd w:val="clear" w:color="auto" w:fill="BFBFBF" w:themeFill="background1" w:themeFillShade="BF"/>
          </w:tcPr>
          <w:p w:rsidR="006F0FFC" w:rsidRDefault="006F0FFC" w:rsidP="006F0FFC">
            <w:pPr>
              <w:jc w:val="right"/>
            </w:pPr>
            <w:r>
              <w:t>0.73</w:t>
            </w:r>
          </w:p>
        </w:tc>
        <w:tc>
          <w:tcPr>
            <w:tcW w:w="1080" w:type="dxa"/>
            <w:shd w:val="clear" w:color="auto" w:fill="auto"/>
          </w:tcPr>
          <w:p w:rsidR="006F0FFC" w:rsidRDefault="006F0FFC" w:rsidP="006F0FFC">
            <w:pPr>
              <w:jc w:val="right"/>
            </w:pPr>
            <w:r>
              <w:t>-0.02</w:t>
            </w:r>
          </w:p>
        </w:tc>
        <w:tc>
          <w:tcPr>
            <w:tcW w:w="1080" w:type="dxa"/>
            <w:shd w:val="clear" w:color="auto" w:fill="auto"/>
          </w:tcPr>
          <w:p w:rsidR="006F0FFC" w:rsidRDefault="006F0FFC" w:rsidP="006F0FFC">
            <w:pPr>
              <w:jc w:val="right"/>
            </w:pPr>
            <w:r>
              <w:t>0.09</w:t>
            </w:r>
          </w:p>
        </w:tc>
        <w:tc>
          <w:tcPr>
            <w:tcW w:w="1080" w:type="dxa"/>
            <w:shd w:val="clear" w:color="auto" w:fill="auto"/>
          </w:tcPr>
          <w:p w:rsidR="006F0FFC" w:rsidRDefault="006F0FFC" w:rsidP="006F0FFC">
            <w:pPr>
              <w:jc w:val="right"/>
            </w:pPr>
            <w:r>
              <w:t>0.10</w:t>
            </w:r>
          </w:p>
        </w:tc>
        <w:tc>
          <w:tcPr>
            <w:tcW w:w="1080" w:type="dxa"/>
            <w:shd w:val="clear" w:color="auto" w:fill="auto"/>
          </w:tcPr>
          <w:p w:rsidR="006F0FFC" w:rsidRDefault="006F0FFC" w:rsidP="006F0FFC">
            <w:pPr>
              <w:jc w:val="right"/>
            </w:pPr>
            <w:r>
              <w:t>0.03</w:t>
            </w:r>
          </w:p>
        </w:tc>
        <w:tc>
          <w:tcPr>
            <w:tcW w:w="1080" w:type="dxa"/>
          </w:tcPr>
          <w:p w:rsidR="006F0FFC" w:rsidRDefault="006F0FFC" w:rsidP="006F0FFC">
            <w:pPr>
              <w:jc w:val="right"/>
            </w:pPr>
            <w:r>
              <w:t>-0.03</w:t>
            </w:r>
          </w:p>
        </w:tc>
      </w:tr>
      <w:tr w:rsidR="006F0FFC" w:rsidTr="006F0FFC">
        <w:tc>
          <w:tcPr>
            <w:tcW w:w="2898" w:type="dxa"/>
          </w:tcPr>
          <w:p w:rsidR="006F0FFC" w:rsidRDefault="006F0FFC" w:rsidP="006F0FFC">
            <w:r>
              <w:t>Spend Enough Time (Q7)</w:t>
            </w:r>
          </w:p>
        </w:tc>
        <w:tc>
          <w:tcPr>
            <w:tcW w:w="1080" w:type="dxa"/>
            <w:shd w:val="clear" w:color="auto" w:fill="BFBFBF" w:themeFill="background1" w:themeFillShade="BF"/>
          </w:tcPr>
          <w:p w:rsidR="006F0FFC" w:rsidRDefault="006F0FFC" w:rsidP="006F0FFC">
            <w:pPr>
              <w:jc w:val="right"/>
            </w:pPr>
            <w:r>
              <w:t>0.69</w:t>
            </w:r>
          </w:p>
        </w:tc>
        <w:tc>
          <w:tcPr>
            <w:tcW w:w="1080" w:type="dxa"/>
            <w:shd w:val="clear" w:color="auto" w:fill="auto"/>
          </w:tcPr>
          <w:p w:rsidR="006F0FFC" w:rsidRDefault="006F0FFC" w:rsidP="006F0FFC">
            <w:pPr>
              <w:jc w:val="right"/>
            </w:pPr>
            <w:r>
              <w:t>-0.06</w:t>
            </w:r>
          </w:p>
        </w:tc>
        <w:tc>
          <w:tcPr>
            <w:tcW w:w="1080" w:type="dxa"/>
            <w:shd w:val="clear" w:color="auto" w:fill="auto"/>
          </w:tcPr>
          <w:p w:rsidR="006F0FFC" w:rsidRDefault="006F0FFC" w:rsidP="006F0FFC">
            <w:pPr>
              <w:jc w:val="right"/>
            </w:pPr>
            <w:r>
              <w:t>0.03</w:t>
            </w:r>
          </w:p>
        </w:tc>
        <w:tc>
          <w:tcPr>
            <w:tcW w:w="1080" w:type="dxa"/>
            <w:shd w:val="clear" w:color="auto" w:fill="auto"/>
          </w:tcPr>
          <w:p w:rsidR="006F0FFC" w:rsidRDefault="006F0FFC" w:rsidP="006F0FFC">
            <w:pPr>
              <w:jc w:val="right"/>
            </w:pPr>
            <w:r>
              <w:t>0.02</w:t>
            </w:r>
          </w:p>
        </w:tc>
        <w:tc>
          <w:tcPr>
            <w:tcW w:w="1080" w:type="dxa"/>
            <w:shd w:val="clear" w:color="auto" w:fill="auto"/>
          </w:tcPr>
          <w:p w:rsidR="006F0FFC" w:rsidRDefault="006F0FFC" w:rsidP="006F0FFC">
            <w:pPr>
              <w:jc w:val="right"/>
            </w:pPr>
            <w:r>
              <w:t>0.24</w:t>
            </w:r>
          </w:p>
        </w:tc>
        <w:tc>
          <w:tcPr>
            <w:tcW w:w="1080" w:type="dxa"/>
          </w:tcPr>
          <w:p w:rsidR="006F0FFC" w:rsidRDefault="006F0FFC" w:rsidP="006F0FFC">
            <w:pPr>
              <w:jc w:val="right"/>
            </w:pPr>
            <w:r>
              <w:t>0.01</w:t>
            </w:r>
          </w:p>
        </w:tc>
      </w:tr>
      <w:tr w:rsidR="006F0FFC" w:rsidTr="006F0FFC">
        <w:tc>
          <w:tcPr>
            <w:tcW w:w="2898" w:type="dxa"/>
          </w:tcPr>
          <w:p w:rsidR="006F0FFC" w:rsidRDefault="006F0FFC" w:rsidP="006F0FFC">
            <w:r>
              <w:t>Pain Controlled (Q32)</w:t>
            </w:r>
          </w:p>
        </w:tc>
        <w:tc>
          <w:tcPr>
            <w:tcW w:w="1080" w:type="dxa"/>
            <w:shd w:val="clear" w:color="auto" w:fill="BFBFBF" w:themeFill="background1" w:themeFillShade="BF"/>
          </w:tcPr>
          <w:p w:rsidR="006F0FFC" w:rsidRDefault="006F0FFC" w:rsidP="006F0FFC">
            <w:pPr>
              <w:jc w:val="right"/>
            </w:pPr>
            <w:r>
              <w:t>0.64</w:t>
            </w:r>
          </w:p>
        </w:tc>
        <w:tc>
          <w:tcPr>
            <w:tcW w:w="1080" w:type="dxa"/>
            <w:shd w:val="clear" w:color="auto" w:fill="auto"/>
          </w:tcPr>
          <w:p w:rsidR="006F0FFC" w:rsidRDefault="006F0FFC" w:rsidP="006F0FFC">
            <w:pPr>
              <w:jc w:val="right"/>
            </w:pPr>
            <w:r>
              <w:t>0.01</w:t>
            </w:r>
          </w:p>
        </w:tc>
        <w:tc>
          <w:tcPr>
            <w:tcW w:w="1080" w:type="dxa"/>
            <w:shd w:val="clear" w:color="auto" w:fill="auto"/>
          </w:tcPr>
          <w:p w:rsidR="006F0FFC" w:rsidRDefault="006F0FFC" w:rsidP="006F0FFC">
            <w:pPr>
              <w:jc w:val="right"/>
            </w:pPr>
            <w:r>
              <w:t>0.05</w:t>
            </w:r>
          </w:p>
        </w:tc>
        <w:tc>
          <w:tcPr>
            <w:tcW w:w="1080" w:type="dxa"/>
            <w:shd w:val="clear" w:color="auto" w:fill="auto"/>
          </w:tcPr>
          <w:p w:rsidR="006F0FFC" w:rsidRDefault="006F0FFC" w:rsidP="006F0FFC">
            <w:pPr>
              <w:jc w:val="right"/>
            </w:pPr>
            <w:r>
              <w:t>0.01</w:t>
            </w:r>
          </w:p>
        </w:tc>
        <w:tc>
          <w:tcPr>
            <w:tcW w:w="1080" w:type="dxa"/>
            <w:shd w:val="clear" w:color="auto" w:fill="auto"/>
          </w:tcPr>
          <w:p w:rsidR="006F0FFC" w:rsidRDefault="006F0FFC" w:rsidP="006F0FFC">
            <w:pPr>
              <w:jc w:val="right"/>
            </w:pPr>
            <w:r>
              <w:t>0.05</w:t>
            </w:r>
          </w:p>
        </w:tc>
        <w:tc>
          <w:tcPr>
            <w:tcW w:w="1080" w:type="dxa"/>
          </w:tcPr>
          <w:p w:rsidR="006F0FFC" w:rsidRDefault="006F0FFC" w:rsidP="006F0FFC">
            <w:pPr>
              <w:jc w:val="right"/>
            </w:pPr>
            <w:r>
              <w:t>0.02</w:t>
            </w:r>
          </w:p>
        </w:tc>
      </w:tr>
      <w:tr w:rsidR="006F0FFC" w:rsidTr="006F0FFC">
        <w:tc>
          <w:tcPr>
            <w:tcW w:w="2898" w:type="dxa"/>
          </w:tcPr>
          <w:p w:rsidR="006F0FFC" w:rsidRDefault="006F0FFC" w:rsidP="006F0FFC">
            <w:r>
              <w:t>Visitors Help (Q27)</w:t>
            </w:r>
          </w:p>
        </w:tc>
        <w:tc>
          <w:tcPr>
            <w:tcW w:w="1080" w:type="dxa"/>
            <w:shd w:val="clear" w:color="auto" w:fill="BFBFBF" w:themeFill="background1" w:themeFillShade="BF"/>
          </w:tcPr>
          <w:p w:rsidR="006F0FFC" w:rsidRDefault="006F0FFC" w:rsidP="006F0FFC">
            <w:pPr>
              <w:jc w:val="right"/>
            </w:pPr>
            <w:r>
              <w:t>0.63</w:t>
            </w:r>
          </w:p>
        </w:tc>
        <w:tc>
          <w:tcPr>
            <w:tcW w:w="1080" w:type="dxa"/>
            <w:shd w:val="clear" w:color="auto" w:fill="auto"/>
          </w:tcPr>
          <w:p w:rsidR="006F0FFC" w:rsidRDefault="006F0FFC" w:rsidP="006F0FFC">
            <w:pPr>
              <w:jc w:val="right"/>
            </w:pPr>
            <w:r>
              <w:t>-0.01</w:t>
            </w:r>
          </w:p>
        </w:tc>
        <w:tc>
          <w:tcPr>
            <w:tcW w:w="1080" w:type="dxa"/>
            <w:shd w:val="clear" w:color="auto" w:fill="auto"/>
          </w:tcPr>
          <w:p w:rsidR="006F0FFC" w:rsidRDefault="006F0FFC" w:rsidP="006F0FFC">
            <w:pPr>
              <w:jc w:val="right"/>
            </w:pPr>
            <w:r>
              <w:t>0.08</w:t>
            </w:r>
          </w:p>
        </w:tc>
        <w:tc>
          <w:tcPr>
            <w:tcW w:w="1080" w:type="dxa"/>
            <w:shd w:val="clear" w:color="auto" w:fill="auto"/>
          </w:tcPr>
          <w:p w:rsidR="006F0FFC" w:rsidRDefault="006F0FFC" w:rsidP="006F0FFC">
            <w:pPr>
              <w:jc w:val="right"/>
            </w:pPr>
            <w:r>
              <w:t>-0.01</w:t>
            </w:r>
          </w:p>
        </w:tc>
        <w:tc>
          <w:tcPr>
            <w:tcW w:w="1080" w:type="dxa"/>
            <w:shd w:val="clear" w:color="auto" w:fill="auto"/>
          </w:tcPr>
          <w:p w:rsidR="006F0FFC" w:rsidRDefault="006F0FFC" w:rsidP="006F0FFC">
            <w:pPr>
              <w:jc w:val="right"/>
            </w:pPr>
            <w:r>
              <w:t>0.17</w:t>
            </w:r>
          </w:p>
        </w:tc>
        <w:tc>
          <w:tcPr>
            <w:tcW w:w="1080" w:type="dxa"/>
          </w:tcPr>
          <w:p w:rsidR="006F0FFC" w:rsidRDefault="006F0FFC" w:rsidP="006F0FFC">
            <w:pPr>
              <w:jc w:val="right"/>
            </w:pPr>
            <w:r>
              <w:t>0.04</w:t>
            </w:r>
          </w:p>
        </w:tc>
      </w:tr>
      <w:tr w:rsidR="006F0FFC" w:rsidTr="006F0FFC">
        <w:tc>
          <w:tcPr>
            <w:tcW w:w="2898" w:type="dxa"/>
          </w:tcPr>
          <w:p w:rsidR="006F0FFC" w:rsidRDefault="006F0FFC" w:rsidP="006F0FFC">
            <w:r>
              <w:t>Introduce (Q28)</w:t>
            </w:r>
          </w:p>
        </w:tc>
        <w:tc>
          <w:tcPr>
            <w:tcW w:w="1080" w:type="dxa"/>
            <w:shd w:val="clear" w:color="auto" w:fill="BFBFBF" w:themeFill="background1" w:themeFillShade="BF"/>
          </w:tcPr>
          <w:p w:rsidR="006F0FFC" w:rsidRDefault="006F0FFC" w:rsidP="006F0FFC">
            <w:pPr>
              <w:jc w:val="right"/>
            </w:pPr>
            <w:r>
              <w:t>0.59</w:t>
            </w:r>
          </w:p>
        </w:tc>
        <w:tc>
          <w:tcPr>
            <w:tcW w:w="1080" w:type="dxa"/>
            <w:shd w:val="clear" w:color="auto" w:fill="auto"/>
          </w:tcPr>
          <w:p w:rsidR="006F0FFC" w:rsidRDefault="006F0FFC" w:rsidP="006F0FFC">
            <w:pPr>
              <w:jc w:val="right"/>
            </w:pPr>
            <w:r>
              <w:t>0.08</w:t>
            </w:r>
          </w:p>
        </w:tc>
        <w:tc>
          <w:tcPr>
            <w:tcW w:w="1080" w:type="dxa"/>
            <w:shd w:val="clear" w:color="auto" w:fill="auto"/>
          </w:tcPr>
          <w:p w:rsidR="006F0FFC" w:rsidRDefault="006F0FFC" w:rsidP="006F0FFC">
            <w:pPr>
              <w:jc w:val="right"/>
            </w:pPr>
            <w:r>
              <w:t>0.04</w:t>
            </w:r>
          </w:p>
        </w:tc>
        <w:tc>
          <w:tcPr>
            <w:tcW w:w="1080" w:type="dxa"/>
            <w:shd w:val="clear" w:color="auto" w:fill="auto"/>
          </w:tcPr>
          <w:p w:rsidR="006F0FFC" w:rsidRDefault="006F0FFC" w:rsidP="006F0FFC">
            <w:pPr>
              <w:jc w:val="right"/>
            </w:pPr>
            <w:r>
              <w:t>0.06</w:t>
            </w:r>
          </w:p>
        </w:tc>
        <w:tc>
          <w:tcPr>
            <w:tcW w:w="1080" w:type="dxa"/>
            <w:shd w:val="clear" w:color="auto" w:fill="auto"/>
          </w:tcPr>
          <w:p w:rsidR="006F0FFC" w:rsidRDefault="006F0FFC" w:rsidP="006F0FFC">
            <w:pPr>
              <w:jc w:val="right"/>
            </w:pPr>
            <w:r>
              <w:t>-0.14</w:t>
            </w:r>
          </w:p>
        </w:tc>
        <w:tc>
          <w:tcPr>
            <w:tcW w:w="1080" w:type="dxa"/>
          </w:tcPr>
          <w:p w:rsidR="006F0FFC" w:rsidRDefault="006F0FFC" w:rsidP="006F0FFC">
            <w:pPr>
              <w:jc w:val="right"/>
            </w:pPr>
            <w:r>
              <w:t>0.10</w:t>
            </w:r>
          </w:p>
        </w:tc>
      </w:tr>
      <w:tr w:rsidR="006F0FFC" w:rsidTr="006F0FFC">
        <w:tc>
          <w:tcPr>
            <w:tcW w:w="2898" w:type="dxa"/>
          </w:tcPr>
          <w:p w:rsidR="006F0FFC" w:rsidRDefault="006F0FFC" w:rsidP="006F0FFC">
            <w:r>
              <w:t>Living Will (Q44)</w:t>
            </w:r>
          </w:p>
        </w:tc>
        <w:tc>
          <w:tcPr>
            <w:tcW w:w="1080" w:type="dxa"/>
            <w:shd w:val="clear" w:color="auto" w:fill="BFBFBF" w:themeFill="background1" w:themeFillShade="BF"/>
          </w:tcPr>
          <w:p w:rsidR="006F0FFC" w:rsidRDefault="006F0FFC" w:rsidP="006F0FFC">
            <w:pPr>
              <w:jc w:val="right"/>
            </w:pPr>
            <w:r>
              <w:t>0.48</w:t>
            </w:r>
          </w:p>
        </w:tc>
        <w:tc>
          <w:tcPr>
            <w:tcW w:w="1080" w:type="dxa"/>
            <w:shd w:val="clear" w:color="auto" w:fill="auto"/>
          </w:tcPr>
          <w:p w:rsidR="006F0FFC" w:rsidRDefault="006F0FFC" w:rsidP="006F0FFC">
            <w:pPr>
              <w:jc w:val="right"/>
            </w:pPr>
            <w:r>
              <w:t>-0.08</w:t>
            </w:r>
          </w:p>
        </w:tc>
        <w:tc>
          <w:tcPr>
            <w:tcW w:w="1080" w:type="dxa"/>
            <w:shd w:val="clear" w:color="auto" w:fill="auto"/>
          </w:tcPr>
          <w:p w:rsidR="006F0FFC" w:rsidRDefault="006F0FFC" w:rsidP="006F0FFC">
            <w:pPr>
              <w:jc w:val="right"/>
            </w:pPr>
            <w:r>
              <w:t>-0.02</w:t>
            </w:r>
          </w:p>
        </w:tc>
        <w:tc>
          <w:tcPr>
            <w:tcW w:w="1080" w:type="dxa"/>
            <w:shd w:val="clear" w:color="auto" w:fill="auto"/>
          </w:tcPr>
          <w:p w:rsidR="006F0FFC" w:rsidRDefault="006F0FFC" w:rsidP="006F0FFC">
            <w:pPr>
              <w:jc w:val="right"/>
            </w:pPr>
            <w:r>
              <w:t>0.11</w:t>
            </w:r>
          </w:p>
        </w:tc>
        <w:tc>
          <w:tcPr>
            <w:tcW w:w="1080" w:type="dxa"/>
            <w:shd w:val="clear" w:color="auto" w:fill="auto"/>
          </w:tcPr>
          <w:p w:rsidR="006F0FFC" w:rsidRDefault="006F0FFC" w:rsidP="006F0FFC">
            <w:pPr>
              <w:jc w:val="right"/>
            </w:pPr>
            <w:r>
              <w:t>-0.32</w:t>
            </w:r>
          </w:p>
        </w:tc>
        <w:tc>
          <w:tcPr>
            <w:tcW w:w="1080" w:type="dxa"/>
          </w:tcPr>
          <w:p w:rsidR="006F0FFC" w:rsidRDefault="006F0FFC" w:rsidP="006F0FFC">
            <w:pPr>
              <w:jc w:val="right"/>
            </w:pPr>
            <w:r>
              <w:t>0.05</w:t>
            </w:r>
          </w:p>
        </w:tc>
      </w:tr>
      <w:tr w:rsidR="006F0FFC" w:rsidTr="006F0FFC">
        <w:tc>
          <w:tcPr>
            <w:tcW w:w="2898" w:type="dxa"/>
          </w:tcPr>
          <w:p w:rsidR="006F0FFC" w:rsidRDefault="006F0FFC" w:rsidP="006F0FFC">
            <w:r>
              <w:t>MD Respond Pain (Q31)</w:t>
            </w:r>
          </w:p>
        </w:tc>
        <w:tc>
          <w:tcPr>
            <w:tcW w:w="1080" w:type="dxa"/>
            <w:shd w:val="clear" w:color="auto" w:fill="BFBFBF" w:themeFill="background1" w:themeFillShade="BF"/>
          </w:tcPr>
          <w:p w:rsidR="006F0FFC" w:rsidRDefault="006F0FFC" w:rsidP="006F0FFC">
            <w:pPr>
              <w:jc w:val="right"/>
            </w:pPr>
            <w:r>
              <w:t>0.37</w:t>
            </w:r>
          </w:p>
        </w:tc>
        <w:tc>
          <w:tcPr>
            <w:tcW w:w="1080" w:type="dxa"/>
            <w:shd w:val="clear" w:color="auto" w:fill="auto"/>
          </w:tcPr>
          <w:p w:rsidR="006F0FFC" w:rsidRDefault="006F0FFC" w:rsidP="006F0FFC">
            <w:pPr>
              <w:jc w:val="right"/>
            </w:pPr>
            <w:r>
              <w:t>0.11</w:t>
            </w:r>
          </w:p>
        </w:tc>
        <w:tc>
          <w:tcPr>
            <w:tcW w:w="1080" w:type="dxa"/>
            <w:shd w:val="clear" w:color="auto" w:fill="auto"/>
          </w:tcPr>
          <w:p w:rsidR="006F0FFC" w:rsidRDefault="006F0FFC" w:rsidP="006F0FFC">
            <w:pPr>
              <w:jc w:val="right"/>
            </w:pPr>
            <w:r>
              <w:t>0.02</w:t>
            </w:r>
          </w:p>
        </w:tc>
        <w:tc>
          <w:tcPr>
            <w:tcW w:w="1080" w:type="dxa"/>
            <w:shd w:val="clear" w:color="auto" w:fill="auto"/>
          </w:tcPr>
          <w:p w:rsidR="006F0FFC" w:rsidRDefault="006F0FFC" w:rsidP="006F0FFC">
            <w:pPr>
              <w:jc w:val="right"/>
            </w:pPr>
            <w:r>
              <w:t>0.00</w:t>
            </w:r>
          </w:p>
        </w:tc>
        <w:tc>
          <w:tcPr>
            <w:tcW w:w="1080" w:type="dxa"/>
            <w:shd w:val="clear" w:color="auto" w:fill="auto"/>
          </w:tcPr>
          <w:p w:rsidR="006F0FFC" w:rsidRDefault="006F0FFC" w:rsidP="006F0FFC">
            <w:pPr>
              <w:jc w:val="right"/>
            </w:pPr>
            <w:r>
              <w:t>0.28</w:t>
            </w:r>
          </w:p>
        </w:tc>
        <w:tc>
          <w:tcPr>
            <w:tcW w:w="1080" w:type="dxa"/>
          </w:tcPr>
          <w:p w:rsidR="006F0FFC" w:rsidRDefault="006F0FFC" w:rsidP="006F0FFC">
            <w:pPr>
              <w:jc w:val="right"/>
            </w:pPr>
            <w:r>
              <w:t>0.07</w:t>
            </w:r>
          </w:p>
        </w:tc>
      </w:tr>
      <w:tr w:rsidR="006F0FFC" w:rsidTr="006F0FFC">
        <w:tc>
          <w:tcPr>
            <w:tcW w:w="2898" w:type="dxa"/>
          </w:tcPr>
          <w:p w:rsidR="006F0FFC" w:rsidRDefault="006F0FFC" w:rsidP="006F0FFC">
            <w:r>
              <w:t>Taking Other RX (Q39)</w:t>
            </w:r>
          </w:p>
        </w:tc>
        <w:tc>
          <w:tcPr>
            <w:tcW w:w="1080" w:type="dxa"/>
            <w:shd w:val="clear" w:color="auto" w:fill="auto"/>
          </w:tcPr>
          <w:p w:rsidR="006F0FFC" w:rsidRDefault="006F0FFC" w:rsidP="006F0FFC">
            <w:pPr>
              <w:jc w:val="right"/>
            </w:pPr>
            <w:r>
              <w:t>-0.03</w:t>
            </w:r>
          </w:p>
        </w:tc>
        <w:tc>
          <w:tcPr>
            <w:tcW w:w="1080" w:type="dxa"/>
            <w:shd w:val="clear" w:color="auto" w:fill="BFBFBF" w:themeFill="background1" w:themeFillShade="BF"/>
          </w:tcPr>
          <w:p w:rsidR="006F0FFC" w:rsidRDefault="006F0FFC" w:rsidP="006F0FFC">
            <w:pPr>
              <w:jc w:val="right"/>
            </w:pPr>
            <w:r>
              <w:t>0.88</w:t>
            </w:r>
          </w:p>
        </w:tc>
        <w:tc>
          <w:tcPr>
            <w:tcW w:w="1080" w:type="dxa"/>
            <w:shd w:val="clear" w:color="auto" w:fill="auto"/>
          </w:tcPr>
          <w:p w:rsidR="006F0FFC" w:rsidRDefault="006F0FFC" w:rsidP="006F0FFC">
            <w:pPr>
              <w:jc w:val="right"/>
            </w:pPr>
            <w:r>
              <w:t>0.00</w:t>
            </w:r>
          </w:p>
        </w:tc>
        <w:tc>
          <w:tcPr>
            <w:tcW w:w="1080" w:type="dxa"/>
            <w:shd w:val="clear" w:color="auto" w:fill="auto"/>
          </w:tcPr>
          <w:p w:rsidR="006F0FFC" w:rsidRDefault="006F0FFC" w:rsidP="006F0FFC">
            <w:pPr>
              <w:jc w:val="right"/>
            </w:pPr>
            <w:r>
              <w:t>-0.04</w:t>
            </w:r>
          </w:p>
        </w:tc>
        <w:tc>
          <w:tcPr>
            <w:tcW w:w="1080" w:type="dxa"/>
            <w:shd w:val="clear" w:color="auto" w:fill="auto"/>
          </w:tcPr>
          <w:p w:rsidR="006F0FFC" w:rsidRDefault="006F0FFC" w:rsidP="006F0FFC">
            <w:pPr>
              <w:jc w:val="right"/>
            </w:pPr>
            <w:r>
              <w:t>-0.09</w:t>
            </w:r>
          </w:p>
        </w:tc>
        <w:tc>
          <w:tcPr>
            <w:tcW w:w="1080" w:type="dxa"/>
          </w:tcPr>
          <w:p w:rsidR="006F0FFC" w:rsidRDefault="006F0FFC" w:rsidP="006F0FFC">
            <w:pPr>
              <w:jc w:val="right"/>
            </w:pPr>
            <w:r>
              <w:t>0.06</w:t>
            </w:r>
          </w:p>
        </w:tc>
      </w:tr>
      <w:tr w:rsidR="006F0FFC" w:rsidTr="006F0FFC">
        <w:tc>
          <w:tcPr>
            <w:tcW w:w="2898" w:type="dxa"/>
          </w:tcPr>
          <w:p w:rsidR="006F0FFC" w:rsidRDefault="006F0FFC" w:rsidP="006F0FFC">
            <w:r>
              <w:t>Allergic to RX (Q40)</w:t>
            </w:r>
          </w:p>
        </w:tc>
        <w:tc>
          <w:tcPr>
            <w:tcW w:w="1080" w:type="dxa"/>
            <w:shd w:val="clear" w:color="auto" w:fill="auto"/>
          </w:tcPr>
          <w:p w:rsidR="006F0FFC" w:rsidRDefault="006F0FFC" w:rsidP="006F0FFC">
            <w:pPr>
              <w:jc w:val="right"/>
            </w:pPr>
            <w:r>
              <w:t>0.04</w:t>
            </w:r>
          </w:p>
        </w:tc>
        <w:tc>
          <w:tcPr>
            <w:tcW w:w="1080" w:type="dxa"/>
            <w:shd w:val="clear" w:color="auto" w:fill="BFBFBF" w:themeFill="background1" w:themeFillShade="BF"/>
          </w:tcPr>
          <w:p w:rsidR="006F0FFC" w:rsidRDefault="006F0FFC" w:rsidP="006F0FFC">
            <w:pPr>
              <w:jc w:val="right"/>
            </w:pPr>
            <w:r>
              <w:t>0.84</w:t>
            </w:r>
          </w:p>
        </w:tc>
        <w:tc>
          <w:tcPr>
            <w:tcW w:w="1080" w:type="dxa"/>
            <w:shd w:val="clear" w:color="auto" w:fill="auto"/>
          </w:tcPr>
          <w:p w:rsidR="006F0FFC" w:rsidRDefault="006F0FFC" w:rsidP="006F0FFC">
            <w:pPr>
              <w:jc w:val="right"/>
            </w:pPr>
            <w:r>
              <w:t>-0.03</w:t>
            </w:r>
          </w:p>
        </w:tc>
        <w:tc>
          <w:tcPr>
            <w:tcW w:w="1080" w:type="dxa"/>
            <w:shd w:val="clear" w:color="auto" w:fill="auto"/>
          </w:tcPr>
          <w:p w:rsidR="006F0FFC" w:rsidRDefault="006F0FFC" w:rsidP="006F0FFC">
            <w:pPr>
              <w:jc w:val="right"/>
            </w:pPr>
            <w:r>
              <w:t>-0.06</w:t>
            </w:r>
          </w:p>
        </w:tc>
        <w:tc>
          <w:tcPr>
            <w:tcW w:w="1080" w:type="dxa"/>
            <w:shd w:val="clear" w:color="auto" w:fill="auto"/>
          </w:tcPr>
          <w:p w:rsidR="006F0FFC" w:rsidRDefault="006F0FFC" w:rsidP="006F0FFC">
            <w:pPr>
              <w:jc w:val="right"/>
            </w:pPr>
            <w:r>
              <w:t>-0.12</w:t>
            </w:r>
          </w:p>
        </w:tc>
        <w:tc>
          <w:tcPr>
            <w:tcW w:w="1080" w:type="dxa"/>
          </w:tcPr>
          <w:p w:rsidR="006F0FFC" w:rsidRDefault="006F0FFC" w:rsidP="006F0FFC">
            <w:pPr>
              <w:jc w:val="right"/>
            </w:pPr>
            <w:r>
              <w:t>0.12</w:t>
            </w:r>
          </w:p>
        </w:tc>
      </w:tr>
      <w:tr w:rsidR="006F0FFC" w:rsidTr="006F0FFC">
        <w:tc>
          <w:tcPr>
            <w:tcW w:w="2898" w:type="dxa"/>
          </w:tcPr>
          <w:p w:rsidR="006F0FFC" w:rsidRDefault="006F0FFC" w:rsidP="006F0FFC">
            <w:r>
              <w:t>Purpose of TX (Q38)</w:t>
            </w:r>
          </w:p>
        </w:tc>
        <w:tc>
          <w:tcPr>
            <w:tcW w:w="1080" w:type="dxa"/>
            <w:shd w:val="clear" w:color="auto" w:fill="auto"/>
          </w:tcPr>
          <w:p w:rsidR="006F0FFC" w:rsidRDefault="006F0FFC" w:rsidP="006F0FFC">
            <w:pPr>
              <w:jc w:val="right"/>
            </w:pPr>
            <w:r>
              <w:t>-0.02</w:t>
            </w:r>
          </w:p>
        </w:tc>
        <w:tc>
          <w:tcPr>
            <w:tcW w:w="1080" w:type="dxa"/>
            <w:shd w:val="clear" w:color="auto" w:fill="BFBFBF" w:themeFill="background1" w:themeFillShade="BF"/>
          </w:tcPr>
          <w:p w:rsidR="006F0FFC" w:rsidRDefault="006F0FFC" w:rsidP="006F0FFC">
            <w:pPr>
              <w:jc w:val="right"/>
            </w:pPr>
            <w:r>
              <w:t>0.72</w:t>
            </w:r>
          </w:p>
        </w:tc>
        <w:tc>
          <w:tcPr>
            <w:tcW w:w="1080" w:type="dxa"/>
            <w:shd w:val="clear" w:color="auto" w:fill="auto"/>
          </w:tcPr>
          <w:p w:rsidR="006F0FFC" w:rsidRDefault="006F0FFC" w:rsidP="006F0FFC">
            <w:pPr>
              <w:jc w:val="right"/>
            </w:pPr>
            <w:r>
              <w:t>0.05</w:t>
            </w:r>
          </w:p>
        </w:tc>
        <w:tc>
          <w:tcPr>
            <w:tcW w:w="1080" w:type="dxa"/>
            <w:shd w:val="clear" w:color="auto" w:fill="auto"/>
          </w:tcPr>
          <w:p w:rsidR="006F0FFC" w:rsidRDefault="006F0FFC" w:rsidP="006F0FFC">
            <w:pPr>
              <w:jc w:val="right"/>
            </w:pPr>
            <w:r>
              <w:t>0.01</w:t>
            </w:r>
          </w:p>
        </w:tc>
        <w:tc>
          <w:tcPr>
            <w:tcW w:w="1080" w:type="dxa"/>
            <w:shd w:val="clear" w:color="auto" w:fill="auto"/>
          </w:tcPr>
          <w:p w:rsidR="006F0FFC" w:rsidRDefault="006F0FFC" w:rsidP="006F0FFC">
            <w:pPr>
              <w:jc w:val="right"/>
            </w:pPr>
            <w:r>
              <w:t>0.18</w:t>
            </w:r>
          </w:p>
        </w:tc>
        <w:tc>
          <w:tcPr>
            <w:tcW w:w="1080" w:type="dxa"/>
          </w:tcPr>
          <w:p w:rsidR="006F0FFC" w:rsidRDefault="006F0FFC" w:rsidP="006F0FFC">
            <w:pPr>
              <w:jc w:val="right"/>
            </w:pPr>
            <w:r>
              <w:t>-0.07</w:t>
            </w:r>
          </w:p>
        </w:tc>
      </w:tr>
      <w:tr w:rsidR="006F0FFC" w:rsidTr="006F0FFC">
        <w:tc>
          <w:tcPr>
            <w:tcW w:w="2898" w:type="dxa"/>
          </w:tcPr>
          <w:p w:rsidR="006F0FFC" w:rsidRDefault="006F0FFC" w:rsidP="006F0FFC">
            <w:r>
              <w:t>RX Side Effects (Q41)</w:t>
            </w:r>
          </w:p>
        </w:tc>
        <w:tc>
          <w:tcPr>
            <w:tcW w:w="1080" w:type="dxa"/>
            <w:shd w:val="clear" w:color="auto" w:fill="auto"/>
          </w:tcPr>
          <w:p w:rsidR="006F0FFC" w:rsidRDefault="006F0FFC" w:rsidP="006F0FFC">
            <w:pPr>
              <w:jc w:val="right"/>
            </w:pPr>
            <w:r>
              <w:t>-.0.14</w:t>
            </w:r>
          </w:p>
        </w:tc>
        <w:tc>
          <w:tcPr>
            <w:tcW w:w="1080" w:type="dxa"/>
            <w:shd w:val="clear" w:color="auto" w:fill="BFBFBF" w:themeFill="background1" w:themeFillShade="BF"/>
          </w:tcPr>
          <w:p w:rsidR="006F0FFC" w:rsidRDefault="006F0FFC" w:rsidP="006F0FFC">
            <w:pPr>
              <w:jc w:val="right"/>
            </w:pPr>
            <w:r>
              <w:t>0.63</w:t>
            </w:r>
          </w:p>
        </w:tc>
        <w:tc>
          <w:tcPr>
            <w:tcW w:w="1080" w:type="dxa"/>
            <w:shd w:val="clear" w:color="auto" w:fill="auto"/>
          </w:tcPr>
          <w:p w:rsidR="006F0FFC" w:rsidRDefault="006F0FFC" w:rsidP="006F0FFC">
            <w:pPr>
              <w:jc w:val="right"/>
            </w:pPr>
            <w:r>
              <w:t>0.00</w:t>
            </w:r>
          </w:p>
        </w:tc>
        <w:tc>
          <w:tcPr>
            <w:tcW w:w="1080" w:type="dxa"/>
            <w:shd w:val="clear" w:color="auto" w:fill="auto"/>
          </w:tcPr>
          <w:p w:rsidR="006F0FFC" w:rsidRDefault="006F0FFC" w:rsidP="006F0FFC">
            <w:pPr>
              <w:jc w:val="right"/>
            </w:pPr>
            <w:r>
              <w:t>0.13</w:t>
            </w:r>
          </w:p>
        </w:tc>
        <w:tc>
          <w:tcPr>
            <w:tcW w:w="1080" w:type="dxa"/>
            <w:shd w:val="clear" w:color="auto" w:fill="auto"/>
          </w:tcPr>
          <w:p w:rsidR="006F0FFC" w:rsidRDefault="006F0FFC" w:rsidP="006F0FFC">
            <w:pPr>
              <w:jc w:val="right"/>
            </w:pPr>
            <w:r>
              <w:t>0.20</w:t>
            </w:r>
          </w:p>
        </w:tc>
        <w:tc>
          <w:tcPr>
            <w:tcW w:w="1080" w:type="dxa"/>
          </w:tcPr>
          <w:p w:rsidR="006F0FFC" w:rsidRDefault="006F0FFC" w:rsidP="006F0FFC">
            <w:pPr>
              <w:jc w:val="right"/>
            </w:pPr>
            <w:r>
              <w:t>0.13</w:t>
            </w:r>
          </w:p>
        </w:tc>
      </w:tr>
      <w:tr w:rsidR="006F0FFC" w:rsidTr="006F0FFC">
        <w:tc>
          <w:tcPr>
            <w:tcW w:w="2898" w:type="dxa"/>
          </w:tcPr>
          <w:p w:rsidR="006F0FFC" w:rsidRDefault="006F0FFC" w:rsidP="006F0FFC">
            <w:r>
              <w:t>Name of TX (Q37)</w:t>
            </w:r>
          </w:p>
        </w:tc>
        <w:tc>
          <w:tcPr>
            <w:tcW w:w="1080" w:type="dxa"/>
            <w:shd w:val="clear" w:color="auto" w:fill="auto"/>
          </w:tcPr>
          <w:p w:rsidR="006F0FFC" w:rsidRDefault="006F0FFC" w:rsidP="006F0FFC">
            <w:pPr>
              <w:jc w:val="right"/>
            </w:pPr>
            <w:r>
              <w:t>0.21</w:t>
            </w:r>
          </w:p>
        </w:tc>
        <w:tc>
          <w:tcPr>
            <w:tcW w:w="1080" w:type="dxa"/>
            <w:shd w:val="clear" w:color="auto" w:fill="BFBFBF" w:themeFill="background1" w:themeFillShade="BF"/>
          </w:tcPr>
          <w:p w:rsidR="006F0FFC" w:rsidRDefault="006F0FFC" w:rsidP="006F0FFC">
            <w:pPr>
              <w:jc w:val="right"/>
            </w:pPr>
            <w:r>
              <w:t>0.63</w:t>
            </w:r>
          </w:p>
        </w:tc>
        <w:tc>
          <w:tcPr>
            <w:tcW w:w="1080" w:type="dxa"/>
            <w:shd w:val="clear" w:color="auto" w:fill="auto"/>
          </w:tcPr>
          <w:p w:rsidR="006F0FFC" w:rsidRDefault="006F0FFC" w:rsidP="006F0FFC">
            <w:pPr>
              <w:jc w:val="right"/>
            </w:pPr>
            <w:r>
              <w:t>0.01</w:t>
            </w:r>
          </w:p>
        </w:tc>
        <w:tc>
          <w:tcPr>
            <w:tcW w:w="1080" w:type="dxa"/>
            <w:shd w:val="clear" w:color="auto" w:fill="auto"/>
          </w:tcPr>
          <w:p w:rsidR="006F0FFC" w:rsidRDefault="006F0FFC" w:rsidP="006F0FFC">
            <w:pPr>
              <w:jc w:val="right"/>
            </w:pPr>
            <w:r>
              <w:t>0.07</w:t>
            </w:r>
          </w:p>
        </w:tc>
        <w:tc>
          <w:tcPr>
            <w:tcW w:w="1080" w:type="dxa"/>
            <w:shd w:val="clear" w:color="auto" w:fill="auto"/>
          </w:tcPr>
          <w:p w:rsidR="006F0FFC" w:rsidRDefault="006F0FFC" w:rsidP="006F0FFC">
            <w:pPr>
              <w:jc w:val="right"/>
            </w:pPr>
            <w:r>
              <w:t>0.07</w:t>
            </w:r>
          </w:p>
        </w:tc>
        <w:tc>
          <w:tcPr>
            <w:tcW w:w="1080" w:type="dxa"/>
          </w:tcPr>
          <w:p w:rsidR="006F0FFC" w:rsidRDefault="006F0FFC" w:rsidP="006F0FFC">
            <w:pPr>
              <w:jc w:val="right"/>
            </w:pPr>
            <w:r>
              <w:t>-0.20</w:t>
            </w:r>
          </w:p>
        </w:tc>
      </w:tr>
      <w:tr w:rsidR="006F0FFC" w:rsidTr="006F0FFC">
        <w:tc>
          <w:tcPr>
            <w:tcW w:w="2898" w:type="dxa"/>
          </w:tcPr>
          <w:p w:rsidR="006F0FFC" w:rsidRDefault="006F0FFC" w:rsidP="006F0FFC">
            <w:r>
              <w:t>MD Listen (Q5)</w:t>
            </w:r>
          </w:p>
        </w:tc>
        <w:tc>
          <w:tcPr>
            <w:tcW w:w="1080" w:type="dxa"/>
            <w:shd w:val="clear" w:color="auto" w:fill="auto"/>
          </w:tcPr>
          <w:p w:rsidR="006F0FFC" w:rsidRDefault="006F0FFC" w:rsidP="006F0FFC">
            <w:pPr>
              <w:jc w:val="right"/>
            </w:pPr>
            <w:r>
              <w:t>0.06</w:t>
            </w:r>
          </w:p>
        </w:tc>
        <w:tc>
          <w:tcPr>
            <w:tcW w:w="1080" w:type="dxa"/>
            <w:shd w:val="clear" w:color="auto" w:fill="auto"/>
          </w:tcPr>
          <w:p w:rsidR="006F0FFC" w:rsidRDefault="006F0FFC" w:rsidP="006F0FFC">
            <w:pPr>
              <w:jc w:val="right"/>
            </w:pPr>
            <w:r>
              <w:t>0.02</w:t>
            </w:r>
          </w:p>
        </w:tc>
        <w:tc>
          <w:tcPr>
            <w:tcW w:w="1080" w:type="dxa"/>
            <w:shd w:val="clear" w:color="auto" w:fill="BFBFBF" w:themeFill="background1" w:themeFillShade="BF"/>
          </w:tcPr>
          <w:p w:rsidR="006F0FFC" w:rsidRDefault="006F0FFC" w:rsidP="006F0FFC">
            <w:pPr>
              <w:jc w:val="right"/>
            </w:pPr>
            <w:r>
              <w:t>0.87</w:t>
            </w:r>
          </w:p>
        </w:tc>
        <w:tc>
          <w:tcPr>
            <w:tcW w:w="1080" w:type="dxa"/>
            <w:shd w:val="clear" w:color="auto" w:fill="auto"/>
          </w:tcPr>
          <w:p w:rsidR="006F0FFC" w:rsidRDefault="006F0FFC" w:rsidP="006F0FFC">
            <w:pPr>
              <w:jc w:val="right"/>
            </w:pPr>
            <w:r>
              <w:t>0.01</w:t>
            </w:r>
          </w:p>
        </w:tc>
        <w:tc>
          <w:tcPr>
            <w:tcW w:w="1080" w:type="dxa"/>
            <w:shd w:val="clear" w:color="auto" w:fill="auto"/>
          </w:tcPr>
          <w:p w:rsidR="006F0FFC" w:rsidRDefault="006F0FFC" w:rsidP="006F0FFC">
            <w:pPr>
              <w:jc w:val="right"/>
            </w:pPr>
            <w:r>
              <w:t>-0.01</w:t>
            </w:r>
          </w:p>
        </w:tc>
        <w:tc>
          <w:tcPr>
            <w:tcW w:w="1080" w:type="dxa"/>
          </w:tcPr>
          <w:p w:rsidR="006F0FFC" w:rsidRDefault="006F0FFC" w:rsidP="006F0FFC">
            <w:pPr>
              <w:jc w:val="right"/>
            </w:pPr>
            <w:r>
              <w:t>-0.01</w:t>
            </w:r>
          </w:p>
        </w:tc>
      </w:tr>
      <w:tr w:rsidR="006F0FFC" w:rsidTr="006F0FFC">
        <w:tc>
          <w:tcPr>
            <w:tcW w:w="2898" w:type="dxa"/>
          </w:tcPr>
          <w:p w:rsidR="006F0FFC" w:rsidRDefault="006F0FFC" w:rsidP="006F0FFC">
            <w:r>
              <w:t>MD Explain (Q13)</w:t>
            </w:r>
          </w:p>
        </w:tc>
        <w:tc>
          <w:tcPr>
            <w:tcW w:w="1080" w:type="dxa"/>
            <w:shd w:val="clear" w:color="auto" w:fill="auto"/>
          </w:tcPr>
          <w:p w:rsidR="006F0FFC" w:rsidRDefault="006F0FFC" w:rsidP="006F0FFC">
            <w:pPr>
              <w:jc w:val="right"/>
            </w:pPr>
            <w:r>
              <w:t>0.02</w:t>
            </w:r>
          </w:p>
        </w:tc>
        <w:tc>
          <w:tcPr>
            <w:tcW w:w="1080" w:type="dxa"/>
            <w:shd w:val="clear" w:color="auto" w:fill="auto"/>
          </w:tcPr>
          <w:p w:rsidR="006F0FFC" w:rsidRDefault="006F0FFC" w:rsidP="006F0FFC">
            <w:pPr>
              <w:jc w:val="right"/>
            </w:pPr>
            <w:r>
              <w:t>0.04</w:t>
            </w:r>
          </w:p>
        </w:tc>
        <w:tc>
          <w:tcPr>
            <w:tcW w:w="1080" w:type="dxa"/>
            <w:shd w:val="clear" w:color="auto" w:fill="BFBFBF" w:themeFill="background1" w:themeFillShade="BF"/>
          </w:tcPr>
          <w:p w:rsidR="006F0FFC" w:rsidRDefault="006F0FFC" w:rsidP="006F0FFC">
            <w:pPr>
              <w:jc w:val="right"/>
            </w:pPr>
            <w:r>
              <w:t>0.80</w:t>
            </w:r>
          </w:p>
        </w:tc>
        <w:tc>
          <w:tcPr>
            <w:tcW w:w="1080" w:type="dxa"/>
            <w:shd w:val="clear" w:color="auto" w:fill="auto"/>
          </w:tcPr>
          <w:p w:rsidR="006F0FFC" w:rsidRDefault="006F0FFC" w:rsidP="006F0FFC">
            <w:pPr>
              <w:jc w:val="right"/>
            </w:pPr>
            <w:r>
              <w:t>0.05</w:t>
            </w:r>
          </w:p>
        </w:tc>
        <w:tc>
          <w:tcPr>
            <w:tcW w:w="1080" w:type="dxa"/>
            <w:shd w:val="clear" w:color="auto" w:fill="auto"/>
          </w:tcPr>
          <w:p w:rsidR="006F0FFC" w:rsidRDefault="006F0FFC" w:rsidP="006F0FFC">
            <w:pPr>
              <w:jc w:val="right"/>
            </w:pPr>
            <w:r>
              <w:t>0.03</w:t>
            </w:r>
          </w:p>
        </w:tc>
        <w:tc>
          <w:tcPr>
            <w:tcW w:w="1080" w:type="dxa"/>
          </w:tcPr>
          <w:p w:rsidR="006F0FFC" w:rsidRDefault="006F0FFC" w:rsidP="006F0FFC">
            <w:pPr>
              <w:jc w:val="right"/>
            </w:pPr>
            <w:r>
              <w:t>0.00</w:t>
            </w:r>
          </w:p>
        </w:tc>
      </w:tr>
      <w:tr w:rsidR="006F0FFC" w:rsidTr="006F0FFC">
        <w:tc>
          <w:tcPr>
            <w:tcW w:w="2898" w:type="dxa"/>
          </w:tcPr>
          <w:p w:rsidR="006F0FFC" w:rsidRDefault="006F0FFC" w:rsidP="006F0FFC">
            <w:r>
              <w:t>MD Enough Time (Q14)</w:t>
            </w:r>
          </w:p>
        </w:tc>
        <w:tc>
          <w:tcPr>
            <w:tcW w:w="1080" w:type="dxa"/>
            <w:shd w:val="clear" w:color="auto" w:fill="auto"/>
          </w:tcPr>
          <w:p w:rsidR="006F0FFC" w:rsidRDefault="006F0FFC" w:rsidP="006F0FFC">
            <w:pPr>
              <w:jc w:val="right"/>
            </w:pPr>
            <w:r>
              <w:t>0.07</w:t>
            </w:r>
          </w:p>
        </w:tc>
        <w:tc>
          <w:tcPr>
            <w:tcW w:w="1080" w:type="dxa"/>
            <w:shd w:val="clear" w:color="auto" w:fill="auto"/>
          </w:tcPr>
          <w:p w:rsidR="006F0FFC" w:rsidRDefault="006F0FFC" w:rsidP="006F0FFC">
            <w:pPr>
              <w:jc w:val="right"/>
            </w:pPr>
            <w:r>
              <w:t>-0.02</w:t>
            </w:r>
          </w:p>
        </w:tc>
        <w:tc>
          <w:tcPr>
            <w:tcW w:w="1080" w:type="dxa"/>
            <w:shd w:val="clear" w:color="auto" w:fill="BFBFBF" w:themeFill="background1" w:themeFillShade="BF"/>
          </w:tcPr>
          <w:p w:rsidR="006F0FFC" w:rsidRDefault="006F0FFC" w:rsidP="006F0FFC">
            <w:pPr>
              <w:jc w:val="right"/>
            </w:pPr>
            <w:r>
              <w:t>0.78</w:t>
            </w:r>
          </w:p>
        </w:tc>
        <w:tc>
          <w:tcPr>
            <w:tcW w:w="1080" w:type="dxa"/>
            <w:shd w:val="clear" w:color="auto" w:fill="auto"/>
          </w:tcPr>
          <w:p w:rsidR="006F0FFC" w:rsidRDefault="006F0FFC" w:rsidP="006F0FFC">
            <w:pPr>
              <w:jc w:val="right"/>
            </w:pPr>
            <w:r>
              <w:t>-0.05</w:t>
            </w:r>
          </w:p>
        </w:tc>
        <w:tc>
          <w:tcPr>
            <w:tcW w:w="1080" w:type="dxa"/>
            <w:shd w:val="clear" w:color="auto" w:fill="auto"/>
          </w:tcPr>
          <w:p w:rsidR="006F0FFC" w:rsidRDefault="006F0FFC" w:rsidP="006F0FFC">
            <w:pPr>
              <w:jc w:val="right"/>
            </w:pPr>
            <w:r>
              <w:t>0.09</w:t>
            </w:r>
          </w:p>
        </w:tc>
        <w:tc>
          <w:tcPr>
            <w:tcW w:w="1080" w:type="dxa"/>
          </w:tcPr>
          <w:p w:rsidR="006F0FFC" w:rsidRDefault="006F0FFC" w:rsidP="006F0FFC">
            <w:pPr>
              <w:jc w:val="right"/>
            </w:pPr>
            <w:r>
              <w:t>0.03</w:t>
            </w:r>
          </w:p>
        </w:tc>
      </w:tr>
      <w:tr w:rsidR="006F0FFC" w:rsidTr="006F0FFC">
        <w:tc>
          <w:tcPr>
            <w:tcW w:w="2898" w:type="dxa"/>
          </w:tcPr>
          <w:p w:rsidR="006F0FFC" w:rsidRDefault="006F0FFC" w:rsidP="006F0FFC">
            <w:r>
              <w:t>MD Respect (Q11)</w:t>
            </w:r>
          </w:p>
        </w:tc>
        <w:tc>
          <w:tcPr>
            <w:tcW w:w="1080" w:type="dxa"/>
            <w:shd w:val="clear" w:color="auto" w:fill="auto"/>
          </w:tcPr>
          <w:p w:rsidR="006F0FFC" w:rsidRDefault="006F0FFC" w:rsidP="006F0FFC">
            <w:pPr>
              <w:jc w:val="right"/>
            </w:pPr>
            <w:r>
              <w:t>0.20</w:t>
            </w:r>
          </w:p>
        </w:tc>
        <w:tc>
          <w:tcPr>
            <w:tcW w:w="1080" w:type="dxa"/>
            <w:shd w:val="clear" w:color="auto" w:fill="auto"/>
          </w:tcPr>
          <w:p w:rsidR="006F0FFC" w:rsidRDefault="006F0FFC" w:rsidP="006F0FFC">
            <w:pPr>
              <w:jc w:val="right"/>
            </w:pPr>
            <w:r>
              <w:t>-0.02</w:t>
            </w:r>
          </w:p>
        </w:tc>
        <w:tc>
          <w:tcPr>
            <w:tcW w:w="1080" w:type="dxa"/>
            <w:shd w:val="clear" w:color="auto" w:fill="BFBFBF" w:themeFill="background1" w:themeFillShade="BF"/>
          </w:tcPr>
          <w:p w:rsidR="006F0FFC" w:rsidRDefault="006F0FFC" w:rsidP="006F0FFC">
            <w:pPr>
              <w:jc w:val="right"/>
            </w:pPr>
            <w:r>
              <w:t>0.77</w:t>
            </w:r>
          </w:p>
        </w:tc>
        <w:tc>
          <w:tcPr>
            <w:tcW w:w="1080" w:type="dxa"/>
            <w:shd w:val="clear" w:color="auto" w:fill="auto"/>
          </w:tcPr>
          <w:p w:rsidR="006F0FFC" w:rsidRDefault="006F0FFC" w:rsidP="006F0FFC">
            <w:pPr>
              <w:jc w:val="right"/>
            </w:pPr>
            <w:r>
              <w:t>-0.05</w:t>
            </w:r>
          </w:p>
        </w:tc>
        <w:tc>
          <w:tcPr>
            <w:tcW w:w="1080" w:type="dxa"/>
            <w:shd w:val="clear" w:color="auto" w:fill="auto"/>
          </w:tcPr>
          <w:p w:rsidR="006F0FFC" w:rsidRDefault="006F0FFC" w:rsidP="006F0FFC">
            <w:pPr>
              <w:jc w:val="right"/>
            </w:pPr>
            <w:r>
              <w:t>-0.16</w:t>
            </w:r>
          </w:p>
        </w:tc>
        <w:tc>
          <w:tcPr>
            <w:tcW w:w="1080" w:type="dxa"/>
          </w:tcPr>
          <w:p w:rsidR="006F0FFC" w:rsidRDefault="006F0FFC" w:rsidP="006F0FFC">
            <w:pPr>
              <w:jc w:val="right"/>
            </w:pPr>
            <w:r>
              <w:t>0.11</w:t>
            </w:r>
          </w:p>
        </w:tc>
      </w:tr>
      <w:tr w:rsidR="006F0FFC" w:rsidTr="006F0FFC">
        <w:tc>
          <w:tcPr>
            <w:tcW w:w="2898" w:type="dxa"/>
          </w:tcPr>
          <w:p w:rsidR="006F0FFC" w:rsidRDefault="006F0FFC" w:rsidP="006F0FFC">
            <w:r>
              <w:t>Writing Symptoms (Q49)</w:t>
            </w:r>
          </w:p>
        </w:tc>
        <w:tc>
          <w:tcPr>
            <w:tcW w:w="1080" w:type="dxa"/>
            <w:shd w:val="clear" w:color="auto" w:fill="auto"/>
          </w:tcPr>
          <w:p w:rsidR="006F0FFC" w:rsidRDefault="006F0FFC" w:rsidP="006F0FFC">
            <w:pPr>
              <w:jc w:val="right"/>
            </w:pPr>
            <w:r>
              <w:t>-0.06</w:t>
            </w:r>
          </w:p>
        </w:tc>
        <w:tc>
          <w:tcPr>
            <w:tcW w:w="1080" w:type="dxa"/>
            <w:shd w:val="clear" w:color="auto" w:fill="auto"/>
          </w:tcPr>
          <w:p w:rsidR="006F0FFC" w:rsidRDefault="006F0FFC" w:rsidP="006F0FFC">
            <w:pPr>
              <w:jc w:val="right"/>
            </w:pPr>
            <w:r>
              <w:t>0.03</w:t>
            </w:r>
          </w:p>
        </w:tc>
        <w:tc>
          <w:tcPr>
            <w:tcW w:w="1080" w:type="dxa"/>
            <w:shd w:val="clear" w:color="auto" w:fill="auto"/>
          </w:tcPr>
          <w:p w:rsidR="006F0FFC" w:rsidRDefault="006F0FFC" w:rsidP="006F0FFC">
            <w:pPr>
              <w:jc w:val="right"/>
            </w:pPr>
            <w:r>
              <w:t>0.00</w:t>
            </w:r>
          </w:p>
        </w:tc>
        <w:tc>
          <w:tcPr>
            <w:tcW w:w="1080" w:type="dxa"/>
            <w:shd w:val="clear" w:color="auto" w:fill="BFBFBF" w:themeFill="background1" w:themeFillShade="BF"/>
          </w:tcPr>
          <w:p w:rsidR="006F0FFC" w:rsidRDefault="006F0FFC" w:rsidP="006F0FFC">
            <w:pPr>
              <w:jc w:val="right"/>
            </w:pPr>
            <w:r>
              <w:t>0.73</w:t>
            </w:r>
          </w:p>
        </w:tc>
        <w:tc>
          <w:tcPr>
            <w:tcW w:w="1080" w:type="dxa"/>
            <w:shd w:val="clear" w:color="auto" w:fill="auto"/>
          </w:tcPr>
          <w:p w:rsidR="006F0FFC" w:rsidRDefault="006F0FFC" w:rsidP="006F0FFC">
            <w:pPr>
              <w:jc w:val="right"/>
            </w:pPr>
            <w:r>
              <w:t>0.06</w:t>
            </w:r>
          </w:p>
        </w:tc>
        <w:tc>
          <w:tcPr>
            <w:tcW w:w="1080" w:type="dxa"/>
          </w:tcPr>
          <w:p w:rsidR="006F0FFC" w:rsidRDefault="006F0FFC" w:rsidP="006F0FFC">
            <w:pPr>
              <w:jc w:val="right"/>
            </w:pPr>
            <w:r>
              <w:t>-0.02</w:t>
            </w:r>
          </w:p>
        </w:tc>
      </w:tr>
      <w:tr w:rsidR="006F0FFC" w:rsidTr="006F0FFC">
        <w:tc>
          <w:tcPr>
            <w:tcW w:w="2898" w:type="dxa"/>
          </w:tcPr>
          <w:p w:rsidR="006F0FFC" w:rsidRDefault="006F0FFC" w:rsidP="006F0FFC">
            <w:r>
              <w:t>Writing Activities (Q47)</w:t>
            </w:r>
          </w:p>
        </w:tc>
        <w:tc>
          <w:tcPr>
            <w:tcW w:w="1080" w:type="dxa"/>
            <w:shd w:val="clear" w:color="auto" w:fill="auto"/>
          </w:tcPr>
          <w:p w:rsidR="006F0FFC" w:rsidRDefault="006F0FFC" w:rsidP="006F0FFC">
            <w:pPr>
              <w:jc w:val="right"/>
            </w:pPr>
            <w:r>
              <w:t>-0.05</w:t>
            </w:r>
          </w:p>
        </w:tc>
        <w:tc>
          <w:tcPr>
            <w:tcW w:w="1080" w:type="dxa"/>
            <w:shd w:val="clear" w:color="auto" w:fill="auto"/>
          </w:tcPr>
          <w:p w:rsidR="006F0FFC" w:rsidRDefault="006F0FFC" w:rsidP="006F0FFC">
            <w:pPr>
              <w:jc w:val="right"/>
            </w:pPr>
            <w:r>
              <w:t>-0.02</w:t>
            </w:r>
          </w:p>
        </w:tc>
        <w:tc>
          <w:tcPr>
            <w:tcW w:w="1080" w:type="dxa"/>
            <w:shd w:val="clear" w:color="auto" w:fill="auto"/>
          </w:tcPr>
          <w:p w:rsidR="006F0FFC" w:rsidRDefault="006F0FFC" w:rsidP="006F0FFC">
            <w:pPr>
              <w:jc w:val="right"/>
            </w:pPr>
            <w:r>
              <w:t>0.01</w:t>
            </w:r>
          </w:p>
        </w:tc>
        <w:tc>
          <w:tcPr>
            <w:tcW w:w="1080" w:type="dxa"/>
            <w:shd w:val="clear" w:color="auto" w:fill="BFBFBF" w:themeFill="background1" w:themeFillShade="BF"/>
          </w:tcPr>
          <w:p w:rsidR="006F0FFC" w:rsidRDefault="006F0FFC" w:rsidP="006F0FFC">
            <w:pPr>
              <w:jc w:val="right"/>
            </w:pPr>
            <w:r>
              <w:t>0.72</w:t>
            </w:r>
          </w:p>
        </w:tc>
        <w:tc>
          <w:tcPr>
            <w:tcW w:w="1080" w:type="dxa"/>
            <w:shd w:val="clear" w:color="auto" w:fill="auto"/>
          </w:tcPr>
          <w:p w:rsidR="006F0FFC" w:rsidRDefault="006F0FFC" w:rsidP="006F0FFC">
            <w:pPr>
              <w:jc w:val="right"/>
            </w:pPr>
            <w:r>
              <w:t>-0.01</w:t>
            </w:r>
          </w:p>
        </w:tc>
        <w:tc>
          <w:tcPr>
            <w:tcW w:w="1080" w:type="dxa"/>
          </w:tcPr>
          <w:p w:rsidR="006F0FFC" w:rsidRDefault="006F0FFC" w:rsidP="006F0FFC">
            <w:pPr>
              <w:jc w:val="right"/>
            </w:pPr>
            <w:r>
              <w:t>0.02</w:t>
            </w:r>
          </w:p>
        </w:tc>
      </w:tr>
      <w:tr w:rsidR="006F0FFC" w:rsidTr="006F0FFC">
        <w:tc>
          <w:tcPr>
            <w:tcW w:w="2898" w:type="dxa"/>
          </w:tcPr>
          <w:p w:rsidR="006F0FFC" w:rsidRDefault="006F0FFC" w:rsidP="006F0FFC">
            <w:r>
              <w:t>Help After Discharge (Q48)</w:t>
            </w:r>
          </w:p>
        </w:tc>
        <w:tc>
          <w:tcPr>
            <w:tcW w:w="1080" w:type="dxa"/>
            <w:shd w:val="clear" w:color="auto" w:fill="auto"/>
          </w:tcPr>
          <w:p w:rsidR="006F0FFC" w:rsidRDefault="006F0FFC" w:rsidP="006F0FFC">
            <w:pPr>
              <w:jc w:val="right"/>
            </w:pPr>
            <w:r>
              <w:t>0.07</w:t>
            </w:r>
          </w:p>
        </w:tc>
        <w:tc>
          <w:tcPr>
            <w:tcW w:w="1080" w:type="dxa"/>
            <w:shd w:val="clear" w:color="auto" w:fill="auto"/>
          </w:tcPr>
          <w:p w:rsidR="006F0FFC" w:rsidRDefault="006F0FFC" w:rsidP="006F0FFC">
            <w:pPr>
              <w:jc w:val="right"/>
            </w:pPr>
            <w:r>
              <w:t>-0.04</w:t>
            </w:r>
          </w:p>
        </w:tc>
        <w:tc>
          <w:tcPr>
            <w:tcW w:w="1080" w:type="dxa"/>
            <w:shd w:val="clear" w:color="auto" w:fill="auto"/>
          </w:tcPr>
          <w:p w:rsidR="006F0FFC" w:rsidRDefault="006F0FFC" w:rsidP="006F0FFC">
            <w:pPr>
              <w:jc w:val="right"/>
            </w:pPr>
            <w:r>
              <w:t>-0.03</w:t>
            </w:r>
          </w:p>
        </w:tc>
        <w:tc>
          <w:tcPr>
            <w:tcW w:w="1080" w:type="dxa"/>
            <w:shd w:val="clear" w:color="auto" w:fill="BFBFBF" w:themeFill="background1" w:themeFillShade="BF"/>
          </w:tcPr>
          <w:p w:rsidR="006F0FFC" w:rsidRDefault="006F0FFC" w:rsidP="006F0FFC">
            <w:pPr>
              <w:jc w:val="right"/>
            </w:pPr>
            <w:r>
              <w:t>0.50</w:t>
            </w:r>
          </w:p>
        </w:tc>
        <w:tc>
          <w:tcPr>
            <w:tcW w:w="1080" w:type="dxa"/>
            <w:shd w:val="clear" w:color="auto" w:fill="auto"/>
          </w:tcPr>
          <w:p w:rsidR="006F0FFC" w:rsidRDefault="006F0FFC" w:rsidP="006F0FFC">
            <w:pPr>
              <w:jc w:val="right"/>
            </w:pPr>
            <w:r>
              <w:t>0.16</w:t>
            </w:r>
          </w:p>
        </w:tc>
        <w:tc>
          <w:tcPr>
            <w:tcW w:w="1080" w:type="dxa"/>
          </w:tcPr>
          <w:p w:rsidR="006F0FFC" w:rsidRDefault="006F0FFC" w:rsidP="006F0FFC">
            <w:pPr>
              <w:jc w:val="right"/>
            </w:pPr>
            <w:r>
              <w:t>0.03</w:t>
            </w:r>
          </w:p>
        </w:tc>
      </w:tr>
      <w:tr w:rsidR="006F0FFC" w:rsidTr="006F0FFC">
        <w:tc>
          <w:tcPr>
            <w:tcW w:w="2898" w:type="dxa"/>
          </w:tcPr>
          <w:p w:rsidR="006F0FFC" w:rsidRDefault="006F0FFC" w:rsidP="006F0FFC">
            <w:r>
              <w:t>Writing How to Take RX (Q51)</w:t>
            </w:r>
          </w:p>
        </w:tc>
        <w:tc>
          <w:tcPr>
            <w:tcW w:w="1080" w:type="dxa"/>
            <w:shd w:val="clear" w:color="auto" w:fill="auto"/>
          </w:tcPr>
          <w:p w:rsidR="006F0FFC" w:rsidRDefault="006F0FFC" w:rsidP="006F0FFC">
            <w:pPr>
              <w:jc w:val="right"/>
            </w:pPr>
            <w:r>
              <w:t>0.21</w:t>
            </w:r>
          </w:p>
        </w:tc>
        <w:tc>
          <w:tcPr>
            <w:tcW w:w="1080" w:type="dxa"/>
            <w:shd w:val="clear" w:color="auto" w:fill="auto"/>
          </w:tcPr>
          <w:p w:rsidR="006F0FFC" w:rsidRDefault="006F0FFC" w:rsidP="006F0FFC">
            <w:pPr>
              <w:jc w:val="right"/>
            </w:pPr>
            <w:r>
              <w:t>0.14</w:t>
            </w:r>
          </w:p>
        </w:tc>
        <w:tc>
          <w:tcPr>
            <w:tcW w:w="1080" w:type="dxa"/>
            <w:shd w:val="clear" w:color="auto" w:fill="auto"/>
          </w:tcPr>
          <w:p w:rsidR="006F0FFC" w:rsidRDefault="006F0FFC" w:rsidP="006F0FFC">
            <w:pPr>
              <w:jc w:val="right"/>
            </w:pPr>
            <w:r>
              <w:t>-0.02</w:t>
            </w:r>
          </w:p>
        </w:tc>
        <w:tc>
          <w:tcPr>
            <w:tcW w:w="1080" w:type="dxa"/>
            <w:shd w:val="clear" w:color="auto" w:fill="BFBFBF" w:themeFill="background1" w:themeFillShade="BF"/>
          </w:tcPr>
          <w:p w:rsidR="006F0FFC" w:rsidRDefault="006F0FFC" w:rsidP="006F0FFC">
            <w:pPr>
              <w:jc w:val="right"/>
            </w:pPr>
            <w:r>
              <w:t>0.44</w:t>
            </w:r>
          </w:p>
        </w:tc>
        <w:tc>
          <w:tcPr>
            <w:tcW w:w="1080" w:type="dxa"/>
            <w:shd w:val="clear" w:color="auto" w:fill="auto"/>
          </w:tcPr>
          <w:p w:rsidR="006F0FFC" w:rsidRDefault="006F0FFC" w:rsidP="006F0FFC">
            <w:pPr>
              <w:jc w:val="right"/>
            </w:pPr>
            <w:r>
              <w:t>-0.23</w:t>
            </w:r>
          </w:p>
        </w:tc>
        <w:tc>
          <w:tcPr>
            <w:tcW w:w="1080" w:type="dxa"/>
          </w:tcPr>
          <w:p w:rsidR="006F0FFC" w:rsidRDefault="006F0FFC" w:rsidP="006F0FFC">
            <w:pPr>
              <w:jc w:val="right"/>
            </w:pPr>
            <w:r>
              <w:t>0.01</w:t>
            </w:r>
          </w:p>
        </w:tc>
      </w:tr>
      <w:tr w:rsidR="006F0FFC" w:rsidTr="006F0FFC">
        <w:tc>
          <w:tcPr>
            <w:tcW w:w="2898" w:type="dxa"/>
          </w:tcPr>
          <w:p w:rsidR="006F0FFC" w:rsidRDefault="006F0FFC" w:rsidP="006F0FFC">
            <w:r>
              <w:t>How Often Bathing (Q20)</w:t>
            </w:r>
          </w:p>
        </w:tc>
        <w:tc>
          <w:tcPr>
            <w:tcW w:w="1080" w:type="dxa"/>
            <w:shd w:val="clear" w:color="auto" w:fill="auto"/>
          </w:tcPr>
          <w:p w:rsidR="006F0FFC" w:rsidRDefault="006F0FFC" w:rsidP="006F0FFC">
            <w:pPr>
              <w:jc w:val="right"/>
            </w:pPr>
            <w:r>
              <w:t>0.06</w:t>
            </w:r>
          </w:p>
        </w:tc>
        <w:tc>
          <w:tcPr>
            <w:tcW w:w="1080" w:type="dxa"/>
            <w:shd w:val="clear" w:color="auto" w:fill="auto"/>
          </w:tcPr>
          <w:p w:rsidR="006F0FFC" w:rsidRDefault="006F0FFC" w:rsidP="006F0FFC">
            <w:pPr>
              <w:jc w:val="right"/>
            </w:pPr>
            <w:r>
              <w:t>0.05</w:t>
            </w:r>
          </w:p>
        </w:tc>
        <w:tc>
          <w:tcPr>
            <w:tcW w:w="1080" w:type="dxa"/>
            <w:shd w:val="clear" w:color="auto" w:fill="auto"/>
          </w:tcPr>
          <w:p w:rsidR="006F0FFC" w:rsidRDefault="006F0FFC" w:rsidP="006F0FFC">
            <w:pPr>
              <w:jc w:val="right"/>
            </w:pPr>
            <w:r>
              <w:t>-0.03</w:t>
            </w:r>
          </w:p>
        </w:tc>
        <w:tc>
          <w:tcPr>
            <w:tcW w:w="1080" w:type="dxa"/>
            <w:shd w:val="clear" w:color="auto" w:fill="auto"/>
          </w:tcPr>
          <w:p w:rsidR="006F0FFC" w:rsidRDefault="006F0FFC" w:rsidP="006F0FFC">
            <w:pPr>
              <w:jc w:val="right"/>
            </w:pPr>
            <w:r>
              <w:t>0.00</w:t>
            </w:r>
          </w:p>
        </w:tc>
        <w:tc>
          <w:tcPr>
            <w:tcW w:w="1080" w:type="dxa"/>
            <w:shd w:val="clear" w:color="auto" w:fill="BFBFBF" w:themeFill="background1" w:themeFillShade="BF"/>
          </w:tcPr>
          <w:p w:rsidR="006F0FFC" w:rsidRDefault="006F0FFC" w:rsidP="006F0FFC">
            <w:pPr>
              <w:jc w:val="right"/>
            </w:pPr>
            <w:r>
              <w:t>0.59</w:t>
            </w:r>
          </w:p>
        </w:tc>
        <w:tc>
          <w:tcPr>
            <w:tcW w:w="1080" w:type="dxa"/>
          </w:tcPr>
          <w:p w:rsidR="006F0FFC" w:rsidRDefault="006F0FFC" w:rsidP="006F0FFC">
            <w:pPr>
              <w:jc w:val="right"/>
            </w:pPr>
            <w:r>
              <w:t>0.12</w:t>
            </w:r>
          </w:p>
        </w:tc>
      </w:tr>
      <w:tr w:rsidR="006F0FFC" w:rsidTr="006F0FFC">
        <w:tc>
          <w:tcPr>
            <w:tcW w:w="2898" w:type="dxa"/>
          </w:tcPr>
          <w:p w:rsidR="006F0FFC" w:rsidRDefault="006F0FFC" w:rsidP="006F0FFC">
            <w:r>
              <w:t>How Often Bathroom (Q22)</w:t>
            </w:r>
          </w:p>
        </w:tc>
        <w:tc>
          <w:tcPr>
            <w:tcW w:w="1080" w:type="dxa"/>
            <w:shd w:val="clear" w:color="auto" w:fill="auto"/>
          </w:tcPr>
          <w:p w:rsidR="006F0FFC" w:rsidRDefault="006F0FFC" w:rsidP="006F0FFC">
            <w:pPr>
              <w:jc w:val="right"/>
            </w:pPr>
            <w:r>
              <w:t>0.17</w:t>
            </w:r>
          </w:p>
        </w:tc>
        <w:tc>
          <w:tcPr>
            <w:tcW w:w="1080" w:type="dxa"/>
            <w:shd w:val="clear" w:color="auto" w:fill="auto"/>
          </w:tcPr>
          <w:p w:rsidR="006F0FFC" w:rsidRDefault="006F0FFC" w:rsidP="006F0FFC">
            <w:pPr>
              <w:jc w:val="right"/>
            </w:pPr>
            <w:r>
              <w:t>0.05</w:t>
            </w:r>
          </w:p>
        </w:tc>
        <w:tc>
          <w:tcPr>
            <w:tcW w:w="1080" w:type="dxa"/>
            <w:shd w:val="clear" w:color="auto" w:fill="auto"/>
          </w:tcPr>
          <w:p w:rsidR="006F0FFC" w:rsidRDefault="006F0FFC" w:rsidP="006F0FFC">
            <w:pPr>
              <w:jc w:val="right"/>
            </w:pPr>
            <w:r>
              <w:t>-0.06</w:t>
            </w:r>
          </w:p>
        </w:tc>
        <w:tc>
          <w:tcPr>
            <w:tcW w:w="1080" w:type="dxa"/>
            <w:shd w:val="clear" w:color="auto" w:fill="auto"/>
          </w:tcPr>
          <w:p w:rsidR="006F0FFC" w:rsidRDefault="006F0FFC" w:rsidP="006F0FFC">
            <w:pPr>
              <w:jc w:val="right"/>
            </w:pPr>
            <w:r>
              <w:t>-0.05</w:t>
            </w:r>
          </w:p>
        </w:tc>
        <w:tc>
          <w:tcPr>
            <w:tcW w:w="1080" w:type="dxa"/>
            <w:shd w:val="clear" w:color="auto" w:fill="BFBFBF" w:themeFill="background1" w:themeFillShade="BF"/>
          </w:tcPr>
          <w:p w:rsidR="006F0FFC" w:rsidRDefault="006F0FFC" w:rsidP="006F0FFC">
            <w:pPr>
              <w:jc w:val="right"/>
            </w:pPr>
            <w:r>
              <w:t>0.56</w:t>
            </w:r>
          </w:p>
        </w:tc>
        <w:tc>
          <w:tcPr>
            <w:tcW w:w="1080" w:type="dxa"/>
          </w:tcPr>
          <w:p w:rsidR="006F0FFC" w:rsidRDefault="006F0FFC" w:rsidP="006F0FFC">
            <w:pPr>
              <w:jc w:val="right"/>
            </w:pPr>
            <w:r>
              <w:t>0.03</w:t>
            </w:r>
          </w:p>
        </w:tc>
      </w:tr>
      <w:tr w:rsidR="006F0FFC" w:rsidTr="006F0FFC">
        <w:tc>
          <w:tcPr>
            <w:tcW w:w="2898" w:type="dxa"/>
          </w:tcPr>
          <w:p w:rsidR="006F0FFC" w:rsidRDefault="006F0FFC" w:rsidP="006F0FFC">
            <w:r>
              <w:t>Call Help Frequently (Q9)</w:t>
            </w:r>
          </w:p>
        </w:tc>
        <w:tc>
          <w:tcPr>
            <w:tcW w:w="1080" w:type="dxa"/>
            <w:shd w:val="clear" w:color="auto" w:fill="auto"/>
          </w:tcPr>
          <w:p w:rsidR="006F0FFC" w:rsidRDefault="006F0FFC" w:rsidP="006F0FFC">
            <w:pPr>
              <w:jc w:val="right"/>
            </w:pPr>
            <w:r>
              <w:t>0.34</w:t>
            </w:r>
          </w:p>
        </w:tc>
        <w:tc>
          <w:tcPr>
            <w:tcW w:w="1080" w:type="dxa"/>
            <w:shd w:val="clear" w:color="auto" w:fill="auto"/>
          </w:tcPr>
          <w:p w:rsidR="006F0FFC" w:rsidRDefault="006F0FFC" w:rsidP="006F0FFC">
            <w:pPr>
              <w:jc w:val="right"/>
            </w:pPr>
            <w:r>
              <w:t>0.03</w:t>
            </w:r>
          </w:p>
        </w:tc>
        <w:tc>
          <w:tcPr>
            <w:tcW w:w="1080" w:type="dxa"/>
            <w:shd w:val="clear" w:color="auto" w:fill="auto"/>
          </w:tcPr>
          <w:p w:rsidR="006F0FFC" w:rsidRDefault="006F0FFC" w:rsidP="006F0FFC">
            <w:pPr>
              <w:jc w:val="right"/>
            </w:pPr>
            <w:r>
              <w:t>0.03</w:t>
            </w:r>
          </w:p>
        </w:tc>
        <w:tc>
          <w:tcPr>
            <w:tcW w:w="1080" w:type="dxa"/>
            <w:shd w:val="clear" w:color="auto" w:fill="auto"/>
          </w:tcPr>
          <w:p w:rsidR="006F0FFC" w:rsidRDefault="006F0FFC" w:rsidP="006F0FFC">
            <w:pPr>
              <w:jc w:val="right"/>
            </w:pPr>
            <w:r>
              <w:t>0.01</w:t>
            </w:r>
          </w:p>
        </w:tc>
        <w:tc>
          <w:tcPr>
            <w:tcW w:w="1080" w:type="dxa"/>
            <w:shd w:val="clear" w:color="auto" w:fill="BFBFBF" w:themeFill="background1" w:themeFillShade="BF"/>
          </w:tcPr>
          <w:p w:rsidR="006F0FFC" w:rsidRDefault="006F0FFC" w:rsidP="006F0FFC">
            <w:pPr>
              <w:jc w:val="right"/>
            </w:pPr>
            <w:r>
              <w:t>0.44</w:t>
            </w:r>
          </w:p>
        </w:tc>
        <w:tc>
          <w:tcPr>
            <w:tcW w:w="1080" w:type="dxa"/>
          </w:tcPr>
          <w:p w:rsidR="006F0FFC" w:rsidRDefault="006F0FFC" w:rsidP="006F0FFC">
            <w:pPr>
              <w:jc w:val="right"/>
            </w:pPr>
            <w:r>
              <w:t>0.13</w:t>
            </w:r>
          </w:p>
        </w:tc>
      </w:tr>
      <w:tr w:rsidR="006F0FFC" w:rsidTr="006F0FFC">
        <w:tc>
          <w:tcPr>
            <w:tcW w:w="2898" w:type="dxa"/>
          </w:tcPr>
          <w:p w:rsidR="006F0FFC" w:rsidRDefault="006F0FFC" w:rsidP="006F0FFC">
            <w:r>
              <w:t>Room Clean (Q17)</w:t>
            </w:r>
          </w:p>
        </w:tc>
        <w:tc>
          <w:tcPr>
            <w:tcW w:w="1080" w:type="dxa"/>
            <w:shd w:val="clear" w:color="auto" w:fill="auto"/>
          </w:tcPr>
          <w:p w:rsidR="006F0FFC" w:rsidRDefault="006F0FFC" w:rsidP="006F0FFC">
            <w:pPr>
              <w:jc w:val="right"/>
            </w:pPr>
            <w:r>
              <w:t>0.26</w:t>
            </w:r>
          </w:p>
        </w:tc>
        <w:tc>
          <w:tcPr>
            <w:tcW w:w="1080" w:type="dxa"/>
            <w:shd w:val="clear" w:color="auto" w:fill="auto"/>
          </w:tcPr>
          <w:p w:rsidR="006F0FFC" w:rsidRDefault="006F0FFC" w:rsidP="006F0FFC">
            <w:pPr>
              <w:jc w:val="right"/>
            </w:pPr>
            <w:r>
              <w:t>0.08</w:t>
            </w:r>
          </w:p>
        </w:tc>
        <w:tc>
          <w:tcPr>
            <w:tcW w:w="1080" w:type="dxa"/>
            <w:shd w:val="clear" w:color="auto" w:fill="auto"/>
          </w:tcPr>
          <w:p w:rsidR="006F0FFC" w:rsidRDefault="006F0FFC" w:rsidP="006F0FFC">
            <w:pPr>
              <w:jc w:val="right"/>
            </w:pPr>
            <w:r>
              <w:t>-0.03</w:t>
            </w:r>
          </w:p>
        </w:tc>
        <w:tc>
          <w:tcPr>
            <w:tcW w:w="1080" w:type="dxa"/>
            <w:shd w:val="clear" w:color="auto" w:fill="auto"/>
          </w:tcPr>
          <w:p w:rsidR="006F0FFC" w:rsidRDefault="006F0FFC" w:rsidP="006F0FFC">
            <w:pPr>
              <w:jc w:val="right"/>
            </w:pPr>
            <w:r>
              <w:t>-0.02</w:t>
            </w:r>
          </w:p>
        </w:tc>
        <w:tc>
          <w:tcPr>
            <w:tcW w:w="1080" w:type="dxa"/>
            <w:shd w:val="clear" w:color="auto" w:fill="auto"/>
          </w:tcPr>
          <w:p w:rsidR="006F0FFC" w:rsidRDefault="006F0FFC" w:rsidP="006F0FFC">
            <w:pPr>
              <w:jc w:val="right"/>
            </w:pPr>
            <w:r>
              <w:t>0.13</w:t>
            </w:r>
          </w:p>
        </w:tc>
        <w:tc>
          <w:tcPr>
            <w:tcW w:w="1080" w:type="dxa"/>
            <w:shd w:val="clear" w:color="auto" w:fill="BFBFBF" w:themeFill="background1" w:themeFillShade="BF"/>
          </w:tcPr>
          <w:p w:rsidR="006F0FFC" w:rsidRDefault="006F0FFC" w:rsidP="006F0FFC">
            <w:pPr>
              <w:jc w:val="right"/>
            </w:pPr>
            <w:r>
              <w:t>0.44</w:t>
            </w:r>
          </w:p>
        </w:tc>
      </w:tr>
      <w:tr w:rsidR="006F0FFC" w:rsidTr="006F0FFC">
        <w:tc>
          <w:tcPr>
            <w:tcW w:w="2898" w:type="dxa"/>
          </w:tcPr>
          <w:p w:rsidR="006F0FFC" w:rsidRDefault="006F0FFC" w:rsidP="006F0FFC">
            <w:r>
              <w:t>Room Quiet (Q18)</w:t>
            </w:r>
          </w:p>
        </w:tc>
        <w:tc>
          <w:tcPr>
            <w:tcW w:w="1080" w:type="dxa"/>
            <w:shd w:val="clear" w:color="auto" w:fill="auto"/>
          </w:tcPr>
          <w:p w:rsidR="006F0FFC" w:rsidRDefault="006F0FFC" w:rsidP="006F0FFC">
            <w:pPr>
              <w:jc w:val="right"/>
            </w:pPr>
            <w:r>
              <w:t>0.05</w:t>
            </w:r>
          </w:p>
        </w:tc>
        <w:tc>
          <w:tcPr>
            <w:tcW w:w="1080" w:type="dxa"/>
            <w:shd w:val="clear" w:color="auto" w:fill="auto"/>
          </w:tcPr>
          <w:p w:rsidR="006F0FFC" w:rsidRDefault="006F0FFC" w:rsidP="006F0FFC">
            <w:pPr>
              <w:jc w:val="right"/>
            </w:pPr>
            <w:r>
              <w:t>0.02</w:t>
            </w:r>
          </w:p>
        </w:tc>
        <w:tc>
          <w:tcPr>
            <w:tcW w:w="1080" w:type="dxa"/>
            <w:shd w:val="clear" w:color="auto" w:fill="auto"/>
          </w:tcPr>
          <w:p w:rsidR="006F0FFC" w:rsidRDefault="006F0FFC" w:rsidP="006F0FFC">
            <w:pPr>
              <w:jc w:val="right"/>
            </w:pPr>
            <w:r>
              <w:t>0.06</w:t>
            </w:r>
          </w:p>
        </w:tc>
        <w:tc>
          <w:tcPr>
            <w:tcW w:w="1080" w:type="dxa"/>
            <w:shd w:val="clear" w:color="auto" w:fill="auto"/>
          </w:tcPr>
          <w:p w:rsidR="006F0FFC" w:rsidRDefault="006F0FFC" w:rsidP="006F0FFC">
            <w:pPr>
              <w:jc w:val="right"/>
            </w:pPr>
            <w:r>
              <w:t>0.01</w:t>
            </w:r>
          </w:p>
        </w:tc>
        <w:tc>
          <w:tcPr>
            <w:tcW w:w="1080" w:type="dxa"/>
            <w:shd w:val="clear" w:color="auto" w:fill="auto"/>
          </w:tcPr>
          <w:p w:rsidR="006F0FFC" w:rsidRDefault="006F0FFC" w:rsidP="006F0FFC">
            <w:pPr>
              <w:jc w:val="right"/>
            </w:pPr>
            <w:r>
              <w:t>0.20</w:t>
            </w:r>
          </w:p>
        </w:tc>
        <w:tc>
          <w:tcPr>
            <w:tcW w:w="1080" w:type="dxa"/>
            <w:shd w:val="clear" w:color="auto" w:fill="BFBFBF" w:themeFill="background1" w:themeFillShade="BF"/>
          </w:tcPr>
          <w:p w:rsidR="006F0FFC" w:rsidRDefault="006F0FFC" w:rsidP="006F0FFC">
            <w:pPr>
              <w:jc w:val="right"/>
            </w:pPr>
            <w:r>
              <w:t>0.43</w:t>
            </w:r>
          </w:p>
        </w:tc>
      </w:tr>
      <w:tr w:rsidR="006F0FFC" w:rsidTr="006F0FFC">
        <w:tc>
          <w:tcPr>
            <w:tcW w:w="2898" w:type="dxa"/>
          </w:tcPr>
          <w:p w:rsidR="006F0FFC" w:rsidRDefault="006F0FFC" w:rsidP="006F0FFC">
            <w:r>
              <w:t>Temperature (Q16)</w:t>
            </w:r>
          </w:p>
        </w:tc>
        <w:tc>
          <w:tcPr>
            <w:tcW w:w="1080" w:type="dxa"/>
            <w:shd w:val="clear" w:color="auto" w:fill="auto"/>
          </w:tcPr>
          <w:p w:rsidR="006F0FFC" w:rsidRDefault="006F0FFC" w:rsidP="006F0FFC">
            <w:pPr>
              <w:jc w:val="right"/>
            </w:pPr>
            <w:r>
              <w:t>0.24</w:t>
            </w:r>
          </w:p>
        </w:tc>
        <w:tc>
          <w:tcPr>
            <w:tcW w:w="1080" w:type="dxa"/>
            <w:shd w:val="clear" w:color="auto" w:fill="auto"/>
          </w:tcPr>
          <w:p w:rsidR="006F0FFC" w:rsidRDefault="006F0FFC" w:rsidP="006F0FFC">
            <w:pPr>
              <w:jc w:val="right"/>
            </w:pPr>
            <w:r>
              <w:t>0.03</w:t>
            </w:r>
          </w:p>
        </w:tc>
        <w:tc>
          <w:tcPr>
            <w:tcW w:w="1080" w:type="dxa"/>
            <w:shd w:val="clear" w:color="auto" w:fill="auto"/>
          </w:tcPr>
          <w:p w:rsidR="006F0FFC" w:rsidRDefault="006F0FFC" w:rsidP="006F0FFC">
            <w:pPr>
              <w:jc w:val="right"/>
            </w:pPr>
            <w:r>
              <w:t>0.12</w:t>
            </w:r>
          </w:p>
        </w:tc>
        <w:tc>
          <w:tcPr>
            <w:tcW w:w="1080" w:type="dxa"/>
            <w:shd w:val="clear" w:color="auto" w:fill="auto"/>
          </w:tcPr>
          <w:p w:rsidR="006F0FFC" w:rsidRDefault="006F0FFC" w:rsidP="006F0FFC">
            <w:pPr>
              <w:jc w:val="right"/>
            </w:pPr>
            <w:r>
              <w:t>0.09</w:t>
            </w:r>
          </w:p>
        </w:tc>
        <w:tc>
          <w:tcPr>
            <w:tcW w:w="1080" w:type="dxa"/>
            <w:shd w:val="clear" w:color="auto" w:fill="auto"/>
          </w:tcPr>
          <w:p w:rsidR="006F0FFC" w:rsidRDefault="006F0FFC" w:rsidP="006F0FFC">
            <w:pPr>
              <w:jc w:val="right"/>
            </w:pPr>
            <w:r>
              <w:t>-0.05</w:t>
            </w:r>
          </w:p>
        </w:tc>
        <w:tc>
          <w:tcPr>
            <w:tcW w:w="1080" w:type="dxa"/>
            <w:shd w:val="clear" w:color="auto" w:fill="BFBFBF" w:themeFill="background1" w:themeFillShade="BF"/>
          </w:tcPr>
          <w:p w:rsidR="006F0FFC" w:rsidRDefault="006F0FFC" w:rsidP="006F0FFC">
            <w:pPr>
              <w:jc w:val="right"/>
            </w:pPr>
            <w:r>
              <w:t>0.38</w:t>
            </w:r>
          </w:p>
        </w:tc>
      </w:tr>
      <w:tr w:rsidR="006F0FFC" w:rsidTr="006F0FFC">
        <w:tc>
          <w:tcPr>
            <w:tcW w:w="2898" w:type="dxa"/>
          </w:tcPr>
          <w:p w:rsidR="006F0FFC" w:rsidRDefault="006F0FFC" w:rsidP="006F0FFC">
            <w:r>
              <w:t>Privacy (Q24)</w:t>
            </w:r>
          </w:p>
        </w:tc>
        <w:tc>
          <w:tcPr>
            <w:tcW w:w="1080" w:type="dxa"/>
            <w:shd w:val="clear" w:color="auto" w:fill="auto"/>
          </w:tcPr>
          <w:p w:rsidR="006F0FFC" w:rsidRDefault="006F0FFC" w:rsidP="006F0FFC">
            <w:pPr>
              <w:jc w:val="right"/>
            </w:pPr>
            <w:r>
              <w:t>0.22</w:t>
            </w:r>
          </w:p>
        </w:tc>
        <w:tc>
          <w:tcPr>
            <w:tcW w:w="1080" w:type="dxa"/>
            <w:shd w:val="clear" w:color="auto" w:fill="auto"/>
          </w:tcPr>
          <w:p w:rsidR="006F0FFC" w:rsidRDefault="006F0FFC" w:rsidP="006F0FFC">
            <w:pPr>
              <w:jc w:val="right"/>
            </w:pPr>
            <w:r>
              <w:t>0.02</w:t>
            </w:r>
          </w:p>
        </w:tc>
        <w:tc>
          <w:tcPr>
            <w:tcW w:w="1080" w:type="dxa"/>
            <w:shd w:val="clear" w:color="auto" w:fill="auto"/>
          </w:tcPr>
          <w:p w:rsidR="006F0FFC" w:rsidRDefault="006F0FFC" w:rsidP="006F0FFC">
            <w:pPr>
              <w:jc w:val="right"/>
            </w:pPr>
            <w:r>
              <w:t>0.08</w:t>
            </w:r>
          </w:p>
        </w:tc>
        <w:tc>
          <w:tcPr>
            <w:tcW w:w="1080" w:type="dxa"/>
            <w:shd w:val="clear" w:color="auto" w:fill="auto"/>
          </w:tcPr>
          <w:p w:rsidR="006F0FFC" w:rsidRDefault="006F0FFC" w:rsidP="006F0FFC">
            <w:pPr>
              <w:jc w:val="right"/>
            </w:pPr>
            <w:r>
              <w:t>-0.08</w:t>
            </w:r>
          </w:p>
        </w:tc>
        <w:tc>
          <w:tcPr>
            <w:tcW w:w="1080" w:type="dxa"/>
            <w:shd w:val="clear" w:color="auto" w:fill="auto"/>
          </w:tcPr>
          <w:p w:rsidR="006F0FFC" w:rsidRDefault="006F0FFC" w:rsidP="006F0FFC">
            <w:pPr>
              <w:jc w:val="right"/>
            </w:pPr>
            <w:r>
              <w:t>0.05</w:t>
            </w:r>
          </w:p>
        </w:tc>
        <w:tc>
          <w:tcPr>
            <w:tcW w:w="1080" w:type="dxa"/>
          </w:tcPr>
          <w:p w:rsidR="006F0FFC" w:rsidRDefault="006F0FFC" w:rsidP="006F0FFC">
            <w:pPr>
              <w:jc w:val="right"/>
            </w:pPr>
            <w:r>
              <w:t>0.04</w:t>
            </w:r>
          </w:p>
        </w:tc>
      </w:tr>
      <w:tr w:rsidR="006F0FFC" w:rsidTr="006F0FFC">
        <w:tc>
          <w:tcPr>
            <w:tcW w:w="2898" w:type="dxa"/>
          </w:tcPr>
          <w:p w:rsidR="006F0FFC" w:rsidRDefault="006F0FFC" w:rsidP="006F0FFC">
            <w:r>
              <w:t>TX Decisions (Q25)</w:t>
            </w:r>
          </w:p>
        </w:tc>
        <w:tc>
          <w:tcPr>
            <w:tcW w:w="1080" w:type="dxa"/>
            <w:shd w:val="clear" w:color="auto" w:fill="auto"/>
          </w:tcPr>
          <w:p w:rsidR="006F0FFC" w:rsidRDefault="006F0FFC" w:rsidP="006F0FFC">
            <w:pPr>
              <w:jc w:val="right"/>
            </w:pPr>
            <w:r>
              <w:t>0.23</w:t>
            </w:r>
          </w:p>
        </w:tc>
        <w:tc>
          <w:tcPr>
            <w:tcW w:w="1080" w:type="dxa"/>
            <w:shd w:val="clear" w:color="auto" w:fill="auto"/>
          </w:tcPr>
          <w:p w:rsidR="006F0FFC" w:rsidRDefault="006F0FFC" w:rsidP="006F0FFC">
            <w:pPr>
              <w:jc w:val="right"/>
            </w:pPr>
            <w:r>
              <w:t>0.05</w:t>
            </w:r>
          </w:p>
        </w:tc>
        <w:tc>
          <w:tcPr>
            <w:tcW w:w="1080" w:type="dxa"/>
            <w:shd w:val="clear" w:color="auto" w:fill="auto"/>
          </w:tcPr>
          <w:p w:rsidR="006F0FFC" w:rsidRDefault="006F0FFC" w:rsidP="006F0FFC">
            <w:pPr>
              <w:jc w:val="right"/>
            </w:pPr>
            <w:r>
              <w:t>0.33</w:t>
            </w:r>
          </w:p>
        </w:tc>
        <w:tc>
          <w:tcPr>
            <w:tcW w:w="1080" w:type="dxa"/>
            <w:shd w:val="clear" w:color="auto" w:fill="auto"/>
          </w:tcPr>
          <w:p w:rsidR="006F0FFC" w:rsidRDefault="006F0FFC" w:rsidP="006F0FFC">
            <w:pPr>
              <w:jc w:val="right"/>
            </w:pPr>
            <w:r>
              <w:t>0.15</w:t>
            </w:r>
          </w:p>
        </w:tc>
        <w:tc>
          <w:tcPr>
            <w:tcW w:w="1080" w:type="dxa"/>
            <w:shd w:val="clear" w:color="auto" w:fill="auto"/>
          </w:tcPr>
          <w:p w:rsidR="006F0FFC" w:rsidRDefault="006F0FFC" w:rsidP="006F0FFC">
            <w:pPr>
              <w:jc w:val="right"/>
            </w:pPr>
            <w:r>
              <w:t>0.24</w:t>
            </w:r>
          </w:p>
        </w:tc>
        <w:tc>
          <w:tcPr>
            <w:tcW w:w="1080" w:type="dxa"/>
          </w:tcPr>
          <w:p w:rsidR="006F0FFC" w:rsidRDefault="006F0FFC" w:rsidP="006F0FFC">
            <w:pPr>
              <w:jc w:val="right"/>
            </w:pPr>
            <w:r>
              <w:t>-0.05</w:t>
            </w:r>
          </w:p>
        </w:tc>
      </w:tr>
      <w:tr w:rsidR="006F0FFC" w:rsidTr="006F0FFC">
        <w:tc>
          <w:tcPr>
            <w:tcW w:w="2898" w:type="dxa"/>
          </w:tcPr>
          <w:p w:rsidR="006F0FFC" w:rsidRDefault="006F0FFC" w:rsidP="006F0FFC">
            <w:r>
              <w:t>Tests Without Pain (Q35)</w:t>
            </w:r>
          </w:p>
        </w:tc>
        <w:tc>
          <w:tcPr>
            <w:tcW w:w="1080" w:type="dxa"/>
            <w:shd w:val="clear" w:color="auto" w:fill="auto"/>
          </w:tcPr>
          <w:p w:rsidR="006F0FFC" w:rsidRDefault="006F0FFC" w:rsidP="006F0FFC">
            <w:pPr>
              <w:jc w:val="right"/>
            </w:pPr>
            <w:r>
              <w:t>0.30</w:t>
            </w:r>
          </w:p>
        </w:tc>
        <w:tc>
          <w:tcPr>
            <w:tcW w:w="1080" w:type="dxa"/>
            <w:shd w:val="clear" w:color="auto" w:fill="auto"/>
          </w:tcPr>
          <w:p w:rsidR="006F0FFC" w:rsidRDefault="006F0FFC" w:rsidP="006F0FFC">
            <w:pPr>
              <w:jc w:val="right"/>
            </w:pPr>
            <w:r>
              <w:t>0.06</w:t>
            </w:r>
          </w:p>
        </w:tc>
        <w:tc>
          <w:tcPr>
            <w:tcW w:w="1080" w:type="dxa"/>
            <w:shd w:val="clear" w:color="auto" w:fill="auto"/>
          </w:tcPr>
          <w:p w:rsidR="006F0FFC" w:rsidRDefault="006F0FFC" w:rsidP="006F0FFC">
            <w:pPr>
              <w:jc w:val="right"/>
            </w:pPr>
            <w:r>
              <w:t>0.17</w:t>
            </w:r>
          </w:p>
        </w:tc>
        <w:tc>
          <w:tcPr>
            <w:tcW w:w="1080" w:type="dxa"/>
            <w:shd w:val="clear" w:color="auto" w:fill="auto"/>
          </w:tcPr>
          <w:p w:rsidR="006F0FFC" w:rsidRDefault="006F0FFC" w:rsidP="006F0FFC">
            <w:pPr>
              <w:jc w:val="right"/>
            </w:pPr>
            <w:r>
              <w:t>-0.03</w:t>
            </w:r>
          </w:p>
        </w:tc>
        <w:tc>
          <w:tcPr>
            <w:tcW w:w="1080" w:type="dxa"/>
            <w:shd w:val="clear" w:color="auto" w:fill="auto"/>
          </w:tcPr>
          <w:p w:rsidR="006F0FFC" w:rsidRDefault="006F0FFC" w:rsidP="006F0FFC">
            <w:pPr>
              <w:jc w:val="right"/>
            </w:pPr>
            <w:r>
              <w:t>0.17</w:t>
            </w:r>
          </w:p>
        </w:tc>
        <w:tc>
          <w:tcPr>
            <w:tcW w:w="1080" w:type="dxa"/>
          </w:tcPr>
          <w:p w:rsidR="006F0FFC" w:rsidRDefault="006F0FFC" w:rsidP="006F0FFC">
            <w:pPr>
              <w:jc w:val="right"/>
            </w:pPr>
            <w:r>
              <w:t>0.20</w:t>
            </w:r>
          </w:p>
        </w:tc>
      </w:tr>
      <w:tr w:rsidR="006F0FFC" w:rsidTr="006F0FFC">
        <w:tc>
          <w:tcPr>
            <w:tcW w:w="2898" w:type="dxa"/>
          </w:tcPr>
          <w:p w:rsidR="006F0FFC" w:rsidRDefault="006F0FFC" w:rsidP="006F0FFC">
            <w:r>
              <w:t>Delays in Admission (Q43)</w:t>
            </w:r>
          </w:p>
        </w:tc>
        <w:tc>
          <w:tcPr>
            <w:tcW w:w="1080" w:type="dxa"/>
            <w:shd w:val="clear" w:color="auto" w:fill="auto"/>
          </w:tcPr>
          <w:p w:rsidR="006F0FFC" w:rsidRDefault="006F0FFC" w:rsidP="006F0FFC">
            <w:pPr>
              <w:jc w:val="right"/>
            </w:pPr>
            <w:r>
              <w:t>-0.13</w:t>
            </w:r>
          </w:p>
        </w:tc>
        <w:tc>
          <w:tcPr>
            <w:tcW w:w="1080" w:type="dxa"/>
            <w:shd w:val="clear" w:color="auto" w:fill="auto"/>
          </w:tcPr>
          <w:p w:rsidR="006F0FFC" w:rsidRDefault="006F0FFC" w:rsidP="006F0FFC">
            <w:pPr>
              <w:jc w:val="right"/>
            </w:pPr>
            <w:r>
              <w:t>-0.14</w:t>
            </w:r>
          </w:p>
        </w:tc>
        <w:tc>
          <w:tcPr>
            <w:tcW w:w="1080" w:type="dxa"/>
            <w:shd w:val="clear" w:color="auto" w:fill="auto"/>
          </w:tcPr>
          <w:p w:rsidR="006F0FFC" w:rsidRDefault="006F0FFC" w:rsidP="006F0FFC">
            <w:pPr>
              <w:jc w:val="right"/>
            </w:pPr>
            <w:r>
              <w:t>0.21</w:t>
            </w:r>
          </w:p>
        </w:tc>
        <w:tc>
          <w:tcPr>
            <w:tcW w:w="1080" w:type="dxa"/>
            <w:shd w:val="clear" w:color="auto" w:fill="auto"/>
          </w:tcPr>
          <w:p w:rsidR="006F0FFC" w:rsidRDefault="006F0FFC" w:rsidP="006F0FFC">
            <w:pPr>
              <w:jc w:val="right"/>
            </w:pPr>
            <w:r>
              <w:t>0.19</w:t>
            </w:r>
          </w:p>
        </w:tc>
        <w:tc>
          <w:tcPr>
            <w:tcW w:w="1080" w:type="dxa"/>
            <w:shd w:val="clear" w:color="auto" w:fill="auto"/>
          </w:tcPr>
          <w:p w:rsidR="006F0FFC" w:rsidRDefault="006F0FFC" w:rsidP="006F0FFC">
            <w:pPr>
              <w:jc w:val="right"/>
            </w:pPr>
            <w:r>
              <w:t>0.33</w:t>
            </w:r>
          </w:p>
        </w:tc>
        <w:tc>
          <w:tcPr>
            <w:tcW w:w="1080" w:type="dxa"/>
          </w:tcPr>
          <w:p w:rsidR="006F0FFC" w:rsidRDefault="006F0FFC" w:rsidP="006F0FFC">
            <w:pPr>
              <w:jc w:val="right"/>
            </w:pPr>
            <w:r>
              <w:t>0.05</w:t>
            </w:r>
          </w:p>
        </w:tc>
      </w:tr>
    </w:tbl>
    <w:p w:rsidR="00ED4ABB" w:rsidRDefault="00ED4ABB" w:rsidP="000462DC">
      <w:pPr>
        <w:autoSpaceDE w:val="0"/>
        <w:autoSpaceDN w:val="0"/>
        <w:adjustRightInd w:val="0"/>
        <w:spacing w:after="0" w:line="240" w:lineRule="auto"/>
        <w:rPr>
          <w:rFonts w:ascii="Palatino Linotype" w:hAnsi="Palatino Linotype" w:cs="Times New Roman"/>
          <w:i/>
          <w:sz w:val="20"/>
          <w:szCs w:val="20"/>
        </w:rPr>
      </w:pPr>
    </w:p>
    <w:p w:rsidR="00F9235C" w:rsidRDefault="00F9235C" w:rsidP="000462DC">
      <w:pPr>
        <w:autoSpaceDE w:val="0"/>
        <w:autoSpaceDN w:val="0"/>
        <w:adjustRightInd w:val="0"/>
        <w:spacing w:after="0" w:line="240" w:lineRule="auto"/>
        <w:rPr>
          <w:rFonts w:ascii="Palatino Linotype" w:hAnsi="Palatino Linotype" w:cs="Times New Roman"/>
          <w:i/>
          <w:sz w:val="20"/>
          <w:szCs w:val="20"/>
        </w:rPr>
      </w:pPr>
    </w:p>
    <w:p w:rsidR="006F0FFC" w:rsidRDefault="006F0FFC" w:rsidP="006F0FFC"/>
    <w:p w:rsidR="006F0FFC" w:rsidRDefault="006F0FFC" w:rsidP="006F0FFC"/>
    <w:p w:rsidR="002B0694" w:rsidRDefault="002B0694" w:rsidP="006F0FFC"/>
    <w:p w:rsidR="002B0694" w:rsidRDefault="002B0694" w:rsidP="006F0FFC"/>
    <w:p w:rsidR="006F0FFC" w:rsidRDefault="006F0FFC" w:rsidP="006F0FFC">
      <w:r>
        <w:t>Table 10: Factor Analysis with Seven Factors</w:t>
      </w:r>
    </w:p>
    <w:tbl>
      <w:tblPr>
        <w:tblStyle w:val="TableGrid"/>
        <w:tblW w:w="0" w:type="auto"/>
        <w:tblLook w:val="04A0" w:firstRow="1" w:lastRow="0" w:firstColumn="1" w:lastColumn="0" w:noHBand="0" w:noVBand="1"/>
        <w:tblCaption w:val="Table with Factor Analysis with Seven Factors"/>
        <w:tblDescription w:val="Factor Analysis with Seven Factors"/>
      </w:tblPr>
      <w:tblGrid>
        <w:gridCol w:w="3078"/>
        <w:gridCol w:w="874"/>
        <w:gridCol w:w="874"/>
        <w:gridCol w:w="874"/>
        <w:gridCol w:w="875"/>
        <w:gridCol w:w="874"/>
        <w:gridCol w:w="874"/>
        <w:gridCol w:w="875"/>
      </w:tblGrid>
      <w:tr w:rsidR="006F0FFC" w:rsidTr="006F0FFC">
        <w:tc>
          <w:tcPr>
            <w:tcW w:w="3078" w:type="dxa"/>
            <w:vAlign w:val="center"/>
          </w:tcPr>
          <w:p w:rsidR="006F0FFC" w:rsidRDefault="006F0FFC" w:rsidP="006F0FFC">
            <w:pPr>
              <w:jc w:val="center"/>
            </w:pPr>
            <w:r>
              <w:t>Item</w:t>
            </w:r>
          </w:p>
        </w:tc>
        <w:tc>
          <w:tcPr>
            <w:tcW w:w="874" w:type="dxa"/>
            <w:vAlign w:val="center"/>
          </w:tcPr>
          <w:p w:rsidR="006F0FFC" w:rsidRDefault="006F0FFC" w:rsidP="006F0FFC">
            <w:pPr>
              <w:jc w:val="center"/>
            </w:pPr>
            <w:r>
              <w:t>Factor 1</w:t>
            </w:r>
          </w:p>
        </w:tc>
        <w:tc>
          <w:tcPr>
            <w:tcW w:w="874" w:type="dxa"/>
            <w:vAlign w:val="center"/>
          </w:tcPr>
          <w:p w:rsidR="006F0FFC" w:rsidRDefault="006F0FFC" w:rsidP="006F0FFC">
            <w:pPr>
              <w:jc w:val="center"/>
            </w:pPr>
            <w:r>
              <w:t>Factor 2</w:t>
            </w:r>
          </w:p>
        </w:tc>
        <w:tc>
          <w:tcPr>
            <w:tcW w:w="874" w:type="dxa"/>
            <w:vAlign w:val="center"/>
          </w:tcPr>
          <w:p w:rsidR="006F0FFC" w:rsidRDefault="006F0FFC" w:rsidP="006F0FFC">
            <w:pPr>
              <w:jc w:val="center"/>
            </w:pPr>
            <w:r>
              <w:t>Factor 3</w:t>
            </w:r>
          </w:p>
        </w:tc>
        <w:tc>
          <w:tcPr>
            <w:tcW w:w="875" w:type="dxa"/>
          </w:tcPr>
          <w:p w:rsidR="006F0FFC" w:rsidRDefault="006F0FFC" w:rsidP="006F0FFC">
            <w:pPr>
              <w:jc w:val="center"/>
            </w:pPr>
            <w:r>
              <w:t>Factor 4</w:t>
            </w:r>
          </w:p>
        </w:tc>
        <w:tc>
          <w:tcPr>
            <w:tcW w:w="874" w:type="dxa"/>
          </w:tcPr>
          <w:p w:rsidR="006F0FFC" w:rsidRDefault="006F0FFC" w:rsidP="006F0FFC">
            <w:pPr>
              <w:jc w:val="center"/>
            </w:pPr>
            <w:r>
              <w:t>Factor 5</w:t>
            </w:r>
          </w:p>
        </w:tc>
        <w:tc>
          <w:tcPr>
            <w:tcW w:w="874" w:type="dxa"/>
          </w:tcPr>
          <w:p w:rsidR="006F0FFC" w:rsidRDefault="006F0FFC" w:rsidP="006F0FFC">
            <w:pPr>
              <w:jc w:val="center"/>
            </w:pPr>
            <w:r>
              <w:t>Factor 6</w:t>
            </w:r>
          </w:p>
        </w:tc>
        <w:tc>
          <w:tcPr>
            <w:tcW w:w="875" w:type="dxa"/>
          </w:tcPr>
          <w:p w:rsidR="006F0FFC" w:rsidRDefault="006F0FFC" w:rsidP="006F0FFC">
            <w:pPr>
              <w:jc w:val="center"/>
            </w:pPr>
            <w:r>
              <w:t>Factor 7</w:t>
            </w:r>
          </w:p>
        </w:tc>
      </w:tr>
      <w:tr w:rsidR="006F0FFC" w:rsidTr="006F0FFC">
        <w:tc>
          <w:tcPr>
            <w:tcW w:w="3078" w:type="dxa"/>
          </w:tcPr>
          <w:p w:rsidR="006F0FFC" w:rsidRDefault="006F0FFC" w:rsidP="006F0FFC">
            <w:r>
              <w:t>Listen (Q5)</w:t>
            </w:r>
          </w:p>
        </w:tc>
        <w:tc>
          <w:tcPr>
            <w:tcW w:w="874" w:type="dxa"/>
            <w:shd w:val="clear" w:color="auto" w:fill="BFBFBF" w:themeFill="background1" w:themeFillShade="BF"/>
          </w:tcPr>
          <w:p w:rsidR="006F0FFC" w:rsidRDefault="006F0FFC" w:rsidP="006F0FFC">
            <w:pPr>
              <w:jc w:val="right"/>
            </w:pPr>
            <w:r>
              <w:t>0.77</w:t>
            </w:r>
          </w:p>
        </w:tc>
        <w:tc>
          <w:tcPr>
            <w:tcW w:w="874" w:type="dxa"/>
            <w:shd w:val="clear" w:color="auto" w:fill="auto"/>
          </w:tcPr>
          <w:p w:rsidR="006F0FFC" w:rsidRDefault="006F0FFC" w:rsidP="006F0FFC">
            <w:pPr>
              <w:jc w:val="right"/>
            </w:pPr>
            <w:r>
              <w:t>0.02</w:t>
            </w:r>
          </w:p>
        </w:tc>
        <w:tc>
          <w:tcPr>
            <w:tcW w:w="874" w:type="dxa"/>
            <w:shd w:val="clear" w:color="auto" w:fill="auto"/>
          </w:tcPr>
          <w:p w:rsidR="006F0FFC" w:rsidRDefault="006F0FFC" w:rsidP="006F0FFC">
            <w:pPr>
              <w:jc w:val="right"/>
            </w:pPr>
            <w:r>
              <w:t>0.01</w:t>
            </w:r>
          </w:p>
        </w:tc>
        <w:tc>
          <w:tcPr>
            <w:tcW w:w="875" w:type="dxa"/>
            <w:shd w:val="clear" w:color="auto" w:fill="auto"/>
          </w:tcPr>
          <w:p w:rsidR="006F0FFC" w:rsidRDefault="006F0FFC" w:rsidP="006F0FFC">
            <w:pPr>
              <w:jc w:val="right"/>
            </w:pPr>
            <w:r>
              <w:t>0.19</w:t>
            </w:r>
          </w:p>
        </w:tc>
        <w:tc>
          <w:tcPr>
            <w:tcW w:w="874" w:type="dxa"/>
            <w:shd w:val="clear" w:color="auto" w:fill="auto"/>
          </w:tcPr>
          <w:p w:rsidR="006F0FFC" w:rsidRDefault="006F0FFC" w:rsidP="006F0FFC">
            <w:pPr>
              <w:jc w:val="right"/>
            </w:pPr>
            <w:r>
              <w:t>-0.05</w:t>
            </w:r>
          </w:p>
        </w:tc>
        <w:tc>
          <w:tcPr>
            <w:tcW w:w="874" w:type="dxa"/>
          </w:tcPr>
          <w:p w:rsidR="006F0FFC" w:rsidRDefault="006F0FFC" w:rsidP="006F0FFC">
            <w:pPr>
              <w:jc w:val="right"/>
            </w:pPr>
            <w:r>
              <w:t>-0.02</w:t>
            </w:r>
          </w:p>
        </w:tc>
        <w:tc>
          <w:tcPr>
            <w:tcW w:w="875" w:type="dxa"/>
          </w:tcPr>
          <w:p w:rsidR="006F0FFC" w:rsidRDefault="006F0FFC" w:rsidP="006F0FFC">
            <w:pPr>
              <w:jc w:val="right"/>
            </w:pPr>
            <w:r>
              <w:t>0.04</w:t>
            </w:r>
          </w:p>
        </w:tc>
      </w:tr>
      <w:tr w:rsidR="006F0FFC" w:rsidTr="006F0FFC">
        <w:tc>
          <w:tcPr>
            <w:tcW w:w="3078" w:type="dxa"/>
          </w:tcPr>
          <w:p w:rsidR="006F0FFC" w:rsidRDefault="006F0FFC" w:rsidP="006F0FFC">
            <w:r>
              <w:t>Respect (Q4)</w:t>
            </w:r>
          </w:p>
        </w:tc>
        <w:tc>
          <w:tcPr>
            <w:tcW w:w="874" w:type="dxa"/>
            <w:shd w:val="clear" w:color="auto" w:fill="BFBFBF" w:themeFill="background1" w:themeFillShade="BF"/>
          </w:tcPr>
          <w:p w:rsidR="006F0FFC" w:rsidRDefault="006F0FFC" w:rsidP="006F0FFC">
            <w:pPr>
              <w:jc w:val="right"/>
            </w:pPr>
            <w:r>
              <w:t>0.76</w:t>
            </w:r>
          </w:p>
        </w:tc>
        <w:tc>
          <w:tcPr>
            <w:tcW w:w="874" w:type="dxa"/>
            <w:shd w:val="clear" w:color="auto" w:fill="auto"/>
          </w:tcPr>
          <w:p w:rsidR="006F0FFC" w:rsidRDefault="006F0FFC" w:rsidP="006F0FFC">
            <w:pPr>
              <w:jc w:val="right"/>
            </w:pPr>
            <w:r>
              <w:t>-0.05</w:t>
            </w:r>
          </w:p>
        </w:tc>
        <w:tc>
          <w:tcPr>
            <w:tcW w:w="874" w:type="dxa"/>
            <w:shd w:val="clear" w:color="auto" w:fill="auto"/>
          </w:tcPr>
          <w:p w:rsidR="006F0FFC" w:rsidRDefault="006F0FFC" w:rsidP="006F0FFC">
            <w:pPr>
              <w:jc w:val="right"/>
            </w:pPr>
            <w:r>
              <w:t>-0.04</w:t>
            </w:r>
          </w:p>
        </w:tc>
        <w:tc>
          <w:tcPr>
            <w:tcW w:w="875" w:type="dxa"/>
            <w:shd w:val="clear" w:color="auto" w:fill="auto"/>
          </w:tcPr>
          <w:p w:rsidR="006F0FFC" w:rsidRDefault="006F0FFC" w:rsidP="006F0FFC">
            <w:pPr>
              <w:jc w:val="right"/>
            </w:pPr>
            <w:r>
              <w:t>0.14</w:t>
            </w:r>
          </w:p>
        </w:tc>
        <w:tc>
          <w:tcPr>
            <w:tcW w:w="874" w:type="dxa"/>
            <w:shd w:val="clear" w:color="auto" w:fill="auto"/>
          </w:tcPr>
          <w:p w:rsidR="006F0FFC" w:rsidRDefault="006F0FFC" w:rsidP="006F0FFC">
            <w:pPr>
              <w:jc w:val="right"/>
            </w:pPr>
            <w:r>
              <w:t>-0.02</w:t>
            </w:r>
          </w:p>
        </w:tc>
        <w:tc>
          <w:tcPr>
            <w:tcW w:w="874" w:type="dxa"/>
          </w:tcPr>
          <w:p w:rsidR="006F0FFC" w:rsidRDefault="006F0FFC" w:rsidP="006F0FFC">
            <w:pPr>
              <w:jc w:val="right"/>
            </w:pPr>
            <w:r>
              <w:t>0.07</w:t>
            </w:r>
          </w:p>
        </w:tc>
        <w:tc>
          <w:tcPr>
            <w:tcW w:w="875" w:type="dxa"/>
          </w:tcPr>
          <w:p w:rsidR="006F0FFC" w:rsidRDefault="006F0FFC" w:rsidP="006F0FFC">
            <w:pPr>
              <w:jc w:val="right"/>
            </w:pPr>
            <w:r>
              <w:t>0.06</w:t>
            </w:r>
          </w:p>
        </w:tc>
      </w:tr>
      <w:tr w:rsidR="006F0FFC" w:rsidTr="006F0FFC">
        <w:tc>
          <w:tcPr>
            <w:tcW w:w="3078" w:type="dxa"/>
          </w:tcPr>
          <w:p w:rsidR="006F0FFC" w:rsidRDefault="006F0FFC" w:rsidP="006F0FFC">
            <w:r>
              <w:t>Explain Things (Q6)</w:t>
            </w:r>
          </w:p>
        </w:tc>
        <w:tc>
          <w:tcPr>
            <w:tcW w:w="874" w:type="dxa"/>
            <w:shd w:val="clear" w:color="auto" w:fill="BFBFBF" w:themeFill="background1" w:themeFillShade="BF"/>
          </w:tcPr>
          <w:p w:rsidR="006F0FFC" w:rsidRDefault="006F0FFC" w:rsidP="006F0FFC">
            <w:pPr>
              <w:jc w:val="right"/>
            </w:pPr>
            <w:r>
              <w:t>0.76</w:t>
            </w:r>
          </w:p>
        </w:tc>
        <w:tc>
          <w:tcPr>
            <w:tcW w:w="874" w:type="dxa"/>
            <w:shd w:val="clear" w:color="auto" w:fill="auto"/>
          </w:tcPr>
          <w:p w:rsidR="006F0FFC" w:rsidRDefault="006F0FFC" w:rsidP="006F0FFC">
            <w:pPr>
              <w:jc w:val="right"/>
            </w:pPr>
            <w:r>
              <w:t>0.15</w:t>
            </w:r>
          </w:p>
        </w:tc>
        <w:tc>
          <w:tcPr>
            <w:tcW w:w="874" w:type="dxa"/>
            <w:shd w:val="clear" w:color="auto" w:fill="auto"/>
          </w:tcPr>
          <w:p w:rsidR="006F0FFC" w:rsidRDefault="006F0FFC" w:rsidP="006F0FFC">
            <w:pPr>
              <w:jc w:val="right"/>
            </w:pPr>
            <w:r>
              <w:t>0.06</w:t>
            </w:r>
          </w:p>
        </w:tc>
        <w:tc>
          <w:tcPr>
            <w:tcW w:w="875" w:type="dxa"/>
            <w:shd w:val="clear" w:color="auto" w:fill="auto"/>
          </w:tcPr>
          <w:p w:rsidR="006F0FFC" w:rsidRDefault="006F0FFC" w:rsidP="006F0FFC">
            <w:pPr>
              <w:jc w:val="right"/>
            </w:pPr>
            <w:r>
              <w:t>0.10</w:t>
            </w:r>
          </w:p>
        </w:tc>
        <w:tc>
          <w:tcPr>
            <w:tcW w:w="874" w:type="dxa"/>
            <w:shd w:val="clear" w:color="auto" w:fill="auto"/>
          </w:tcPr>
          <w:p w:rsidR="006F0FFC" w:rsidRDefault="006F0FFC" w:rsidP="006F0FFC">
            <w:pPr>
              <w:jc w:val="right"/>
            </w:pPr>
            <w:r>
              <w:t>0.02</w:t>
            </w:r>
          </w:p>
        </w:tc>
        <w:tc>
          <w:tcPr>
            <w:tcW w:w="874" w:type="dxa"/>
          </w:tcPr>
          <w:p w:rsidR="006F0FFC" w:rsidRDefault="006F0FFC" w:rsidP="006F0FFC">
            <w:pPr>
              <w:jc w:val="right"/>
            </w:pPr>
            <w:r>
              <w:t>-0.12</w:t>
            </w:r>
          </w:p>
        </w:tc>
        <w:tc>
          <w:tcPr>
            <w:tcW w:w="875" w:type="dxa"/>
          </w:tcPr>
          <w:p w:rsidR="006F0FFC" w:rsidRDefault="006F0FFC" w:rsidP="006F0FFC">
            <w:pPr>
              <w:jc w:val="right"/>
            </w:pPr>
            <w:r>
              <w:t>-0.07</w:t>
            </w:r>
          </w:p>
        </w:tc>
      </w:tr>
      <w:tr w:rsidR="006F0FFC" w:rsidTr="006F0FFC">
        <w:tc>
          <w:tcPr>
            <w:tcW w:w="3078" w:type="dxa"/>
          </w:tcPr>
          <w:p w:rsidR="006F0FFC" w:rsidRDefault="006F0FFC" w:rsidP="006F0FFC">
            <w:r>
              <w:t>Introduce (Q28)</w:t>
            </w:r>
          </w:p>
        </w:tc>
        <w:tc>
          <w:tcPr>
            <w:tcW w:w="874" w:type="dxa"/>
            <w:shd w:val="clear" w:color="auto" w:fill="BFBFBF" w:themeFill="background1" w:themeFillShade="BF"/>
          </w:tcPr>
          <w:p w:rsidR="006F0FFC" w:rsidRDefault="006F0FFC" w:rsidP="006F0FFC">
            <w:pPr>
              <w:jc w:val="right"/>
            </w:pPr>
            <w:r>
              <w:t>0.57</w:t>
            </w:r>
          </w:p>
        </w:tc>
        <w:tc>
          <w:tcPr>
            <w:tcW w:w="874" w:type="dxa"/>
            <w:shd w:val="clear" w:color="auto" w:fill="auto"/>
          </w:tcPr>
          <w:p w:rsidR="006F0FFC" w:rsidRDefault="006F0FFC" w:rsidP="006F0FFC">
            <w:pPr>
              <w:jc w:val="right"/>
            </w:pPr>
            <w:r>
              <w:t>0.05</w:t>
            </w:r>
          </w:p>
        </w:tc>
        <w:tc>
          <w:tcPr>
            <w:tcW w:w="874" w:type="dxa"/>
            <w:shd w:val="clear" w:color="auto" w:fill="auto"/>
          </w:tcPr>
          <w:p w:rsidR="006F0FFC" w:rsidRDefault="006F0FFC" w:rsidP="006F0FFC">
            <w:pPr>
              <w:jc w:val="right"/>
            </w:pPr>
            <w:r>
              <w:t>0.08</w:t>
            </w:r>
          </w:p>
        </w:tc>
        <w:tc>
          <w:tcPr>
            <w:tcW w:w="875" w:type="dxa"/>
            <w:shd w:val="clear" w:color="auto" w:fill="auto"/>
          </w:tcPr>
          <w:p w:rsidR="006F0FFC" w:rsidRDefault="006F0FFC" w:rsidP="006F0FFC">
            <w:pPr>
              <w:jc w:val="right"/>
            </w:pPr>
            <w:r>
              <w:t>-0.08</w:t>
            </w:r>
          </w:p>
        </w:tc>
        <w:tc>
          <w:tcPr>
            <w:tcW w:w="874" w:type="dxa"/>
            <w:shd w:val="clear" w:color="auto" w:fill="auto"/>
          </w:tcPr>
          <w:p w:rsidR="006F0FFC" w:rsidRDefault="006F0FFC" w:rsidP="006F0FFC">
            <w:pPr>
              <w:jc w:val="right"/>
            </w:pPr>
            <w:r>
              <w:t>0.07</w:t>
            </w:r>
          </w:p>
        </w:tc>
        <w:tc>
          <w:tcPr>
            <w:tcW w:w="874" w:type="dxa"/>
          </w:tcPr>
          <w:p w:rsidR="006F0FFC" w:rsidRDefault="006F0FFC" w:rsidP="006F0FFC">
            <w:pPr>
              <w:jc w:val="right"/>
            </w:pPr>
            <w:r>
              <w:t>0.00</w:t>
            </w:r>
          </w:p>
        </w:tc>
        <w:tc>
          <w:tcPr>
            <w:tcW w:w="875" w:type="dxa"/>
          </w:tcPr>
          <w:p w:rsidR="006F0FFC" w:rsidRDefault="006F0FFC" w:rsidP="006F0FFC">
            <w:pPr>
              <w:jc w:val="right"/>
            </w:pPr>
            <w:r>
              <w:t>0.10</w:t>
            </w:r>
          </w:p>
        </w:tc>
      </w:tr>
      <w:tr w:rsidR="006F0FFC" w:rsidTr="006F0FFC">
        <w:tc>
          <w:tcPr>
            <w:tcW w:w="3078" w:type="dxa"/>
          </w:tcPr>
          <w:p w:rsidR="006F0FFC" w:rsidRDefault="006F0FFC" w:rsidP="006F0FFC">
            <w:r>
              <w:t>Spend Enough Time (Q7)</w:t>
            </w:r>
          </w:p>
        </w:tc>
        <w:tc>
          <w:tcPr>
            <w:tcW w:w="874" w:type="dxa"/>
            <w:shd w:val="clear" w:color="auto" w:fill="BFBFBF" w:themeFill="background1" w:themeFillShade="BF"/>
          </w:tcPr>
          <w:p w:rsidR="006F0FFC" w:rsidRDefault="006F0FFC" w:rsidP="006F0FFC">
            <w:pPr>
              <w:jc w:val="right"/>
            </w:pPr>
            <w:r>
              <w:t>0.57</w:t>
            </w:r>
          </w:p>
        </w:tc>
        <w:tc>
          <w:tcPr>
            <w:tcW w:w="874" w:type="dxa"/>
            <w:shd w:val="clear" w:color="auto" w:fill="auto"/>
          </w:tcPr>
          <w:p w:rsidR="006F0FFC" w:rsidRDefault="006F0FFC" w:rsidP="006F0FFC">
            <w:pPr>
              <w:jc w:val="right"/>
            </w:pPr>
            <w:r>
              <w:t>0.05</w:t>
            </w:r>
          </w:p>
        </w:tc>
        <w:tc>
          <w:tcPr>
            <w:tcW w:w="874" w:type="dxa"/>
            <w:shd w:val="clear" w:color="auto" w:fill="auto"/>
          </w:tcPr>
          <w:p w:rsidR="006F0FFC" w:rsidRDefault="006F0FFC" w:rsidP="006F0FFC">
            <w:pPr>
              <w:jc w:val="right"/>
            </w:pPr>
            <w:r>
              <w:t>-0.06</w:t>
            </w:r>
          </w:p>
        </w:tc>
        <w:tc>
          <w:tcPr>
            <w:tcW w:w="875" w:type="dxa"/>
            <w:shd w:val="clear" w:color="auto" w:fill="auto"/>
          </w:tcPr>
          <w:p w:rsidR="006F0FFC" w:rsidRDefault="006F0FFC" w:rsidP="006F0FFC">
            <w:pPr>
              <w:jc w:val="right"/>
            </w:pPr>
            <w:r>
              <w:t>0.35</w:t>
            </w:r>
          </w:p>
        </w:tc>
        <w:tc>
          <w:tcPr>
            <w:tcW w:w="874" w:type="dxa"/>
            <w:shd w:val="clear" w:color="auto" w:fill="auto"/>
          </w:tcPr>
          <w:p w:rsidR="006F0FFC" w:rsidRDefault="006F0FFC" w:rsidP="006F0FFC">
            <w:pPr>
              <w:jc w:val="right"/>
            </w:pPr>
            <w:r>
              <w:t>0.03</w:t>
            </w:r>
          </w:p>
        </w:tc>
        <w:tc>
          <w:tcPr>
            <w:tcW w:w="874" w:type="dxa"/>
          </w:tcPr>
          <w:p w:rsidR="006F0FFC" w:rsidRDefault="006F0FFC" w:rsidP="006F0FFC">
            <w:pPr>
              <w:jc w:val="right"/>
            </w:pPr>
            <w:r>
              <w:t>0.02</w:t>
            </w:r>
          </w:p>
        </w:tc>
        <w:tc>
          <w:tcPr>
            <w:tcW w:w="875" w:type="dxa"/>
          </w:tcPr>
          <w:p w:rsidR="006F0FFC" w:rsidRDefault="006F0FFC" w:rsidP="006F0FFC">
            <w:pPr>
              <w:jc w:val="right"/>
            </w:pPr>
            <w:r>
              <w:t>0.01</w:t>
            </w:r>
          </w:p>
        </w:tc>
      </w:tr>
      <w:tr w:rsidR="006F0FFC" w:rsidTr="006F0FFC">
        <w:tc>
          <w:tcPr>
            <w:tcW w:w="3078" w:type="dxa"/>
          </w:tcPr>
          <w:p w:rsidR="006F0FFC" w:rsidRDefault="006F0FFC" w:rsidP="006F0FFC">
            <w:r>
              <w:t>Living Will (Q44)</w:t>
            </w:r>
          </w:p>
        </w:tc>
        <w:tc>
          <w:tcPr>
            <w:tcW w:w="874" w:type="dxa"/>
            <w:shd w:val="clear" w:color="auto" w:fill="BFBFBF" w:themeFill="background1" w:themeFillShade="BF"/>
          </w:tcPr>
          <w:p w:rsidR="006F0FFC" w:rsidRDefault="006F0FFC" w:rsidP="006F0FFC">
            <w:pPr>
              <w:jc w:val="right"/>
            </w:pPr>
            <w:r>
              <w:t>0.47</w:t>
            </w:r>
          </w:p>
        </w:tc>
        <w:tc>
          <w:tcPr>
            <w:tcW w:w="874" w:type="dxa"/>
            <w:shd w:val="clear" w:color="auto" w:fill="auto"/>
          </w:tcPr>
          <w:p w:rsidR="006F0FFC" w:rsidRDefault="006F0FFC" w:rsidP="006F0FFC">
            <w:pPr>
              <w:jc w:val="right"/>
            </w:pPr>
            <w:r>
              <w:t>-0.02</w:t>
            </w:r>
          </w:p>
        </w:tc>
        <w:tc>
          <w:tcPr>
            <w:tcW w:w="874" w:type="dxa"/>
            <w:shd w:val="clear" w:color="auto" w:fill="auto"/>
          </w:tcPr>
          <w:p w:rsidR="006F0FFC" w:rsidRDefault="006F0FFC" w:rsidP="006F0FFC">
            <w:pPr>
              <w:jc w:val="right"/>
            </w:pPr>
            <w:r>
              <w:t>-0.08</w:t>
            </w:r>
          </w:p>
        </w:tc>
        <w:tc>
          <w:tcPr>
            <w:tcW w:w="875" w:type="dxa"/>
            <w:shd w:val="clear" w:color="auto" w:fill="auto"/>
          </w:tcPr>
          <w:p w:rsidR="006F0FFC" w:rsidRDefault="006F0FFC" w:rsidP="006F0FFC">
            <w:pPr>
              <w:jc w:val="right"/>
            </w:pPr>
            <w:r>
              <w:t>-0.30</w:t>
            </w:r>
          </w:p>
        </w:tc>
        <w:tc>
          <w:tcPr>
            <w:tcW w:w="874" w:type="dxa"/>
            <w:shd w:val="clear" w:color="auto" w:fill="auto"/>
          </w:tcPr>
          <w:p w:rsidR="006F0FFC" w:rsidRDefault="006F0FFC" w:rsidP="006F0FFC">
            <w:pPr>
              <w:jc w:val="right"/>
            </w:pPr>
            <w:r>
              <w:t>0.10</w:t>
            </w:r>
          </w:p>
        </w:tc>
        <w:tc>
          <w:tcPr>
            <w:tcW w:w="874" w:type="dxa"/>
          </w:tcPr>
          <w:p w:rsidR="006F0FFC" w:rsidRDefault="006F0FFC" w:rsidP="006F0FFC">
            <w:pPr>
              <w:jc w:val="right"/>
            </w:pPr>
            <w:r>
              <w:t>0.07</w:t>
            </w:r>
          </w:p>
        </w:tc>
        <w:tc>
          <w:tcPr>
            <w:tcW w:w="875" w:type="dxa"/>
          </w:tcPr>
          <w:p w:rsidR="006F0FFC" w:rsidRDefault="006F0FFC" w:rsidP="006F0FFC">
            <w:pPr>
              <w:jc w:val="right"/>
            </w:pPr>
            <w:r>
              <w:t>0.05</w:t>
            </w:r>
          </w:p>
        </w:tc>
      </w:tr>
      <w:tr w:rsidR="006F0FFC" w:rsidTr="006F0FFC">
        <w:tc>
          <w:tcPr>
            <w:tcW w:w="3078" w:type="dxa"/>
          </w:tcPr>
          <w:p w:rsidR="006F0FFC" w:rsidRDefault="006F0FFC" w:rsidP="006F0FFC">
            <w:r>
              <w:t>Visitors Help (Q27)</w:t>
            </w:r>
          </w:p>
        </w:tc>
        <w:tc>
          <w:tcPr>
            <w:tcW w:w="874" w:type="dxa"/>
            <w:shd w:val="clear" w:color="auto" w:fill="BFBFBF" w:themeFill="background1" w:themeFillShade="BF"/>
          </w:tcPr>
          <w:p w:rsidR="006F0FFC" w:rsidRDefault="006F0FFC" w:rsidP="006F0FFC">
            <w:pPr>
              <w:jc w:val="right"/>
            </w:pPr>
            <w:r>
              <w:t>0.43</w:t>
            </w:r>
          </w:p>
        </w:tc>
        <w:tc>
          <w:tcPr>
            <w:tcW w:w="874" w:type="dxa"/>
            <w:shd w:val="clear" w:color="auto" w:fill="auto"/>
          </w:tcPr>
          <w:p w:rsidR="006F0FFC" w:rsidRDefault="006F0FFC" w:rsidP="006F0FFC">
            <w:pPr>
              <w:jc w:val="right"/>
            </w:pPr>
            <w:r>
              <w:t>0.09</w:t>
            </w:r>
          </w:p>
        </w:tc>
        <w:tc>
          <w:tcPr>
            <w:tcW w:w="874" w:type="dxa"/>
            <w:shd w:val="clear" w:color="auto" w:fill="auto"/>
          </w:tcPr>
          <w:p w:rsidR="006F0FFC" w:rsidRDefault="006F0FFC" w:rsidP="006F0FFC">
            <w:pPr>
              <w:jc w:val="right"/>
            </w:pPr>
            <w:r>
              <w:t>-0.01</w:t>
            </w:r>
          </w:p>
        </w:tc>
        <w:tc>
          <w:tcPr>
            <w:tcW w:w="875" w:type="dxa"/>
            <w:shd w:val="clear" w:color="auto" w:fill="auto"/>
          </w:tcPr>
          <w:p w:rsidR="006F0FFC" w:rsidRDefault="006F0FFC" w:rsidP="006F0FFC">
            <w:pPr>
              <w:jc w:val="right"/>
            </w:pPr>
            <w:r>
              <w:t>0.25</w:t>
            </w:r>
          </w:p>
        </w:tc>
        <w:tc>
          <w:tcPr>
            <w:tcW w:w="874" w:type="dxa"/>
            <w:shd w:val="clear" w:color="auto" w:fill="auto"/>
          </w:tcPr>
          <w:p w:rsidR="006F0FFC" w:rsidRDefault="006F0FFC" w:rsidP="006F0FFC">
            <w:pPr>
              <w:jc w:val="right"/>
            </w:pPr>
            <w:r>
              <w:t>-0.02</w:t>
            </w:r>
          </w:p>
        </w:tc>
        <w:tc>
          <w:tcPr>
            <w:tcW w:w="874" w:type="dxa"/>
          </w:tcPr>
          <w:p w:rsidR="006F0FFC" w:rsidRDefault="006F0FFC" w:rsidP="006F0FFC">
            <w:pPr>
              <w:jc w:val="right"/>
            </w:pPr>
            <w:r>
              <w:t>0.17</w:t>
            </w:r>
          </w:p>
        </w:tc>
        <w:tc>
          <w:tcPr>
            <w:tcW w:w="875" w:type="dxa"/>
          </w:tcPr>
          <w:p w:rsidR="006F0FFC" w:rsidRDefault="006F0FFC" w:rsidP="006F0FFC">
            <w:pPr>
              <w:jc w:val="right"/>
            </w:pPr>
            <w:r>
              <w:t>0.04</w:t>
            </w:r>
          </w:p>
        </w:tc>
      </w:tr>
      <w:tr w:rsidR="006F0FFC" w:rsidTr="006F0FFC">
        <w:tc>
          <w:tcPr>
            <w:tcW w:w="3078" w:type="dxa"/>
          </w:tcPr>
          <w:p w:rsidR="006F0FFC" w:rsidRDefault="006F0FFC" w:rsidP="006F0FFC">
            <w:r>
              <w:t>MD Listen (Q5)</w:t>
            </w:r>
          </w:p>
        </w:tc>
        <w:tc>
          <w:tcPr>
            <w:tcW w:w="874" w:type="dxa"/>
            <w:shd w:val="clear" w:color="auto" w:fill="auto"/>
          </w:tcPr>
          <w:p w:rsidR="006F0FFC" w:rsidRDefault="006F0FFC" w:rsidP="006F0FFC">
            <w:pPr>
              <w:jc w:val="right"/>
            </w:pPr>
            <w:r>
              <w:t>0.02</w:t>
            </w:r>
          </w:p>
        </w:tc>
        <w:tc>
          <w:tcPr>
            <w:tcW w:w="874" w:type="dxa"/>
            <w:shd w:val="clear" w:color="auto" w:fill="BFBFBF" w:themeFill="background1" w:themeFillShade="BF"/>
          </w:tcPr>
          <w:p w:rsidR="006F0FFC" w:rsidRDefault="006F0FFC" w:rsidP="006F0FFC">
            <w:pPr>
              <w:jc w:val="right"/>
            </w:pPr>
            <w:r>
              <w:t>0.89</w:t>
            </w:r>
          </w:p>
        </w:tc>
        <w:tc>
          <w:tcPr>
            <w:tcW w:w="874" w:type="dxa"/>
            <w:shd w:val="clear" w:color="auto" w:fill="auto"/>
          </w:tcPr>
          <w:p w:rsidR="006F0FFC" w:rsidRDefault="006F0FFC" w:rsidP="006F0FFC">
            <w:pPr>
              <w:jc w:val="right"/>
            </w:pPr>
            <w:r>
              <w:t>0.02</w:t>
            </w:r>
          </w:p>
        </w:tc>
        <w:tc>
          <w:tcPr>
            <w:tcW w:w="875" w:type="dxa"/>
            <w:shd w:val="clear" w:color="auto" w:fill="auto"/>
          </w:tcPr>
          <w:p w:rsidR="006F0FFC" w:rsidRDefault="006F0FFC" w:rsidP="006F0FFC">
            <w:pPr>
              <w:jc w:val="right"/>
            </w:pPr>
            <w:r>
              <w:t>-0.02</w:t>
            </w:r>
          </w:p>
        </w:tc>
        <w:tc>
          <w:tcPr>
            <w:tcW w:w="874" w:type="dxa"/>
            <w:shd w:val="clear" w:color="auto" w:fill="auto"/>
          </w:tcPr>
          <w:p w:rsidR="006F0FFC" w:rsidRDefault="006F0FFC" w:rsidP="006F0FFC">
            <w:pPr>
              <w:jc w:val="right"/>
            </w:pPr>
            <w:r>
              <w:t>0.01</w:t>
            </w:r>
          </w:p>
        </w:tc>
        <w:tc>
          <w:tcPr>
            <w:tcW w:w="874" w:type="dxa"/>
          </w:tcPr>
          <w:p w:rsidR="006F0FFC" w:rsidRDefault="006F0FFC" w:rsidP="006F0FFC">
            <w:pPr>
              <w:jc w:val="right"/>
            </w:pPr>
            <w:r>
              <w:t>0.02</w:t>
            </w:r>
          </w:p>
        </w:tc>
        <w:tc>
          <w:tcPr>
            <w:tcW w:w="875" w:type="dxa"/>
          </w:tcPr>
          <w:p w:rsidR="006F0FFC" w:rsidRDefault="006F0FFC" w:rsidP="006F0FFC">
            <w:pPr>
              <w:jc w:val="right"/>
            </w:pPr>
            <w:r>
              <w:t>-0.01</w:t>
            </w:r>
          </w:p>
        </w:tc>
      </w:tr>
      <w:tr w:rsidR="006F0FFC" w:rsidTr="006F0FFC">
        <w:tc>
          <w:tcPr>
            <w:tcW w:w="3078" w:type="dxa"/>
          </w:tcPr>
          <w:p w:rsidR="006F0FFC" w:rsidRDefault="006F0FFC" w:rsidP="006F0FFC">
            <w:r>
              <w:t>MD Explain (Q13)</w:t>
            </w:r>
          </w:p>
        </w:tc>
        <w:tc>
          <w:tcPr>
            <w:tcW w:w="874" w:type="dxa"/>
            <w:shd w:val="clear" w:color="auto" w:fill="auto"/>
          </w:tcPr>
          <w:p w:rsidR="006F0FFC" w:rsidRDefault="006F0FFC" w:rsidP="006F0FFC">
            <w:pPr>
              <w:jc w:val="right"/>
            </w:pPr>
            <w:r>
              <w:t>0.03</w:t>
            </w:r>
          </w:p>
        </w:tc>
        <w:tc>
          <w:tcPr>
            <w:tcW w:w="874" w:type="dxa"/>
            <w:shd w:val="clear" w:color="auto" w:fill="BFBFBF" w:themeFill="background1" w:themeFillShade="BF"/>
          </w:tcPr>
          <w:p w:rsidR="006F0FFC" w:rsidRDefault="006F0FFC" w:rsidP="006F0FFC">
            <w:pPr>
              <w:jc w:val="right"/>
            </w:pPr>
            <w:r>
              <w:t>0.82</w:t>
            </w:r>
          </w:p>
        </w:tc>
        <w:tc>
          <w:tcPr>
            <w:tcW w:w="874" w:type="dxa"/>
            <w:shd w:val="clear" w:color="auto" w:fill="auto"/>
          </w:tcPr>
          <w:p w:rsidR="006F0FFC" w:rsidRDefault="006F0FFC" w:rsidP="006F0FFC">
            <w:pPr>
              <w:jc w:val="right"/>
            </w:pPr>
            <w:r>
              <w:t>0.04</w:t>
            </w:r>
          </w:p>
        </w:tc>
        <w:tc>
          <w:tcPr>
            <w:tcW w:w="875" w:type="dxa"/>
            <w:shd w:val="clear" w:color="auto" w:fill="auto"/>
          </w:tcPr>
          <w:p w:rsidR="006F0FFC" w:rsidRDefault="006F0FFC" w:rsidP="006F0FFC">
            <w:pPr>
              <w:jc w:val="right"/>
            </w:pPr>
            <w:r>
              <w:t>0.03</w:t>
            </w:r>
          </w:p>
        </w:tc>
        <w:tc>
          <w:tcPr>
            <w:tcW w:w="874" w:type="dxa"/>
            <w:shd w:val="clear" w:color="auto" w:fill="auto"/>
          </w:tcPr>
          <w:p w:rsidR="006F0FFC" w:rsidRDefault="006F0FFC" w:rsidP="006F0FFC">
            <w:pPr>
              <w:jc w:val="right"/>
            </w:pPr>
            <w:r>
              <w:t>0.06</w:t>
            </w:r>
          </w:p>
        </w:tc>
        <w:tc>
          <w:tcPr>
            <w:tcW w:w="874" w:type="dxa"/>
          </w:tcPr>
          <w:p w:rsidR="006F0FFC" w:rsidRDefault="006F0FFC" w:rsidP="006F0FFC">
            <w:pPr>
              <w:jc w:val="right"/>
            </w:pPr>
            <w:r>
              <w:t>-0.07</w:t>
            </w:r>
          </w:p>
        </w:tc>
        <w:tc>
          <w:tcPr>
            <w:tcW w:w="875" w:type="dxa"/>
          </w:tcPr>
          <w:p w:rsidR="006F0FFC" w:rsidRDefault="006F0FFC" w:rsidP="006F0FFC">
            <w:pPr>
              <w:jc w:val="right"/>
            </w:pPr>
            <w:r>
              <w:t>0.00</w:t>
            </w:r>
          </w:p>
        </w:tc>
      </w:tr>
      <w:tr w:rsidR="006F0FFC" w:rsidTr="006F0FFC">
        <w:tc>
          <w:tcPr>
            <w:tcW w:w="3078" w:type="dxa"/>
          </w:tcPr>
          <w:p w:rsidR="006F0FFC" w:rsidRDefault="006F0FFC" w:rsidP="006F0FFC">
            <w:r>
              <w:t>MD Enough Time (Q14)</w:t>
            </w:r>
          </w:p>
        </w:tc>
        <w:tc>
          <w:tcPr>
            <w:tcW w:w="874" w:type="dxa"/>
            <w:shd w:val="clear" w:color="auto" w:fill="auto"/>
          </w:tcPr>
          <w:p w:rsidR="006F0FFC" w:rsidRDefault="006F0FFC" w:rsidP="006F0FFC">
            <w:pPr>
              <w:jc w:val="right"/>
            </w:pPr>
            <w:r>
              <w:t>0.01</w:t>
            </w:r>
          </w:p>
        </w:tc>
        <w:tc>
          <w:tcPr>
            <w:tcW w:w="874" w:type="dxa"/>
            <w:shd w:val="clear" w:color="auto" w:fill="BFBFBF" w:themeFill="background1" w:themeFillShade="BF"/>
          </w:tcPr>
          <w:p w:rsidR="006F0FFC" w:rsidRDefault="006F0FFC" w:rsidP="006F0FFC">
            <w:pPr>
              <w:jc w:val="right"/>
            </w:pPr>
            <w:r>
              <w:t>0.80</w:t>
            </w:r>
          </w:p>
        </w:tc>
        <w:tc>
          <w:tcPr>
            <w:tcW w:w="874" w:type="dxa"/>
            <w:shd w:val="clear" w:color="auto" w:fill="auto"/>
          </w:tcPr>
          <w:p w:rsidR="006F0FFC" w:rsidRDefault="006F0FFC" w:rsidP="006F0FFC">
            <w:pPr>
              <w:jc w:val="right"/>
            </w:pPr>
            <w:r>
              <w:t>-0.02</w:t>
            </w:r>
          </w:p>
        </w:tc>
        <w:tc>
          <w:tcPr>
            <w:tcW w:w="875" w:type="dxa"/>
            <w:shd w:val="clear" w:color="auto" w:fill="auto"/>
          </w:tcPr>
          <w:p w:rsidR="006F0FFC" w:rsidRDefault="006F0FFC" w:rsidP="006F0FFC">
            <w:pPr>
              <w:jc w:val="right"/>
            </w:pPr>
            <w:r>
              <w:t>0.10</w:t>
            </w:r>
          </w:p>
        </w:tc>
        <w:tc>
          <w:tcPr>
            <w:tcW w:w="874" w:type="dxa"/>
            <w:shd w:val="clear" w:color="auto" w:fill="auto"/>
          </w:tcPr>
          <w:p w:rsidR="006F0FFC" w:rsidRDefault="006F0FFC" w:rsidP="006F0FFC">
            <w:pPr>
              <w:jc w:val="right"/>
            </w:pPr>
            <w:r>
              <w:t>-0.04</w:t>
            </w:r>
          </w:p>
        </w:tc>
        <w:tc>
          <w:tcPr>
            <w:tcW w:w="874" w:type="dxa"/>
          </w:tcPr>
          <w:p w:rsidR="006F0FFC" w:rsidRDefault="006F0FFC" w:rsidP="006F0FFC">
            <w:pPr>
              <w:jc w:val="right"/>
            </w:pPr>
            <w:r>
              <w:t>0.01</w:t>
            </w:r>
          </w:p>
        </w:tc>
        <w:tc>
          <w:tcPr>
            <w:tcW w:w="875" w:type="dxa"/>
          </w:tcPr>
          <w:p w:rsidR="006F0FFC" w:rsidRDefault="006F0FFC" w:rsidP="006F0FFC">
            <w:pPr>
              <w:jc w:val="right"/>
            </w:pPr>
            <w:r>
              <w:t>0.03</w:t>
            </w:r>
          </w:p>
        </w:tc>
      </w:tr>
      <w:tr w:rsidR="006F0FFC" w:rsidTr="006F0FFC">
        <w:tc>
          <w:tcPr>
            <w:tcW w:w="3078" w:type="dxa"/>
          </w:tcPr>
          <w:p w:rsidR="006F0FFC" w:rsidRDefault="006F0FFC" w:rsidP="006F0FFC">
            <w:r>
              <w:t>MD Respect (Q11)</w:t>
            </w:r>
          </w:p>
        </w:tc>
        <w:tc>
          <w:tcPr>
            <w:tcW w:w="874" w:type="dxa"/>
            <w:shd w:val="clear" w:color="auto" w:fill="auto"/>
          </w:tcPr>
          <w:p w:rsidR="006F0FFC" w:rsidRDefault="006F0FFC" w:rsidP="006F0FFC">
            <w:pPr>
              <w:jc w:val="right"/>
            </w:pPr>
            <w:r>
              <w:t>0.17</w:t>
            </w:r>
          </w:p>
        </w:tc>
        <w:tc>
          <w:tcPr>
            <w:tcW w:w="874" w:type="dxa"/>
            <w:shd w:val="clear" w:color="auto" w:fill="BFBFBF" w:themeFill="background1" w:themeFillShade="BF"/>
          </w:tcPr>
          <w:p w:rsidR="006F0FFC" w:rsidRDefault="006F0FFC" w:rsidP="006F0FFC">
            <w:pPr>
              <w:jc w:val="right"/>
            </w:pPr>
            <w:r>
              <w:t>0.79</w:t>
            </w:r>
          </w:p>
        </w:tc>
        <w:tc>
          <w:tcPr>
            <w:tcW w:w="874" w:type="dxa"/>
            <w:shd w:val="clear" w:color="auto" w:fill="auto"/>
          </w:tcPr>
          <w:p w:rsidR="006F0FFC" w:rsidRDefault="006F0FFC" w:rsidP="006F0FFC">
            <w:pPr>
              <w:jc w:val="right"/>
            </w:pPr>
            <w:r>
              <w:t>-0.01</w:t>
            </w:r>
          </w:p>
        </w:tc>
        <w:tc>
          <w:tcPr>
            <w:tcW w:w="875" w:type="dxa"/>
            <w:shd w:val="clear" w:color="auto" w:fill="auto"/>
          </w:tcPr>
          <w:p w:rsidR="006F0FFC" w:rsidRDefault="006F0FFC" w:rsidP="006F0FFC">
            <w:pPr>
              <w:jc w:val="right"/>
            </w:pPr>
            <w:r>
              <w:t>-0.17</w:t>
            </w:r>
          </w:p>
        </w:tc>
        <w:tc>
          <w:tcPr>
            <w:tcW w:w="874" w:type="dxa"/>
            <w:shd w:val="clear" w:color="auto" w:fill="auto"/>
          </w:tcPr>
          <w:p w:rsidR="006F0FFC" w:rsidRDefault="006F0FFC" w:rsidP="006F0FFC">
            <w:pPr>
              <w:jc w:val="right"/>
            </w:pPr>
            <w:r>
              <w:t>-0.05</w:t>
            </w:r>
          </w:p>
        </w:tc>
        <w:tc>
          <w:tcPr>
            <w:tcW w:w="874" w:type="dxa"/>
          </w:tcPr>
          <w:p w:rsidR="006F0FFC" w:rsidRDefault="006F0FFC" w:rsidP="006F0FFC">
            <w:pPr>
              <w:jc w:val="right"/>
            </w:pPr>
            <w:r>
              <w:t>0.04</w:t>
            </w:r>
          </w:p>
        </w:tc>
        <w:tc>
          <w:tcPr>
            <w:tcW w:w="875" w:type="dxa"/>
          </w:tcPr>
          <w:p w:rsidR="006F0FFC" w:rsidRDefault="006F0FFC" w:rsidP="006F0FFC">
            <w:pPr>
              <w:jc w:val="right"/>
            </w:pPr>
            <w:r>
              <w:t>0.11</w:t>
            </w:r>
          </w:p>
        </w:tc>
      </w:tr>
      <w:tr w:rsidR="006F0FFC" w:rsidTr="006F0FFC">
        <w:tc>
          <w:tcPr>
            <w:tcW w:w="3078" w:type="dxa"/>
          </w:tcPr>
          <w:p w:rsidR="006F0FFC" w:rsidRDefault="006F0FFC" w:rsidP="006F0FFC">
            <w:r>
              <w:t>Taking Other RX (Q39)</w:t>
            </w:r>
          </w:p>
        </w:tc>
        <w:tc>
          <w:tcPr>
            <w:tcW w:w="874" w:type="dxa"/>
            <w:shd w:val="clear" w:color="auto" w:fill="auto"/>
          </w:tcPr>
          <w:p w:rsidR="006F0FFC" w:rsidRDefault="006F0FFC" w:rsidP="006F0FFC">
            <w:pPr>
              <w:jc w:val="right"/>
            </w:pPr>
            <w:r>
              <w:t>0.00</w:t>
            </w:r>
          </w:p>
        </w:tc>
        <w:tc>
          <w:tcPr>
            <w:tcW w:w="874" w:type="dxa"/>
            <w:shd w:val="clear" w:color="auto" w:fill="auto"/>
          </w:tcPr>
          <w:p w:rsidR="006F0FFC" w:rsidRDefault="006F0FFC" w:rsidP="006F0FFC">
            <w:pPr>
              <w:jc w:val="right"/>
            </w:pPr>
            <w:r>
              <w:t>0.00</w:t>
            </w:r>
          </w:p>
        </w:tc>
        <w:tc>
          <w:tcPr>
            <w:tcW w:w="874" w:type="dxa"/>
            <w:shd w:val="clear" w:color="auto" w:fill="BFBFBF" w:themeFill="background1" w:themeFillShade="BF"/>
          </w:tcPr>
          <w:p w:rsidR="006F0FFC" w:rsidRDefault="006F0FFC" w:rsidP="006F0FFC">
            <w:pPr>
              <w:jc w:val="right"/>
            </w:pPr>
            <w:r>
              <w:t>0.88</w:t>
            </w:r>
          </w:p>
        </w:tc>
        <w:tc>
          <w:tcPr>
            <w:tcW w:w="875" w:type="dxa"/>
            <w:shd w:val="clear" w:color="auto" w:fill="auto"/>
          </w:tcPr>
          <w:p w:rsidR="006F0FFC" w:rsidRDefault="006F0FFC" w:rsidP="006F0FFC">
            <w:pPr>
              <w:jc w:val="right"/>
            </w:pPr>
            <w:r>
              <w:t>-0.10</w:t>
            </w:r>
          </w:p>
        </w:tc>
        <w:tc>
          <w:tcPr>
            <w:tcW w:w="874" w:type="dxa"/>
            <w:shd w:val="clear" w:color="auto" w:fill="auto"/>
          </w:tcPr>
          <w:p w:rsidR="006F0FFC" w:rsidRDefault="006F0FFC" w:rsidP="006F0FFC">
            <w:pPr>
              <w:jc w:val="right"/>
            </w:pPr>
            <w:r>
              <w:t>-0.04</w:t>
            </w:r>
          </w:p>
        </w:tc>
        <w:tc>
          <w:tcPr>
            <w:tcW w:w="874" w:type="dxa"/>
          </w:tcPr>
          <w:p w:rsidR="006F0FFC" w:rsidRDefault="006F0FFC" w:rsidP="006F0FFC">
            <w:pPr>
              <w:jc w:val="right"/>
            </w:pPr>
            <w:r>
              <w:t>-0.02</w:t>
            </w:r>
          </w:p>
        </w:tc>
        <w:tc>
          <w:tcPr>
            <w:tcW w:w="875" w:type="dxa"/>
          </w:tcPr>
          <w:p w:rsidR="006F0FFC" w:rsidRDefault="006F0FFC" w:rsidP="006F0FFC">
            <w:pPr>
              <w:jc w:val="right"/>
            </w:pPr>
            <w:r>
              <w:t>0.06</w:t>
            </w:r>
          </w:p>
        </w:tc>
      </w:tr>
      <w:tr w:rsidR="006F0FFC" w:rsidTr="006F0FFC">
        <w:tc>
          <w:tcPr>
            <w:tcW w:w="3078" w:type="dxa"/>
          </w:tcPr>
          <w:p w:rsidR="006F0FFC" w:rsidRDefault="006F0FFC" w:rsidP="006F0FFC">
            <w:r>
              <w:t>Allergic to RX (Q40)</w:t>
            </w:r>
          </w:p>
        </w:tc>
        <w:tc>
          <w:tcPr>
            <w:tcW w:w="874" w:type="dxa"/>
            <w:shd w:val="clear" w:color="auto" w:fill="auto"/>
          </w:tcPr>
          <w:p w:rsidR="006F0FFC" w:rsidRDefault="006F0FFC" w:rsidP="006F0FFC">
            <w:pPr>
              <w:jc w:val="right"/>
            </w:pPr>
            <w:r>
              <w:t>0.06</w:t>
            </w:r>
          </w:p>
        </w:tc>
        <w:tc>
          <w:tcPr>
            <w:tcW w:w="874" w:type="dxa"/>
            <w:shd w:val="clear" w:color="auto" w:fill="auto"/>
          </w:tcPr>
          <w:p w:rsidR="006F0FFC" w:rsidRDefault="006F0FFC" w:rsidP="006F0FFC">
            <w:pPr>
              <w:jc w:val="right"/>
            </w:pPr>
            <w:r>
              <w:t>-0.03</w:t>
            </w:r>
          </w:p>
        </w:tc>
        <w:tc>
          <w:tcPr>
            <w:tcW w:w="874" w:type="dxa"/>
            <w:shd w:val="clear" w:color="auto" w:fill="BFBFBF" w:themeFill="background1" w:themeFillShade="BF"/>
          </w:tcPr>
          <w:p w:rsidR="006F0FFC" w:rsidRDefault="006F0FFC" w:rsidP="006F0FFC">
            <w:pPr>
              <w:jc w:val="right"/>
            </w:pPr>
            <w:r>
              <w:t>0.85</w:t>
            </w:r>
          </w:p>
        </w:tc>
        <w:tc>
          <w:tcPr>
            <w:tcW w:w="875" w:type="dxa"/>
            <w:shd w:val="clear" w:color="auto" w:fill="auto"/>
          </w:tcPr>
          <w:p w:rsidR="006F0FFC" w:rsidRDefault="006F0FFC" w:rsidP="006F0FFC">
            <w:pPr>
              <w:jc w:val="right"/>
            </w:pPr>
            <w:r>
              <w:t>-0.12</w:t>
            </w:r>
          </w:p>
        </w:tc>
        <w:tc>
          <w:tcPr>
            <w:tcW w:w="874" w:type="dxa"/>
            <w:shd w:val="clear" w:color="auto" w:fill="auto"/>
          </w:tcPr>
          <w:p w:rsidR="006F0FFC" w:rsidRDefault="006F0FFC" w:rsidP="006F0FFC">
            <w:pPr>
              <w:jc w:val="right"/>
            </w:pPr>
            <w:r>
              <w:t>-0.07</w:t>
            </w:r>
          </w:p>
        </w:tc>
        <w:tc>
          <w:tcPr>
            <w:tcW w:w="874" w:type="dxa"/>
          </w:tcPr>
          <w:p w:rsidR="006F0FFC" w:rsidRDefault="006F0FFC" w:rsidP="006F0FFC">
            <w:pPr>
              <w:jc w:val="right"/>
            </w:pPr>
            <w:r>
              <w:t>0.00</w:t>
            </w:r>
          </w:p>
        </w:tc>
        <w:tc>
          <w:tcPr>
            <w:tcW w:w="875" w:type="dxa"/>
          </w:tcPr>
          <w:p w:rsidR="006F0FFC" w:rsidRDefault="006F0FFC" w:rsidP="006F0FFC">
            <w:pPr>
              <w:jc w:val="right"/>
            </w:pPr>
            <w:r>
              <w:t>0.12</w:t>
            </w:r>
          </w:p>
        </w:tc>
      </w:tr>
      <w:tr w:rsidR="006F0FFC" w:rsidTr="006F0FFC">
        <w:tc>
          <w:tcPr>
            <w:tcW w:w="3078" w:type="dxa"/>
          </w:tcPr>
          <w:p w:rsidR="006F0FFC" w:rsidRDefault="006F0FFC" w:rsidP="006F0FFC">
            <w:r>
              <w:t>Purpose of TX (Q38)</w:t>
            </w:r>
          </w:p>
        </w:tc>
        <w:tc>
          <w:tcPr>
            <w:tcW w:w="874" w:type="dxa"/>
            <w:shd w:val="clear" w:color="auto" w:fill="auto"/>
          </w:tcPr>
          <w:p w:rsidR="006F0FFC" w:rsidRDefault="006F0FFC" w:rsidP="006F0FFC">
            <w:pPr>
              <w:jc w:val="right"/>
            </w:pPr>
            <w:r>
              <w:t>-0.05</w:t>
            </w:r>
          </w:p>
        </w:tc>
        <w:tc>
          <w:tcPr>
            <w:tcW w:w="874" w:type="dxa"/>
            <w:shd w:val="clear" w:color="auto" w:fill="auto"/>
          </w:tcPr>
          <w:p w:rsidR="006F0FFC" w:rsidRDefault="006F0FFC" w:rsidP="006F0FFC">
            <w:pPr>
              <w:jc w:val="right"/>
            </w:pPr>
            <w:r>
              <w:t>0.06</w:t>
            </w:r>
          </w:p>
        </w:tc>
        <w:tc>
          <w:tcPr>
            <w:tcW w:w="874" w:type="dxa"/>
            <w:shd w:val="clear" w:color="auto" w:fill="BFBFBF" w:themeFill="background1" w:themeFillShade="BF"/>
          </w:tcPr>
          <w:p w:rsidR="006F0FFC" w:rsidRDefault="006F0FFC" w:rsidP="006F0FFC">
            <w:pPr>
              <w:jc w:val="right"/>
            </w:pPr>
            <w:r>
              <w:t>0.72</w:t>
            </w:r>
          </w:p>
        </w:tc>
        <w:tc>
          <w:tcPr>
            <w:tcW w:w="875" w:type="dxa"/>
            <w:shd w:val="clear" w:color="auto" w:fill="auto"/>
          </w:tcPr>
          <w:p w:rsidR="006F0FFC" w:rsidRDefault="006F0FFC" w:rsidP="006F0FFC">
            <w:pPr>
              <w:jc w:val="right"/>
            </w:pPr>
            <w:r>
              <w:t>0.21</w:t>
            </w:r>
          </w:p>
        </w:tc>
        <w:tc>
          <w:tcPr>
            <w:tcW w:w="874" w:type="dxa"/>
            <w:shd w:val="clear" w:color="auto" w:fill="auto"/>
          </w:tcPr>
          <w:p w:rsidR="006F0FFC" w:rsidRDefault="006F0FFC" w:rsidP="006F0FFC">
            <w:pPr>
              <w:jc w:val="right"/>
            </w:pPr>
            <w:r>
              <w:t>0.01</w:t>
            </w:r>
          </w:p>
        </w:tc>
        <w:tc>
          <w:tcPr>
            <w:tcW w:w="874" w:type="dxa"/>
          </w:tcPr>
          <w:p w:rsidR="006F0FFC" w:rsidRDefault="006F0FFC" w:rsidP="006F0FFC">
            <w:pPr>
              <w:jc w:val="right"/>
            </w:pPr>
            <w:r>
              <w:t>-0.03</w:t>
            </w:r>
          </w:p>
        </w:tc>
        <w:tc>
          <w:tcPr>
            <w:tcW w:w="875" w:type="dxa"/>
          </w:tcPr>
          <w:p w:rsidR="006F0FFC" w:rsidRDefault="006F0FFC" w:rsidP="006F0FFC">
            <w:pPr>
              <w:jc w:val="right"/>
            </w:pPr>
            <w:r>
              <w:t>-0.07</w:t>
            </w:r>
          </w:p>
        </w:tc>
      </w:tr>
      <w:tr w:rsidR="006F0FFC" w:rsidTr="006F0FFC">
        <w:tc>
          <w:tcPr>
            <w:tcW w:w="3078" w:type="dxa"/>
          </w:tcPr>
          <w:p w:rsidR="006F0FFC" w:rsidRDefault="006F0FFC" w:rsidP="006F0FFC">
            <w:r>
              <w:t>RX Side Effects (Q41)</w:t>
            </w:r>
          </w:p>
        </w:tc>
        <w:tc>
          <w:tcPr>
            <w:tcW w:w="874" w:type="dxa"/>
            <w:shd w:val="clear" w:color="auto" w:fill="auto"/>
          </w:tcPr>
          <w:p w:rsidR="006F0FFC" w:rsidRDefault="006F0FFC" w:rsidP="006F0FFC">
            <w:pPr>
              <w:jc w:val="right"/>
            </w:pPr>
            <w:r>
              <w:t>-0.17</w:t>
            </w:r>
          </w:p>
        </w:tc>
        <w:tc>
          <w:tcPr>
            <w:tcW w:w="874" w:type="dxa"/>
            <w:shd w:val="clear" w:color="auto" w:fill="auto"/>
          </w:tcPr>
          <w:p w:rsidR="006F0FFC" w:rsidRDefault="006F0FFC" w:rsidP="006F0FFC">
            <w:pPr>
              <w:jc w:val="right"/>
            </w:pPr>
            <w:r>
              <w:t>-0.01</w:t>
            </w:r>
          </w:p>
        </w:tc>
        <w:tc>
          <w:tcPr>
            <w:tcW w:w="874" w:type="dxa"/>
            <w:shd w:val="clear" w:color="auto" w:fill="BFBFBF" w:themeFill="background1" w:themeFillShade="BF"/>
          </w:tcPr>
          <w:p w:rsidR="006F0FFC" w:rsidRDefault="006F0FFC" w:rsidP="006F0FFC">
            <w:pPr>
              <w:jc w:val="right"/>
            </w:pPr>
            <w:r>
              <w:t>0.63</w:t>
            </w:r>
          </w:p>
        </w:tc>
        <w:tc>
          <w:tcPr>
            <w:tcW w:w="875" w:type="dxa"/>
            <w:shd w:val="clear" w:color="auto" w:fill="auto"/>
          </w:tcPr>
          <w:p w:rsidR="006F0FFC" w:rsidRDefault="006F0FFC" w:rsidP="006F0FFC">
            <w:pPr>
              <w:jc w:val="right"/>
            </w:pPr>
            <w:r>
              <w:t>0.20</w:t>
            </w:r>
          </w:p>
        </w:tc>
        <w:tc>
          <w:tcPr>
            <w:tcW w:w="874" w:type="dxa"/>
            <w:shd w:val="clear" w:color="auto" w:fill="auto"/>
          </w:tcPr>
          <w:p w:rsidR="006F0FFC" w:rsidRDefault="006F0FFC" w:rsidP="006F0FFC">
            <w:pPr>
              <w:jc w:val="right"/>
            </w:pPr>
            <w:r>
              <w:t>0.13</w:t>
            </w:r>
          </w:p>
        </w:tc>
        <w:tc>
          <w:tcPr>
            <w:tcW w:w="874" w:type="dxa"/>
          </w:tcPr>
          <w:p w:rsidR="006F0FFC" w:rsidRDefault="006F0FFC" w:rsidP="006F0FFC">
            <w:pPr>
              <w:jc w:val="right"/>
            </w:pPr>
            <w:r>
              <w:t>0.01</w:t>
            </w:r>
          </w:p>
        </w:tc>
        <w:tc>
          <w:tcPr>
            <w:tcW w:w="875" w:type="dxa"/>
          </w:tcPr>
          <w:p w:rsidR="006F0FFC" w:rsidRDefault="006F0FFC" w:rsidP="006F0FFC">
            <w:pPr>
              <w:jc w:val="right"/>
            </w:pPr>
            <w:r>
              <w:t>0.13</w:t>
            </w:r>
          </w:p>
        </w:tc>
      </w:tr>
      <w:tr w:rsidR="006F0FFC" w:rsidTr="006F0FFC">
        <w:tc>
          <w:tcPr>
            <w:tcW w:w="3078" w:type="dxa"/>
          </w:tcPr>
          <w:p w:rsidR="006F0FFC" w:rsidRDefault="006F0FFC" w:rsidP="006F0FFC">
            <w:r>
              <w:t>Name of TX (Q37)</w:t>
            </w:r>
          </w:p>
        </w:tc>
        <w:tc>
          <w:tcPr>
            <w:tcW w:w="874" w:type="dxa"/>
            <w:shd w:val="clear" w:color="auto" w:fill="auto"/>
          </w:tcPr>
          <w:p w:rsidR="006F0FFC" w:rsidRDefault="006F0FFC" w:rsidP="006F0FFC">
            <w:pPr>
              <w:jc w:val="right"/>
            </w:pPr>
            <w:r>
              <w:t>0.10</w:t>
            </w:r>
          </w:p>
        </w:tc>
        <w:tc>
          <w:tcPr>
            <w:tcW w:w="874" w:type="dxa"/>
            <w:shd w:val="clear" w:color="auto" w:fill="auto"/>
          </w:tcPr>
          <w:p w:rsidR="006F0FFC" w:rsidRDefault="006F0FFC" w:rsidP="006F0FFC">
            <w:pPr>
              <w:jc w:val="right"/>
            </w:pPr>
            <w:r>
              <w:t>0.01</w:t>
            </w:r>
          </w:p>
        </w:tc>
        <w:tc>
          <w:tcPr>
            <w:tcW w:w="874" w:type="dxa"/>
            <w:shd w:val="clear" w:color="auto" w:fill="BFBFBF" w:themeFill="background1" w:themeFillShade="BF"/>
          </w:tcPr>
          <w:p w:rsidR="006F0FFC" w:rsidRDefault="006F0FFC" w:rsidP="006F0FFC">
            <w:pPr>
              <w:jc w:val="right"/>
            </w:pPr>
            <w:r>
              <w:t>0.63</w:t>
            </w:r>
          </w:p>
        </w:tc>
        <w:tc>
          <w:tcPr>
            <w:tcW w:w="875" w:type="dxa"/>
            <w:shd w:val="clear" w:color="auto" w:fill="auto"/>
          </w:tcPr>
          <w:p w:rsidR="006F0FFC" w:rsidRDefault="006F0FFC" w:rsidP="006F0FFC">
            <w:pPr>
              <w:jc w:val="right"/>
            </w:pPr>
            <w:r>
              <w:t>0.10</w:t>
            </w:r>
          </w:p>
        </w:tc>
        <w:tc>
          <w:tcPr>
            <w:tcW w:w="874" w:type="dxa"/>
            <w:shd w:val="clear" w:color="auto" w:fill="auto"/>
          </w:tcPr>
          <w:p w:rsidR="006F0FFC" w:rsidRDefault="006F0FFC" w:rsidP="006F0FFC">
            <w:pPr>
              <w:jc w:val="right"/>
            </w:pPr>
            <w:r>
              <w:t>0.07</w:t>
            </w:r>
          </w:p>
        </w:tc>
        <w:tc>
          <w:tcPr>
            <w:tcW w:w="874" w:type="dxa"/>
          </w:tcPr>
          <w:p w:rsidR="006F0FFC" w:rsidRDefault="006F0FFC" w:rsidP="006F0FFC">
            <w:pPr>
              <w:jc w:val="right"/>
            </w:pPr>
            <w:r>
              <w:t>0.10</w:t>
            </w:r>
          </w:p>
        </w:tc>
        <w:tc>
          <w:tcPr>
            <w:tcW w:w="875" w:type="dxa"/>
          </w:tcPr>
          <w:p w:rsidR="006F0FFC" w:rsidRDefault="006F0FFC" w:rsidP="006F0FFC">
            <w:pPr>
              <w:jc w:val="right"/>
            </w:pPr>
            <w:r>
              <w:t>-0.19</w:t>
            </w:r>
          </w:p>
        </w:tc>
      </w:tr>
      <w:tr w:rsidR="006F0FFC" w:rsidTr="006F0FFC">
        <w:tc>
          <w:tcPr>
            <w:tcW w:w="3078" w:type="dxa"/>
          </w:tcPr>
          <w:p w:rsidR="006F0FFC" w:rsidRDefault="006F0FFC" w:rsidP="006F0FFC">
            <w:r>
              <w:t>How Often Bathing (Q20)</w:t>
            </w:r>
          </w:p>
        </w:tc>
        <w:tc>
          <w:tcPr>
            <w:tcW w:w="874" w:type="dxa"/>
            <w:shd w:val="clear" w:color="auto" w:fill="auto"/>
          </w:tcPr>
          <w:p w:rsidR="006F0FFC" w:rsidRDefault="006F0FFC" w:rsidP="006F0FFC">
            <w:pPr>
              <w:jc w:val="right"/>
            </w:pPr>
            <w:r>
              <w:t>-0.08</w:t>
            </w:r>
          </w:p>
        </w:tc>
        <w:tc>
          <w:tcPr>
            <w:tcW w:w="874" w:type="dxa"/>
            <w:shd w:val="clear" w:color="auto" w:fill="auto"/>
          </w:tcPr>
          <w:p w:rsidR="006F0FFC" w:rsidRDefault="006F0FFC" w:rsidP="006F0FFC">
            <w:pPr>
              <w:jc w:val="right"/>
            </w:pPr>
            <w:r>
              <w:t>-0.03</w:t>
            </w:r>
          </w:p>
        </w:tc>
        <w:tc>
          <w:tcPr>
            <w:tcW w:w="874" w:type="dxa"/>
            <w:shd w:val="clear" w:color="auto" w:fill="auto"/>
          </w:tcPr>
          <w:p w:rsidR="006F0FFC" w:rsidRDefault="006F0FFC" w:rsidP="006F0FFC">
            <w:pPr>
              <w:jc w:val="right"/>
            </w:pPr>
            <w:r>
              <w:t>0.04</w:t>
            </w:r>
          </w:p>
        </w:tc>
        <w:tc>
          <w:tcPr>
            <w:tcW w:w="875" w:type="dxa"/>
            <w:shd w:val="clear" w:color="auto" w:fill="BFBFBF" w:themeFill="background1" w:themeFillShade="BF"/>
          </w:tcPr>
          <w:p w:rsidR="006F0FFC" w:rsidRDefault="006F0FFC" w:rsidP="006F0FFC">
            <w:pPr>
              <w:jc w:val="right"/>
            </w:pPr>
            <w:r>
              <w:t>0.66</w:t>
            </w:r>
          </w:p>
        </w:tc>
        <w:tc>
          <w:tcPr>
            <w:tcW w:w="874" w:type="dxa"/>
            <w:shd w:val="clear" w:color="auto" w:fill="auto"/>
          </w:tcPr>
          <w:p w:rsidR="006F0FFC" w:rsidRDefault="006F0FFC" w:rsidP="006F0FFC">
            <w:pPr>
              <w:jc w:val="right"/>
            </w:pPr>
            <w:r>
              <w:t>0.00</w:t>
            </w:r>
          </w:p>
        </w:tc>
        <w:tc>
          <w:tcPr>
            <w:tcW w:w="874" w:type="dxa"/>
          </w:tcPr>
          <w:p w:rsidR="006F0FFC" w:rsidRDefault="006F0FFC" w:rsidP="006F0FFC">
            <w:pPr>
              <w:jc w:val="right"/>
            </w:pPr>
            <w:r>
              <w:t>0.01</w:t>
            </w:r>
          </w:p>
        </w:tc>
        <w:tc>
          <w:tcPr>
            <w:tcW w:w="875" w:type="dxa"/>
          </w:tcPr>
          <w:p w:rsidR="006F0FFC" w:rsidRDefault="006F0FFC" w:rsidP="006F0FFC">
            <w:pPr>
              <w:jc w:val="right"/>
            </w:pPr>
            <w:r>
              <w:t>0.12</w:t>
            </w:r>
          </w:p>
        </w:tc>
      </w:tr>
      <w:tr w:rsidR="006F0FFC" w:rsidTr="006F0FFC">
        <w:tc>
          <w:tcPr>
            <w:tcW w:w="3078" w:type="dxa"/>
          </w:tcPr>
          <w:p w:rsidR="006F0FFC" w:rsidRDefault="006F0FFC" w:rsidP="006F0FFC">
            <w:r>
              <w:t>How Often Bathroom (Q22)</w:t>
            </w:r>
          </w:p>
        </w:tc>
        <w:tc>
          <w:tcPr>
            <w:tcW w:w="874" w:type="dxa"/>
            <w:shd w:val="clear" w:color="auto" w:fill="auto"/>
          </w:tcPr>
          <w:p w:rsidR="006F0FFC" w:rsidRDefault="006F0FFC" w:rsidP="006F0FFC">
            <w:pPr>
              <w:jc w:val="right"/>
            </w:pPr>
            <w:r>
              <w:t>0.06</w:t>
            </w:r>
          </w:p>
        </w:tc>
        <w:tc>
          <w:tcPr>
            <w:tcW w:w="874" w:type="dxa"/>
            <w:shd w:val="clear" w:color="auto" w:fill="auto"/>
          </w:tcPr>
          <w:p w:rsidR="006F0FFC" w:rsidRDefault="006F0FFC" w:rsidP="006F0FFC">
            <w:pPr>
              <w:jc w:val="right"/>
            </w:pPr>
            <w:r>
              <w:t>-0.05</w:t>
            </w:r>
          </w:p>
        </w:tc>
        <w:tc>
          <w:tcPr>
            <w:tcW w:w="874" w:type="dxa"/>
            <w:shd w:val="clear" w:color="auto" w:fill="auto"/>
          </w:tcPr>
          <w:p w:rsidR="006F0FFC" w:rsidRDefault="006F0FFC" w:rsidP="006F0FFC">
            <w:pPr>
              <w:jc w:val="right"/>
            </w:pPr>
            <w:r>
              <w:t>0.04</w:t>
            </w:r>
          </w:p>
        </w:tc>
        <w:tc>
          <w:tcPr>
            <w:tcW w:w="875" w:type="dxa"/>
            <w:shd w:val="clear" w:color="auto" w:fill="BFBFBF" w:themeFill="background1" w:themeFillShade="BF"/>
          </w:tcPr>
          <w:p w:rsidR="006F0FFC" w:rsidRDefault="006F0FFC" w:rsidP="006F0FFC">
            <w:pPr>
              <w:jc w:val="right"/>
            </w:pPr>
            <w:r>
              <w:t>0.66</w:t>
            </w:r>
          </w:p>
        </w:tc>
        <w:tc>
          <w:tcPr>
            <w:tcW w:w="874" w:type="dxa"/>
            <w:shd w:val="clear" w:color="auto" w:fill="auto"/>
          </w:tcPr>
          <w:p w:rsidR="006F0FFC" w:rsidRDefault="006F0FFC" w:rsidP="006F0FFC">
            <w:pPr>
              <w:jc w:val="right"/>
            </w:pPr>
            <w:r>
              <w:t>-0.04</w:t>
            </w:r>
          </w:p>
        </w:tc>
        <w:tc>
          <w:tcPr>
            <w:tcW w:w="874" w:type="dxa"/>
          </w:tcPr>
          <w:p w:rsidR="006F0FFC" w:rsidRDefault="006F0FFC" w:rsidP="006F0FFC">
            <w:pPr>
              <w:jc w:val="right"/>
            </w:pPr>
            <w:r>
              <w:t>-0.03</w:t>
            </w:r>
          </w:p>
        </w:tc>
        <w:tc>
          <w:tcPr>
            <w:tcW w:w="875" w:type="dxa"/>
          </w:tcPr>
          <w:p w:rsidR="006F0FFC" w:rsidRDefault="006F0FFC" w:rsidP="006F0FFC">
            <w:pPr>
              <w:jc w:val="right"/>
            </w:pPr>
            <w:r>
              <w:t>0.02</w:t>
            </w:r>
          </w:p>
        </w:tc>
      </w:tr>
      <w:tr w:rsidR="006F0FFC" w:rsidTr="006F0FFC">
        <w:tc>
          <w:tcPr>
            <w:tcW w:w="3078" w:type="dxa"/>
          </w:tcPr>
          <w:p w:rsidR="006F0FFC" w:rsidRDefault="006F0FFC" w:rsidP="006F0FFC">
            <w:r>
              <w:t>Call Help Frequently (Q9)</w:t>
            </w:r>
          </w:p>
        </w:tc>
        <w:tc>
          <w:tcPr>
            <w:tcW w:w="874" w:type="dxa"/>
            <w:shd w:val="clear" w:color="auto" w:fill="auto"/>
          </w:tcPr>
          <w:p w:rsidR="006F0FFC" w:rsidRDefault="006F0FFC" w:rsidP="006F0FFC">
            <w:pPr>
              <w:jc w:val="right"/>
            </w:pPr>
            <w:r>
              <w:t>0.20</w:t>
            </w:r>
          </w:p>
        </w:tc>
        <w:tc>
          <w:tcPr>
            <w:tcW w:w="874" w:type="dxa"/>
            <w:shd w:val="clear" w:color="auto" w:fill="auto"/>
          </w:tcPr>
          <w:p w:rsidR="006F0FFC" w:rsidRDefault="006F0FFC" w:rsidP="006F0FFC">
            <w:pPr>
              <w:jc w:val="right"/>
            </w:pPr>
            <w:r>
              <w:t>0.04</w:t>
            </w:r>
          </w:p>
        </w:tc>
        <w:tc>
          <w:tcPr>
            <w:tcW w:w="874" w:type="dxa"/>
            <w:shd w:val="clear" w:color="auto" w:fill="auto"/>
          </w:tcPr>
          <w:p w:rsidR="006F0FFC" w:rsidRDefault="006F0FFC" w:rsidP="006F0FFC">
            <w:pPr>
              <w:jc w:val="right"/>
            </w:pPr>
            <w:r>
              <w:t>0.03</w:t>
            </w:r>
          </w:p>
        </w:tc>
        <w:tc>
          <w:tcPr>
            <w:tcW w:w="875" w:type="dxa"/>
            <w:shd w:val="clear" w:color="auto" w:fill="BFBFBF" w:themeFill="background1" w:themeFillShade="BF"/>
          </w:tcPr>
          <w:p w:rsidR="006F0FFC" w:rsidRDefault="006F0FFC" w:rsidP="006F0FFC">
            <w:pPr>
              <w:jc w:val="right"/>
            </w:pPr>
            <w:r>
              <w:t>0.53</w:t>
            </w:r>
          </w:p>
        </w:tc>
        <w:tc>
          <w:tcPr>
            <w:tcW w:w="874" w:type="dxa"/>
            <w:shd w:val="clear" w:color="auto" w:fill="auto"/>
          </w:tcPr>
          <w:p w:rsidR="006F0FFC" w:rsidRDefault="006F0FFC" w:rsidP="006F0FFC">
            <w:pPr>
              <w:jc w:val="right"/>
            </w:pPr>
            <w:r>
              <w:t>0.02</w:t>
            </w:r>
          </w:p>
        </w:tc>
        <w:tc>
          <w:tcPr>
            <w:tcW w:w="874" w:type="dxa"/>
          </w:tcPr>
          <w:p w:rsidR="006F0FFC" w:rsidRDefault="006F0FFC" w:rsidP="006F0FFC">
            <w:pPr>
              <w:jc w:val="right"/>
            </w:pPr>
            <w:r>
              <w:t>0.04</w:t>
            </w:r>
          </w:p>
        </w:tc>
        <w:tc>
          <w:tcPr>
            <w:tcW w:w="875" w:type="dxa"/>
          </w:tcPr>
          <w:p w:rsidR="006F0FFC" w:rsidRDefault="006F0FFC" w:rsidP="006F0FFC">
            <w:pPr>
              <w:jc w:val="right"/>
            </w:pPr>
            <w:r>
              <w:t>.012</w:t>
            </w:r>
          </w:p>
        </w:tc>
      </w:tr>
      <w:tr w:rsidR="006F0FFC" w:rsidTr="006F0FFC">
        <w:tc>
          <w:tcPr>
            <w:tcW w:w="3078" w:type="dxa"/>
          </w:tcPr>
          <w:p w:rsidR="006F0FFC" w:rsidRDefault="006F0FFC" w:rsidP="006F0FFC">
            <w:r>
              <w:t>Writing Symptoms (Q49)</w:t>
            </w:r>
          </w:p>
        </w:tc>
        <w:tc>
          <w:tcPr>
            <w:tcW w:w="874" w:type="dxa"/>
            <w:shd w:val="clear" w:color="auto" w:fill="auto"/>
          </w:tcPr>
          <w:p w:rsidR="006F0FFC" w:rsidRDefault="006F0FFC" w:rsidP="006F0FFC">
            <w:pPr>
              <w:jc w:val="right"/>
            </w:pPr>
            <w:r>
              <w:t>0.03</w:t>
            </w:r>
          </w:p>
        </w:tc>
        <w:tc>
          <w:tcPr>
            <w:tcW w:w="874" w:type="dxa"/>
            <w:shd w:val="clear" w:color="auto" w:fill="auto"/>
          </w:tcPr>
          <w:p w:rsidR="006F0FFC" w:rsidRDefault="006F0FFC" w:rsidP="006F0FFC">
            <w:pPr>
              <w:jc w:val="right"/>
            </w:pPr>
            <w:r>
              <w:t>0.01</w:t>
            </w:r>
          </w:p>
        </w:tc>
        <w:tc>
          <w:tcPr>
            <w:tcW w:w="874" w:type="dxa"/>
            <w:shd w:val="clear" w:color="auto" w:fill="auto"/>
          </w:tcPr>
          <w:p w:rsidR="006F0FFC" w:rsidRDefault="006F0FFC" w:rsidP="006F0FFC">
            <w:pPr>
              <w:jc w:val="right"/>
            </w:pPr>
            <w:r>
              <w:t>0.03</w:t>
            </w:r>
          </w:p>
        </w:tc>
        <w:tc>
          <w:tcPr>
            <w:tcW w:w="875" w:type="dxa"/>
            <w:shd w:val="clear" w:color="auto" w:fill="auto"/>
          </w:tcPr>
          <w:p w:rsidR="006F0FFC" w:rsidRDefault="006F0FFC" w:rsidP="006F0FFC">
            <w:pPr>
              <w:jc w:val="right"/>
            </w:pPr>
            <w:r>
              <w:t>0.06</w:t>
            </w:r>
          </w:p>
        </w:tc>
        <w:tc>
          <w:tcPr>
            <w:tcW w:w="874" w:type="dxa"/>
            <w:shd w:val="clear" w:color="auto" w:fill="BFBFBF" w:themeFill="background1" w:themeFillShade="BF"/>
          </w:tcPr>
          <w:p w:rsidR="006F0FFC" w:rsidRDefault="006F0FFC" w:rsidP="006F0FFC">
            <w:pPr>
              <w:jc w:val="right"/>
            </w:pPr>
            <w:r>
              <w:t>0.73</w:t>
            </w:r>
          </w:p>
        </w:tc>
        <w:tc>
          <w:tcPr>
            <w:tcW w:w="874" w:type="dxa"/>
          </w:tcPr>
          <w:p w:rsidR="006F0FFC" w:rsidRDefault="006F0FFC" w:rsidP="006F0FFC">
            <w:pPr>
              <w:jc w:val="right"/>
            </w:pPr>
            <w:r>
              <w:t>-0.11</w:t>
            </w:r>
          </w:p>
        </w:tc>
        <w:tc>
          <w:tcPr>
            <w:tcW w:w="875" w:type="dxa"/>
          </w:tcPr>
          <w:p w:rsidR="006F0FFC" w:rsidRDefault="006F0FFC" w:rsidP="006F0FFC">
            <w:pPr>
              <w:jc w:val="right"/>
            </w:pPr>
            <w:r>
              <w:t>-0.02</w:t>
            </w:r>
          </w:p>
        </w:tc>
      </w:tr>
      <w:tr w:rsidR="006F0FFC" w:rsidTr="006F0FFC">
        <w:tc>
          <w:tcPr>
            <w:tcW w:w="3078" w:type="dxa"/>
          </w:tcPr>
          <w:p w:rsidR="006F0FFC" w:rsidRDefault="006F0FFC" w:rsidP="006F0FFC">
            <w:r>
              <w:t>Writing Activities (Q47)</w:t>
            </w:r>
          </w:p>
        </w:tc>
        <w:tc>
          <w:tcPr>
            <w:tcW w:w="874" w:type="dxa"/>
            <w:shd w:val="clear" w:color="auto" w:fill="auto"/>
          </w:tcPr>
          <w:p w:rsidR="006F0FFC" w:rsidRDefault="006F0FFC" w:rsidP="006F0FFC">
            <w:pPr>
              <w:jc w:val="right"/>
            </w:pPr>
            <w:r>
              <w:t>0.06</w:t>
            </w:r>
          </w:p>
        </w:tc>
        <w:tc>
          <w:tcPr>
            <w:tcW w:w="874" w:type="dxa"/>
            <w:shd w:val="clear" w:color="auto" w:fill="auto"/>
          </w:tcPr>
          <w:p w:rsidR="006F0FFC" w:rsidRDefault="006F0FFC" w:rsidP="006F0FFC">
            <w:pPr>
              <w:jc w:val="right"/>
            </w:pPr>
            <w:r>
              <w:t>0.01</w:t>
            </w:r>
          </w:p>
        </w:tc>
        <w:tc>
          <w:tcPr>
            <w:tcW w:w="874" w:type="dxa"/>
            <w:shd w:val="clear" w:color="auto" w:fill="auto"/>
          </w:tcPr>
          <w:p w:rsidR="006F0FFC" w:rsidRDefault="006F0FFC" w:rsidP="006F0FFC">
            <w:pPr>
              <w:jc w:val="right"/>
            </w:pPr>
            <w:r>
              <w:t>-0.02</w:t>
            </w:r>
          </w:p>
        </w:tc>
        <w:tc>
          <w:tcPr>
            <w:tcW w:w="875" w:type="dxa"/>
            <w:shd w:val="clear" w:color="auto" w:fill="auto"/>
          </w:tcPr>
          <w:p w:rsidR="006F0FFC" w:rsidRDefault="006F0FFC" w:rsidP="006F0FFC">
            <w:pPr>
              <w:jc w:val="right"/>
            </w:pPr>
            <w:r>
              <w:t>-0.02</w:t>
            </w:r>
          </w:p>
        </w:tc>
        <w:tc>
          <w:tcPr>
            <w:tcW w:w="874" w:type="dxa"/>
            <w:shd w:val="clear" w:color="auto" w:fill="BFBFBF" w:themeFill="background1" w:themeFillShade="BF"/>
          </w:tcPr>
          <w:p w:rsidR="006F0FFC" w:rsidRDefault="006F0FFC" w:rsidP="006F0FFC">
            <w:pPr>
              <w:jc w:val="right"/>
            </w:pPr>
            <w:r>
              <w:t>0.72</w:t>
            </w:r>
          </w:p>
        </w:tc>
        <w:tc>
          <w:tcPr>
            <w:tcW w:w="874" w:type="dxa"/>
          </w:tcPr>
          <w:p w:rsidR="006F0FFC" w:rsidRDefault="006F0FFC" w:rsidP="006F0FFC">
            <w:pPr>
              <w:jc w:val="right"/>
            </w:pPr>
            <w:r>
              <w:t>-0.06</w:t>
            </w:r>
          </w:p>
        </w:tc>
        <w:tc>
          <w:tcPr>
            <w:tcW w:w="875" w:type="dxa"/>
          </w:tcPr>
          <w:p w:rsidR="006F0FFC" w:rsidRDefault="006F0FFC" w:rsidP="006F0FFC">
            <w:pPr>
              <w:jc w:val="right"/>
            </w:pPr>
            <w:r>
              <w:t>0.01</w:t>
            </w:r>
          </w:p>
        </w:tc>
      </w:tr>
      <w:tr w:rsidR="006F0FFC" w:rsidTr="006F0FFC">
        <w:tc>
          <w:tcPr>
            <w:tcW w:w="3078" w:type="dxa"/>
          </w:tcPr>
          <w:p w:rsidR="006F0FFC" w:rsidRDefault="006F0FFC" w:rsidP="006F0FFC">
            <w:r>
              <w:t>Help After Discharge (Q48)</w:t>
            </w:r>
          </w:p>
        </w:tc>
        <w:tc>
          <w:tcPr>
            <w:tcW w:w="874" w:type="dxa"/>
            <w:shd w:val="clear" w:color="auto" w:fill="auto"/>
          </w:tcPr>
          <w:p w:rsidR="006F0FFC" w:rsidRDefault="006F0FFC" w:rsidP="006F0FFC">
            <w:pPr>
              <w:jc w:val="right"/>
            </w:pPr>
            <w:r>
              <w:t>-0.03</w:t>
            </w:r>
          </w:p>
        </w:tc>
        <w:tc>
          <w:tcPr>
            <w:tcW w:w="874" w:type="dxa"/>
            <w:shd w:val="clear" w:color="auto" w:fill="auto"/>
          </w:tcPr>
          <w:p w:rsidR="006F0FFC" w:rsidRDefault="006F0FFC" w:rsidP="006F0FFC">
            <w:pPr>
              <w:jc w:val="right"/>
            </w:pPr>
            <w:r>
              <w:t>-0.04</w:t>
            </w:r>
          </w:p>
        </w:tc>
        <w:tc>
          <w:tcPr>
            <w:tcW w:w="874" w:type="dxa"/>
            <w:shd w:val="clear" w:color="auto" w:fill="auto"/>
          </w:tcPr>
          <w:p w:rsidR="006F0FFC" w:rsidRDefault="006F0FFC" w:rsidP="006F0FFC">
            <w:pPr>
              <w:jc w:val="right"/>
            </w:pPr>
            <w:r>
              <w:t>-0.04</w:t>
            </w:r>
          </w:p>
        </w:tc>
        <w:tc>
          <w:tcPr>
            <w:tcW w:w="875" w:type="dxa"/>
            <w:shd w:val="clear" w:color="auto" w:fill="auto"/>
          </w:tcPr>
          <w:p w:rsidR="006F0FFC" w:rsidRDefault="006F0FFC" w:rsidP="006F0FFC">
            <w:pPr>
              <w:jc w:val="right"/>
            </w:pPr>
            <w:r>
              <w:t>0.16</w:t>
            </w:r>
          </w:p>
        </w:tc>
        <w:tc>
          <w:tcPr>
            <w:tcW w:w="874" w:type="dxa"/>
            <w:shd w:val="clear" w:color="auto" w:fill="BFBFBF" w:themeFill="background1" w:themeFillShade="BF"/>
          </w:tcPr>
          <w:p w:rsidR="006F0FFC" w:rsidRDefault="006F0FFC" w:rsidP="006F0FFC">
            <w:pPr>
              <w:jc w:val="right"/>
            </w:pPr>
            <w:r>
              <w:t>0.49</w:t>
            </w:r>
          </w:p>
        </w:tc>
        <w:tc>
          <w:tcPr>
            <w:tcW w:w="874" w:type="dxa"/>
          </w:tcPr>
          <w:p w:rsidR="006F0FFC" w:rsidRDefault="006F0FFC" w:rsidP="006F0FFC">
            <w:pPr>
              <w:jc w:val="right"/>
            </w:pPr>
            <w:r>
              <w:t>0.13</w:t>
            </w:r>
          </w:p>
        </w:tc>
        <w:tc>
          <w:tcPr>
            <w:tcW w:w="875" w:type="dxa"/>
          </w:tcPr>
          <w:p w:rsidR="006F0FFC" w:rsidRDefault="006F0FFC" w:rsidP="006F0FFC">
            <w:pPr>
              <w:jc w:val="right"/>
            </w:pPr>
            <w:r>
              <w:t>0.04</w:t>
            </w:r>
          </w:p>
        </w:tc>
      </w:tr>
      <w:tr w:rsidR="006F0FFC" w:rsidTr="006F0FFC">
        <w:tc>
          <w:tcPr>
            <w:tcW w:w="3078" w:type="dxa"/>
          </w:tcPr>
          <w:p w:rsidR="006F0FFC" w:rsidRDefault="006F0FFC" w:rsidP="006F0FFC">
            <w:r>
              <w:t>Writing How to Take RX (Q51)</w:t>
            </w:r>
          </w:p>
        </w:tc>
        <w:tc>
          <w:tcPr>
            <w:tcW w:w="874" w:type="dxa"/>
            <w:shd w:val="clear" w:color="auto" w:fill="auto"/>
          </w:tcPr>
          <w:p w:rsidR="006F0FFC" w:rsidRDefault="006F0FFC" w:rsidP="006F0FFC">
            <w:pPr>
              <w:jc w:val="right"/>
            </w:pPr>
            <w:r>
              <w:t>0.18</w:t>
            </w:r>
          </w:p>
        </w:tc>
        <w:tc>
          <w:tcPr>
            <w:tcW w:w="874" w:type="dxa"/>
            <w:shd w:val="clear" w:color="auto" w:fill="auto"/>
          </w:tcPr>
          <w:p w:rsidR="006F0FFC" w:rsidRDefault="006F0FFC" w:rsidP="006F0FFC">
            <w:pPr>
              <w:jc w:val="right"/>
            </w:pPr>
            <w:r>
              <w:t>-0.02</w:t>
            </w:r>
          </w:p>
        </w:tc>
        <w:tc>
          <w:tcPr>
            <w:tcW w:w="874" w:type="dxa"/>
            <w:shd w:val="clear" w:color="auto" w:fill="auto"/>
          </w:tcPr>
          <w:p w:rsidR="006F0FFC" w:rsidRDefault="006F0FFC" w:rsidP="006F0FFC">
            <w:pPr>
              <w:jc w:val="right"/>
            </w:pPr>
            <w:r>
              <w:t>0.14</w:t>
            </w:r>
          </w:p>
        </w:tc>
        <w:tc>
          <w:tcPr>
            <w:tcW w:w="875" w:type="dxa"/>
            <w:shd w:val="clear" w:color="auto" w:fill="auto"/>
          </w:tcPr>
          <w:p w:rsidR="006F0FFC" w:rsidRDefault="006F0FFC" w:rsidP="006F0FFC">
            <w:pPr>
              <w:jc w:val="right"/>
            </w:pPr>
            <w:r>
              <w:t>-0.25</w:t>
            </w:r>
          </w:p>
        </w:tc>
        <w:tc>
          <w:tcPr>
            <w:tcW w:w="874" w:type="dxa"/>
            <w:shd w:val="clear" w:color="auto" w:fill="BFBFBF" w:themeFill="background1" w:themeFillShade="BF"/>
          </w:tcPr>
          <w:p w:rsidR="006F0FFC" w:rsidRDefault="006F0FFC" w:rsidP="006F0FFC">
            <w:pPr>
              <w:jc w:val="right"/>
            </w:pPr>
            <w:r>
              <w:t>0.42</w:t>
            </w:r>
          </w:p>
        </w:tc>
        <w:tc>
          <w:tcPr>
            <w:tcW w:w="874" w:type="dxa"/>
          </w:tcPr>
          <w:p w:rsidR="006F0FFC" w:rsidRDefault="006F0FFC" w:rsidP="006F0FFC">
            <w:pPr>
              <w:jc w:val="right"/>
            </w:pPr>
            <w:r>
              <w:t>0.13</w:t>
            </w:r>
          </w:p>
        </w:tc>
        <w:tc>
          <w:tcPr>
            <w:tcW w:w="875" w:type="dxa"/>
          </w:tcPr>
          <w:p w:rsidR="006F0FFC" w:rsidRDefault="006F0FFC" w:rsidP="006F0FFC">
            <w:pPr>
              <w:jc w:val="right"/>
            </w:pPr>
            <w:r>
              <w:t>0.01</w:t>
            </w:r>
          </w:p>
        </w:tc>
      </w:tr>
      <w:tr w:rsidR="006F0FFC" w:rsidTr="006F0FFC">
        <w:tc>
          <w:tcPr>
            <w:tcW w:w="3078" w:type="dxa"/>
          </w:tcPr>
          <w:p w:rsidR="006F0FFC" w:rsidRDefault="006F0FFC" w:rsidP="006F0FFC">
            <w:r>
              <w:t>Pain Controlled (Q32)</w:t>
            </w:r>
          </w:p>
        </w:tc>
        <w:tc>
          <w:tcPr>
            <w:tcW w:w="874" w:type="dxa"/>
            <w:shd w:val="clear" w:color="auto" w:fill="auto"/>
          </w:tcPr>
          <w:p w:rsidR="006F0FFC" w:rsidRDefault="006F0FFC" w:rsidP="006F0FFC">
            <w:pPr>
              <w:jc w:val="right"/>
            </w:pPr>
            <w:r>
              <w:t>0.14</w:t>
            </w:r>
          </w:p>
        </w:tc>
        <w:tc>
          <w:tcPr>
            <w:tcW w:w="874" w:type="dxa"/>
            <w:shd w:val="clear" w:color="auto" w:fill="auto"/>
          </w:tcPr>
          <w:p w:rsidR="006F0FFC" w:rsidRDefault="006F0FFC" w:rsidP="006F0FFC">
            <w:pPr>
              <w:jc w:val="right"/>
            </w:pPr>
            <w:r>
              <w:t>0.02</w:t>
            </w:r>
          </w:p>
        </w:tc>
        <w:tc>
          <w:tcPr>
            <w:tcW w:w="874" w:type="dxa"/>
            <w:shd w:val="clear" w:color="auto" w:fill="auto"/>
          </w:tcPr>
          <w:p w:rsidR="006F0FFC" w:rsidRDefault="006F0FFC" w:rsidP="006F0FFC">
            <w:pPr>
              <w:jc w:val="right"/>
            </w:pPr>
            <w:r>
              <w:t>0.01</w:t>
            </w:r>
          </w:p>
        </w:tc>
        <w:tc>
          <w:tcPr>
            <w:tcW w:w="875" w:type="dxa"/>
            <w:shd w:val="clear" w:color="auto" w:fill="auto"/>
          </w:tcPr>
          <w:p w:rsidR="006F0FFC" w:rsidRDefault="006F0FFC" w:rsidP="006F0FFC">
            <w:pPr>
              <w:jc w:val="right"/>
            </w:pPr>
            <w:r>
              <w:t>0.05</w:t>
            </w:r>
          </w:p>
        </w:tc>
        <w:tc>
          <w:tcPr>
            <w:tcW w:w="874" w:type="dxa"/>
            <w:shd w:val="clear" w:color="auto" w:fill="auto"/>
          </w:tcPr>
          <w:p w:rsidR="006F0FFC" w:rsidRDefault="006F0FFC" w:rsidP="006F0FFC">
            <w:pPr>
              <w:jc w:val="right"/>
            </w:pPr>
            <w:r>
              <w:t>-0.04</w:t>
            </w:r>
          </w:p>
        </w:tc>
        <w:tc>
          <w:tcPr>
            <w:tcW w:w="874" w:type="dxa"/>
            <w:shd w:val="clear" w:color="auto" w:fill="BFBFBF" w:themeFill="background1" w:themeFillShade="BF"/>
          </w:tcPr>
          <w:p w:rsidR="006F0FFC" w:rsidRDefault="006F0FFC" w:rsidP="006F0FFC">
            <w:pPr>
              <w:jc w:val="right"/>
            </w:pPr>
            <w:r>
              <w:t>0.69</w:t>
            </w:r>
          </w:p>
        </w:tc>
        <w:tc>
          <w:tcPr>
            <w:tcW w:w="875" w:type="dxa"/>
          </w:tcPr>
          <w:p w:rsidR="006F0FFC" w:rsidRDefault="006F0FFC" w:rsidP="006F0FFC">
            <w:pPr>
              <w:jc w:val="right"/>
            </w:pPr>
            <w:r>
              <w:t>0.05</w:t>
            </w:r>
          </w:p>
        </w:tc>
      </w:tr>
      <w:tr w:rsidR="006F0FFC" w:rsidTr="006F0FFC">
        <w:tc>
          <w:tcPr>
            <w:tcW w:w="3078" w:type="dxa"/>
          </w:tcPr>
          <w:p w:rsidR="006F0FFC" w:rsidRDefault="006F0FFC" w:rsidP="006F0FFC">
            <w:r>
              <w:t>MD Pain Help (Q33)</w:t>
            </w:r>
          </w:p>
        </w:tc>
        <w:tc>
          <w:tcPr>
            <w:tcW w:w="874" w:type="dxa"/>
            <w:shd w:val="clear" w:color="auto" w:fill="auto"/>
          </w:tcPr>
          <w:p w:rsidR="006F0FFC" w:rsidRDefault="006F0FFC" w:rsidP="006F0FFC">
            <w:pPr>
              <w:jc w:val="right"/>
            </w:pPr>
            <w:r>
              <w:t>0.30</w:t>
            </w:r>
          </w:p>
        </w:tc>
        <w:tc>
          <w:tcPr>
            <w:tcW w:w="874" w:type="dxa"/>
            <w:shd w:val="clear" w:color="auto" w:fill="auto"/>
          </w:tcPr>
          <w:p w:rsidR="006F0FFC" w:rsidRDefault="006F0FFC" w:rsidP="006F0FFC">
            <w:pPr>
              <w:jc w:val="right"/>
            </w:pPr>
            <w:r>
              <w:t>0.08</w:t>
            </w:r>
          </w:p>
        </w:tc>
        <w:tc>
          <w:tcPr>
            <w:tcW w:w="874" w:type="dxa"/>
            <w:shd w:val="clear" w:color="auto" w:fill="auto"/>
          </w:tcPr>
          <w:p w:rsidR="006F0FFC" w:rsidRDefault="006F0FFC" w:rsidP="006F0FFC">
            <w:pPr>
              <w:jc w:val="right"/>
            </w:pPr>
            <w:r>
              <w:t>-0.02</w:t>
            </w:r>
          </w:p>
        </w:tc>
        <w:tc>
          <w:tcPr>
            <w:tcW w:w="875" w:type="dxa"/>
            <w:shd w:val="clear" w:color="auto" w:fill="auto"/>
          </w:tcPr>
          <w:p w:rsidR="006F0FFC" w:rsidRDefault="006F0FFC" w:rsidP="006F0FFC">
            <w:pPr>
              <w:jc w:val="right"/>
            </w:pPr>
            <w:r>
              <w:t>0.05</w:t>
            </w:r>
          </w:p>
        </w:tc>
        <w:tc>
          <w:tcPr>
            <w:tcW w:w="874" w:type="dxa"/>
            <w:shd w:val="clear" w:color="auto" w:fill="auto"/>
          </w:tcPr>
          <w:p w:rsidR="006F0FFC" w:rsidRDefault="006F0FFC" w:rsidP="006F0FFC">
            <w:pPr>
              <w:jc w:val="right"/>
            </w:pPr>
            <w:r>
              <w:t>0.06</w:t>
            </w:r>
          </w:p>
        </w:tc>
        <w:tc>
          <w:tcPr>
            <w:tcW w:w="874" w:type="dxa"/>
            <w:shd w:val="clear" w:color="auto" w:fill="BFBFBF" w:themeFill="background1" w:themeFillShade="BF"/>
          </w:tcPr>
          <w:p w:rsidR="006F0FFC" w:rsidRDefault="006F0FFC" w:rsidP="006F0FFC">
            <w:pPr>
              <w:jc w:val="right"/>
            </w:pPr>
            <w:r>
              <w:t>0.59</w:t>
            </w:r>
          </w:p>
        </w:tc>
        <w:tc>
          <w:tcPr>
            <w:tcW w:w="875" w:type="dxa"/>
          </w:tcPr>
          <w:p w:rsidR="006F0FFC" w:rsidRDefault="006F0FFC" w:rsidP="006F0FFC">
            <w:pPr>
              <w:jc w:val="right"/>
            </w:pPr>
            <w:r>
              <w:t>-0.01</w:t>
            </w:r>
          </w:p>
        </w:tc>
      </w:tr>
      <w:tr w:rsidR="006F0FFC" w:rsidTr="006F0FFC">
        <w:tc>
          <w:tcPr>
            <w:tcW w:w="3078" w:type="dxa"/>
          </w:tcPr>
          <w:p w:rsidR="006F0FFC" w:rsidRDefault="006F0FFC" w:rsidP="006F0FFC">
            <w:r>
              <w:t>Room Clean (Q17)</w:t>
            </w:r>
          </w:p>
        </w:tc>
        <w:tc>
          <w:tcPr>
            <w:tcW w:w="874" w:type="dxa"/>
            <w:shd w:val="clear" w:color="auto" w:fill="auto"/>
          </w:tcPr>
          <w:p w:rsidR="006F0FFC" w:rsidRDefault="006F0FFC" w:rsidP="006F0FFC">
            <w:pPr>
              <w:jc w:val="right"/>
            </w:pPr>
            <w:r>
              <w:t>0.23</w:t>
            </w:r>
          </w:p>
        </w:tc>
        <w:tc>
          <w:tcPr>
            <w:tcW w:w="874" w:type="dxa"/>
            <w:shd w:val="clear" w:color="auto" w:fill="auto"/>
          </w:tcPr>
          <w:p w:rsidR="006F0FFC" w:rsidRDefault="006F0FFC" w:rsidP="006F0FFC">
            <w:pPr>
              <w:jc w:val="right"/>
            </w:pPr>
            <w:r>
              <w:t>-0.03</w:t>
            </w:r>
          </w:p>
        </w:tc>
        <w:tc>
          <w:tcPr>
            <w:tcW w:w="874" w:type="dxa"/>
            <w:shd w:val="clear" w:color="auto" w:fill="auto"/>
          </w:tcPr>
          <w:p w:rsidR="006F0FFC" w:rsidRDefault="006F0FFC" w:rsidP="006F0FFC">
            <w:pPr>
              <w:jc w:val="right"/>
            </w:pPr>
            <w:r>
              <w:t>0.08</w:t>
            </w:r>
          </w:p>
        </w:tc>
        <w:tc>
          <w:tcPr>
            <w:tcW w:w="875" w:type="dxa"/>
            <w:shd w:val="clear" w:color="auto" w:fill="auto"/>
          </w:tcPr>
          <w:p w:rsidR="006F0FFC" w:rsidRDefault="006F0FFC" w:rsidP="006F0FFC">
            <w:pPr>
              <w:jc w:val="right"/>
            </w:pPr>
            <w:r>
              <w:t>0.18</w:t>
            </w:r>
          </w:p>
        </w:tc>
        <w:tc>
          <w:tcPr>
            <w:tcW w:w="874" w:type="dxa"/>
            <w:shd w:val="clear" w:color="auto" w:fill="auto"/>
          </w:tcPr>
          <w:p w:rsidR="006F0FFC" w:rsidRDefault="006F0FFC" w:rsidP="006F0FFC">
            <w:pPr>
              <w:jc w:val="right"/>
            </w:pPr>
            <w:r>
              <w:t>-0.02</w:t>
            </w:r>
          </w:p>
        </w:tc>
        <w:tc>
          <w:tcPr>
            <w:tcW w:w="874" w:type="dxa"/>
          </w:tcPr>
          <w:p w:rsidR="006F0FFC" w:rsidRDefault="006F0FFC" w:rsidP="006F0FFC">
            <w:pPr>
              <w:jc w:val="right"/>
            </w:pPr>
            <w:r>
              <w:t>-0.01</w:t>
            </w:r>
          </w:p>
        </w:tc>
        <w:tc>
          <w:tcPr>
            <w:tcW w:w="875" w:type="dxa"/>
            <w:shd w:val="clear" w:color="auto" w:fill="BFBFBF" w:themeFill="background1" w:themeFillShade="BF"/>
          </w:tcPr>
          <w:p w:rsidR="006F0FFC" w:rsidRDefault="006F0FFC" w:rsidP="006F0FFC">
            <w:pPr>
              <w:jc w:val="right"/>
            </w:pPr>
            <w:r>
              <w:t>0.44</w:t>
            </w:r>
          </w:p>
        </w:tc>
      </w:tr>
      <w:tr w:rsidR="006F0FFC" w:rsidTr="006F0FFC">
        <w:tc>
          <w:tcPr>
            <w:tcW w:w="3078" w:type="dxa"/>
          </w:tcPr>
          <w:p w:rsidR="006F0FFC" w:rsidRDefault="006F0FFC" w:rsidP="006F0FFC">
            <w:r>
              <w:t>Room Quiet (Q18)</w:t>
            </w:r>
          </w:p>
        </w:tc>
        <w:tc>
          <w:tcPr>
            <w:tcW w:w="874" w:type="dxa"/>
            <w:shd w:val="clear" w:color="auto" w:fill="auto"/>
          </w:tcPr>
          <w:p w:rsidR="006F0FFC" w:rsidRDefault="006F0FFC" w:rsidP="006F0FFC">
            <w:pPr>
              <w:jc w:val="right"/>
            </w:pPr>
            <w:r>
              <w:t>0.07</w:t>
            </w:r>
          </w:p>
        </w:tc>
        <w:tc>
          <w:tcPr>
            <w:tcW w:w="874" w:type="dxa"/>
            <w:shd w:val="clear" w:color="auto" w:fill="auto"/>
          </w:tcPr>
          <w:p w:rsidR="006F0FFC" w:rsidRDefault="006F0FFC" w:rsidP="006F0FFC">
            <w:pPr>
              <w:jc w:val="right"/>
            </w:pPr>
            <w:r>
              <w:t>0.06</w:t>
            </w:r>
          </w:p>
        </w:tc>
        <w:tc>
          <w:tcPr>
            <w:tcW w:w="874" w:type="dxa"/>
            <w:shd w:val="clear" w:color="auto" w:fill="auto"/>
          </w:tcPr>
          <w:p w:rsidR="006F0FFC" w:rsidRDefault="006F0FFC" w:rsidP="006F0FFC">
            <w:pPr>
              <w:jc w:val="right"/>
            </w:pPr>
            <w:r>
              <w:t>0.02</w:t>
            </w:r>
          </w:p>
        </w:tc>
        <w:tc>
          <w:tcPr>
            <w:tcW w:w="875" w:type="dxa"/>
            <w:shd w:val="clear" w:color="auto" w:fill="auto"/>
          </w:tcPr>
          <w:p w:rsidR="006F0FFC" w:rsidRDefault="006F0FFC" w:rsidP="006F0FFC">
            <w:pPr>
              <w:jc w:val="right"/>
            </w:pPr>
            <w:r>
              <w:t>0.24</w:t>
            </w:r>
          </w:p>
        </w:tc>
        <w:tc>
          <w:tcPr>
            <w:tcW w:w="874" w:type="dxa"/>
            <w:shd w:val="clear" w:color="auto" w:fill="auto"/>
          </w:tcPr>
          <w:p w:rsidR="006F0FFC" w:rsidRDefault="006F0FFC" w:rsidP="006F0FFC">
            <w:pPr>
              <w:jc w:val="right"/>
            </w:pPr>
            <w:r>
              <w:t>0.02</w:t>
            </w:r>
          </w:p>
        </w:tc>
        <w:tc>
          <w:tcPr>
            <w:tcW w:w="874" w:type="dxa"/>
          </w:tcPr>
          <w:p w:rsidR="006F0FFC" w:rsidRDefault="006F0FFC" w:rsidP="006F0FFC">
            <w:pPr>
              <w:jc w:val="right"/>
            </w:pPr>
            <w:r>
              <w:t>-0.08</w:t>
            </w:r>
          </w:p>
        </w:tc>
        <w:tc>
          <w:tcPr>
            <w:tcW w:w="875" w:type="dxa"/>
            <w:shd w:val="clear" w:color="auto" w:fill="BFBFBF" w:themeFill="background1" w:themeFillShade="BF"/>
          </w:tcPr>
          <w:p w:rsidR="006F0FFC" w:rsidRDefault="006F0FFC" w:rsidP="006F0FFC">
            <w:pPr>
              <w:jc w:val="right"/>
            </w:pPr>
            <w:r>
              <w:t>0.43</w:t>
            </w:r>
          </w:p>
        </w:tc>
      </w:tr>
      <w:tr w:rsidR="006F0FFC" w:rsidTr="006F0FFC">
        <w:tc>
          <w:tcPr>
            <w:tcW w:w="3078" w:type="dxa"/>
          </w:tcPr>
          <w:p w:rsidR="006F0FFC" w:rsidRDefault="006F0FFC" w:rsidP="006F0FFC">
            <w:r>
              <w:t>Temperature (Q16)</w:t>
            </w:r>
          </w:p>
        </w:tc>
        <w:tc>
          <w:tcPr>
            <w:tcW w:w="874" w:type="dxa"/>
            <w:shd w:val="clear" w:color="auto" w:fill="auto"/>
          </w:tcPr>
          <w:p w:rsidR="006F0FFC" w:rsidRDefault="006F0FFC" w:rsidP="006F0FFC">
            <w:pPr>
              <w:jc w:val="right"/>
            </w:pPr>
            <w:r>
              <w:t>0.13</w:t>
            </w:r>
          </w:p>
        </w:tc>
        <w:tc>
          <w:tcPr>
            <w:tcW w:w="874" w:type="dxa"/>
            <w:shd w:val="clear" w:color="auto" w:fill="auto"/>
          </w:tcPr>
          <w:p w:rsidR="006F0FFC" w:rsidRDefault="006F0FFC" w:rsidP="006F0FFC">
            <w:pPr>
              <w:jc w:val="right"/>
            </w:pPr>
            <w:r>
              <w:t>0.11</w:t>
            </w:r>
          </w:p>
        </w:tc>
        <w:tc>
          <w:tcPr>
            <w:tcW w:w="874" w:type="dxa"/>
            <w:shd w:val="clear" w:color="auto" w:fill="auto"/>
          </w:tcPr>
          <w:p w:rsidR="006F0FFC" w:rsidRDefault="006F0FFC" w:rsidP="006F0FFC">
            <w:pPr>
              <w:jc w:val="right"/>
            </w:pPr>
            <w:r>
              <w:t>0.03</w:t>
            </w:r>
          </w:p>
        </w:tc>
        <w:tc>
          <w:tcPr>
            <w:tcW w:w="875" w:type="dxa"/>
            <w:shd w:val="clear" w:color="auto" w:fill="auto"/>
          </w:tcPr>
          <w:p w:rsidR="006F0FFC" w:rsidRDefault="006F0FFC" w:rsidP="006F0FFC">
            <w:pPr>
              <w:jc w:val="right"/>
            </w:pPr>
            <w:r>
              <w:t>-0.05</w:t>
            </w:r>
          </w:p>
        </w:tc>
        <w:tc>
          <w:tcPr>
            <w:tcW w:w="874" w:type="dxa"/>
            <w:shd w:val="clear" w:color="auto" w:fill="auto"/>
          </w:tcPr>
          <w:p w:rsidR="006F0FFC" w:rsidRDefault="006F0FFC" w:rsidP="006F0FFC">
            <w:pPr>
              <w:jc w:val="right"/>
            </w:pPr>
            <w:r>
              <w:t>0.07</w:t>
            </w:r>
          </w:p>
        </w:tc>
        <w:tc>
          <w:tcPr>
            <w:tcW w:w="874" w:type="dxa"/>
          </w:tcPr>
          <w:p w:rsidR="006F0FFC" w:rsidRDefault="006F0FFC" w:rsidP="006F0FFC">
            <w:pPr>
              <w:jc w:val="right"/>
            </w:pPr>
            <w:r>
              <w:t>0.17</w:t>
            </w:r>
          </w:p>
        </w:tc>
        <w:tc>
          <w:tcPr>
            <w:tcW w:w="875" w:type="dxa"/>
            <w:shd w:val="clear" w:color="auto" w:fill="BFBFBF" w:themeFill="background1" w:themeFillShade="BF"/>
          </w:tcPr>
          <w:p w:rsidR="006F0FFC" w:rsidRDefault="006F0FFC" w:rsidP="006F0FFC">
            <w:pPr>
              <w:jc w:val="right"/>
            </w:pPr>
            <w:r>
              <w:t>0.38</w:t>
            </w:r>
          </w:p>
        </w:tc>
      </w:tr>
      <w:tr w:rsidR="006F0FFC" w:rsidTr="006F0FFC">
        <w:tc>
          <w:tcPr>
            <w:tcW w:w="3078" w:type="dxa"/>
          </w:tcPr>
          <w:p w:rsidR="006F0FFC" w:rsidRDefault="006F0FFC" w:rsidP="006F0FFC">
            <w:r>
              <w:t>TX Decisions (Q25)</w:t>
            </w:r>
          </w:p>
        </w:tc>
        <w:tc>
          <w:tcPr>
            <w:tcW w:w="874" w:type="dxa"/>
            <w:shd w:val="clear" w:color="auto" w:fill="auto"/>
          </w:tcPr>
          <w:p w:rsidR="006F0FFC" w:rsidRDefault="006F0FFC" w:rsidP="006F0FFC">
            <w:pPr>
              <w:jc w:val="right"/>
            </w:pPr>
            <w:r>
              <w:t>0.08</w:t>
            </w:r>
          </w:p>
        </w:tc>
        <w:tc>
          <w:tcPr>
            <w:tcW w:w="874" w:type="dxa"/>
            <w:shd w:val="clear" w:color="auto" w:fill="auto"/>
          </w:tcPr>
          <w:p w:rsidR="006F0FFC" w:rsidRDefault="006F0FFC" w:rsidP="006F0FFC">
            <w:pPr>
              <w:jc w:val="right"/>
            </w:pPr>
            <w:r>
              <w:t>0.34</w:t>
            </w:r>
          </w:p>
        </w:tc>
        <w:tc>
          <w:tcPr>
            <w:tcW w:w="874" w:type="dxa"/>
            <w:shd w:val="clear" w:color="auto" w:fill="auto"/>
          </w:tcPr>
          <w:p w:rsidR="006F0FFC" w:rsidRDefault="006F0FFC" w:rsidP="006F0FFC">
            <w:pPr>
              <w:jc w:val="right"/>
            </w:pPr>
            <w:r>
              <w:t>0.05</w:t>
            </w:r>
          </w:p>
        </w:tc>
        <w:tc>
          <w:tcPr>
            <w:tcW w:w="875" w:type="dxa"/>
            <w:shd w:val="clear" w:color="auto" w:fill="auto"/>
          </w:tcPr>
          <w:p w:rsidR="006F0FFC" w:rsidRDefault="006F0FFC" w:rsidP="006F0FFC">
            <w:pPr>
              <w:jc w:val="right"/>
            </w:pPr>
            <w:r>
              <w:t>0.27</w:t>
            </w:r>
          </w:p>
        </w:tc>
        <w:tc>
          <w:tcPr>
            <w:tcW w:w="874" w:type="dxa"/>
            <w:shd w:val="clear" w:color="auto" w:fill="auto"/>
          </w:tcPr>
          <w:p w:rsidR="006F0FFC" w:rsidRDefault="006F0FFC" w:rsidP="006F0FFC">
            <w:pPr>
              <w:jc w:val="right"/>
            </w:pPr>
            <w:r>
              <w:t>0.15</w:t>
            </w:r>
          </w:p>
        </w:tc>
        <w:tc>
          <w:tcPr>
            <w:tcW w:w="874" w:type="dxa"/>
          </w:tcPr>
          <w:p w:rsidR="006F0FFC" w:rsidRDefault="006F0FFC" w:rsidP="006F0FFC">
            <w:pPr>
              <w:jc w:val="right"/>
            </w:pPr>
            <w:r>
              <w:t>0.11</w:t>
            </w:r>
          </w:p>
        </w:tc>
        <w:tc>
          <w:tcPr>
            <w:tcW w:w="875" w:type="dxa"/>
          </w:tcPr>
          <w:p w:rsidR="006F0FFC" w:rsidRDefault="006F0FFC" w:rsidP="006F0FFC">
            <w:pPr>
              <w:jc w:val="right"/>
            </w:pPr>
            <w:r>
              <w:t>-0.05</w:t>
            </w:r>
          </w:p>
        </w:tc>
      </w:tr>
      <w:tr w:rsidR="006F0FFC" w:rsidTr="006F0FFC">
        <w:tc>
          <w:tcPr>
            <w:tcW w:w="3078" w:type="dxa"/>
          </w:tcPr>
          <w:p w:rsidR="006F0FFC" w:rsidRDefault="006F0FFC" w:rsidP="006F0FFC">
            <w:r>
              <w:t>MD Respond Time (Q31)</w:t>
            </w:r>
          </w:p>
        </w:tc>
        <w:tc>
          <w:tcPr>
            <w:tcW w:w="874" w:type="dxa"/>
            <w:shd w:val="clear" w:color="auto" w:fill="auto"/>
          </w:tcPr>
          <w:p w:rsidR="006F0FFC" w:rsidRDefault="006F0FFC" w:rsidP="006F0FFC">
            <w:pPr>
              <w:jc w:val="right"/>
            </w:pPr>
            <w:r>
              <w:t>0.06</w:t>
            </w:r>
          </w:p>
        </w:tc>
        <w:tc>
          <w:tcPr>
            <w:tcW w:w="874" w:type="dxa"/>
            <w:shd w:val="clear" w:color="auto" w:fill="auto"/>
          </w:tcPr>
          <w:p w:rsidR="006F0FFC" w:rsidRDefault="006F0FFC" w:rsidP="006F0FFC">
            <w:pPr>
              <w:jc w:val="right"/>
            </w:pPr>
            <w:r>
              <w:t>0.01</w:t>
            </w:r>
          </w:p>
        </w:tc>
        <w:tc>
          <w:tcPr>
            <w:tcW w:w="874" w:type="dxa"/>
            <w:shd w:val="clear" w:color="auto" w:fill="auto"/>
          </w:tcPr>
          <w:p w:rsidR="006F0FFC" w:rsidRDefault="006F0FFC" w:rsidP="006F0FFC">
            <w:pPr>
              <w:jc w:val="right"/>
            </w:pPr>
            <w:r>
              <w:t>0.11</w:t>
            </w:r>
          </w:p>
        </w:tc>
        <w:tc>
          <w:tcPr>
            <w:tcW w:w="875" w:type="dxa"/>
            <w:shd w:val="clear" w:color="auto" w:fill="auto"/>
          </w:tcPr>
          <w:p w:rsidR="006F0FFC" w:rsidRDefault="006F0FFC" w:rsidP="006F0FFC">
            <w:pPr>
              <w:jc w:val="right"/>
            </w:pPr>
            <w:r>
              <w:t>0.32</w:t>
            </w:r>
          </w:p>
        </w:tc>
        <w:tc>
          <w:tcPr>
            <w:tcW w:w="874" w:type="dxa"/>
            <w:shd w:val="clear" w:color="auto" w:fill="auto"/>
          </w:tcPr>
          <w:p w:rsidR="006F0FFC" w:rsidRDefault="006F0FFC" w:rsidP="006F0FFC">
            <w:pPr>
              <w:jc w:val="right"/>
            </w:pPr>
            <w:r>
              <w:t>-0.02</w:t>
            </w:r>
          </w:p>
        </w:tc>
        <w:tc>
          <w:tcPr>
            <w:tcW w:w="874" w:type="dxa"/>
          </w:tcPr>
          <w:p w:rsidR="006F0FFC" w:rsidRDefault="006F0FFC" w:rsidP="006F0FFC">
            <w:pPr>
              <w:jc w:val="right"/>
            </w:pPr>
            <w:r>
              <w:t>0.34</w:t>
            </w:r>
          </w:p>
        </w:tc>
        <w:tc>
          <w:tcPr>
            <w:tcW w:w="875" w:type="dxa"/>
          </w:tcPr>
          <w:p w:rsidR="006F0FFC" w:rsidRDefault="006F0FFC" w:rsidP="006F0FFC">
            <w:pPr>
              <w:jc w:val="right"/>
            </w:pPr>
            <w:r>
              <w:t>0.08</w:t>
            </w:r>
          </w:p>
        </w:tc>
      </w:tr>
      <w:tr w:rsidR="006F0FFC" w:rsidTr="006F0FFC">
        <w:tc>
          <w:tcPr>
            <w:tcW w:w="3078" w:type="dxa"/>
          </w:tcPr>
          <w:p w:rsidR="006F0FFC" w:rsidRDefault="006F0FFC" w:rsidP="006F0FFC">
            <w:r>
              <w:t>Privacy (Q24)</w:t>
            </w:r>
          </w:p>
        </w:tc>
        <w:tc>
          <w:tcPr>
            <w:tcW w:w="874" w:type="dxa"/>
            <w:shd w:val="clear" w:color="auto" w:fill="auto"/>
          </w:tcPr>
          <w:p w:rsidR="006F0FFC" w:rsidRDefault="006F0FFC" w:rsidP="006F0FFC">
            <w:pPr>
              <w:jc w:val="right"/>
            </w:pPr>
            <w:r>
              <w:t>0.13</w:t>
            </w:r>
          </w:p>
        </w:tc>
        <w:tc>
          <w:tcPr>
            <w:tcW w:w="874" w:type="dxa"/>
            <w:shd w:val="clear" w:color="auto" w:fill="auto"/>
          </w:tcPr>
          <w:p w:rsidR="006F0FFC" w:rsidRDefault="006F0FFC" w:rsidP="006F0FFC">
            <w:pPr>
              <w:jc w:val="right"/>
            </w:pPr>
            <w:r>
              <w:t>0.08</w:t>
            </w:r>
          </w:p>
        </w:tc>
        <w:tc>
          <w:tcPr>
            <w:tcW w:w="874" w:type="dxa"/>
            <w:shd w:val="clear" w:color="auto" w:fill="auto"/>
          </w:tcPr>
          <w:p w:rsidR="006F0FFC" w:rsidRDefault="006F0FFC" w:rsidP="006F0FFC">
            <w:pPr>
              <w:jc w:val="right"/>
            </w:pPr>
            <w:r>
              <w:t>0.02</w:t>
            </w:r>
          </w:p>
        </w:tc>
        <w:tc>
          <w:tcPr>
            <w:tcW w:w="875" w:type="dxa"/>
            <w:shd w:val="clear" w:color="auto" w:fill="auto"/>
          </w:tcPr>
          <w:p w:rsidR="006F0FFC" w:rsidRDefault="006F0FFC" w:rsidP="006F0FFC">
            <w:pPr>
              <w:jc w:val="right"/>
            </w:pPr>
            <w:r>
              <w:t>0.07</w:t>
            </w:r>
          </w:p>
        </w:tc>
        <w:tc>
          <w:tcPr>
            <w:tcW w:w="874" w:type="dxa"/>
            <w:shd w:val="clear" w:color="auto" w:fill="auto"/>
          </w:tcPr>
          <w:p w:rsidR="006F0FFC" w:rsidRDefault="006F0FFC" w:rsidP="006F0FFC">
            <w:pPr>
              <w:jc w:val="right"/>
            </w:pPr>
            <w:r>
              <w:t>-0.08</w:t>
            </w:r>
          </w:p>
        </w:tc>
        <w:tc>
          <w:tcPr>
            <w:tcW w:w="874" w:type="dxa"/>
          </w:tcPr>
          <w:p w:rsidR="006F0FFC" w:rsidRDefault="006F0FFC" w:rsidP="006F0FFC">
            <w:pPr>
              <w:jc w:val="right"/>
            </w:pPr>
            <w:r>
              <w:t>0.09</w:t>
            </w:r>
          </w:p>
        </w:tc>
        <w:tc>
          <w:tcPr>
            <w:tcW w:w="875" w:type="dxa"/>
          </w:tcPr>
          <w:p w:rsidR="006F0FFC" w:rsidRDefault="006F0FFC" w:rsidP="006F0FFC">
            <w:pPr>
              <w:jc w:val="right"/>
            </w:pPr>
            <w:r>
              <w:t>0.05</w:t>
            </w:r>
          </w:p>
        </w:tc>
      </w:tr>
      <w:tr w:rsidR="006F0FFC" w:rsidTr="006F0FFC">
        <w:tc>
          <w:tcPr>
            <w:tcW w:w="3078" w:type="dxa"/>
          </w:tcPr>
          <w:p w:rsidR="006F0FFC" w:rsidRDefault="006F0FFC" w:rsidP="006F0FFC">
            <w:r>
              <w:t>Tests Without Pain (Q35)</w:t>
            </w:r>
          </w:p>
        </w:tc>
        <w:tc>
          <w:tcPr>
            <w:tcW w:w="874" w:type="dxa"/>
            <w:shd w:val="clear" w:color="auto" w:fill="auto"/>
          </w:tcPr>
          <w:p w:rsidR="006F0FFC" w:rsidRDefault="006F0FFC" w:rsidP="006F0FFC">
            <w:pPr>
              <w:jc w:val="right"/>
            </w:pPr>
            <w:r>
              <w:t>0.05</w:t>
            </w:r>
          </w:p>
        </w:tc>
        <w:tc>
          <w:tcPr>
            <w:tcW w:w="874" w:type="dxa"/>
            <w:shd w:val="clear" w:color="auto" w:fill="auto"/>
          </w:tcPr>
          <w:p w:rsidR="006F0FFC" w:rsidRDefault="006F0FFC" w:rsidP="006F0FFC">
            <w:pPr>
              <w:jc w:val="right"/>
            </w:pPr>
            <w:r>
              <w:t>0.17</w:t>
            </w:r>
          </w:p>
        </w:tc>
        <w:tc>
          <w:tcPr>
            <w:tcW w:w="874" w:type="dxa"/>
            <w:shd w:val="clear" w:color="auto" w:fill="auto"/>
          </w:tcPr>
          <w:p w:rsidR="006F0FFC" w:rsidRDefault="006F0FFC" w:rsidP="006F0FFC">
            <w:pPr>
              <w:jc w:val="right"/>
            </w:pPr>
            <w:r>
              <w:t>0.06</w:t>
            </w:r>
          </w:p>
        </w:tc>
        <w:tc>
          <w:tcPr>
            <w:tcW w:w="875" w:type="dxa"/>
            <w:shd w:val="clear" w:color="auto" w:fill="auto"/>
          </w:tcPr>
          <w:p w:rsidR="006F0FFC" w:rsidRDefault="006F0FFC" w:rsidP="006F0FFC">
            <w:pPr>
              <w:jc w:val="right"/>
            </w:pPr>
            <w:r>
              <w:t>0.20</w:t>
            </w:r>
          </w:p>
        </w:tc>
        <w:tc>
          <w:tcPr>
            <w:tcW w:w="874" w:type="dxa"/>
            <w:shd w:val="clear" w:color="auto" w:fill="auto"/>
          </w:tcPr>
          <w:p w:rsidR="006F0FFC" w:rsidRDefault="006F0FFC" w:rsidP="006F0FFC">
            <w:pPr>
              <w:jc w:val="right"/>
            </w:pPr>
            <w:r>
              <w:t>-0.05</w:t>
            </w:r>
          </w:p>
        </w:tc>
        <w:tc>
          <w:tcPr>
            <w:tcW w:w="874" w:type="dxa"/>
          </w:tcPr>
          <w:p w:rsidR="006F0FFC" w:rsidRDefault="006F0FFC" w:rsidP="006F0FFC">
            <w:pPr>
              <w:jc w:val="right"/>
            </w:pPr>
            <w:r>
              <w:t>0.27</w:t>
            </w:r>
          </w:p>
        </w:tc>
        <w:tc>
          <w:tcPr>
            <w:tcW w:w="875" w:type="dxa"/>
          </w:tcPr>
          <w:p w:rsidR="006F0FFC" w:rsidRDefault="006F0FFC" w:rsidP="006F0FFC">
            <w:pPr>
              <w:jc w:val="right"/>
            </w:pPr>
            <w:r>
              <w:t>-0.19</w:t>
            </w:r>
          </w:p>
        </w:tc>
      </w:tr>
      <w:tr w:rsidR="006F0FFC" w:rsidTr="006F0FFC">
        <w:tc>
          <w:tcPr>
            <w:tcW w:w="3078" w:type="dxa"/>
          </w:tcPr>
          <w:p w:rsidR="006F0FFC" w:rsidRDefault="006F0FFC" w:rsidP="006F0FFC">
            <w:r>
              <w:t>Delays in Admission (Q43)</w:t>
            </w:r>
          </w:p>
        </w:tc>
        <w:tc>
          <w:tcPr>
            <w:tcW w:w="874" w:type="dxa"/>
            <w:shd w:val="clear" w:color="auto" w:fill="auto"/>
          </w:tcPr>
          <w:p w:rsidR="006F0FFC" w:rsidRDefault="006F0FFC" w:rsidP="006F0FFC">
            <w:pPr>
              <w:jc w:val="right"/>
            </w:pPr>
            <w:r>
              <w:t>-0.23</w:t>
            </w:r>
          </w:p>
        </w:tc>
        <w:tc>
          <w:tcPr>
            <w:tcW w:w="874" w:type="dxa"/>
            <w:shd w:val="clear" w:color="auto" w:fill="auto"/>
          </w:tcPr>
          <w:p w:rsidR="006F0FFC" w:rsidRDefault="006F0FFC" w:rsidP="006F0FFC">
            <w:pPr>
              <w:jc w:val="right"/>
            </w:pPr>
            <w:r>
              <w:t>0.21</w:t>
            </w:r>
          </w:p>
        </w:tc>
        <w:tc>
          <w:tcPr>
            <w:tcW w:w="874" w:type="dxa"/>
            <w:shd w:val="clear" w:color="auto" w:fill="auto"/>
          </w:tcPr>
          <w:p w:rsidR="006F0FFC" w:rsidRDefault="006F0FFC" w:rsidP="006F0FFC">
            <w:pPr>
              <w:jc w:val="right"/>
            </w:pPr>
            <w:r>
              <w:t>-0.14</w:t>
            </w:r>
          </w:p>
        </w:tc>
        <w:tc>
          <w:tcPr>
            <w:tcW w:w="875" w:type="dxa"/>
            <w:shd w:val="clear" w:color="auto" w:fill="auto"/>
          </w:tcPr>
          <w:p w:rsidR="006F0FFC" w:rsidRDefault="006F0FFC" w:rsidP="006F0FFC">
            <w:pPr>
              <w:jc w:val="right"/>
            </w:pPr>
            <w:r>
              <w:t>0.34</w:t>
            </w:r>
          </w:p>
        </w:tc>
        <w:tc>
          <w:tcPr>
            <w:tcW w:w="874" w:type="dxa"/>
            <w:shd w:val="clear" w:color="auto" w:fill="auto"/>
          </w:tcPr>
          <w:p w:rsidR="006F0FFC" w:rsidRDefault="006F0FFC" w:rsidP="006F0FFC">
            <w:pPr>
              <w:jc w:val="right"/>
            </w:pPr>
            <w:r>
              <w:t>0.18</w:t>
            </w:r>
          </w:p>
        </w:tc>
        <w:tc>
          <w:tcPr>
            <w:tcW w:w="874" w:type="dxa"/>
          </w:tcPr>
          <w:p w:rsidR="006F0FFC" w:rsidRDefault="006F0FFC" w:rsidP="006F0FFC">
            <w:pPr>
              <w:jc w:val="right"/>
            </w:pPr>
            <w:r>
              <w:t>0.07</w:t>
            </w:r>
          </w:p>
        </w:tc>
        <w:tc>
          <w:tcPr>
            <w:tcW w:w="875" w:type="dxa"/>
          </w:tcPr>
          <w:p w:rsidR="006F0FFC" w:rsidRDefault="006F0FFC" w:rsidP="006F0FFC">
            <w:pPr>
              <w:jc w:val="right"/>
            </w:pPr>
            <w:r>
              <w:t>0.06</w:t>
            </w:r>
          </w:p>
        </w:tc>
      </w:tr>
    </w:tbl>
    <w:p w:rsidR="00F9235C" w:rsidRDefault="00F9235C" w:rsidP="000462DC">
      <w:pPr>
        <w:autoSpaceDE w:val="0"/>
        <w:autoSpaceDN w:val="0"/>
        <w:adjustRightInd w:val="0"/>
        <w:spacing w:after="0" w:line="240" w:lineRule="auto"/>
        <w:rPr>
          <w:rFonts w:ascii="Palatino Linotype" w:hAnsi="Palatino Linotype" w:cs="Times New Roman"/>
          <w:i/>
          <w:sz w:val="20"/>
          <w:szCs w:val="20"/>
        </w:rPr>
      </w:pPr>
    </w:p>
    <w:p w:rsidR="00F9235C" w:rsidRDefault="00F9235C" w:rsidP="000462DC">
      <w:pPr>
        <w:autoSpaceDE w:val="0"/>
        <w:autoSpaceDN w:val="0"/>
        <w:adjustRightInd w:val="0"/>
        <w:spacing w:after="0" w:line="240" w:lineRule="auto"/>
        <w:rPr>
          <w:rFonts w:ascii="Palatino Linotype" w:hAnsi="Palatino Linotype" w:cs="Times New Roman"/>
          <w:i/>
          <w:sz w:val="20"/>
          <w:szCs w:val="20"/>
        </w:rPr>
      </w:pPr>
    </w:p>
    <w:p w:rsidR="006F0FFC" w:rsidRDefault="006F0FFC" w:rsidP="006F0FFC"/>
    <w:p w:rsidR="006F0FFC" w:rsidRDefault="006F0FFC" w:rsidP="006F0FFC">
      <w:r>
        <w:t>Table 11: Eigenvalues of Factors in Seven Factor Solution</w:t>
      </w:r>
    </w:p>
    <w:tbl>
      <w:tblPr>
        <w:tblStyle w:val="TableGrid"/>
        <w:tblW w:w="0" w:type="auto"/>
        <w:tblLook w:val="04A0" w:firstRow="1" w:lastRow="0" w:firstColumn="1" w:lastColumn="0" w:noHBand="0" w:noVBand="1"/>
        <w:tblCaption w:val="Table with Eigenvalues of Factors in Seven Factor Solution"/>
        <w:tblDescription w:val="Eigenvalues of Factors in Seven Factor Solution"/>
      </w:tblPr>
      <w:tblGrid>
        <w:gridCol w:w="1915"/>
        <w:gridCol w:w="1915"/>
        <w:gridCol w:w="1915"/>
        <w:gridCol w:w="1915"/>
        <w:gridCol w:w="1916"/>
      </w:tblGrid>
      <w:tr w:rsidR="006F0FFC" w:rsidTr="006F0FFC">
        <w:tc>
          <w:tcPr>
            <w:tcW w:w="1915" w:type="dxa"/>
          </w:tcPr>
          <w:p w:rsidR="006F0FFC" w:rsidRDefault="006F0FFC" w:rsidP="006F0FFC"/>
        </w:tc>
        <w:tc>
          <w:tcPr>
            <w:tcW w:w="1915" w:type="dxa"/>
            <w:vAlign w:val="center"/>
          </w:tcPr>
          <w:p w:rsidR="006F0FFC" w:rsidRDefault="006F0FFC" w:rsidP="006F0FFC">
            <w:pPr>
              <w:jc w:val="center"/>
            </w:pPr>
            <w:r>
              <w:t>Eigenvalue</w:t>
            </w:r>
          </w:p>
        </w:tc>
        <w:tc>
          <w:tcPr>
            <w:tcW w:w="1915" w:type="dxa"/>
            <w:vAlign w:val="center"/>
          </w:tcPr>
          <w:p w:rsidR="006F0FFC" w:rsidRDefault="006F0FFC" w:rsidP="006F0FFC">
            <w:pPr>
              <w:jc w:val="center"/>
            </w:pPr>
            <w:r>
              <w:t>Difference</w:t>
            </w:r>
          </w:p>
        </w:tc>
        <w:tc>
          <w:tcPr>
            <w:tcW w:w="1915" w:type="dxa"/>
            <w:vAlign w:val="center"/>
          </w:tcPr>
          <w:p w:rsidR="006F0FFC" w:rsidRDefault="006F0FFC" w:rsidP="006F0FFC">
            <w:pPr>
              <w:jc w:val="center"/>
            </w:pPr>
            <w:r>
              <w:t>Proportion</w:t>
            </w:r>
          </w:p>
        </w:tc>
        <w:tc>
          <w:tcPr>
            <w:tcW w:w="1916" w:type="dxa"/>
            <w:vAlign w:val="center"/>
          </w:tcPr>
          <w:p w:rsidR="006F0FFC" w:rsidRDefault="006F0FFC" w:rsidP="006F0FFC">
            <w:pPr>
              <w:jc w:val="center"/>
            </w:pPr>
            <w:r>
              <w:t>Cumulative</w:t>
            </w:r>
          </w:p>
        </w:tc>
      </w:tr>
      <w:tr w:rsidR="006F0FFC" w:rsidTr="006F0FFC">
        <w:tc>
          <w:tcPr>
            <w:tcW w:w="1915" w:type="dxa"/>
          </w:tcPr>
          <w:p w:rsidR="006F0FFC" w:rsidRDefault="006F0FFC" w:rsidP="006F0FFC">
            <w:r>
              <w:t>Factor 1</w:t>
            </w:r>
          </w:p>
        </w:tc>
        <w:tc>
          <w:tcPr>
            <w:tcW w:w="1915" w:type="dxa"/>
            <w:vAlign w:val="center"/>
          </w:tcPr>
          <w:p w:rsidR="006F0FFC" w:rsidRDefault="006F0FFC" w:rsidP="006F0FFC">
            <w:pPr>
              <w:jc w:val="right"/>
            </w:pPr>
            <w:r>
              <w:t>11.97</w:t>
            </w:r>
          </w:p>
        </w:tc>
        <w:tc>
          <w:tcPr>
            <w:tcW w:w="1915" w:type="dxa"/>
            <w:vAlign w:val="center"/>
          </w:tcPr>
          <w:p w:rsidR="006F0FFC" w:rsidRDefault="006F0FFC" w:rsidP="006F0FFC">
            <w:pPr>
              <w:jc w:val="right"/>
            </w:pPr>
            <w:r>
              <w:t>10.04</w:t>
            </w:r>
          </w:p>
        </w:tc>
        <w:tc>
          <w:tcPr>
            <w:tcW w:w="1915" w:type="dxa"/>
            <w:vAlign w:val="center"/>
          </w:tcPr>
          <w:p w:rsidR="006F0FFC" w:rsidRDefault="006F0FFC" w:rsidP="006F0FFC">
            <w:pPr>
              <w:jc w:val="right"/>
            </w:pPr>
            <w:r>
              <w:t>0.68</w:t>
            </w:r>
          </w:p>
        </w:tc>
        <w:tc>
          <w:tcPr>
            <w:tcW w:w="1916" w:type="dxa"/>
            <w:vAlign w:val="center"/>
          </w:tcPr>
          <w:p w:rsidR="006F0FFC" w:rsidRDefault="006F0FFC" w:rsidP="006F0FFC">
            <w:pPr>
              <w:jc w:val="right"/>
            </w:pPr>
            <w:r>
              <w:t>0.68</w:t>
            </w:r>
          </w:p>
        </w:tc>
      </w:tr>
      <w:tr w:rsidR="006F0FFC" w:rsidTr="006F0FFC">
        <w:tc>
          <w:tcPr>
            <w:tcW w:w="1915" w:type="dxa"/>
          </w:tcPr>
          <w:p w:rsidR="006F0FFC" w:rsidRDefault="006F0FFC" w:rsidP="006F0FFC">
            <w:r>
              <w:t>Factor 2</w:t>
            </w:r>
          </w:p>
        </w:tc>
        <w:tc>
          <w:tcPr>
            <w:tcW w:w="1915" w:type="dxa"/>
            <w:vAlign w:val="center"/>
          </w:tcPr>
          <w:p w:rsidR="006F0FFC" w:rsidRDefault="006F0FFC" w:rsidP="006F0FFC">
            <w:pPr>
              <w:jc w:val="right"/>
            </w:pPr>
            <w:r>
              <w:t>1.93</w:t>
            </w:r>
          </w:p>
        </w:tc>
        <w:tc>
          <w:tcPr>
            <w:tcW w:w="1915" w:type="dxa"/>
            <w:vAlign w:val="center"/>
          </w:tcPr>
          <w:p w:rsidR="006F0FFC" w:rsidRDefault="006F0FFC" w:rsidP="006F0FFC">
            <w:pPr>
              <w:jc w:val="right"/>
            </w:pPr>
            <w:r>
              <w:t>0.52</w:t>
            </w:r>
          </w:p>
        </w:tc>
        <w:tc>
          <w:tcPr>
            <w:tcW w:w="1915" w:type="dxa"/>
            <w:vAlign w:val="center"/>
          </w:tcPr>
          <w:p w:rsidR="006F0FFC" w:rsidRDefault="006F0FFC" w:rsidP="006F0FFC">
            <w:pPr>
              <w:jc w:val="right"/>
            </w:pPr>
            <w:r>
              <w:t>0.11</w:t>
            </w:r>
          </w:p>
        </w:tc>
        <w:tc>
          <w:tcPr>
            <w:tcW w:w="1916" w:type="dxa"/>
            <w:vAlign w:val="center"/>
          </w:tcPr>
          <w:p w:rsidR="006F0FFC" w:rsidRDefault="006F0FFC" w:rsidP="006F0FFC">
            <w:pPr>
              <w:jc w:val="right"/>
            </w:pPr>
            <w:r>
              <w:t>0.79</w:t>
            </w:r>
          </w:p>
        </w:tc>
      </w:tr>
      <w:tr w:rsidR="006F0FFC" w:rsidTr="006F0FFC">
        <w:tc>
          <w:tcPr>
            <w:tcW w:w="1915" w:type="dxa"/>
          </w:tcPr>
          <w:p w:rsidR="006F0FFC" w:rsidRDefault="006F0FFC" w:rsidP="006F0FFC">
            <w:r>
              <w:t>Factor 3</w:t>
            </w:r>
          </w:p>
        </w:tc>
        <w:tc>
          <w:tcPr>
            <w:tcW w:w="1915" w:type="dxa"/>
            <w:vAlign w:val="center"/>
          </w:tcPr>
          <w:p w:rsidR="006F0FFC" w:rsidRDefault="006F0FFC" w:rsidP="006F0FFC">
            <w:pPr>
              <w:jc w:val="right"/>
            </w:pPr>
            <w:r>
              <w:t>1.41</w:t>
            </w:r>
          </w:p>
        </w:tc>
        <w:tc>
          <w:tcPr>
            <w:tcW w:w="1915" w:type="dxa"/>
            <w:vAlign w:val="center"/>
          </w:tcPr>
          <w:p w:rsidR="006F0FFC" w:rsidRDefault="006F0FFC" w:rsidP="006F0FFC">
            <w:pPr>
              <w:jc w:val="right"/>
            </w:pPr>
            <w:r>
              <w:t>0.47</w:t>
            </w:r>
          </w:p>
        </w:tc>
        <w:tc>
          <w:tcPr>
            <w:tcW w:w="1915" w:type="dxa"/>
            <w:vAlign w:val="center"/>
          </w:tcPr>
          <w:p w:rsidR="006F0FFC" w:rsidRDefault="006F0FFC" w:rsidP="006F0FFC">
            <w:pPr>
              <w:jc w:val="right"/>
            </w:pPr>
            <w:r>
              <w:t>0.08</w:t>
            </w:r>
          </w:p>
        </w:tc>
        <w:tc>
          <w:tcPr>
            <w:tcW w:w="1916" w:type="dxa"/>
            <w:vAlign w:val="center"/>
          </w:tcPr>
          <w:p w:rsidR="006F0FFC" w:rsidRDefault="006F0FFC" w:rsidP="006F0FFC">
            <w:pPr>
              <w:jc w:val="right"/>
            </w:pPr>
            <w:r>
              <w:t>0.87</w:t>
            </w:r>
          </w:p>
        </w:tc>
      </w:tr>
      <w:tr w:rsidR="006F0FFC" w:rsidTr="006F0FFC">
        <w:tc>
          <w:tcPr>
            <w:tcW w:w="1915" w:type="dxa"/>
          </w:tcPr>
          <w:p w:rsidR="006F0FFC" w:rsidRDefault="006F0FFC" w:rsidP="006F0FFC">
            <w:r>
              <w:t>Factor 4</w:t>
            </w:r>
          </w:p>
        </w:tc>
        <w:tc>
          <w:tcPr>
            <w:tcW w:w="1915" w:type="dxa"/>
            <w:vAlign w:val="center"/>
          </w:tcPr>
          <w:p w:rsidR="006F0FFC" w:rsidRDefault="006F0FFC" w:rsidP="006F0FFC">
            <w:pPr>
              <w:jc w:val="right"/>
            </w:pPr>
            <w:r>
              <w:t>0.94</w:t>
            </w:r>
          </w:p>
        </w:tc>
        <w:tc>
          <w:tcPr>
            <w:tcW w:w="1915" w:type="dxa"/>
            <w:vAlign w:val="center"/>
          </w:tcPr>
          <w:p w:rsidR="006F0FFC" w:rsidRDefault="006F0FFC" w:rsidP="006F0FFC">
            <w:pPr>
              <w:jc w:val="right"/>
            </w:pPr>
            <w:r>
              <w:t>0.16</w:t>
            </w:r>
          </w:p>
        </w:tc>
        <w:tc>
          <w:tcPr>
            <w:tcW w:w="1915" w:type="dxa"/>
            <w:vAlign w:val="center"/>
          </w:tcPr>
          <w:p w:rsidR="006F0FFC" w:rsidRDefault="006F0FFC" w:rsidP="006F0FFC">
            <w:pPr>
              <w:jc w:val="right"/>
            </w:pPr>
            <w:r>
              <w:t>0.05</w:t>
            </w:r>
          </w:p>
        </w:tc>
        <w:tc>
          <w:tcPr>
            <w:tcW w:w="1916" w:type="dxa"/>
            <w:vAlign w:val="center"/>
          </w:tcPr>
          <w:p w:rsidR="006F0FFC" w:rsidRDefault="006F0FFC" w:rsidP="006F0FFC">
            <w:pPr>
              <w:jc w:val="right"/>
            </w:pPr>
            <w:r>
              <w:t>0.92</w:t>
            </w:r>
          </w:p>
        </w:tc>
      </w:tr>
      <w:tr w:rsidR="006F0FFC" w:rsidTr="006F0FFC">
        <w:tc>
          <w:tcPr>
            <w:tcW w:w="1915" w:type="dxa"/>
          </w:tcPr>
          <w:p w:rsidR="006F0FFC" w:rsidRDefault="006F0FFC" w:rsidP="006F0FFC">
            <w:r>
              <w:t>Factor 5</w:t>
            </w:r>
          </w:p>
        </w:tc>
        <w:tc>
          <w:tcPr>
            <w:tcW w:w="1915" w:type="dxa"/>
            <w:vAlign w:val="center"/>
          </w:tcPr>
          <w:p w:rsidR="006F0FFC" w:rsidRDefault="006F0FFC" w:rsidP="006F0FFC">
            <w:pPr>
              <w:jc w:val="right"/>
            </w:pPr>
            <w:r>
              <w:t>0.78</w:t>
            </w:r>
          </w:p>
        </w:tc>
        <w:tc>
          <w:tcPr>
            <w:tcW w:w="1915" w:type="dxa"/>
            <w:vAlign w:val="center"/>
          </w:tcPr>
          <w:p w:rsidR="006F0FFC" w:rsidRDefault="006F0FFC" w:rsidP="006F0FFC">
            <w:pPr>
              <w:jc w:val="right"/>
            </w:pPr>
            <w:r>
              <w:t>0.23</w:t>
            </w:r>
          </w:p>
        </w:tc>
        <w:tc>
          <w:tcPr>
            <w:tcW w:w="1915" w:type="dxa"/>
            <w:vAlign w:val="center"/>
          </w:tcPr>
          <w:p w:rsidR="006F0FFC" w:rsidRDefault="006F0FFC" w:rsidP="006F0FFC">
            <w:pPr>
              <w:jc w:val="right"/>
            </w:pPr>
            <w:r>
              <w:t>0.04</w:t>
            </w:r>
          </w:p>
        </w:tc>
        <w:tc>
          <w:tcPr>
            <w:tcW w:w="1916" w:type="dxa"/>
            <w:vAlign w:val="center"/>
          </w:tcPr>
          <w:p w:rsidR="006F0FFC" w:rsidRDefault="006F0FFC" w:rsidP="006F0FFC">
            <w:pPr>
              <w:jc w:val="right"/>
            </w:pPr>
            <w:r>
              <w:t>0.96</w:t>
            </w:r>
          </w:p>
        </w:tc>
      </w:tr>
      <w:tr w:rsidR="006F0FFC" w:rsidTr="006F0FFC">
        <w:tc>
          <w:tcPr>
            <w:tcW w:w="1915" w:type="dxa"/>
          </w:tcPr>
          <w:p w:rsidR="006F0FFC" w:rsidRDefault="006F0FFC" w:rsidP="006F0FFC">
            <w:r>
              <w:t>Factor 6</w:t>
            </w:r>
          </w:p>
        </w:tc>
        <w:tc>
          <w:tcPr>
            <w:tcW w:w="1915" w:type="dxa"/>
            <w:vAlign w:val="center"/>
          </w:tcPr>
          <w:p w:rsidR="006F0FFC" w:rsidRDefault="006F0FFC" w:rsidP="006F0FFC">
            <w:pPr>
              <w:jc w:val="right"/>
            </w:pPr>
            <w:r>
              <w:t>0.55</w:t>
            </w:r>
          </w:p>
        </w:tc>
        <w:tc>
          <w:tcPr>
            <w:tcW w:w="1915" w:type="dxa"/>
            <w:vAlign w:val="center"/>
          </w:tcPr>
          <w:p w:rsidR="006F0FFC" w:rsidRDefault="006F0FFC" w:rsidP="006F0FFC">
            <w:pPr>
              <w:jc w:val="right"/>
            </w:pPr>
            <w:r>
              <w:t>0.02</w:t>
            </w:r>
          </w:p>
        </w:tc>
        <w:tc>
          <w:tcPr>
            <w:tcW w:w="1915" w:type="dxa"/>
            <w:vAlign w:val="center"/>
          </w:tcPr>
          <w:p w:rsidR="006F0FFC" w:rsidRDefault="006F0FFC" w:rsidP="006F0FFC">
            <w:pPr>
              <w:jc w:val="right"/>
            </w:pPr>
            <w:r>
              <w:t>0.03</w:t>
            </w:r>
          </w:p>
        </w:tc>
        <w:tc>
          <w:tcPr>
            <w:tcW w:w="1916" w:type="dxa"/>
            <w:vAlign w:val="center"/>
          </w:tcPr>
          <w:p w:rsidR="006F0FFC" w:rsidRDefault="006F0FFC" w:rsidP="006F0FFC">
            <w:pPr>
              <w:jc w:val="right"/>
            </w:pPr>
            <w:r>
              <w:t>0.99</w:t>
            </w:r>
          </w:p>
        </w:tc>
      </w:tr>
      <w:tr w:rsidR="006F0FFC" w:rsidTr="006F0FFC">
        <w:tc>
          <w:tcPr>
            <w:tcW w:w="1915" w:type="dxa"/>
          </w:tcPr>
          <w:p w:rsidR="006F0FFC" w:rsidRDefault="006F0FFC" w:rsidP="006F0FFC">
            <w:r>
              <w:t>Factor 7</w:t>
            </w:r>
          </w:p>
        </w:tc>
        <w:tc>
          <w:tcPr>
            <w:tcW w:w="1915" w:type="dxa"/>
            <w:vAlign w:val="center"/>
          </w:tcPr>
          <w:p w:rsidR="006F0FFC" w:rsidRDefault="006F0FFC" w:rsidP="006F0FFC">
            <w:pPr>
              <w:jc w:val="right"/>
            </w:pPr>
            <w:r>
              <w:t>0.53</w:t>
            </w:r>
          </w:p>
        </w:tc>
        <w:tc>
          <w:tcPr>
            <w:tcW w:w="1915" w:type="dxa"/>
            <w:vAlign w:val="center"/>
          </w:tcPr>
          <w:p w:rsidR="006F0FFC" w:rsidRDefault="006F0FFC" w:rsidP="006F0FFC">
            <w:pPr>
              <w:jc w:val="right"/>
            </w:pPr>
            <w:r>
              <w:t>0.13</w:t>
            </w:r>
          </w:p>
        </w:tc>
        <w:tc>
          <w:tcPr>
            <w:tcW w:w="1915" w:type="dxa"/>
            <w:vAlign w:val="center"/>
          </w:tcPr>
          <w:p w:rsidR="006F0FFC" w:rsidRDefault="006F0FFC" w:rsidP="006F0FFC">
            <w:pPr>
              <w:jc w:val="right"/>
            </w:pPr>
            <w:r>
              <w:t>0.03</w:t>
            </w:r>
          </w:p>
        </w:tc>
        <w:tc>
          <w:tcPr>
            <w:tcW w:w="1916" w:type="dxa"/>
            <w:vAlign w:val="center"/>
          </w:tcPr>
          <w:p w:rsidR="006F0FFC" w:rsidRDefault="006F0FFC" w:rsidP="006F0FFC">
            <w:pPr>
              <w:jc w:val="right"/>
            </w:pPr>
            <w:r>
              <w:t>1.02</w:t>
            </w:r>
          </w:p>
        </w:tc>
      </w:tr>
      <w:tr w:rsidR="006F0FFC" w:rsidTr="006F0FFC">
        <w:tc>
          <w:tcPr>
            <w:tcW w:w="1915" w:type="dxa"/>
          </w:tcPr>
          <w:p w:rsidR="006F0FFC" w:rsidRDefault="006F0FFC" w:rsidP="006F0FFC">
            <w:r>
              <w:t>Factor 8</w:t>
            </w:r>
          </w:p>
        </w:tc>
        <w:tc>
          <w:tcPr>
            <w:tcW w:w="1915" w:type="dxa"/>
            <w:vAlign w:val="center"/>
          </w:tcPr>
          <w:p w:rsidR="006F0FFC" w:rsidRDefault="006F0FFC" w:rsidP="006F0FFC">
            <w:pPr>
              <w:jc w:val="right"/>
            </w:pPr>
            <w:r>
              <w:t>0.40</w:t>
            </w:r>
          </w:p>
        </w:tc>
        <w:tc>
          <w:tcPr>
            <w:tcW w:w="1915" w:type="dxa"/>
            <w:vAlign w:val="center"/>
          </w:tcPr>
          <w:p w:rsidR="006F0FFC" w:rsidRDefault="006F0FFC" w:rsidP="006F0FFC">
            <w:pPr>
              <w:jc w:val="right"/>
            </w:pPr>
            <w:r>
              <w:t>0.06</w:t>
            </w:r>
          </w:p>
        </w:tc>
        <w:tc>
          <w:tcPr>
            <w:tcW w:w="1915" w:type="dxa"/>
            <w:vAlign w:val="center"/>
          </w:tcPr>
          <w:p w:rsidR="006F0FFC" w:rsidRDefault="006F0FFC" w:rsidP="006F0FFC">
            <w:pPr>
              <w:jc w:val="right"/>
            </w:pPr>
            <w:r>
              <w:t>0.02</w:t>
            </w:r>
          </w:p>
        </w:tc>
        <w:tc>
          <w:tcPr>
            <w:tcW w:w="1916" w:type="dxa"/>
            <w:vAlign w:val="center"/>
          </w:tcPr>
          <w:p w:rsidR="006F0FFC" w:rsidRDefault="006F0FFC" w:rsidP="006F0FFC">
            <w:pPr>
              <w:jc w:val="right"/>
            </w:pPr>
            <w:r>
              <w:t>1.05</w:t>
            </w:r>
          </w:p>
        </w:tc>
      </w:tr>
      <w:tr w:rsidR="006F0FFC" w:rsidTr="006F0FFC">
        <w:tc>
          <w:tcPr>
            <w:tcW w:w="1915" w:type="dxa"/>
          </w:tcPr>
          <w:p w:rsidR="006F0FFC" w:rsidRDefault="006F0FFC" w:rsidP="006F0FFC">
            <w:r>
              <w:t>Factor 9</w:t>
            </w:r>
          </w:p>
        </w:tc>
        <w:tc>
          <w:tcPr>
            <w:tcW w:w="1915" w:type="dxa"/>
            <w:vAlign w:val="center"/>
          </w:tcPr>
          <w:p w:rsidR="006F0FFC" w:rsidRDefault="006F0FFC" w:rsidP="006F0FFC">
            <w:pPr>
              <w:jc w:val="right"/>
            </w:pPr>
            <w:r>
              <w:t>0.34</w:t>
            </w:r>
          </w:p>
        </w:tc>
        <w:tc>
          <w:tcPr>
            <w:tcW w:w="1915" w:type="dxa"/>
            <w:vAlign w:val="center"/>
          </w:tcPr>
          <w:p w:rsidR="006F0FFC" w:rsidRDefault="006F0FFC" w:rsidP="006F0FFC">
            <w:pPr>
              <w:jc w:val="right"/>
            </w:pPr>
            <w:r>
              <w:t>0.10</w:t>
            </w:r>
          </w:p>
        </w:tc>
        <w:tc>
          <w:tcPr>
            <w:tcW w:w="1915" w:type="dxa"/>
            <w:vAlign w:val="center"/>
          </w:tcPr>
          <w:p w:rsidR="006F0FFC" w:rsidRDefault="006F0FFC" w:rsidP="006F0FFC">
            <w:pPr>
              <w:jc w:val="right"/>
            </w:pPr>
            <w:r>
              <w:t>0.02</w:t>
            </w:r>
          </w:p>
        </w:tc>
        <w:tc>
          <w:tcPr>
            <w:tcW w:w="1916" w:type="dxa"/>
            <w:vAlign w:val="center"/>
          </w:tcPr>
          <w:p w:rsidR="006F0FFC" w:rsidRDefault="006F0FFC" w:rsidP="006F0FFC">
            <w:pPr>
              <w:jc w:val="right"/>
            </w:pPr>
            <w:r>
              <w:t>1.07</w:t>
            </w:r>
          </w:p>
        </w:tc>
      </w:tr>
      <w:tr w:rsidR="006F0FFC" w:rsidTr="006F0FFC">
        <w:tc>
          <w:tcPr>
            <w:tcW w:w="1915" w:type="dxa"/>
          </w:tcPr>
          <w:p w:rsidR="006F0FFC" w:rsidRDefault="006F0FFC" w:rsidP="006F0FFC">
            <w:r>
              <w:t>Factor 10</w:t>
            </w:r>
          </w:p>
        </w:tc>
        <w:tc>
          <w:tcPr>
            <w:tcW w:w="1915" w:type="dxa"/>
            <w:vAlign w:val="center"/>
          </w:tcPr>
          <w:p w:rsidR="006F0FFC" w:rsidRDefault="006F0FFC" w:rsidP="006F0FFC">
            <w:pPr>
              <w:jc w:val="right"/>
            </w:pPr>
            <w:r>
              <w:t>0.24</w:t>
            </w:r>
          </w:p>
        </w:tc>
        <w:tc>
          <w:tcPr>
            <w:tcW w:w="1915" w:type="dxa"/>
            <w:vAlign w:val="center"/>
          </w:tcPr>
          <w:p w:rsidR="006F0FFC" w:rsidRDefault="006F0FFC" w:rsidP="006F0FFC">
            <w:pPr>
              <w:jc w:val="right"/>
            </w:pPr>
            <w:r>
              <w:t>0.09</w:t>
            </w:r>
          </w:p>
        </w:tc>
        <w:tc>
          <w:tcPr>
            <w:tcW w:w="1915" w:type="dxa"/>
            <w:vAlign w:val="center"/>
          </w:tcPr>
          <w:p w:rsidR="006F0FFC" w:rsidRDefault="006F0FFC" w:rsidP="006F0FFC">
            <w:pPr>
              <w:jc w:val="right"/>
            </w:pPr>
            <w:r>
              <w:t>0.01</w:t>
            </w:r>
          </w:p>
        </w:tc>
        <w:tc>
          <w:tcPr>
            <w:tcW w:w="1916" w:type="dxa"/>
            <w:vAlign w:val="center"/>
          </w:tcPr>
          <w:p w:rsidR="006F0FFC" w:rsidRDefault="006F0FFC" w:rsidP="006F0FFC">
            <w:pPr>
              <w:jc w:val="right"/>
            </w:pPr>
            <w:r>
              <w:t>1.08</w:t>
            </w:r>
          </w:p>
        </w:tc>
      </w:tr>
    </w:tbl>
    <w:p w:rsidR="006F0FFC" w:rsidRDefault="006F0FFC" w:rsidP="006F0FFC"/>
    <w:p w:rsidR="006F0FFC" w:rsidRDefault="006F0FFC" w:rsidP="006F0FFC">
      <w:r>
        <w:t>Table 12: Correlations between Rotated Factors (inter-factor correlations)</w:t>
      </w:r>
    </w:p>
    <w:tbl>
      <w:tblPr>
        <w:tblStyle w:val="TableGrid"/>
        <w:tblW w:w="0" w:type="auto"/>
        <w:tblLook w:val="04A0" w:firstRow="1" w:lastRow="0" w:firstColumn="1" w:lastColumn="0" w:noHBand="0" w:noVBand="1"/>
        <w:tblCaption w:val="Table with Correlations between Rotated Factors"/>
        <w:tblDescription w:val="Correlations between Rotated Factors (inter-factor correlations)"/>
      </w:tblPr>
      <w:tblGrid>
        <w:gridCol w:w="1197"/>
        <w:gridCol w:w="1197"/>
        <w:gridCol w:w="1197"/>
        <w:gridCol w:w="1197"/>
        <w:gridCol w:w="1197"/>
        <w:gridCol w:w="1197"/>
        <w:gridCol w:w="1197"/>
        <w:gridCol w:w="1197"/>
      </w:tblGrid>
      <w:tr w:rsidR="006F0FFC" w:rsidTr="006F0FFC">
        <w:tc>
          <w:tcPr>
            <w:tcW w:w="1197" w:type="dxa"/>
          </w:tcPr>
          <w:p w:rsidR="006F0FFC" w:rsidRDefault="006F0FFC" w:rsidP="006F0FFC"/>
        </w:tc>
        <w:tc>
          <w:tcPr>
            <w:tcW w:w="1197" w:type="dxa"/>
            <w:vAlign w:val="center"/>
          </w:tcPr>
          <w:p w:rsidR="006F0FFC" w:rsidRDefault="006F0FFC" w:rsidP="006F0FFC">
            <w:pPr>
              <w:jc w:val="center"/>
            </w:pPr>
            <w:r>
              <w:t>Factor 1</w:t>
            </w:r>
          </w:p>
        </w:tc>
        <w:tc>
          <w:tcPr>
            <w:tcW w:w="1197" w:type="dxa"/>
            <w:vAlign w:val="center"/>
          </w:tcPr>
          <w:p w:rsidR="006F0FFC" w:rsidRDefault="006F0FFC" w:rsidP="006F0FFC">
            <w:pPr>
              <w:jc w:val="center"/>
            </w:pPr>
            <w:r>
              <w:t>Factor 2</w:t>
            </w:r>
          </w:p>
        </w:tc>
        <w:tc>
          <w:tcPr>
            <w:tcW w:w="1197" w:type="dxa"/>
            <w:vAlign w:val="center"/>
          </w:tcPr>
          <w:p w:rsidR="006F0FFC" w:rsidRDefault="006F0FFC" w:rsidP="006F0FFC">
            <w:pPr>
              <w:jc w:val="center"/>
            </w:pPr>
            <w:r>
              <w:t>Factor 3</w:t>
            </w:r>
          </w:p>
        </w:tc>
        <w:tc>
          <w:tcPr>
            <w:tcW w:w="1197" w:type="dxa"/>
            <w:vAlign w:val="center"/>
          </w:tcPr>
          <w:p w:rsidR="006F0FFC" w:rsidRDefault="006F0FFC" w:rsidP="006F0FFC">
            <w:pPr>
              <w:jc w:val="center"/>
            </w:pPr>
            <w:r>
              <w:t>Factor 4</w:t>
            </w:r>
          </w:p>
        </w:tc>
        <w:tc>
          <w:tcPr>
            <w:tcW w:w="1197" w:type="dxa"/>
            <w:vAlign w:val="center"/>
          </w:tcPr>
          <w:p w:rsidR="006F0FFC" w:rsidRDefault="006F0FFC" w:rsidP="006F0FFC">
            <w:pPr>
              <w:jc w:val="center"/>
            </w:pPr>
            <w:r>
              <w:t>Factor 5</w:t>
            </w:r>
          </w:p>
        </w:tc>
        <w:tc>
          <w:tcPr>
            <w:tcW w:w="1197" w:type="dxa"/>
            <w:vAlign w:val="center"/>
          </w:tcPr>
          <w:p w:rsidR="006F0FFC" w:rsidRDefault="006F0FFC" w:rsidP="006F0FFC">
            <w:pPr>
              <w:jc w:val="center"/>
            </w:pPr>
            <w:r>
              <w:t>Factor 6</w:t>
            </w:r>
          </w:p>
        </w:tc>
        <w:tc>
          <w:tcPr>
            <w:tcW w:w="1197" w:type="dxa"/>
            <w:vAlign w:val="center"/>
          </w:tcPr>
          <w:p w:rsidR="006F0FFC" w:rsidRDefault="006F0FFC" w:rsidP="006F0FFC">
            <w:pPr>
              <w:jc w:val="center"/>
            </w:pPr>
            <w:r>
              <w:t>Factor 7</w:t>
            </w:r>
          </w:p>
        </w:tc>
      </w:tr>
      <w:tr w:rsidR="006F0FFC" w:rsidTr="006F0FFC">
        <w:tc>
          <w:tcPr>
            <w:tcW w:w="1197" w:type="dxa"/>
          </w:tcPr>
          <w:p w:rsidR="006F0FFC" w:rsidRDefault="006F0FFC" w:rsidP="006F0FFC">
            <w:r>
              <w:t>Factor 1</w:t>
            </w:r>
          </w:p>
        </w:tc>
        <w:tc>
          <w:tcPr>
            <w:tcW w:w="1197" w:type="dxa"/>
            <w:vAlign w:val="center"/>
          </w:tcPr>
          <w:p w:rsidR="006F0FFC" w:rsidRDefault="006F0FFC" w:rsidP="006F0FFC">
            <w:pPr>
              <w:jc w:val="right"/>
            </w:pPr>
            <w:r>
              <w:t>1.00</w:t>
            </w:r>
          </w:p>
        </w:tc>
        <w:tc>
          <w:tcPr>
            <w:tcW w:w="1197" w:type="dxa"/>
            <w:vAlign w:val="center"/>
          </w:tcPr>
          <w:p w:rsidR="006F0FFC" w:rsidRDefault="006F0FFC" w:rsidP="006F0FFC">
            <w:pPr>
              <w:jc w:val="right"/>
            </w:pPr>
          </w:p>
        </w:tc>
        <w:tc>
          <w:tcPr>
            <w:tcW w:w="1197" w:type="dxa"/>
            <w:vAlign w:val="center"/>
          </w:tcPr>
          <w:p w:rsidR="006F0FFC" w:rsidRDefault="006F0FFC" w:rsidP="006F0FFC">
            <w:pPr>
              <w:jc w:val="right"/>
            </w:pPr>
          </w:p>
        </w:tc>
        <w:tc>
          <w:tcPr>
            <w:tcW w:w="1197" w:type="dxa"/>
            <w:vAlign w:val="center"/>
          </w:tcPr>
          <w:p w:rsidR="006F0FFC" w:rsidRDefault="006F0FFC" w:rsidP="006F0FFC">
            <w:pPr>
              <w:jc w:val="right"/>
            </w:pPr>
          </w:p>
        </w:tc>
        <w:tc>
          <w:tcPr>
            <w:tcW w:w="1197" w:type="dxa"/>
            <w:vAlign w:val="center"/>
          </w:tcPr>
          <w:p w:rsidR="006F0FFC" w:rsidRDefault="006F0FFC" w:rsidP="006F0FFC">
            <w:pPr>
              <w:jc w:val="right"/>
            </w:pPr>
          </w:p>
        </w:tc>
        <w:tc>
          <w:tcPr>
            <w:tcW w:w="1197" w:type="dxa"/>
            <w:vAlign w:val="center"/>
          </w:tcPr>
          <w:p w:rsidR="006F0FFC" w:rsidRDefault="006F0FFC" w:rsidP="006F0FFC">
            <w:pPr>
              <w:jc w:val="right"/>
            </w:pPr>
          </w:p>
        </w:tc>
        <w:tc>
          <w:tcPr>
            <w:tcW w:w="1197" w:type="dxa"/>
            <w:vAlign w:val="center"/>
          </w:tcPr>
          <w:p w:rsidR="006F0FFC" w:rsidRDefault="006F0FFC" w:rsidP="006F0FFC">
            <w:pPr>
              <w:jc w:val="right"/>
            </w:pPr>
          </w:p>
        </w:tc>
      </w:tr>
      <w:tr w:rsidR="006F0FFC" w:rsidTr="006F0FFC">
        <w:tc>
          <w:tcPr>
            <w:tcW w:w="1197" w:type="dxa"/>
          </w:tcPr>
          <w:p w:rsidR="006F0FFC" w:rsidRDefault="006F0FFC" w:rsidP="006F0FFC">
            <w:r>
              <w:t>Factor 2</w:t>
            </w:r>
          </w:p>
        </w:tc>
        <w:tc>
          <w:tcPr>
            <w:tcW w:w="1197" w:type="dxa"/>
            <w:vAlign w:val="center"/>
          </w:tcPr>
          <w:p w:rsidR="006F0FFC" w:rsidRDefault="006F0FFC" w:rsidP="006F0FFC">
            <w:pPr>
              <w:jc w:val="right"/>
            </w:pPr>
            <w:r>
              <w:t>0.60</w:t>
            </w:r>
          </w:p>
        </w:tc>
        <w:tc>
          <w:tcPr>
            <w:tcW w:w="1197" w:type="dxa"/>
            <w:vAlign w:val="center"/>
          </w:tcPr>
          <w:p w:rsidR="006F0FFC" w:rsidRDefault="006F0FFC" w:rsidP="006F0FFC">
            <w:pPr>
              <w:jc w:val="right"/>
            </w:pPr>
            <w:r>
              <w:t>1.00</w:t>
            </w:r>
          </w:p>
        </w:tc>
        <w:tc>
          <w:tcPr>
            <w:tcW w:w="1197" w:type="dxa"/>
            <w:vAlign w:val="center"/>
          </w:tcPr>
          <w:p w:rsidR="006F0FFC" w:rsidRDefault="006F0FFC" w:rsidP="006F0FFC">
            <w:pPr>
              <w:jc w:val="right"/>
            </w:pPr>
          </w:p>
        </w:tc>
        <w:tc>
          <w:tcPr>
            <w:tcW w:w="1197" w:type="dxa"/>
            <w:vAlign w:val="center"/>
          </w:tcPr>
          <w:p w:rsidR="006F0FFC" w:rsidRDefault="006F0FFC" w:rsidP="006F0FFC">
            <w:pPr>
              <w:jc w:val="right"/>
            </w:pPr>
          </w:p>
        </w:tc>
        <w:tc>
          <w:tcPr>
            <w:tcW w:w="1197" w:type="dxa"/>
            <w:vAlign w:val="center"/>
          </w:tcPr>
          <w:p w:rsidR="006F0FFC" w:rsidRDefault="006F0FFC" w:rsidP="006F0FFC">
            <w:pPr>
              <w:jc w:val="right"/>
            </w:pPr>
          </w:p>
        </w:tc>
        <w:tc>
          <w:tcPr>
            <w:tcW w:w="1197" w:type="dxa"/>
            <w:vAlign w:val="center"/>
          </w:tcPr>
          <w:p w:rsidR="006F0FFC" w:rsidRDefault="006F0FFC" w:rsidP="006F0FFC">
            <w:pPr>
              <w:jc w:val="right"/>
            </w:pPr>
          </w:p>
        </w:tc>
        <w:tc>
          <w:tcPr>
            <w:tcW w:w="1197" w:type="dxa"/>
            <w:vAlign w:val="center"/>
          </w:tcPr>
          <w:p w:rsidR="006F0FFC" w:rsidRDefault="006F0FFC" w:rsidP="006F0FFC">
            <w:pPr>
              <w:jc w:val="right"/>
            </w:pPr>
          </w:p>
        </w:tc>
      </w:tr>
      <w:tr w:rsidR="006F0FFC" w:rsidTr="006F0FFC">
        <w:tc>
          <w:tcPr>
            <w:tcW w:w="1197" w:type="dxa"/>
          </w:tcPr>
          <w:p w:rsidR="006F0FFC" w:rsidRDefault="006F0FFC" w:rsidP="006F0FFC">
            <w:r>
              <w:t>Factor 3</w:t>
            </w:r>
          </w:p>
        </w:tc>
        <w:tc>
          <w:tcPr>
            <w:tcW w:w="1197" w:type="dxa"/>
            <w:vAlign w:val="center"/>
          </w:tcPr>
          <w:p w:rsidR="006F0FFC" w:rsidRDefault="006F0FFC" w:rsidP="006F0FFC">
            <w:pPr>
              <w:jc w:val="right"/>
            </w:pPr>
            <w:r>
              <w:t>0.47</w:t>
            </w:r>
          </w:p>
        </w:tc>
        <w:tc>
          <w:tcPr>
            <w:tcW w:w="1197" w:type="dxa"/>
            <w:vAlign w:val="center"/>
          </w:tcPr>
          <w:p w:rsidR="006F0FFC" w:rsidRDefault="006F0FFC" w:rsidP="006F0FFC">
            <w:pPr>
              <w:jc w:val="right"/>
            </w:pPr>
            <w:r>
              <w:t>0.38</w:t>
            </w:r>
          </w:p>
        </w:tc>
        <w:tc>
          <w:tcPr>
            <w:tcW w:w="1197" w:type="dxa"/>
            <w:vAlign w:val="center"/>
          </w:tcPr>
          <w:p w:rsidR="006F0FFC" w:rsidRDefault="006F0FFC" w:rsidP="006F0FFC">
            <w:pPr>
              <w:jc w:val="right"/>
            </w:pPr>
            <w:r>
              <w:t>1.00</w:t>
            </w:r>
          </w:p>
        </w:tc>
        <w:tc>
          <w:tcPr>
            <w:tcW w:w="1197" w:type="dxa"/>
            <w:vAlign w:val="center"/>
          </w:tcPr>
          <w:p w:rsidR="006F0FFC" w:rsidRDefault="006F0FFC" w:rsidP="006F0FFC">
            <w:pPr>
              <w:jc w:val="right"/>
            </w:pPr>
          </w:p>
        </w:tc>
        <w:tc>
          <w:tcPr>
            <w:tcW w:w="1197" w:type="dxa"/>
            <w:vAlign w:val="center"/>
          </w:tcPr>
          <w:p w:rsidR="006F0FFC" w:rsidRDefault="006F0FFC" w:rsidP="006F0FFC">
            <w:pPr>
              <w:jc w:val="right"/>
            </w:pPr>
          </w:p>
        </w:tc>
        <w:tc>
          <w:tcPr>
            <w:tcW w:w="1197" w:type="dxa"/>
            <w:vAlign w:val="center"/>
          </w:tcPr>
          <w:p w:rsidR="006F0FFC" w:rsidRDefault="006F0FFC" w:rsidP="006F0FFC">
            <w:pPr>
              <w:jc w:val="right"/>
            </w:pPr>
          </w:p>
        </w:tc>
        <w:tc>
          <w:tcPr>
            <w:tcW w:w="1197" w:type="dxa"/>
            <w:vAlign w:val="center"/>
          </w:tcPr>
          <w:p w:rsidR="006F0FFC" w:rsidRDefault="006F0FFC" w:rsidP="006F0FFC">
            <w:pPr>
              <w:jc w:val="right"/>
            </w:pPr>
          </w:p>
        </w:tc>
      </w:tr>
      <w:tr w:rsidR="006F0FFC" w:rsidTr="006F0FFC">
        <w:tc>
          <w:tcPr>
            <w:tcW w:w="1197" w:type="dxa"/>
          </w:tcPr>
          <w:p w:rsidR="006F0FFC" w:rsidRDefault="006F0FFC" w:rsidP="006F0FFC">
            <w:r>
              <w:t>Factor 4</w:t>
            </w:r>
          </w:p>
        </w:tc>
        <w:tc>
          <w:tcPr>
            <w:tcW w:w="1197" w:type="dxa"/>
            <w:vAlign w:val="center"/>
          </w:tcPr>
          <w:p w:rsidR="006F0FFC" w:rsidRDefault="006F0FFC" w:rsidP="006F0FFC">
            <w:pPr>
              <w:jc w:val="right"/>
            </w:pPr>
            <w:r>
              <w:t>0.61</w:t>
            </w:r>
          </w:p>
        </w:tc>
        <w:tc>
          <w:tcPr>
            <w:tcW w:w="1197" w:type="dxa"/>
            <w:vAlign w:val="center"/>
          </w:tcPr>
          <w:p w:rsidR="006F0FFC" w:rsidRDefault="006F0FFC" w:rsidP="006F0FFC">
            <w:pPr>
              <w:jc w:val="right"/>
            </w:pPr>
            <w:r>
              <w:t>0.50</w:t>
            </w:r>
          </w:p>
        </w:tc>
        <w:tc>
          <w:tcPr>
            <w:tcW w:w="1197" w:type="dxa"/>
            <w:vAlign w:val="center"/>
          </w:tcPr>
          <w:p w:rsidR="006F0FFC" w:rsidRDefault="006F0FFC" w:rsidP="006F0FFC">
            <w:pPr>
              <w:jc w:val="right"/>
            </w:pPr>
            <w:r>
              <w:t>0.51</w:t>
            </w:r>
          </w:p>
        </w:tc>
        <w:tc>
          <w:tcPr>
            <w:tcW w:w="1197" w:type="dxa"/>
            <w:vAlign w:val="center"/>
          </w:tcPr>
          <w:p w:rsidR="006F0FFC" w:rsidRDefault="006F0FFC" w:rsidP="006F0FFC">
            <w:pPr>
              <w:jc w:val="right"/>
            </w:pPr>
            <w:r>
              <w:t>1.00</w:t>
            </w:r>
          </w:p>
        </w:tc>
        <w:tc>
          <w:tcPr>
            <w:tcW w:w="1197" w:type="dxa"/>
            <w:vAlign w:val="center"/>
          </w:tcPr>
          <w:p w:rsidR="006F0FFC" w:rsidRDefault="006F0FFC" w:rsidP="006F0FFC">
            <w:pPr>
              <w:jc w:val="right"/>
            </w:pPr>
          </w:p>
        </w:tc>
        <w:tc>
          <w:tcPr>
            <w:tcW w:w="1197" w:type="dxa"/>
            <w:vAlign w:val="center"/>
          </w:tcPr>
          <w:p w:rsidR="006F0FFC" w:rsidRDefault="006F0FFC" w:rsidP="006F0FFC">
            <w:pPr>
              <w:jc w:val="right"/>
            </w:pPr>
          </w:p>
        </w:tc>
        <w:tc>
          <w:tcPr>
            <w:tcW w:w="1197" w:type="dxa"/>
            <w:vAlign w:val="center"/>
          </w:tcPr>
          <w:p w:rsidR="006F0FFC" w:rsidRDefault="006F0FFC" w:rsidP="006F0FFC">
            <w:pPr>
              <w:jc w:val="right"/>
            </w:pPr>
          </w:p>
        </w:tc>
      </w:tr>
      <w:tr w:rsidR="006F0FFC" w:rsidTr="006F0FFC">
        <w:tc>
          <w:tcPr>
            <w:tcW w:w="1197" w:type="dxa"/>
          </w:tcPr>
          <w:p w:rsidR="006F0FFC" w:rsidRDefault="006F0FFC" w:rsidP="006F0FFC">
            <w:r>
              <w:t>Factor 5</w:t>
            </w:r>
          </w:p>
        </w:tc>
        <w:tc>
          <w:tcPr>
            <w:tcW w:w="1197" w:type="dxa"/>
            <w:vAlign w:val="center"/>
          </w:tcPr>
          <w:p w:rsidR="006F0FFC" w:rsidRDefault="006F0FFC" w:rsidP="006F0FFC">
            <w:pPr>
              <w:jc w:val="right"/>
            </w:pPr>
            <w:r>
              <w:t>0.33</w:t>
            </w:r>
          </w:p>
        </w:tc>
        <w:tc>
          <w:tcPr>
            <w:tcW w:w="1197" w:type="dxa"/>
            <w:vAlign w:val="center"/>
          </w:tcPr>
          <w:p w:rsidR="006F0FFC" w:rsidRDefault="006F0FFC" w:rsidP="006F0FFC">
            <w:pPr>
              <w:jc w:val="right"/>
            </w:pPr>
            <w:r>
              <w:t>0.46</w:t>
            </w:r>
          </w:p>
        </w:tc>
        <w:tc>
          <w:tcPr>
            <w:tcW w:w="1197" w:type="dxa"/>
            <w:vAlign w:val="center"/>
          </w:tcPr>
          <w:p w:rsidR="006F0FFC" w:rsidRDefault="006F0FFC" w:rsidP="006F0FFC">
            <w:pPr>
              <w:jc w:val="right"/>
            </w:pPr>
            <w:r>
              <w:t>0.38</w:t>
            </w:r>
          </w:p>
        </w:tc>
        <w:tc>
          <w:tcPr>
            <w:tcW w:w="1197" w:type="dxa"/>
            <w:vAlign w:val="center"/>
          </w:tcPr>
          <w:p w:rsidR="006F0FFC" w:rsidRDefault="006F0FFC" w:rsidP="006F0FFC">
            <w:pPr>
              <w:jc w:val="right"/>
            </w:pPr>
            <w:r>
              <w:t>0.36</w:t>
            </w:r>
          </w:p>
        </w:tc>
        <w:tc>
          <w:tcPr>
            <w:tcW w:w="1197" w:type="dxa"/>
            <w:vAlign w:val="center"/>
          </w:tcPr>
          <w:p w:rsidR="006F0FFC" w:rsidRDefault="006F0FFC" w:rsidP="006F0FFC">
            <w:pPr>
              <w:jc w:val="right"/>
            </w:pPr>
            <w:r>
              <w:t>1.00</w:t>
            </w:r>
          </w:p>
        </w:tc>
        <w:tc>
          <w:tcPr>
            <w:tcW w:w="1197" w:type="dxa"/>
            <w:vAlign w:val="center"/>
          </w:tcPr>
          <w:p w:rsidR="006F0FFC" w:rsidRDefault="006F0FFC" w:rsidP="006F0FFC">
            <w:pPr>
              <w:jc w:val="right"/>
            </w:pPr>
          </w:p>
        </w:tc>
        <w:tc>
          <w:tcPr>
            <w:tcW w:w="1197" w:type="dxa"/>
            <w:vAlign w:val="center"/>
          </w:tcPr>
          <w:p w:rsidR="006F0FFC" w:rsidRDefault="006F0FFC" w:rsidP="006F0FFC">
            <w:pPr>
              <w:jc w:val="right"/>
            </w:pPr>
          </w:p>
        </w:tc>
      </w:tr>
      <w:tr w:rsidR="006F0FFC" w:rsidTr="006F0FFC">
        <w:tc>
          <w:tcPr>
            <w:tcW w:w="1197" w:type="dxa"/>
          </w:tcPr>
          <w:p w:rsidR="006F0FFC" w:rsidRDefault="006F0FFC" w:rsidP="006F0FFC">
            <w:r>
              <w:t>Factor 6</w:t>
            </w:r>
          </w:p>
        </w:tc>
        <w:tc>
          <w:tcPr>
            <w:tcW w:w="1197" w:type="dxa"/>
            <w:vAlign w:val="center"/>
          </w:tcPr>
          <w:p w:rsidR="006F0FFC" w:rsidRDefault="006F0FFC" w:rsidP="006F0FFC">
            <w:pPr>
              <w:jc w:val="right"/>
            </w:pPr>
            <w:r>
              <w:t>0.59</w:t>
            </w:r>
          </w:p>
        </w:tc>
        <w:tc>
          <w:tcPr>
            <w:tcW w:w="1197" w:type="dxa"/>
            <w:vAlign w:val="center"/>
          </w:tcPr>
          <w:p w:rsidR="006F0FFC" w:rsidRDefault="006F0FFC" w:rsidP="006F0FFC">
            <w:pPr>
              <w:jc w:val="right"/>
            </w:pPr>
            <w:r>
              <w:t>0.52</w:t>
            </w:r>
          </w:p>
        </w:tc>
        <w:tc>
          <w:tcPr>
            <w:tcW w:w="1197" w:type="dxa"/>
            <w:vAlign w:val="center"/>
          </w:tcPr>
          <w:p w:rsidR="006F0FFC" w:rsidRDefault="006F0FFC" w:rsidP="006F0FFC">
            <w:pPr>
              <w:jc w:val="right"/>
            </w:pPr>
            <w:r>
              <w:t>0.40</w:t>
            </w:r>
          </w:p>
        </w:tc>
        <w:tc>
          <w:tcPr>
            <w:tcW w:w="1197" w:type="dxa"/>
            <w:vAlign w:val="center"/>
          </w:tcPr>
          <w:p w:rsidR="006F0FFC" w:rsidRDefault="006F0FFC" w:rsidP="006F0FFC">
            <w:pPr>
              <w:jc w:val="right"/>
            </w:pPr>
            <w:r>
              <w:t>0.50</w:t>
            </w:r>
          </w:p>
        </w:tc>
        <w:tc>
          <w:tcPr>
            <w:tcW w:w="1197" w:type="dxa"/>
            <w:vAlign w:val="center"/>
          </w:tcPr>
          <w:p w:rsidR="006F0FFC" w:rsidRDefault="006F0FFC" w:rsidP="006F0FFC">
            <w:pPr>
              <w:jc w:val="right"/>
            </w:pPr>
            <w:r>
              <w:t>0.34</w:t>
            </w:r>
          </w:p>
        </w:tc>
        <w:tc>
          <w:tcPr>
            <w:tcW w:w="1197" w:type="dxa"/>
            <w:vAlign w:val="center"/>
          </w:tcPr>
          <w:p w:rsidR="006F0FFC" w:rsidRDefault="006F0FFC" w:rsidP="006F0FFC">
            <w:pPr>
              <w:jc w:val="right"/>
            </w:pPr>
            <w:r>
              <w:t>1.00</w:t>
            </w:r>
          </w:p>
        </w:tc>
        <w:tc>
          <w:tcPr>
            <w:tcW w:w="1197" w:type="dxa"/>
            <w:vAlign w:val="center"/>
          </w:tcPr>
          <w:p w:rsidR="006F0FFC" w:rsidRDefault="006F0FFC" w:rsidP="006F0FFC">
            <w:pPr>
              <w:jc w:val="right"/>
            </w:pPr>
          </w:p>
        </w:tc>
      </w:tr>
      <w:tr w:rsidR="006F0FFC" w:rsidTr="006F0FFC">
        <w:tc>
          <w:tcPr>
            <w:tcW w:w="1197" w:type="dxa"/>
          </w:tcPr>
          <w:p w:rsidR="006F0FFC" w:rsidRDefault="006F0FFC" w:rsidP="006F0FFC">
            <w:r>
              <w:t>Factor 7</w:t>
            </w:r>
          </w:p>
        </w:tc>
        <w:tc>
          <w:tcPr>
            <w:tcW w:w="1197" w:type="dxa"/>
            <w:vAlign w:val="center"/>
          </w:tcPr>
          <w:p w:rsidR="006F0FFC" w:rsidRDefault="006F0FFC" w:rsidP="006F0FFC">
            <w:pPr>
              <w:jc w:val="right"/>
            </w:pPr>
            <w:r>
              <w:t>0.28</w:t>
            </w:r>
          </w:p>
        </w:tc>
        <w:tc>
          <w:tcPr>
            <w:tcW w:w="1197" w:type="dxa"/>
            <w:vAlign w:val="center"/>
          </w:tcPr>
          <w:p w:rsidR="006F0FFC" w:rsidRDefault="006F0FFC" w:rsidP="006F0FFC">
            <w:pPr>
              <w:jc w:val="right"/>
            </w:pPr>
            <w:r>
              <w:t>0.19</w:t>
            </w:r>
          </w:p>
        </w:tc>
        <w:tc>
          <w:tcPr>
            <w:tcW w:w="1197" w:type="dxa"/>
            <w:vAlign w:val="center"/>
          </w:tcPr>
          <w:p w:rsidR="006F0FFC" w:rsidRDefault="006F0FFC" w:rsidP="006F0FFC">
            <w:pPr>
              <w:jc w:val="right"/>
            </w:pPr>
            <w:r>
              <w:t>0.18</w:t>
            </w:r>
          </w:p>
        </w:tc>
        <w:tc>
          <w:tcPr>
            <w:tcW w:w="1197" w:type="dxa"/>
            <w:vAlign w:val="center"/>
          </w:tcPr>
          <w:p w:rsidR="006F0FFC" w:rsidRDefault="006F0FFC" w:rsidP="006F0FFC">
            <w:pPr>
              <w:jc w:val="right"/>
            </w:pPr>
            <w:r>
              <w:t>0.15</w:t>
            </w:r>
          </w:p>
        </w:tc>
        <w:tc>
          <w:tcPr>
            <w:tcW w:w="1197" w:type="dxa"/>
            <w:vAlign w:val="center"/>
          </w:tcPr>
          <w:p w:rsidR="006F0FFC" w:rsidRDefault="006F0FFC" w:rsidP="006F0FFC">
            <w:pPr>
              <w:jc w:val="right"/>
            </w:pPr>
            <w:r>
              <w:t>0.18</w:t>
            </w:r>
          </w:p>
        </w:tc>
        <w:tc>
          <w:tcPr>
            <w:tcW w:w="1197" w:type="dxa"/>
            <w:vAlign w:val="center"/>
          </w:tcPr>
          <w:p w:rsidR="006F0FFC" w:rsidRDefault="006F0FFC" w:rsidP="006F0FFC">
            <w:pPr>
              <w:jc w:val="right"/>
            </w:pPr>
            <w:r>
              <w:t>0.2</w:t>
            </w:r>
          </w:p>
        </w:tc>
        <w:tc>
          <w:tcPr>
            <w:tcW w:w="1197" w:type="dxa"/>
            <w:vAlign w:val="center"/>
          </w:tcPr>
          <w:p w:rsidR="006F0FFC" w:rsidRDefault="006F0FFC" w:rsidP="006F0FFC">
            <w:pPr>
              <w:jc w:val="right"/>
            </w:pPr>
            <w:r>
              <w:t>1.00</w:t>
            </w:r>
          </w:p>
        </w:tc>
      </w:tr>
    </w:tbl>
    <w:p w:rsidR="006F0FFC" w:rsidRDefault="006F0FFC" w:rsidP="006F0FFC"/>
    <w:p w:rsidR="006F0FFC" w:rsidRDefault="006F0FFC" w:rsidP="006F0FFC">
      <w:r>
        <w:t>Table 13: Variance Explained by Factors</w:t>
      </w:r>
    </w:p>
    <w:tbl>
      <w:tblPr>
        <w:tblStyle w:val="TableGrid"/>
        <w:tblW w:w="0" w:type="auto"/>
        <w:tblLook w:val="04A0" w:firstRow="1" w:lastRow="0" w:firstColumn="1" w:lastColumn="0" w:noHBand="0" w:noVBand="1"/>
        <w:tblCaption w:val="Table with Variance Explained by Factors"/>
        <w:tblDescription w:val="Variance Explained by Factors"/>
      </w:tblPr>
      <w:tblGrid>
        <w:gridCol w:w="2718"/>
        <w:gridCol w:w="979"/>
        <w:gridCol w:w="980"/>
        <w:gridCol w:w="980"/>
        <w:gridCol w:w="979"/>
        <w:gridCol w:w="980"/>
        <w:gridCol w:w="980"/>
        <w:gridCol w:w="980"/>
      </w:tblGrid>
      <w:tr w:rsidR="006F0FFC" w:rsidTr="006F0FFC">
        <w:tc>
          <w:tcPr>
            <w:tcW w:w="2718" w:type="dxa"/>
            <w:vMerge w:val="restart"/>
            <w:vAlign w:val="center"/>
          </w:tcPr>
          <w:p w:rsidR="006F0FFC" w:rsidRDefault="006F0FFC" w:rsidP="006F0FFC">
            <w:pPr>
              <w:jc w:val="center"/>
            </w:pPr>
            <w:r>
              <w:t>Treatment of other factors</w:t>
            </w:r>
          </w:p>
        </w:tc>
        <w:tc>
          <w:tcPr>
            <w:tcW w:w="6858" w:type="dxa"/>
            <w:gridSpan w:val="7"/>
            <w:vAlign w:val="center"/>
          </w:tcPr>
          <w:p w:rsidR="006F0FFC" w:rsidRDefault="006F0FFC" w:rsidP="006F0FFC">
            <w:pPr>
              <w:jc w:val="center"/>
            </w:pPr>
            <w:r>
              <w:t>Variance Explained</w:t>
            </w:r>
          </w:p>
        </w:tc>
      </w:tr>
      <w:tr w:rsidR="006F0FFC" w:rsidTr="006F0FFC">
        <w:tc>
          <w:tcPr>
            <w:tcW w:w="2718" w:type="dxa"/>
            <w:vMerge/>
          </w:tcPr>
          <w:p w:rsidR="006F0FFC" w:rsidRDefault="006F0FFC" w:rsidP="006F0FFC"/>
        </w:tc>
        <w:tc>
          <w:tcPr>
            <w:tcW w:w="979" w:type="dxa"/>
          </w:tcPr>
          <w:p w:rsidR="006F0FFC" w:rsidRDefault="006F0FFC" w:rsidP="006F0FFC">
            <w:r>
              <w:t>Factor 1</w:t>
            </w:r>
          </w:p>
        </w:tc>
        <w:tc>
          <w:tcPr>
            <w:tcW w:w="980" w:type="dxa"/>
          </w:tcPr>
          <w:p w:rsidR="006F0FFC" w:rsidRDefault="006F0FFC" w:rsidP="006F0FFC">
            <w:r>
              <w:t>Factor 2</w:t>
            </w:r>
          </w:p>
        </w:tc>
        <w:tc>
          <w:tcPr>
            <w:tcW w:w="980" w:type="dxa"/>
          </w:tcPr>
          <w:p w:rsidR="006F0FFC" w:rsidRDefault="006F0FFC" w:rsidP="006F0FFC">
            <w:r>
              <w:t>Factor 3</w:t>
            </w:r>
          </w:p>
        </w:tc>
        <w:tc>
          <w:tcPr>
            <w:tcW w:w="979" w:type="dxa"/>
          </w:tcPr>
          <w:p w:rsidR="006F0FFC" w:rsidRDefault="006F0FFC" w:rsidP="006F0FFC">
            <w:r>
              <w:t>Factor 4</w:t>
            </w:r>
          </w:p>
        </w:tc>
        <w:tc>
          <w:tcPr>
            <w:tcW w:w="980" w:type="dxa"/>
          </w:tcPr>
          <w:p w:rsidR="006F0FFC" w:rsidRDefault="006F0FFC" w:rsidP="006F0FFC">
            <w:r>
              <w:t>Factor 5</w:t>
            </w:r>
          </w:p>
        </w:tc>
        <w:tc>
          <w:tcPr>
            <w:tcW w:w="980" w:type="dxa"/>
          </w:tcPr>
          <w:p w:rsidR="006F0FFC" w:rsidRDefault="006F0FFC" w:rsidP="006F0FFC">
            <w:r>
              <w:t>Factor 6</w:t>
            </w:r>
          </w:p>
        </w:tc>
        <w:tc>
          <w:tcPr>
            <w:tcW w:w="980" w:type="dxa"/>
          </w:tcPr>
          <w:p w:rsidR="006F0FFC" w:rsidRDefault="006F0FFC" w:rsidP="006F0FFC">
            <w:r>
              <w:t>Factor 7</w:t>
            </w:r>
          </w:p>
        </w:tc>
      </w:tr>
      <w:tr w:rsidR="006F0FFC" w:rsidTr="006F0FFC">
        <w:tc>
          <w:tcPr>
            <w:tcW w:w="2718" w:type="dxa"/>
          </w:tcPr>
          <w:p w:rsidR="006F0FFC" w:rsidRDefault="006F0FFC" w:rsidP="006F0FFC">
            <w:r>
              <w:t>Eliminate other factors</w:t>
            </w:r>
          </w:p>
        </w:tc>
        <w:tc>
          <w:tcPr>
            <w:tcW w:w="979" w:type="dxa"/>
            <w:vAlign w:val="center"/>
          </w:tcPr>
          <w:p w:rsidR="006F0FFC" w:rsidRDefault="006F0FFC" w:rsidP="006F0FFC">
            <w:pPr>
              <w:jc w:val="right"/>
            </w:pPr>
            <w:r>
              <w:t>1.42</w:t>
            </w:r>
          </w:p>
        </w:tc>
        <w:tc>
          <w:tcPr>
            <w:tcW w:w="980" w:type="dxa"/>
            <w:vAlign w:val="center"/>
          </w:tcPr>
          <w:p w:rsidR="006F0FFC" w:rsidRDefault="006F0FFC" w:rsidP="006F0FFC">
            <w:pPr>
              <w:jc w:val="right"/>
            </w:pPr>
            <w:r>
              <w:t>1.60</w:t>
            </w:r>
          </w:p>
        </w:tc>
        <w:tc>
          <w:tcPr>
            <w:tcW w:w="980" w:type="dxa"/>
            <w:vAlign w:val="center"/>
          </w:tcPr>
          <w:p w:rsidR="006F0FFC" w:rsidRDefault="006F0FFC" w:rsidP="006F0FFC">
            <w:pPr>
              <w:jc w:val="right"/>
            </w:pPr>
            <w:r>
              <w:t>1.92</w:t>
            </w:r>
          </w:p>
        </w:tc>
        <w:tc>
          <w:tcPr>
            <w:tcW w:w="979" w:type="dxa"/>
            <w:vAlign w:val="center"/>
          </w:tcPr>
          <w:p w:rsidR="006F0FFC" w:rsidRDefault="006F0FFC" w:rsidP="006F0FFC">
            <w:pPr>
              <w:jc w:val="right"/>
            </w:pPr>
            <w:r>
              <w:t>1.15</w:t>
            </w:r>
          </w:p>
        </w:tc>
        <w:tc>
          <w:tcPr>
            <w:tcW w:w="980" w:type="dxa"/>
            <w:vAlign w:val="center"/>
          </w:tcPr>
          <w:p w:rsidR="006F0FFC" w:rsidRDefault="006F0FFC" w:rsidP="006F0FFC">
            <w:pPr>
              <w:jc w:val="right"/>
            </w:pPr>
            <w:r>
              <w:t>1.16</w:t>
            </w:r>
          </w:p>
        </w:tc>
        <w:tc>
          <w:tcPr>
            <w:tcW w:w="980" w:type="dxa"/>
            <w:vAlign w:val="center"/>
          </w:tcPr>
          <w:p w:rsidR="006F0FFC" w:rsidRDefault="006F0FFC" w:rsidP="006F0FFC">
            <w:pPr>
              <w:jc w:val="right"/>
            </w:pPr>
            <w:r>
              <w:t>0.68</w:t>
            </w:r>
          </w:p>
        </w:tc>
        <w:tc>
          <w:tcPr>
            <w:tcW w:w="980" w:type="dxa"/>
            <w:vAlign w:val="center"/>
          </w:tcPr>
          <w:p w:rsidR="006F0FFC" w:rsidRDefault="006F0FFC" w:rsidP="006F0FFC">
            <w:pPr>
              <w:jc w:val="right"/>
            </w:pPr>
            <w:r>
              <w:t>0.64</w:t>
            </w:r>
          </w:p>
        </w:tc>
      </w:tr>
      <w:tr w:rsidR="006F0FFC" w:rsidTr="006F0FFC">
        <w:tc>
          <w:tcPr>
            <w:tcW w:w="2718" w:type="dxa"/>
          </w:tcPr>
          <w:p w:rsidR="006F0FFC" w:rsidRDefault="006F0FFC" w:rsidP="006F0FFC">
            <w:r>
              <w:t>Ignore other factors</w:t>
            </w:r>
          </w:p>
        </w:tc>
        <w:tc>
          <w:tcPr>
            <w:tcW w:w="979" w:type="dxa"/>
            <w:vAlign w:val="center"/>
          </w:tcPr>
          <w:p w:rsidR="006F0FFC" w:rsidRDefault="006F0FFC" w:rsidP="006F0FFC">
            <w:pPr>
              <w:jc w:val="right"/>
            </w:pPr>
            <w:r>
              <w:t>9.28</w:t>
            </w:r>
          </w:p>
        </w:tc>
        <w:tc>
          <w:tcPr>
            <w:tcW w:w="980" w:type="dxa"/>
            <w:vAlign w:val="center"/>
          </w:tcPr>
          <w:p w:rsidR="006F0FFC" w:rsidRDefault="006F0FFC" w:rsidP="006F0FFC">
            <w:pPr>
              <w:jc w:val="right"/>
            </w:pPr>
            <w:r>
              <w:t>7.99</w:t>
            </w:r>
          </w:p>
        </w:tc>
        <w:tc>
          <w:tcPr>
            <w:tcW w:w="980" w:type="dxa"/>
            <w:vAlign w:val="center"/>
          </w:tcPr>
          <w:p w:rsidR="006F0FFC" w:rsidRDefault="006F0FFC" w:rsidP="006F0FFC">
            <w:pPr>
              <w:jc w:val="right"/>
            </w:pPr>
            <w:r>
              <w:t>656</w:t>
            </w:r>
          </w:p>
        </w:tc>
        <w:tc>
          <w:tcPr>
            <w:tcW w:w="979" w:type="dxa"/>
            <w:vAlign w:val="center"/>
          </w:tcPr>
          <w:p w:rsidR="006F0FFC" w:rsidRDefault="006F0FFC" w:rsidP="006F0FFC">
            <w:pPr>
              <w:jc w:val="right"/>
            </w:pPr>
            <w:r>
              <w:t>7.76</w:t>
            </w:r>
          </w:p>
        </w:tc>
        <w:tc>
          <w:tcPr>
            <w:tcW w:w="980" w:type="dxa"/>
            <w:vAlign w:val="center"/>
          </w:tcPr>
          <w:p w:rsidR="006F0FFC" w:rsidRDefault="006F0FFC" w:rsidP="006F0FFC">
            <w:pPr>
              <w:jc w:val="right"/>
            </w:pPr>
            <w:r>
              <w:t>4.48</w:t>
            </w:r>
          </w:p>
        </w:tc>
        <w:tc>
          <w:tcPr>
            <w:tcW w:w="980" w:type="dxa"/>
            <w:vAlign w:val="center"/>
          </w:tcPr>
          <w:p w:rsidR="006F0FFC" w:rsidRDefault="006F0FFC" w:rsidP="006F0FFC">
            <w:pPr>
              <w:jc w:val="right"/>
            </w:pPr>
            <w:r>
              <w:t>6.62</w:t>
            </w:r>
          </w:p>
        </w:tc>
        <w:tc>
          <w:tcPr>
            <w:tcW w:w="980" w:type="dxa"/>
            <w:vAlign w:val="center"/>
          </w:tcPr>
          <w:p w:rsidR="006F0FFC" w:rsidRDefault="006F0FFC" w:rsidP="006F0FFC">
            <w:pPr>
              <w:jc w:val="right"/>
            </w:pPr>
            <w:r>
              <w:t>2.00</w:t>
            </w:r>
          </w:p>
        </w:tc>
      </w:tr>
    </w:tbl>
    <w:p w:rsidR="00F9235C" w:rsidRDefault="00F9235C" w:rsidP="000462DC">
      <w:pPr>
        <w:autoSpaceDE w:val="0"/>
        <w:autoSpaceDN w:val="0"/>
        <w:adjustRightInd w:val="0"/>
        <w:spacing w:after="0" w:line="240" w:lineRule="auto"/>
        <w:rPr>
          <w:rFonts w:ascii="Palatino Linotype" w:hAnsi="Palatino Linotype" w:cs="Times New Roman"/>
          <w:i/>
          <w:sz w:val="20"/>
          <w:szCs w:val="20"/>
        </w:rPr>
      </w:pPr>
    </w:p>
    <w:p w:rsidR="00D40757" w:rsidRPr="00B43D3F" w:rsidRDefault="00D40757" w:rsidP="000462DC">
      <w:pPr>
        <w:autoSpaceDE w:val="0"/>
        <w:autoSpaceDN w:val="0"/>
        <w:adjustRightInd w:val="0"/>
        <w:spacing w:after="0" w:line="240" w:lineRule="auto"/>
        <w:rPr>
          <w:rFonts w:ascii="Palatino Linotype" w:hAnsi="Palatino Linotype" w:cs="Times New Roman"/>
          <w:i/>
          <w:sz w:val="20"/>
          <w:szCs w:val="20"/>
        </w:rPr>
      </w:pP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r w:rsidRPr="00B43D3F">
        <w:rPr>
          <w:rFonts w:ascii="Palatino Linotype" w:hAnsi="Palatino Linotype" w:cs="Times New Roman"/>
          <w:i/>
          <w:sz w:val="20"/>
          <w:szCs w:val="20"/>
        </w:rPr>
        <w:t xml:space="preserve">Note: The </w:t>
      </w:r>
      <w:r w:rsidRPr="00B43D3F">
        <w:rPr>
          <w:rFonts w:ascii="Palatino Linotype" w:hAnsi="Palatino Linotype" w:cs="Times New Roman"/>
          <w:b/>
          <w:i/>
          <w:sz w:val="20"/>
          <w:szCs w:val="20"/>
        </w:rPr>
        <w:t>Care Transition Measure</w:t>
      </w:r>
      <w:r w:rsidR="008745F9">
        <w:rPr>
          <w:rFonts w:ascii="Palatino Linotype" w:hAnsi="Palatino Linotype" w:cs="Times New Roman"/>
          <w:b/>
          <w:i/>
          <w:sz w:val="20"/>
          <w:szCs w:val="20"/>
        </w:rPr>
        <w:t xml:space="preserve"> </w:t>
      </w:r>
      <w:r w:rsidR="008745F9" w:rsidRPr="00B917A0">
        <w:rPr>
          <w:rFonts w:ascii="Palatino Linotype" w:hAnsi="Palatino Linotype" w:cs="Times New Roman"/>
          <w:i/>
          <w:sz w:val="20"/>
          <w:szCs w:val="20"/>
        </w:rPr>
        <w:t>(CTM)</w:t>
      </w:r>
      <w:r w:rsidRPr="00B43D3F">
        <w:rPr>
          <w:rFonts w:ascii="Palatino Linotype" w:hAnsi="Palatino Linotype" w:cs="Times New Roman"/>
          <w:i/>
          <w:sz w:val="20"/>
          <w:szCs w:val="20"/>
        </w:rPr>
        <w:t xml:space="preserve"> was originally endorsed by the NQF as NQF #0288.  In addition, we tested the validity of the CTM included in the HCAHPS Survey, as follows:</w:t>
      </w:r>
    </w:p>
    <w:p w:rsidR="000462DC" w:rsidRPr="00B43D3F" w:rsidRDefault="000462DC" w:rsidP="000462DC">
      <w:pPr>
        <w:autoSpaceDE w:val="0"/>
        <w:autoSpaceDN w:val="0"/>
        <w:adjustRightInd w:val="0"/>
        <w:spacing w:after="0" w:line="240" w:lineRule="auto"/>
        <w:rPr>
          <w:rFonts w:ascii="Palatino Linotype" w:hAnsi="Palatino Linotype" w:cs="Times New Roman"/>
          <w:i/>
          <w:sz w:val="20"/>
          <w:szCs w:val="20"/>
        </w:rPr>
      </w:pPr>
    </w:p>
    <w:p w:rsidR="000462DC" w:rsidRPr="00B43D3F" w:rsidRDefault="000462DC" w:rsidP="000462DC">
      <w:pPr>
        <w:numPr>
          <w:ilvl w:val="0"/>
          <w:numId w:val="31"/>
        </w:numPr>
        <w:kinsoku w:val="0"/>
        <w:overflowPunct w:val="0"/>
        <w:spacing w:after="0" w:line="240" w:lineRule="auto"/>
        <w:ind w:left="1267"/>
        <w:contextualSpacing/>
        <w:textAlignment w:val="baseline"/>
        <w:rPr>
          <w:rFonts w:ascii="Palatino Linotype" w:eastAsia="Times New Roman" w:hAnsi="Palatino Linotype" w:cs="Times New Roman"/>
          <w:i/>
          <w:sz w:val="20"/>
          <w:szCs w:val="20"/>
        </w:rPr>
      </w:pPr>
      <w:r w:rsidRPr="00B43D3F">
        <w:rPr>
          <w:rFonts w:ascii="Palatino Linotype" w:hAnsi="Palatino Linotype" w:cs="Times New Roman"/>
          <w:i/>
          <w:color w:val="000000" w:themeColor="text1"/>
          <w:sz w:val="20"/>
          <w:szCs w:val="20"/>
        </w:rPr>
        <w:t>20,670 inpatients discharged January 1, 2012 through March 31, 2012</w:t>
      </w:r>
    </w:p>
    <w:p w:rsidR="000462DC" w:rsidRPr="00B43D3F" w:rsidRDefault="000462DC" w:rsidP="000462DC">
      <w:pPr>
        <w:numPr>
          <w:ilvl w:val="0"/>
          <w:numId w:val="32"/>
        </w:numPr>
        <w:kinsoku w:val="0"/>
        <w:overflowPunct w:val="0"/>
        <w:spacing w:after="0" w:line="240" w:lineRule="auto"/>
        <w:ind w:left="1267"/>
        <w:contextualSpacing/>
        <w:textAlignment w:val="baseline"/>
        <w:rPr>
          <w:rFonts w:ascii="Palatino Linotype" w:eastAsia="Times New Roman" w:hAnsi="Palatino Linotype" w:cs="Times New Roman"/>
          <w:i/>
          <w:sz w:val="20"/>
          <w:szCs w:val="20"/>
        </w:rPr>
      </w:pPr>
      <w:r w:rsidRPr="00B43D3F">
        <w:rPr>
          <w:rFonts w:ascii="Palatino Linotype" w:hAnsi="Palatino Linotype" w:cs="Times New Roman"/>
          <w:i/>
          <w:color w:val="000000" w:themeColor="text1"/>
          <w:sz w:val="20"/>
          <w:szCs w:val="20"/>
        </w:rPr>
        <w:t>Random assignment to each of 4 HCAHPS survey modes</w:t>
      </w:r>
    </w:p>
    <w:p w:rsidR="000462DC" w:rsidRPr="00B43D3F" w:rsidRDefault="000462DC" w:rsidP="000462DC">
      <w:pPr>
        <w:numPr>
          <w:ilvl w:val="1"/>
          <w:numId w:val="32"/>
        </w:numPr>
        <w:kinsoku w:val="0"/>
        <w:overflowPunct w:val="0"/>
        <w:spacing w:after="0" w:line="240" w:lineRule="auto"/>
        <w:ind w:left="2606"/>
        <w:contextualSpacing/>
        <w:textAlignment w:val="baseline"/>
        <w:rPr>
          <w:rFonts w:ascii="Palatino Linotype" w:eastAsia="Times New Roman" w:hAnsi="Palatino Linotype" w:cs="Times New Roman"/>
          <w:i/>
          <w:color w:val="04617B"/>
          <w:sz w:val="20"/>
          <w:szCs w:val="20"/>
        </w:rPr>
      </w:pPr>
      <w:r w:rsidRPr="00B43D3F">
        <w:rPr>
          <w:rFonts w:ascii="Palatino Linotype" w:eastAsia="Times New Roman" w:hAnsi="Palatino Linotype" w:cs="Times New Roman"/>
          <w:i/>
          <w:color w:val="000000" w:themeColor="text1"/>
          <w:sz w:val="20"/>
          <w:szCs w:val="20"/>
        </w:rPr>
        <w:t>Mail only</w:t>
      </w:r>
    </w:p>
    <w:p w:rsidR="000462DC" w:rsidRPr="00B43D3F" w:rsidRDefault="000462DC" w:rsidP="000462DC">
      <w:pPr>
        <w:numPr>
          <w:ilvl w:val="1"/>
          <w:numId w:val="32"/>
        </w:numPr>
        <w:kinsoku w:val="0"/>
        <w:overflowPunct w:val="0"/>
        <w:spacing w:after="0" w:line="240" w:lineRule="auto"/>
        <w:ind w:left="2606"/>
        <w:contextualSpacing/>
        <w:textAlignment w:val="baseline"/>
        <w:rPr>
          <w:rFonts w:ascii="Palatino Linotype" w:eastAsia="Times New Roman" w:hAnsi="Palatino Linotype" w:cs="Times New Roman"/>
          <w:i/>
          <w:color w:val="04617B"/>
          <w:sz w:val="20"/>
          <w:szCs w:val="20"/>
        </w:rPr>
      </w:pPr>
      <w:r w:rsidRPr="00B43D3F">
        <w:rPr>
          <w:rFonts w:ascii="Palatino Linotype" w:eastAsia="Times New Roman" w:hAnsi="Palatino Linotype" w:cs="Times New Roman"/>
          <w:i/>
          <w:color w:val="000000" w:themeColor="text1"/>
          <w:sz w:val="20"/>
          <w:szCs w:val="20"/>
        </w:rPr>
        <w:t>Mixed mode (Mail with Telephone)</w:t>
      </w:r>
    </w:p>
    <w:p w:rsidR="000462DC" w:rsidRPr="00B43D3F" w:rsidRDefault="000462DC" w:rsidP="000462DC">
      <w:pPr>
        <w:numPr>
          <w:ilvl w:val="1"/>
          <w:numId w:val="32"/>
        </w:numPr>
        <w:kinsoku w:val="0"/>
        <w:overflowPunct w:val="0"/>
        <w:spacing w:after="0" w:line="240" w:lineRule="auto"/>
        <w:ind w:left="2606"/>
        <w:contextualSpacing/>
        <w:textAlignment w:val="baseline"/>
        <w:rPr>
          <w:rFonts w:ascii="Palatino Linotype" w:eastAsia="Times New Roman" w:hAnsi="Palatino Linotype" w:cs="Times New Roman"/>
          <w:i/>
          <w:color w:val="04617B"/>
          <w:sz w:val="20"/>
          <w:szCs w:val="20"/>
        </w:rPr>
      </w:pPr>
      <w:r w:rsidRPr="00B43D3F">
        <w:rPr>
          <w:rFonts w:ascii="Palatino Linotype" w:eastAsia="Times New Roman" w:hAnsi="Palatino Linotype" w:cs="Times New Roman"/>
          <w:i/>
          <w:color w:val="000000" w:themeColor="text1"/>
          <w:sz w:val="20"/>
          <w:szCs w:val="20"/>
        </w:rPr>
        <w:t>Telephone only (CATI)</w:t>
      </w:r>
    </w:p>
    <w:p w:rsidR="000462DC" w:rsidRPr="00B43D3F" w:rsidRDefault="000462DC" w:rsidP="000462DC">
      <w:pPr>
        <w:numPr>
          <w:ilvl w:val="1"/>
          <w:numId w:val="32"/>
        </w:numPr>
        <w:kinsoku w:val="0"/>
        <w:overflowPunct w:val="0"/>
        <w:spacing w:after="0" w:line="240" w:lineRule="auto"/>
        <w:ind w:left="2606"/>
        <w:contextualSpacing/>
        <w:textAlignment w:val="baseline"/>
        <w:rPr>
          <w:rFonts w:ascii="Palatino Linotype" w:eastAsia="Times New Roman" w:hAnsi="Palatino Linotype" w:cs="Times New Roman"/>
          <w:i/>
          <w:color w:val="04617B"/>
          <w:sz w:val="20"/>
          <w:szCs w:val="20"/>
        </w:rPr>
      </w:pPr>
      <w:r w:rsidRPr="00B43D3F">
        <w:rPr>
          <w:rFonts w:ascii="Palatino Linotype" w:eastAsia="Times New Roman" w:hAnsi="Palatino Linotype" w:cs="Times New Roman"/>
          <w:i/>
          <w:color w:val="000000" w:themeColor="text1"/>
          <w:sz w:val="20"/>
          <w:szCs w:val="20"/>
        </w:rPr>
        <w:t>Touch-tone IVR only (TT-IVR)</w:t>
      </w:r>
    </w:p>
    <w:p w:rsidR="001B3BC6" w:rsidRDefault="001B3BC6" w:rsidP="000462DC">
      <w:pPr>
        <w:kinsoku w:val="0"/>
        <w:overflowPunct w:val="0"/>
        <w:spacing w:after="0" w:line="240" w:lineRule="auto"/>
        <w:contextualSpacing/>
        <w:textAlignment w:val="baseline"/>
        <w:rPr>
          <w:rFonts w:ascii="Palatino Linotype" w:eastAsia="Times New Roman" w:hAnsi="Palatino Linotype" w:cs="Times New Roman"/>
          <w:i/>
          <w:color w:val="000000" w:themeColor="text1"/>
          <w:sz w:val="20"/>
          <w:szCs w:val="20"/>
        </w:rPr>
      </w:pPr>
    </w:p>
    <w:p w:rsidR="000462DC" w:rsidRPr="00B43D3F" w:rsidRDefault="000462DC" w:rsidP="000462DC">
      <w:pPr>
        <w:kinsoku w:val="0"/>
        <w:overflowPunct w:val="0"/>
        <w:spacing w:after="0" w:line="240" w:lineRule="auto"/>
        <w:contextualSpacing/>
        <w:textAlignment w:val="baseline"/>
        <w:rPr>
          <w:rFonts w:ascii="Palatino Linotype" w:eastAsia="Times New Roman" w:hAnsi="Palatino Linotype" w:cs="Times New Roman"/>
          <w:i/>
          <w:color w:val="04617B"/>
          <w:sz w:val="20"/>
          <w:szCs w:val="20"/>
        </w:rPr>
      </w:pPr>
      <w:r w:rsidRPr="00B43D3F">
        <w:rPr>
          <w:rFonts w:ascii="Palatino Linotype" w:eastAsia="Times New Roman" w:hAnsi="Palatino Linotype" w:cs="Times New Roman"/>
          <w:i/>
          <w:color w:val="000000" w:themeColor="text1"/>
          <w:sz w:val="20"/>
          <w:szCs w:val="20"/>
        </w:rPr>
        <w:t xml:space="preserve">Validity of Care Transition Measure </w:t>
      </w:r>
    </w:p>
    <w:p w:rsidR="000462DC" w:rsidRPr="00B43D3F" w:rsidRDefault="000462DC" w:rsidP="000462DC">
      <w:pPr>
        <w:numPr>
          <w:ilvl w:val="0"/>
          <w:numId w:val="33"/>
        </w:numPr>
        <w:kinsoku w:val="0"/>
        <w:overflowPunct w:val="0"/>
        <w:spacing w:after="0" w:line="240" w:lineRule="auto"/>
        <w:ind w:left="1267"/>
        <w:contextualSpacing/>
        <w:textAlignment w:val="baseline"/>
        <w:rPr>
          <w:rFonts w:ascii="Palatino Linotype" w:eastAsia="Times New Roman" w:hAnsi="Palatino Linotype" w:cs="Times New Roman"/>
          <w:i/>
          <w:sz w:val="20"/>
          <w:szCs w:val="20"/>
        </w:rPr>
      </w:pPr>
      <w:r w:rsidRPr="00B43D3F">
        <w:rPr>
          <w:rFonts w:ascii="Palatino Linotype" w:hAnsi="Palatino Linotype" w:cs="Times New Roman"/>
          <w:i/>
          <w:color w:val="000000" w:themeColor="text1"/>
          <w:sz w:val="20"/>
          <w:szCs w:val="20"/>
        </w:rPr>
        <w:t xml:space="preserve">Pearson correlations (linear scoring) with </w:t>
      </w:r>
      <w:r w:rsidR="00C57A88">
        <w:rPr>
          <w:rFonts w:ascii="Palatino Linotype" w:hAnsi="Palatino Linotype" w:cs="Times New Roman"/>
          <w:i/>
          <w:color w:val="000000" w:themeColor="text1"/>
          <w:sz w:val="20"/>
          <w:szCs w:val="20"/>
        </w:rPr>
        <w:t>9</w:t>
      </w:r>
      <w:r w:rsidR="00C57A88" w:rsidRPr="00B43D3F">
        <w:rPr>
          <w:rFonts w:ascii="Palatino Linotype" w:hAnsi="Palatino Linotype" w:cs="Times New Roman"/>
          <w:i/>
          <w:color w:val="000000" w:themeColor="text1"/>
          <w:sz w:val="20"/>
          <w:szCs w:val="20"/>
        </w:rPr>
        <w:t xml:space="preserve"> </w:t>
      </w:r>
      <w:r w:rsidRPr="00B43D3F">
        <w:rPr>
          <w:rFonts w:ascii="Palatino Linotype" w:hAnsi="Palatino Linotype" w:cs="Times New Roman"/>
          <w:i/>
          <w:color w:val="000000" w:themeColor="text1"/>
          <w:sz w:val="20"/>
          <w:szCs w:val="20"/>
        </w:rPr>
        <w:t>existing HCAHPS measures</w:t>
      </w:r>
    </w:p>
    <w:p w:rsidR="000462DC" w:rsidRPr="00B43D3F" w:rsidRDefault="000462DC" w:rsidP="000462DC">
      <w:pPr>
        <w:numPr>
          <w:ilvl w:val="1"/>
          <w:numId w:val="33"/>
        </w:numPr>
        <w:kinsoku w:val="0"/>
        <w:overflowPunct w:val="0"/>
        <w:spacing w:after="0" w:line="240" w:lineRule="auto"/>
        <w:ind w:left="2606"/>
        <w:contextualSpacing/>
        <w:textAlignment w:val="baseline"/>
        <w:rPr>
          <w:rFonts w:ascii="Palatino Linotype" w:eastAsia="Times New Roman" w:hAnsi="Palatino Linotype" w:cs="Times New Roman"/>
          <w:i/>
          <w:color w:val="04617B"/>
          <w:sz w:val="20"/>
          <w:szCs w:val="20"/>
        </w:rPr>
      </w:pPr>
      <w:r w:rsidRPr="00B43D3F">
        <w:rPr>
          <w:rFonts w:ascii="Palatino Linotype" w:eastAsia="Times New Roman" w:hAnsi="Palatino Linotype" w:cs="Times New Roman"/>
          <w:i/>
          <w:color w:val="000000" w:themeColor="text1"/>
          <w:sz w:val="20"/>
          <w:szCs w:val="20"/>
        </w:rPr>
        <w:t>Range 0.30 to 0.51</w:t>
      </w:r>
    </w:p>
    <w:p w:rsidR="000462DC" w:rsidRPr="00B917A0" w:rsidRDefault="000462DC" w:rsidP="000462DC">
      <w:pPr>
        <w:numPr>
          <w:ilvl w:val="1"/>
          <w:numId w:val="33"/>
        </w:numPr>
        <w:kinsoku w:val="0"/>
        <w:overflowPunct w:val="0"/>
        <w:spacing w:after="0" w:line="240" w:lineRule="auto"/>
        <w:ind w:left="2606"/>
        <w:contextualSpacing/>
        <w:textAlignment w:val="baseline"/>
        <w:rPr>
          <w:rFonts w:ascii="Palatino Linotype" w:eastAsia="Times New Roman" w:hAnsi="Palatino Linotype" w:cs="Times New Roman"/>
          <w:i/>
          <w:color w:val="04617B"/>
          <w:sz w:val="20"/>
          <w:szCs w:val="20"/>
        </w:rPr>
      </w:pPr>
      <w:r w:rsidRPr="00B43D3F">
        <w:rPr>
          <w:rFonts w:ascii="Palatino Linotype" w:eastAsia="Times New Roman" w:hAnsi="Palatino Linotype" w:cs="Times New Roman"/>
          <w:i/>
          <w:color w:val="000000" w:themeColor="text1"/>
          <w:sz w:val="20"/>
          <w:szCs w:val="20"/>
        </w:rPr>
        <w:t>Highest: Recommend Hospital (0.51), Nurse Communication (0.50), Communication About Medicines (0.49), Overall Hospital Rating (0.48)</w:t>
      </w:r>
    </w:p>
    <w:p w:rsidR="008745F9" w:rsidRPr="00B43D3F" w:rsidRDefault="008745F9" w:rsidP="00B917A0">
      <w:pPr>
        <w:kinsoku w:val="0"/>
        <w:overflowPunct w:val="0"/>
        <w:spacing w:after="0" w:line="240" w:lineRule="auto"/>
        <w:ind w:left="2246"/>
        <w:contextualSpacing/>
        <w:textAlignment w:val="baseline"/>
        <w:rPr>
          <w:rFonts w:ascii="Palatino Linotype" w:eastAsia="Times New Roman" w:hAnsi="Palatino Linotype" w:cs="Times New Roman"/>
          <w:i/>
          <w:color w:val="04617B"/>
          <w:sz w:val="20"/>
          <w:szCs w:val="20"/>
        </w:rPr>
      </w:pPr>
    </w:p>
    <w:p w:rsidR="000462DC" w:rsidRPr="00B43D3F" w:rsidRDefault="000462DC" w:rsidP="000462DC">
      <w:pPr>
        <w:numPr>
          <w:ilvl w:val="0"/>
          <w:numId w:val="34"/>
        </w:numPr>
        <w:kinsoku w:val="0"/>
        <w:overflowPunct w:val="0"/>
        <w:spacing w:after="0" w:line="240" w:lineRule="auto"/>
        <w:ind w:left="1267"/>
        <w:contextualSpacing/>
        <w:textAlignment w:val="baseline"/>
        <w:rPr>
          <w:rFonts w:ascii="Palatino Linotype" w:eastAsia="Times New Roman" w:hAnsi="Palatino Linotype" w:cs="Times New Roman"/>
          <w:i/>
          <w:sz w:val="20"/>
          <w:szCs w:val="20"/>
        </w:rPr>
      </w:pPr>
      <w:r w:rsidRPr="00B43D3F">
        <w:rPr>
          <w:rFonts w:ascii="Palatino Linotype" w:hAnsi="Palatino Linotype" w:cs="Times New Roman"/>
          <w:i/>
          <w:color w:val="000000" w:themeColor="text1"/>
          <w:sz w:val="20"/>
          <w:szCs w:val="20"/>
        </w:rPr>
        <w:t>PMA and Mode Effect patterns similar to other HCAHPS measures</w:t>
      </w:r>
    </w:p>
    <w:p w:rsidR="000462DC" w:rsidRPr="00B43D3F" w:rsidRDefault="000462DC" w:rsidP="000462DC">
      <w:pPr>
        <w:numPr>
          <w:ilvl w:val="0"/>
          <w:numId w:val="35"/>
        </w:numPr>
        <w:tabs>
          <w:tab w:val="num" w:pos="720"/>
        </w:tabs>
        <w:kinsoku w:val="0"/>
        <w:overflowPunct w:val="0"/>
        <w:spacing w:after="0" w:line="240" w:lineRule="auto"/>
        <w:contextualSpacing/>
        <w:textAlignment w:val="baseline"/>
        <w:rPr>
          <w:rFonts w:ascii="Palatino Linotype" w:hAnsi="Palatino Linotype" w:cs="Times New Roman"/>
          <w:i/>
          <w:color w:val="000000" w:themeColor="text1"/>
          <w:sz w:val="20"/>
          <w:szCs w:val="20"/>
        </w:rPr>
      </w:pPr>
      <w:r w:rsidRPr="00B43D3F">
        <w:rPr>
          <w:rFonts w:ascii="Palatino Linotype" w:hAnsi="Palatino Linotype" w:cs="Times New Roman"/>
          <w:i/>
          <w:color w:val="000000" w:themeColor="text1"/>
          <w:sz w:val="20"/>
          <w:szCs w:val="20"/>
        </w:rPr>
        <w:t>Like all HCAHPS measures CTM has good psychometric properties</w:t>
      </w:r>
    </w:p>
    <w:p w:rsidR="000462DC" w:rsidRPr="00B43D3F" w:rsidRDefault="000462DC" w:rsidP="000462DC">
      <w:pPr>
        <w:numPr>
          <w:ilvl w:val="0"/>
          <w:numId w:val="36"/>
        </w:numPr>
        <w:tabs>
          <w:tab w:val="num" w:pos="720"/>
        </w:tabs>
        <w:kinsoku w:val="0"/>
        <w:overflowPunct w:val="0"/>
        <w:spacing w:after="0" w:line="240" w:lineRule="auto"/>
        <w:contextualSpacing/>
        <w:textAlignment w:val="baseline"/>
        <w:rPr>
          <w:rFonts w:ascii="Palatino Linotype" w:hAnsi="Palatino Linotype" w:cs="Times New Roman"/>
          <w:i/>
          <w:color w:val="000000" w:themeColor="text1"/>
          <w:sz w:val="20"/>
          <w:szCs w:val="20"/>
        </w:rPr>
      </w:pPr>
      <w:r w:rsidRPr="00B43D3F">
        <w:rPr>
          <w:rFonts w:ascii="Palatino Linotype" w:hAnsi="Palatino Linotype" w:cs="Times New Roman"/>
          <w:i/>
          <w:color w:val="000000" w:themeColor="text1"/>
          <w:sz w:val="20"/>
          <w:szCs w:val="20"/>
        </w:rPr>
        <w:t xml:space="preserve">No evidence of a ceiling effect; substantial room for quality improvement   </w:t>
      </w:r>
    </w:p>
    <w:p w:rsidR="000462DC" w:rsidRPr="00B43D3F" w:rsidRDefault="000462DC" w:rsidP="000462DC">
      <w:pPr>
        <w:numPr>
          <w:ilvl w:val="0"/>
          <w:numId w:val="37"/>
        </w:numPr>
        <w:tabs>
          <w:tab w:val="num" w:pos="720"/>
        </w:tabs>
        <w:kinsoku w:val="0"/>
        <w:overflowPunct w:val="0"/>
        <w:spacing w:after="0" w:line="240" w:lineRule="auto"/>
        <w:contextualSpacing/>
        <w:textAlignment w:val="baseline"/>
        <w:rPr>
          <w:rFonts w:ascii="Palatino Linotype" w:hAnsi="Palatino Linotype" w:cs="Times New Roman"/>
          <w:i/>
          <w:color w:val="000000" w:themeColor="text1"/>
          <w:sz w:val="20"/>
          <w:szCs w:val="20"/>
        </w:rPr>
      </w:pPr>
      <w:r w:rsidRPr="00B43D3F">
        <w:rPr>
          <w:rFonts w:ascii="Palatino Linotype" w:hAnsi="Palatino Linotype" w:cs="Times New Roman"/>
          <w:i/>
          <w:color w:val="000000" w:themeColor="text1"/>
          <w:sz w:val="20"/>
          <w:szCs w:val="20"/>
        </w:rPr>
        <w:t>Strong links with Nurse Communication and Communication About Medicines</w:t>
      </w:r>
    </w:p>
    <w:p w:rsidR="000462DC" w:rsidRPr="00B43D3F" w:rsidRDefault="000462DC" w:rsidP="000462DC">
      <w:pPr>
        <w:numPr>
          <w:ilvl w:val="0"/>
          <w:numId w:val="38"/>
        </w:numPr>
        <w:kinsoku w:val="0"/>
        <w:overflowPunct w:val="0"/>
        <w:autoSpaceDE w:val="0"/>
        <w:autoSpaceDN w:val="0"/>
        <w:adjustRightInd w:val="0"/>
        <w:spacing w:after="0" w:line="240" w:lineRule="auto"/>
        <w:contextualSpacing/>
        <w:textAlignment w:val="baseline"/>
        <w:rPr>
          <w:rFonts w:ascii="Palatino Linotype" w:hAnsi="Palatino Linotype" w:cs="Times New Roman"/>
          <w:i/>
          <w:sz w:val="20"/>
          <w:szCs w:val="20"/>
        </w:rPr>
      </w:pPr>
      <w:r w:rsidRPr="00B43D3F">
        <w:rPr>
          <w:rFonts w:ascii="Palatino Linotype" w:hAnsi="Palatino Linotype" w:cs="Times New Roman"/>
          <w:i/>
          <w:color w:val="000000" w:themeColor="text1"/>
          <w:sz w:val="20"/>
          <w:szCs w:val="20"/>
        </w:rPr>
        <w:t>Lack of redundancy with HCAHPS measures</w:t>
      </w:r>
    </w:p>
    <w:p w:rsidR="000462DC" w:rsidRPr="00B43D3F" w:rsidRDefault="000462DC" w:rsidP="000462DC">
      <w:pPr>
        <w:numPr>
          <w:ilvl w:val="0"/>
          <w:numId w:val="39"/>
        </w:numPr>
        <w:kinsoku w:val="0"/>
        <w:overflowPunct w:val="0"/>
        <w:spacing w:after="0" w:line="240" w:lineRule="auto"/>
        <w:ind w:left="1267"/>
        <w:contextualSpacing/>
        <w:textAlignment w:val="baseline"/>
        <w:rPr>
          <w:rFonts w:ascii="Palatino Linotype" w:eastAsia="Times New Roman" w:hAnsi="Palatino Linotype" w:cs="Times New Roman"/>
          <w:i/>
          <w:sz w:val="20"/>
          <w:szCs w:val="20"/>
        </w:rPr>
      </w:pPr>
      <w:r w:rsidRPr="00B43D3F">
        <w:rPr>
          <w:rFonts w:ascii="Palatino Linotype" w:hAnsi="Palatino Linotype" w:cs="Times New Roman"/>
          <w:i/>
          <w:color w:val="000000" w:themeColor="text1"/>
          <w:sz w:val="20"/>
          <w:szCs w:val="20"/>
        </w:rPr>
        <w:t>Transitions in care is a critical aspect of hospital care</w:t>
      </w:r>
    </w:p>
    <w:p w:rsidR="000462DC" w:rsidRPr="00B43D3F" w:rsidRDefault="000462DC" w:rsidP="000462DC">
      <w:pPr>
        <w:numPr>
          <w:ilvl w:val="0"/>
          <w:numId w:val="40"/>
        </w:numPr>
        <w:kinsoku w:val="0"/>
        <w:overflowPunct w:val="0"/>
        <w:spacing w:after="0" w:line="240" w:lineRule="auto"/>
        <w:ind w:left="1267"/>
        <w:contextualSpacing/>
        <w:textAlignment w:val="baseline"/>
        <w:rPr>
          <w:rFonts w:ascii="Palatino Linotype" w:eastAsia="Times New Roman" w:hAnsi="Palatino Linotype" w:cs="Times New Roman"/>
          <w:i/>
          <w:sz w:val="20"/>
          <w:szCs w:val="20"/>
        </w:rPr>
      </w:pPr>
      <w:r w:rsidRPr="00B43D3F">
        <w:rPr>
          <w:rFonts w:ascii="Palatino Linotype" w:hAnsi="Palatino Linotype" w:cs="Times New Roman"/>
          <w:i/>
          <w:color w:val="000000" w:themeColor="text1"/>
          <w:sz w:val="20"/>
          <w:szCs w:val="20"/>
        </w:rPr>
        <w:t>Data indicates there is room for quality improvement in this area</w:t>
      </w:r>
    </w:p>
    <w:p w:rsidR="00C32C26" w:rsidRPr="00E17582" w:rsidRDefault="000462DC" w:rsidP="00CD6510">
      <w:pPr>
        <w:numPr>
          <w:ilvl w:val="0"/>
          <w:numId w:val="41"/>
        </w:numPr>
        <w:kinsoku w:val="0"/>
        <w:overflowPunct w:val="0"/>
        <w:spacing w:after="0" w:line="240" w:lineRule="auto"/>
        <w:ind w:left="1267"/>
        <w:contextualSpacing/>
        <w:textAlignment w:val="baseline"/>
        <w:rPr>
          <w:rFonts w:ascii="Palatino Linotype" w:hAnsi="Palatino Linotype" w:cs="Times New Roman"/>
          <w:i/>
          <w:color w:val="000000" w:themeColor="text1"/>
          <w:sz w:val="20"/>
          <w:szCs w:val="20"/>
        </w:rPr>
      </w:pPr>
      <w:r w:rsidRPr="00E17582">
        <w:rPr>
          <w:rFonts w:ascii="Palatino Linotype" w:hAnsi="Palatino Linotype" w:cs="Times New Roman"/>
          <w:i/>
          <w:color w:val="000000" w:themeColor="text1"/>
          <w:sz w:val="20"/>
          <w:szCs w:val="20"/>
        </w:rPr>
        <w:t>Collection and public reporting of CTM will aid quality improvement efforts</w:t>
      </w:r>
    </w:p>
    <w:p w:rsidR="00B127A4" w:rsidRDefault="00B127A4" w:rsidP="00A16991">
      <w:pPr>
        <w:autoSpaceDE w:val="0"/>
        <w:autoSpaceDN w:val="0"/>
        <w:adjustRightInd w:val="0"/>
        <w:spacing w:after="0" w:line="240" w:lineRule="auto"/>
        <w:rPr>
          <w:rFonts w:ascii="Palatino Linotype" w:hAnsi="Palatino Linotype" w:cs="Arial"/>
          <w:i/>
          <w:sz w:val="20"/>
          <w:szCs w:val="20"/>
        </w:rPr>
      </w:pPr>
    </w:p>
    <w:p w:rsidR="008745F9" w:rsidRPr="00972674" w:rsidRDefault="008745F9" w:rsidP="00A16991">
      <w:pPr>
        <w:autoSpaceDE w:val="0"/>
        <w:autoSpaceDN w:val="0"/>
        <w:adjustRightInd w:val="0"/>
        <w:spacing w:after="0" w:line="240" w:lineRule="auto"/>
        <w:rPr>
          <w:rFonts w:ascii="Palatino Linotype" w:hAnsi="Palatino Linotype" w:cs="Arial"/>
          <w:i/>
          <w:sz w:val="20"/>
          <w:szCs w:val="20"/>
        </w:rPr>
      </w:pPr>
      <w:r w:rsidRPr="00972674">
        <w:rPr>
          <w:rFonts w:ascii="Palatino Linotype" w:hAnsi="Palatino Linotype" w:cs="Arial"/>
          <w:i/>
          <w:sz w:val="20"/>
          <w:szCs w:val="20"/>
        </w:rPr>
        <w:t xml:space="preserve">To confirm discriminant validity, </w:t>
      </w:r>
      <w:r w:rsidR="00B917A0" w:rsidRPr="00972674">
        <w:rPr>
          <w:rFonts w:ascii="Palatino Linotype" w:hAnsi="Palatino Linotype" w:cs="Arial"/>
          <w:i/>
          <w:sz w:val="20"/>
          <w:szCs w:val="20"/>
        </w:rPr>
        <w:t xml:space="preserve">in the table below </w:t>
      </w:r>
      <w:r w:rsidRPr="00972674">
        <w:rPr>
          <w:rFonts w:ascii="Palatino Linotype" w:hAnsi="Palatino Linotype"/>
          <w:i/>
          <w:sz w:val="20"/>
          <w:szCs w:val="20"/>
        </w:rPr>
        <w:t xml:space="preserve">we computed the average patient-level correlations among individual HCAHPS items with </w:t>
      </w:r>
      <w:r w:rsidR="00D358D9" w:rsidRPr="00972674">
        <w:rPr>
          <w:rFonts w:ascii="Palatino Linotype" w:hAnsi="Palatino Linotype"/>
          <w:i/>
          <w:sz w:val="20"/>
          <w:szCs w:val="20"/>
        </w:rPr>
        <w:t xml:space="preserve">the </w:t>
      </w:r>
      <w:r w:rsidRPr="00972674">
        <w:rPr>
          <w:rFonts w:ascii="Palatino Linotype" w:hAnsi="Palatino Linotype"/>
          <w:i/>
          <w:sz w:val="20"/>
          <w:szCs w:val="20"/>
        </w:rPr>
        <w:t>other items within the</w:t>
      </w:r>
      <w:r w:rsidR="00D358D9" w:rsidRPr="00972674">
        <w:rPr>
          <w:rFonts w:ascii="Palatino Linotype" w:hAnsi="Palatino Linotype"/>
          <w:i/>
          <w:sz w:val="20"/>
          <w:szCs w:val="20"/>
        </w:rPr>
        <w:t xml:space="preserve"> same</w:t>
      </w:r>
      <w:r w:rsidRPr="00972674">
        <w:rPr>
          <w:rFonts w:ascii="Palatino Linotype" w:hAnsi="Palatino Linotype"/>
          <w:i/>
          <w:sz w:val="20"/>
          <w:szCs w:val="20"/>
        </w:rPr>
        <w:t xml:space="preserve"> multi-item measure, and with items in other multi-item measures. In all instances, the average correlations of items within a multi-item measure (0.27-0.57) were considerably higher than the correlations with items in different multi-item measures (averaging 0.19 to 0.32), providing evidence of discriminant validity.</w:t>
      </w:r>
    </w:p>
    <w:p w:rsidR="008745F9" w:rsidRDefault="008745F9" w:rsidP="00A16991">
      <w:pPr>
        <w:autoSpaceDE w:val="0"/>
        <w:autoSpaceDN w:val="0"/>
        <w:adjustRightInd w:val="0"/>
        <w:spacing w:after="0" w:line="240" w:lineRule="auto"/>
        <w:rPr>
          <w:rFonts w:ascii="Palatino Linotype" w:hAnsi="Palatino Linotype" w:cs="Arial"/>
          <w:i/>
          <w:sz w:val="20"/>
          <w:szCs w:val="20"/>
        </w:rPr>
      </w:pPr>
    </w:p>
    <w:p w:rsidR="0062532B" w:rsidRPr="00B917A0" w:rsidRDefault="0062532B" w:rsidP="0062532B">
      <w:pPr>
        <w:autoSpaceDE w:val="0"/>
        <w:autoSpaceDN w:val="0"/>
        <w:adjustRightInd w:val="0"/>
        <w:spacing w:after="0" w:line="240" w:lineRule="auto"/>
        <w:rPr>
          <w:rFonts w:cs="Times New Roman"/>
          <w:b/>
          <w:bCs/>
          <w:sz w:val="20"/>
          <w:szCs w:val="20"/>
        </w:rPr>
      </w:pPr>
      <w:r w:rsidRPr="00B917A0">
        <w:rPr>
          <w:rFonts w:cs="Times New Roman"/>
          <w:b/>
          <w:bCs/>
          <w:sz w:val="20"/>
          <w:szCs w:val="20"/>
        </w:rPr>
        <w:t xml:space="preserve">Discriminant Validity Analysis: Patient-Level Average Inter-Item Correlations among HCAHPS </w:t>
      </w:r>
      <w:r w:rsidR="008745F9">
        <w:rPr>
          <w:rFonts w:cs="Times New Roman"/>
          <w:b/>
          <w:bCs/>
          <w:sz w:val="20"/>
          <w:szCs w:val="20"/>
        </w:rPr>
        <w:t>Multi-item Measures</w:t>
      </w:r>
      <w:r w:rsidRPr="00B917A0">
        <w:rPr>
          <w:rFonts w:cs="Times New Roman"/>
          <w:b/>
          <w:bCs/>
          <w:sz w:val="20"/>
          <w:szCs w:val="20"/>
        </w:rPr>
        <w:t>, July 2016 – June 2017 discharges</w:t>
      </w:r>
    </w:p>
    <w:p w:rsidR="0062532B" w:rsidRDefault="0062532B" w:rsidP="0062532B">
      <w:pPr>
        <w:autoSpaceDE w:val="0"/>
        <w:autoSpaceDN w:val="0"/>
        <w:adjustRightInd w:val="0"/>
        <w:spacing w:after="0" w:line="240" w:lineRule="auto"/>
        <w:rPr>
          <w:rFonts w:ascii="Palatino Linotype" w:hAnsi="Palatino Linotype" w:cs="Times New Roman"/>
          <w:b/>
          <w:i/>
          <w:sz w:val="20"/>
          <w:szCs w:val="20"/>
        </w:rPr>
      </w:pPr>
    </w:p>
    <w:tbl>
      <w:tblPr>
        <w:tblW w:w="9195" w:type="dxa"/>
        <w:tblInd w:w="93" w:type="dxa"/>
        <w:tblLayout w:type="fixed"/>
        <w:tblLook w:val="04A0" w:firstRow="1" w:lastRow="0" w:firstColumn="1" w:lastColumn="0" w:noHBand="0" w:noVBand="1"/>
        <w:tblCaption w:val="Table with Discriminant Validity Analysis"/>
        <w:tblDescription w:val="Discriminant Validity Analysis. Patient-Level Average Inter-Item Correlations among HCAHPS Multi-item Measures, July 2016 – June 2017 discharges"/>
      </w:tblPr>
      <w:tblGrid>
        <w:gridCol w:w="2715"/>
        <w:gridCol w:w="1080"/>
        <w:gridCol w:w="1080"/>
        <w:gridCol w:w="1080"/>
        <w:gridCol w:w="1080"/>
        <w:gridCol w:w="1080"/>
        <w:gridCol w:w="1080"/>
      </w:tblGrid>
      <w:tr w:rsidR="0062532B" w:rsidRPr="00D3528A" w:rsidTr="00CD6510">
        <w:trPr>
          <w:trHeight w:val="2599"/>
        </w:trPr>
        <w:tc>
          <w:tcPr>
            <w:tcW w:w="271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 </w:t>
            </w:r>
          </w:p>
        </w:tc>
        <w:tc>
          <w:tcPr>
            <w:tcW w:w="1080"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62532B" w:rsidRPr="00D3528A" w:rsidRDefault="0062532B" w:rsidP="00CD6510">
            <w:pPr>
              <w:spacing w:after="0" w:line="240" w:lineRule="auto"/>
              <w:rPr>
                <w:rFonts w:eastAsia="Times New Roman" w:cs="Arial"/>
                <w:bCs/>
                <w:sz w:val="20"/>
                <w:szCs w:val="20"/>
              </w:rPr>
            </w:pPr>
            <w:r w:rsidRPr="00D3528A">
              <w:rPr>
                <w:rFonts w:eastAsia="Times New Roman" w:cs="Arial"/>
                <w:bCs/>
                <w:sz w:val="20"/>
                <w:szCs w:val="20"/>
              </w:rPr>
              <w:t>Communication with Nurses</w:t>
            </w:r>
          </w:p>
        </w:tc>
        <w:tc>
          <w:tcPr>
            <w:tcW w:w="1080"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62532B" w:rsidRPr="00D3528A" w:rsidRDefault="0062532B" w:rsidP="00CD6510">
            <w:pPr>
              <w:spacing w:after="0" w:line="240" w:lineRule="auto"/>
              <w:rPr>
                <w:rFonts w:eastAsia="Times New Roman" w:cs="Arial"/>
                <w:bCs/>
                <w:sz w:val="20"/>
                <w:szCs w:val="20"/>
              </w:rPr>
            </w:pPr>
            <w:r w:rsidRPr="00D3528A">
              <w:rPr>
                <w:rFonts w:eastAsia="Times New Roman" w:cs="Arial"/>
                <w:bCs/>
                <w:sz w:val="20"/>
                <w:szCs w:val="20"/>
              </w:rPr>
              <w:t>Communication with Doctors</w:t>
            </w:r>
          </w:p>
        </w:tc>
        <w:tc>
          <w:tcPr>
            <w:tcW w:w="1080"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62532B" w:rsidRPr="00D3528A" w:rsidRDefault="0062532B" w:rsidP="00CD6510">
            <w:pPr>
              <w:spacing w:after="0" w:line="240" w:lineRule="auto"/>
              <w:rPr>
                <w:rFonts w:eastAsia="Times New Roman" w:cs="Arial"/>
                <w:bCs/>
                <w:sz w:val="20"/>
                <w:szCs w:val="20"/>
              </w:rPr>
            </w:pPr>
            <w:r w:rsidRPr="00D3528A">
              <w:rPr>
                <w:rFonts w:eastAsia="Times New Roman" w:cs="Arial"/>
                <w:bCs/>
                <w:sz w:val="20"/>
                <w:szCs w:val="20"/>
              </w:rPr>
              <w:t>Responsiveness of Hosp. Staff</w:t>
            </w:r>
          </w:p>
        </w:tc>
        <w:tc>
          <w:tcPr>
            <w:tcW w:w="1080"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62532B" w:rsidRPr="00D3528A" w:rsidRDefault="0062532B" w:rsidP="00CD6510">
            <w:pPr>
              <w:spacing w:after="0" w:line="240" w:lineRule="auto"/>
              <w:rPr>
                <w:rFonts w:eastAsia="Times New Roman" w:cs="Arial"/>
                <w:bCs/>
                <w:sz w:val="20"/>
                <w:szCs w:val="20"/>
              </w:rPr>
            </w:pPr>
            <w:r w:rsidRPr="00D3528A">
              <w:rPr>
                <w:rFonts w:eastAsia="Times New Roman" w:cs="Arial"/>
                <w:bCs/>
                <w:sz w:val="20"/>
                <w:szCs w:val="20"/>
              </w:rPr>
              <w:t>Comm. About Medicines</w:t>
            </w:r>
          </w:p>
        </w:tc>
        <w:tc>
          <w:tcPr>
            <w:tcW w:w="1080"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62532B" w:rsidRPr="00D3528A" w:rsidRDefault="0062532B" w:rsidP="00CD6510">
            <w:pPr>
              <w:spacing w:after="0" w:line="240" w:lineRule="auto"/>
              <w:rPr>
                <w:rFonts w:eastAsia="Times New Roman" w:cs="Arial"/>
                <w:bCs/>
                <w:sz w:val="20"/>
                <w:szCs w:val="20"/>
              </w:rPr>
            </w:pPr>
            <w:r w:rsidRPr="00D3528A">
              <w:rPr>
                <w:rFonts w:eastAsia="Times New Roman" w:cs="Arial"/>
                <w:bCs/>
                <w:sz w:val="20"/>
                <w:szCs w:val="20"/>
              </w:rPr>
              <w:t>Discharge Information</w:t>
            </w:r>
          </w:p>
        </w:tc>
        <w:tc>
          <w:tcPr>
            <w:tcW w:w="1080"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62532B" w:rsidRPr="00D3528A" w:rsidRDefault="0062532B" w:rsidP="00CD6510">
            <w:pPr>
              <w:spacing w:after="0" w:line="240" w:lineRule="auto"/>
              <w:rPr>
                <w:rFonts w:eastAsia="Times New Roman" w:cs="Arial"/>
                <w:bCs/>
                <w:sz w:val="20"/>
                <w:szCs w:val="20"/>
              </w:rPr>
            </w:pPr>
            <w:r w:rsidRPr="00D3528A">
              <w:rPr>
                <w:rFonts w:eastAsia="Times New Roman" w:cs="Arial"/>
                <w:bCs/>
                <w:sz w:val="20"/>
                <w:szCs w:val="20"/>
              </w:rPr>
              <w:t>Care Transition</w:t>
            </w:r>
          </w:p>
        </w:tc>
      </w:tr>
      <w:tr w:rsidR="0062532B" w:rsidRPr="00D3528A" w:rsidTr="00CD6510">
        <w:trPr>
          <w:trHeight w:val="288"/>
        </w:trPr>
        <w:tc>
          <w:tcPr>
            <w:tcW w:w="2715" w:type="dxa"/>
            <w:tcBorders>
              <w:top w:val="nil"/>
              <w:left w:val="single" w:sz="8" w:space="0" w:color="auto"/>
              <w:bottom w:val="single" w:sz="4" w:space="0" w:color="auto"/>
              <w:right w:val="single" w:sz="8" w:space="0" w:color="auto"/>
            </w:tcBorders>
            <w:shd w:val="clear" w:color="auto" w:fill="auto"/>
            <w:noWrap/>
            <w:vAlign w:val="center"/>
            <w:hideMark/>
          </w:tcPr>
          <w:p w:rsidR="0062532B" w:rsidRPr="00D3528A" w:rsidRDefault="0062532B" w:rsidP="00CD6510">
            <w:pPr>
              <w:spacing w:after="0" w:line="240" w:lineRule="auto"/>
              <w:rPr>
                <w:rFonts w:eastAsia="Times New Roman" w:cs="Arial"/>
                <w:bCs/>
                <w:sz w:val="20"/>
                <w:szCs w:val="20"/>
              </w:rPr>
            </w:pPr>
            <w:r w:rsidRPr="00D3528A">
              <w:rPr>
                <w:rFonts w:eastAsia="Times New Roman" w:cs="Arial"/>
                <w:bCs/>
                <w:sz w:val="20"/>
                <w:szCs w:val="20"/>
              </w:rPr>
              <w:t>Communication with Nurses</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1D7FA5" w:rsidRDefault="0062532B" w:rsidP="00CD6510">
            <w:pPr>
              <w:spacing w:after="0" w:line="240" w:lineRule="auto"/>
              <w:jc w:val="center"/>
              <w:rPr>
                <w:rFonts w:ascii="Calibri" w:eastAsia="Times New Roman" w:hAnsi="Calibri" w:cs="Times New Roman"/>
                <w:b/>
                <w:color w:val="000000"/>
                <w:sz w:val="20"/>
                <w:szCs w:val="20"/>
              </w:rPr>
            </w:pPr>
            <w:r w:rsidRPr="001D7FA5">
              <w:rPr>
                <w:rFonts w:ascii="Calibri" w:eastAsia="Times New Roman" w:hAnsi="Calibri" w:cs="Times New Roman"/>
                <w:b/>
                <w:color w:val="000000"/>
                <w:sz w:val="20"/>
                <w:szCs w:val="20"/>
              </w:rPr>
              <w:t>0.50</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 </w:t>
            </w:r>
          </w:p>
        </w:tc>
      </w:tr>
      <w:tr w:rsidR="0062532B" w:rsidRPr="00D3528A" w:rsidTr="00CD6510">
        <w:trPr>
          <w:trHeight w:val="288"/>
        </w:trPr>
        <w:tc>
          <w:tcPr>
            <w:tcW w:w="2715" w:type="dxa"/>
            <w:tcBorders>
              <w:top w:val="nil"/>
              <w:left w:val="single" w:sz="8" w:space="0" w:color="auto"/>
              <w:bottom w:val="single" w:sz="4" w:space="0" w:color="auto"/>
              <w:right w:val="single" w:sz="8" w:space="0" w:color="auto"/>
            </w:tcBorders>
            <w:shd w:val="clear" w:color="auto" w:fill="auto"/>
            <w:noWrap/>
            <w:vAlign w:val="center"/>
            <w:hideMark/>
          </w:tcPr>
          <w:p w:rsidR="0062532B" w:rsidRPr="00D3528A" w:rsidRDefault="0062532B" w:rsidP="00CD6510">
            <w:pPr>
              <w:spacing w:after="0" w:line="240" w:lineRule="auto"/>
              <w:rPr>
                <w:rFonts w:eastAsia="Times New Roman" w:cs="Arial"/>
                <w:bCs/>
                <w:sz w:val="20"/>
                <w:szCs w:val="20"/>
              </w:rPr>
            </w:pPr>
            <w:r w:rsidRPr="00D3528A">
              <w:rPr>
                <w:rFonts w:eastAsia="Times New Roman" w:cs="Arial"/>
                <w:bCs/>
                <w:sz w:val="20"/>
                <w:szCs w:val="20"/>
              </w:rPr>
              <w:t>Communication with Doctors</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0.36</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1D7FA5" w:rsidRDefault="0062532B" w:rsidP="00CD6510">
            <w:pPr>
              <w:spacing w:after="0" w:line="240" w:lineRule="auto"/>
              <w:jc w:val="center"/>
              <w:rPr>
                <w:rFonts w:ascii="Calibri" w:eastAsia="Times New Roman" w:hAnsi="Calibri" w:cs="Times New Roman"/>
                <w:b/>
                <w:color w:val="000000"/>
                <w:sz w:val="20"/>
                <w:szCs w:val="20"/>
              </w:rPr>
            </w:pPr>
            <w:r w:rsidRPr="001D7FA5">
              <w:rPr>
                <w:rFonts w:ascii="Calibri" w:eastAsia="Times New Roman" w:hAnsi="Calibri" w:cs="Times New Roman"/>
                <w:b/>
                <w:color w:val="000000"/>
                <w:sz w:val="20"/>
                <w:szCs w:val="20"/>
              </w:rPr>
              <w:t>0.56</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 </w:t>
            </w:r>
          </w:p>
        </w:tc>
      </w:tr>
      <w:tr w:rsidR="0062532B" w:rsidRPr="00D3528A" w:rsidTr="00CD6510">
        <w:trPr>
          <w:trHeight w:val="288"/>
        </w:trPr>
        <w:tc>
          <w:tcPr>
            <w:tcW w:w="2715" w:type="dxa"/>
            <w:tcBorders>
              <w:top w:val="nil"/>
              <w:left w:val="single" w:sz="8" w:space="0" w:color="auto"/>
              <w:bottom w:val="single" w:sz="4" w:space="0" w:color="auto"/>
              <w:right w:val="single" w:sz="8" w:space="0" w:color="auto"/>
            </w:tcBorders>
            <w:shd w:val="clear" w:color="auto" w:fill="auto"/>
            <w:noWrap/>
            <w:vAlign w:val="center"/>
            <w:hideMark/>
          </w:tcPr>
          <w:p w:rsidR="0062532B" w:rsidRPr="00D3528A" w:rsidRDefault="0062532B" w:rsidP="00CD6510">
            <w:pPr>
              <w:spacing w:after="0" w:line="240" w:lineRule="auto"/>
              <w:rPr>
                <w:rFonts w:eastAsia="Times New Roman" w:cs="Arial"/>
                <w:bCs/>
                <w:sz w:val="20"/>
                <w:szCs w:val="20"/>
              </w:rPr>
            </w:pPr>
            <w:r w:rsidRPr="00D3528A">
              <w:rPr>
                <w:rFonts w:eastAsia="Times New Roman" w:cs="Arial"/>
                <w:bCs/>
                <w:sz w:val="20"/>
                <w:szCs w:val="20"/>
              </w:rPr>
              <w:t>Responsiveness of Hosp. Staff</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0.36</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0.28</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1D7FA5" w:rsidRDefault="0062532B" w:rsidP="00CD6510">
            <w:pPr>
              <w:spacing w:after="0" w:line="240" w:lineRule="auto"/>
              <w:jc w:val="center"/>
              <w:rPr>
                <w:rFonts w:ascii="Calibri" w:eastAsia="Times New Roman" w:hAnsi="Calibri" w:cs="Times New Roman"/>
                <w:b/>
                <w:color w:val="000000"/>
                <w:sz w:val="20"/>
                <w:szCs w:val="20"/>
              </w:rPr>
            </w:pPr>
            <w:r w:rsidRPr="001D7FA5">
              <w:rPr>
                <w:rFonts w:ascii="Calibri" w:eastAsia="Times New Roman" w:hAnsi="Calibri" w:cs="Times New Roman"/>
                <w:b/>
                <w:color w:val="000000"/>
                <w:sz w:val="20"/>
                <w:szCs w:val="20"/>
              </w:rPr>
              <w:t>0.48</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 </w:t>
            </w:r>
          </w:p>
        </w:tc>
      </w:tr>
      <w:tr w:rsidR="0062532B" w:rsidRPr="00D3528A" w:rsidTr="00CD6510">
        <w:trPr>
          <w:trHeight w:val="288"/>
        </w:trPr>
        <w:tc>
          <w:tcPr>
            <w:tcW w:w="2715" w:type="dxa"/>
            <w:tcBorders>
              <w:top w:val="nil"/>
              <w:left w:val="single" w:sz="8" w:space="0" w:color="auto"/>
              <w:bottom w:val="single" w:sz="4" w:space="0" w:color="auto"/>
              <w:right w:val="single" w:sz="8" w:space="0" w:color="auto"/>
            </w:tcBorders>
            <w:shd w:val="clear" w:color="auto" w:fill="auto"/>
            <w:noWrap/>
            <w:vAlign w:val="center"/>
            <w:hideMark/>
          </w:tcPr>
          <w:p w:rsidR="0062532B" w:rsidRPr="00D3528A" w:rsidRDefault="0062532B" w:rsidP="00CD6510">
            <w:pPr>
              <w:spacing w:after="0" w:line="240" w:lineRule="auto"/>
              <w:rPr>
                <w:rFonts w:eastAsia="Times New Roman" w:cs="Arial"/>
                <w:bCs/>
                <w:sz w:val="20"/>
                <w:szCs w:val="20"/>
              </w:rPr>
            </w:pPr>
            <w:r w:rsidRPr="00D3528A">
              <w:rPr>
                <w:rFonts w:eastAsia="Times New Roman" w:cs="Arial"/>
                <w:bCs/>
                <w:sz w:val="20"/>
                <w:szCs w:val="20"/>
              </w:rPr>
              <w:t>Comm. About Medicines</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0.33</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0.31</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0.30</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1D7FA5" w:rsidRDefault="0062532B" w:rsidP="00CD6510">
            <w:pPr>
              <w:spacing w:after="0" w:line="240" w:lineRule="auto"/>
              <w:jc w:val="center"/>
              <w:rPr>
                <w:rFonts w:ascii="Calibri" w:eastAsia="Times New Roman" w:hAnsi="Calibri" w:cs="Times New Roman"/>
                <w:b/>
                <w:color w:val="000000"/>
                <w:sz w:val="20"/>
                <w:szCs w:val="20"/>
              </w:rPr>
            </w:pPr>
            <w:r w:rsidRPr="001D7FA5">
              <w:rPr>
                <w:rFonts w:ascii="Calibri" w:eastAsia="Times New Roman" w:hAnsi="Calibri" w:cs="Times New Roman"/>
                <w:b/>
                <w:color w:val="000000"/>
                <w:sz w:val="20"/>
                <w:szCs w:val="20"/>
              </w:rPr>
              <w:t>0.46</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 </w:t>
            </w:r>
          </w:p>
        </w:tc>
      </w:tr>
      <w:tr w:rsidR="0062532B" w:rsidRPr="00D3528A" w:rsidTr="00CD6510">
        <w:trPr>
          <w:trHeight w:val="288"/>
        </w:trPr>
        <w:tc>
          <w:tcPr>
            <w:tcW w:w="2715" w:type="dxa"/>
            <w:tcBorders>
              <w:top w:val="nil"/>
              <w:left w:val="single" w:sz="8" w:space="0" w:color="auto"/>
              <w:bottom w:val="single" w:sz="4" w:space="0" w:color="auto"/>
              <w:right w:val="single" w:sz="8" w:space="0" w:color="auto"/>
            </w:tcBorders>
            <w:shd w:val="clear" w:color="auto" w:fill="auto"/>
            <w:noWrap/>
            <w:vAlign w:val="center"/>
            <w:hideMark/>
          </w:tcPr>
          <w:p w:rsidR="0062532B" w:rsidRPr="00D3528A" w:rsidRDefault="0062532B" w:rsidP="00CD6510">
            <w:pPr>
              <w:spacing w:after="0" w:line="240" w:lineRule="auto"/>
              <w:rPr>
                <w:rFonts w:eastAsia="Times New Roman" w:cs="Arial"/>
                <w:bCs/>
                <w:sz w:val="20"/>
                <w:szCs w:val="20"/>
              </w:rPr>
            </w:pPr>
            <w:r w:rsidRPr="00D3528A">
              <w:rPr>
                <w:rFonts w:eastAsia="Times New Roman" w:cs="Arial"/>
                <w:bCs/>
                <w:sz w:val="20"/>
                <w:szCs w:val="20"/>
              </w:rPr>
              <w:t>Discharge Information</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0.16</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0.17</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0.13</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0.20</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1D7FA5" w:rsidRDefault="0062532B" w:rsidP="00CD6510">
            <w:pPr>
              <w:spacing w:after="0" w:line="240" w:lineRule="auto"/>
              <w:jc w:val="center"/>
              <w:rPr>
                <w:rFonts w:ascii="Calibri" w:eastAsia="Times New Roman" w:hAnsi="Calibri" w:cs="Times New Roman"/>
                <w:b/>
                <w:color w:val="000000"/>
                <w:sz w:val="20"/>
                <w:szCs w:val="20"/>
              </w:rPr>
            </w:pPr>
            <w:r w:rsidRPr="001D7FA5">
              <w:rPr>
                <w:rFonts w:ascii="Calibri" w:eastAsia="Times New Roman" w:hAnsi="Calibri" w:cs="Times New Roman"/>
                <w:b/>
                <w:color w:val="000000"/>
                <w:sz w:val="20"/>
                <w:szCs w:val="20"/>
              </w:rPr>
              <w:t>0.27</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sidRPr="00D3528A">
              <w:rPr>
                <w:rFonts w:ascii="Calibri" w:eastAsia="Times New Roman" w:hAnsi="Calibri" w:cs="Times New Roman"/>
                <w:color w:val="000000"/>
                <w:sz w:val="20"/>
                <w:szCs w:val="20"/>
              </w:rPr>
              <w:t> </w:t>
            </w:r>
          </w:p>
        </w:tc>
      </w:tr>
      <w:tr w:rsidR="0062532B" w:rsidRPr="00D3528A" w:rsidTr="00CD6510">
        <w:trPr>
          <w:trHeight w:val="288"/>
        </w:trPr>
        <w:tc>
          <w:tcPr>
            <w:tcW w:w="2715" w:type="dxa"/>
            <w:tcBorders>
              <w:top w:val="nil"/>
              <w:left w:val="single" w:sz="8" w:space="0" w:color="auto"/>
              <w:bottom w:val="single" w:sz="4" w:space="0" w:color="auto"/>
              <w:right w:val="single" w:sz="8" w:space="0" w:color="auto"/>
            </w:tcBorders>
            <w:shd w:val="clear" w:color="auto" w:fill="auto"/>
            <w:noWrap/>
            <w:vAlign w:val="center"/>
            <w:hideMark/>
          </w:tcPr>
          <w:p w:rsidR="0062532B" w:rsidRPr="00D3528A" w:rsidRDefault="0062532B" w:rsidP="00CD6510">
            <w:pPr>
              <w:spacing w:after="0" w:line="240" w:lineRule="auto"/>
              <w:rPr>
                <w:rFonts w:eastAsia="Times New Roman" w:cs="Arial"/>
                <w:bCs/>
                <w:sz w:val="20"/>
                <w:szCs w:val="20"/>
              </w:rPr>
            </w:pPr>
            <w:r w:rsidRPr="00D3528A">
              <w:rPr>
                <w:rFonts w:eastAsia="Times New Roman" w:cs="Arial"/>
                <w:bCs/>
                <w:sz w:val="20"/>
                <w:szCs w:val="20"/>
              </w:rPr>
              <w:t>Care Transition</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0.28</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0.27</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0.26</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0.32</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D3528A" w:rsidRDefault="0062532B" w:rsidP="00CD6510">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0.19</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1D7FA5" w:rsidRDefault="0062532B" w:rsidP="00CD6510">
            <w:pPr>
              <w:spacing w:after="0" w:line="240" w:lineRule="auto"/>
              <w:jc w:val="center"/>
              <w:rPr>
                <w:rFonts w:ascii="Calibri" w:eastAsia="Times New Roman" w:hAnsi="Calibri" w:cs="Times New Roman"/>
                <w:b/>
                <w:color w:val="000000"/>
                <w:sz w:val="20"/>
                <w:szCs w:val="20"/>
              </w:rPr>
            </w:pPr>
            <w:r w:rsidRPr="001D7FA5">
              <w:rPr>
                <w:rFonts w:ascii="Calibri" w:eastAsia="Times New Roman" w:hAnsi="Calibri" w:cs="Times New Roman"/>
                <w:b/>
                <w:color w:val="000000"/>
                <w:sz w:val="20"/>
                <w:szCs w:val="20"/>
              </w:rPr>
              <w:t>0.57</w:t>
            </w:r>
          </w:p>
        </w:tc>
      </w:tr>
      <w:tr w:rsidR="0062532B" w:rsidRPr="00D3528A" w:rsidTr="00CD6510">
        <w:trPr>
          <w:trHeight w:val="288"/>
        </w:trPr>
        <w:tc>
          <w:tcPr>
            <w:tcW w:w="2715" w:type="dxa"/>
            <w:tcBorders>
              <w:top w:val="nil"/>
              <w:left w:val="single" w:sz="8" w:space="0" w:color="auto"/>
              <w:bottom w:val="single" w:sz="4" w:space="0" w:color="auto"/>
              <w:right w:val="single" w:sz="8" w:space="0" w:color="auto"/>
            </w:tcBorders>
            <w:shd w:val="clear" w:color="auto" w:fill="auto"/>
            <w:noWrap/>
            <w:vAlign w:val="bottom"/>
            <w:hideMark/>
          </w:tcPr>
          <w:p w:rsidR="0062532B" w:rsidRPr="00C51133" w:rsidRDefault="0062532B" w:rsidP="00CD6510">
            <w:pPr>
              <w:spacing w:after="0" w:line="240" w:lineRule="auto"/>
              <w:rPr>
                <w:rFonts w:ascii="Calibri" w:eastAsia="Times New Roman" w:hAnsi="Calibri" w:cs="Times New Roman"/>
                <w:b/>
                <w:i/>
                <w:iCs/>
                <w:color w:val="000000"/>
                <w:sz w:val="20"/>
                <w:szCs w:val="20"/>
              </w:rPr>
            </w:pPr>
            <w:r w:rsidRPr="00C51133">
              <w:rPr>
                <w:rFonts w:ascii="Calibri" w:eastAsia="Times New Roman" w:hAnsi="Calibri" w:cs="Times New Roman"/>
                <w:b/>
                <w:i/>
                <w:iCs/>
                <w:color w:val="000000"/>
                <w:sz w:val="20"/>
                <w:szCs w:val="20"/>
              </w:rPr>
              <w:t>Average Across</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402FBE" w:rsidRDefault="0062532B" w:rsidP="00CD6510">
            <w:pPr>
              <w:spacing w:after="0" w:line="240" w:lineRule="auto"/>
              <w:jc w:val="center"/>
              <w:rPr>
                <w:rFonts w:ascii="Calibri" w:eastAsia="Times New Roman" w:hAnsi="Calibri" w:cs="Times New Roman"/>
                <w:b/>
                <w:i/>
                <w:iCs/>
                <w:color w:val="000000"/>
                <w:sz w:val="20"/>
                <w:szCs w:val="20"/>
              </w:rPr>
            </w:pPr>
            <w:r w:rsidRPr="00402FBE">
              <w:rPr>
                <w:rFonts w:ascii="Calibri" w:eastAsia="Times New Roman" w:hAnsi="Calibri" w:cs="Times New Roman"/>
                <w:b/>
                <w:i/>
                <w:iCs/>
                <w:color w:val="000000"/>
                <w:sz w:val="20"/>
                <w:szCs w:val="20"/>
              </w:rPr>
              <w:t>0.30</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402FBE" w:rsidRDefault="0062532B" w:rsidP="00CD6510">
            <w:pPr>
              <w:spacing w:after="0" w:line="240" w:lineRule="auto"/>
              <w:jc w:val="center"/>
              <w:rPr>
                <w:rFonts w:ascii="Calibri" w:eastAsia="Times New Roman" w:hAnsi="Calibri" w:cs="Times New Roman"/>
                <w:b/>
                <w:i/>
                <w:iCs/>
                <w:color w:val="000000"/>
                <w:sz w:val="20"/>
                <w:szCs w:val="20"/>
              </w:rPr>
            </w:pPr>
            <w:r w:rsidRPr="00402FBE">
              <w:rPr>
                <w:rFonts w:ascii="Calibri" w:eastAsia="Times New Roman" w:hAnsi="Calibri" w:cs="Times New Roman"/>
                <w:b/>
                <w:i/>
                <w:iCs/>
                <w:color w:val="000000"/>
                <w:sz w:val="20"/>
                <w:szCs w:val="20"/>
              </w:rPr>
              <w:t>0.31</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402FBE" w:rsidRDefault="0062532B" w:rsidP="00CD6510">
            <w:pPr>
              <w:spacing w:after="0" w:line="240" w:lineRule="auto"/>
              <w:jc w:val="center"/>
              <w:rPr>
                <w:rFonts w:ascii="Calibri" w:eastAsia="Times New Roman" w:hAnsi="Calibri" w:cs="Times New Roman"/>
                <w:b/>
                <w:i/>
                <w:iCs/>
                <w:color w:val="000000"/>
                <w:sz w:val="20"/>
                <w:szCs w:val="20"/>
              </w:rPr>
            </w:pPr>
            <w:r w:rsidRPr="00402FBE">
              <w:rPr>
                <w:rFonts w:ascii="Calibri" w:eastAsia="Times New Roman" w:hAnsi="Calibri" w:cs="Times New Roman"/>
                <w:b/>
                <w:i/>
                <w:iCs/>
                <w:color w:val="000000"/>
                <w:sz w:val="20"/>
                <w:szCs w:val="20"/>
              </w:rPr>
              <w:t>0.26</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402FBE" w:rsidRDefault="0062532B" w:rsidP="00CD6510">
            <w:pPr>
              <w:spacing w:after="0" w:line="240" w:lineRule="auto"/>
              <w:jc w:val="center"/>
              <w:rPr>
                <w:rFonts w:ascii="Calibri" w:eastAsia="Times New Roman" w:hAnsi="Calibri" w:cs="Times New Roman"/>
                <w:b/>
                <w:i/>
                <w:iCs/>
                <w:color w:val="000000"/>
                <w:sz w:val="20"/>
                <w:szCs w:val="20"/>
              </w:rPr>
            </w:pPr>
            <w:r w:rsidRPr="00402FBE">
              <w:rPr>
                <w:rFonts w:ascii="Calibri" w:eastAsia="Times New Roman" w:hAnsi="Calibri" w:cs="Times New Roman"/>
                <w:b/>
                <w:i/>
                <w:iCs/>
                <w:color w:val="000000"/>
                <w:sz w:val="20"/>
                <w:szCs w:val="20"/>
              </w:rPr>
              <w:t>0.32</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402FBE" w:rsidRDefault="0062532B" w:rsidP="00CD6510">
            <w:pPr>
              <w:spacing w:after="0" w:line="240" w:lineRule="auto"/>
              <w:jc w:val="center"/>
              <w:rPr>
                <w:rFonts w:ascii="Calibri" w:eastAsia="Times New Roman" w:hAnsi="Calibri" w:cs="Times New Roman"/>
                <w:b/>
                <w:i/>
                <w:iCs/>
                <w:color w:val="000000"/>
                <w:sz w:val="20"/>
                <w:szCs w:val="20"/>
              </w:rPr>
            </w:pPr>
            <w:r w:rsidRPr="00402FBE">
              <w:rPr>
                <w:rFonts w:ascii="Calibri" w:eastAsia="Times New Roman" w:hAnsi="Calibri" w:cs="Times New Roman"/>
                <w:b/>
                <w:i/>
                <w:iCs/>
                <w:color w:val="000000"/>
                <w:sz w:val="20"/>
                <w:szCs w:val="20"/>
              </w:rPr>
              <w:t>0.19</w:t>
            </w:r>
          </w:p>
        </w:tc>
        <w:tc>
          <w:tcPr>
            <w:tcW w:w="1080" w:type="dxa"/>
            <w:tcBorders>
              <w:top w:val="nil"/>
              <w:left w:val="nil"/>
              <w:bottom w:val="single" w:sz="4" w:space="0" w:color="auto"/>
              <w:right w:val="single" w:sz="4" w:space="0" w:color="auto"/>
            </w:tcBorders>
            <w:shd w:val="clear" w:color="auto" w:fill="auto"/>
            <w:noWrap/>
            <w:vAlign w:val="bottom"/>
            <w:hideMark/>
          </w:tcPr>
          <w:p w:rsidR="0062532B" w:rsidRPr="00402FBE" w:rsidRDefault="0062532B" w:rsidP="00CD6510">
            <w:pPr>
              <w:spacing w:after="0" w:line="240" w:lineRule="auto"/>
              <w:jc w:val="center"/>
              <w:rPr>
                <w:rFonts w:ascii="Calibri" w:eastAsia="Times New Roman" w:hAnsi="Calibri" w:cs="Times New Roman"/>
                <w:b/>
                <w:i/>
                <w:iCs/>
                <w:color w:val="000000"/>
                <w:sz w:val="20"/>
                <w:szCs w:val="20"/>
              </w:rPr>
            </w:pPr>
            <w:r w:rsidRPr="00402FBE">
              <w:rPr>
                <w:rFonts w:ascii="Calibri" w:eastAsia="Times New Roman" w:hAnsi="Calibri" w:cs="Times New Roman"/>
                <w:b/>
                <w:i/>
                <w:iCs/>
                <w:color w:val="000000"/>
                <w:sz w:val="20"/>
                <w:szCs w:val="20"/>
              </w:rPr>
              <w:t>0.26</w:t>
            </w:r>
          </w:p>
        </w:tc>
      </w:tr>
      <w:tr w:rsidR="0062532B" w:rsidRPr="00D3528A" w:rsidTr="00CD6510">
        <w:trPr>
          <w:trHeight w:val="300"/>
        </w:trPr>
        <w:tc>
          <w:tcPr>
            <w:tcW w:w="2715" w:type="dxa"/>
            <w:tcBorders>
              <w:top w:val="nil"/>
              <w:left w:val="single" w:sz="8" w:space="0" w:color="auto"/>
              <w:bottom w:val="single" w:sz="8" w:space="0" w:color="auto"/>
              <w:right w:val="single" w:sz="8" w:space="0" w:color="auto"/>
            </w:tcBorders>
            <w:shd w:val="clear" w:color="auto" w:fill="auto"/>
            <w:noWrap/>
            <w:vAlign w:val="bottom"/>
            <w:hideMark/>
          </w:tcPr>
          <w:p w:rsidR="0062532B" w:rsidRPr="00C51133" w:rsidRDefault="0062532B" w:rsidP="00CD6510">
            <w:pPr>
              <w:spacing w:after="0" w:line="240" w:lineRule="auto"/>
              <w:rPr>
                <w:rFonts w:ascii="Calibri" w:eastAsia="Times New Roman" w:hAnsi="Calibri" w:cs="Times New Roman"/>
                <w:b/>
                <w:i/>
                <w:iCs/>
                <w:color w:val="000000"/>
                <w:sz w:val="20"/>
                <w:szCs w:val="20"/>
              </w:rPr>
            </w:pPr>
            <w:r w:rsidRPr="00C51133">
              <w:rPr>
                <w:rFonts w:ascii="Calibri" w:eastAsia="Times New Roman" w:hAnsi="Calibri" w:cs="Times New Roman"/>
                <w:b/>
                <w:i/>
                <w:iCs/>
                <w:color w:val="000000"/>
                <w:sz w:val="20"/>
                <w:szCs w:val="20"/>
              </w:rPr>
              <w:t>Average Within</w:t>
            </w:r>
          </w:p>
        </w:tc>
        <w:tc>
          <w:tcPr>
            <w:tcW w:w="1080" w:type="dxa"/>
            <w:tcBorders>
              <w:top w:val="nil"/>
              <w:left w:val="nil"/>
              <w:bottom w:val="single" w:sz="8" w:space="0" w:color="auto"/>
              <w:right w:val="single" w:sz="4" w:space="0" w:color="auto"/>
            </w:tcBorders>
            <w:shd w:val="clear" w:color="auto" w:fill="auto"/>
            <w:noWrap/>
            <w:vAlign w:val="bottom"/>
            <w:hideMark/>
          </w:tcPr>
          <w:p w:rsidR="0062532B" w:rsidRPr="00402FBE" w:rsidRDefault="0062532B" w:rsidP="00CD6510">
            <w:pPr>
              <w:spacing w:after="0" w:line="240" w:lineRule="auto"/>
              <w:jc w:val="center"/>
              <w:rPr>
                <w:rFonts w:ascii="Calibri" w:eastAsia="Times New Roman" w:hAnsi="Calibri" w:cs="Times New Roman"/>
                <w:b/>
                <w:i/>
                <w:iCs/>
                <w:color w:val="000000"/>
                <w:sz w:val="20"/>
                <w:szCs w:val="20"/>
              </w:rPr>
            </w:pPr>
            <w:r w:rsidRPr="00402FBE">
              <w:rPr>
                <w:rFonts w:ascii="Calibri" w:eastAsia="Times New Roman" w:hAnsi="Calibri" w:cs="Times New Roman"/>
                <w:b/>
                <w:i/>
                <w:iCs/>
                <w:color w:val="000000"/>
                <w:sz w:val="20"/>
                <w:szCs w:val="20"/>
              </w:rPr>
              <w:t>0.50</w:t>
            </w:r>
          </w:p>
        </w:tc>
        <w:tc>
          <w:tcPr>
            <w:tcW w:w="1080" w:type="dxa"/>
            <w:tcBorders>
              <w:top w:val="nil"/>
              <w:left w:val="nil"/>
              <w:bottom w:val="single" w:sz="8" w:space="0" w:color="auto"/>
              <w:right w:val="single" w:sz="4" w:space="0" w:color="auto"/>
            </w:tcBorders>
            <w:shd w:val="clear" w:color="auto" w:fill="auto"/>
            <w:noWrap/>
            <w:vAlign w:val="bottom"/>
            <w:hideMark/>
          </w:tcPr>
          <w:p w:rsidR="0062532B" w:rsidRPr="00402FBE" w:rsidRDefault="0062532B" w:rsidP="00CD6510">
            <w:pPr>
              <w:spacing w:after="0" w:line="240" w:lineRule="auto"/>
              <w:jc w:val="center"/>
              <w:rPr>
                <w:rFonts w:ascii="Calibri" w:eastAsia="Times New Roman" w:hAnsi="Calibri" w:cs="Times New Roman"/>
                <w:b/>
                <w:i/>
                <w:iCs/>
                <w:color w:val="000000"/>
                <w:sz w:val="20"/>
                <w:szCs w:val="20"/>
              </w:rPr>
            </w:pPr>
            <w:r w:rsidRPr="00402FBE">
              <w:rPr>
                <w:rFonts w:ascii="Calibri" w:eastAsia="Times New Roman" w:hAnsi="Calibri" w:cs="Times New Roman"/>
                <w:b/>
                <w:i/>
                <w:iCs/>
                <w:color w:val="000000"/>
                <w:sz w:val="20"/>
                <w:szCs w:val="20"/>
              </w:rPr>
              <w:t>0.56</w:t>
            </w:r>
          </w:p>
        </w:tc>
        <w:tc>
          <w:tcPr>
            <w:tcW w:w="1080" w:type="dxa"/>
            <w:tcBorders>
              <w:top w:val="nil"/>
              <w:left w:val="nil"/>
              <w:bottom w:val="single" w:sz="8" w:space="0" w:color="auto"/>
              <w:right w:val="single" w:sz="4" w:space="0" w:color="auto"/>
            </w:tcBorders>
            <w:shd w:val="clear" w:color="auto" w:fill="auto"/>
            <w:noWrap/>
            <w:vAlign w:val="bottom"/>
            <w:hideMark/>
          </w:tcPr>
          <w:p w:rsidR="0062532B" w:rsidRPr="00402FBE" w:rsidRDefault="0062532B" w:rsidP="00CD6510">
            <w:pPr>
              <w:spacing w:after="0" w:line="240" w:lineRule="auto"/>
              <w:jc w:val="center"/>
              <w:rPr>
                <w:rFonts w:ascii="Calibri" w:eastAsia="Times New Roman" w:hAnsi="Calibri" w:cs="Times New Roman"/>
                <w:b/>
                <w:i/>
                <w:iCs/>
                <w:color w:val="000000"/>
                <w:sz w:val="20"/>
                <w:szCs w:val="20"/>
              </w:rPr>
            </w:pPr>
            <w:r w:rsidRPr="00402FBE">
              <w:rPr>
                <w:rFonts w:ascii="Calibri" w:eastAsia="Times New Roman" w:hAnsi="Calibri" w:cs="Times New Roman"/>
                <w:b/>
                <w:i/>
                <w:iCs/>
                <w:color w:val="000000"/>
                <w:sz w:val="20"/>
                <w:szCs w:val="20"/>
              </w:rPr>
              <w:t>0.48</w:t>
            </w:r>
          </w:p>
        </w:tc>
        <w:tc>
          <w:tcPr>
            <w:tcW w:w="1080" w:type="dxa"/>
            <w:tcBorders>
              <w:top w:val="nil"/>
              <w:left w:val="nil"/>
              <w:bottom w:val="single" w:sz="8" w:space="0" w:color="auto"/>
              <w:right w:val="single" w:sz="4" w:space="0" w:color="auto"/>
            </w:tcBorders>
            <w:shd w:val="clear" w:color="auto" w:fill="auto"/>
            <w:noWrap/>
            <w:vAlign w:val="bottom"/>
            <w:hideMark/>
          </w:tcPr>
          <w:p w:rsidR="0062532B" w:rsidRPr="00402FBE" w:rsidRDefault="0062532B" w:rsidP="00CD6510">
            <w:pPr>
              <w:spacing w:after="0" w:line="240" w:lineRule="auto"/>
              <w:jc w:val="center"/>
              <w:rPr>
                <w:rFonts w:ascii="Calibri" w:eastAsia="Times New Roman" w:hAnsi="Calibri" w:cs="Times New Roman"/>
                <w:b/>
                <w:i/>
                <w:iCs/>
                <w:color w:val="000000"/>
                <w:sz w:val="20"/>
                <w:szCs w:val="20"/>
              </w:rPr>
            </w:pPr>
            <w:r w:rsidRPr="00402FBE">
              <w:rPr>
                <w:rFonts w:ascii="Calibri" w:eastAsia="Times New Roman" w:hAnsi="Calibri" w:cs="Times New Roman"/>
                <w:b/>
                <w:i/>
                <w:iCs/>
                <w:color w:val="000000"/>
                <w:sz w:val="20"/>
                <w:szCs w:val="20"/>
              </w:rPr>
              <w:t>0.46</w:t>
            </w:r>
          </w:p>
        </w:tc>
        <w:tc>
          <w:tcPr>
            <w:tcW w:w="1080" w:type="dxa"/>
            <w:tcBorders>
              <w:top w:val="nil"/>
              <w:left w:val="nil"/>
              <w:bottom w:val="single" w:sz="8" w:space="0" w:color="auto"/>
              <w:right w:val="single" w:sz="4" w:space="0" w:color="auto"/>
            </w:tcBorders>
            <w:shd w:val="clear" w:color="auto" w:fill="auto"/>
            <w:noWrap/>
            <w:vAlign w:val="bottom"/>
            <w:hideMark/>
          </w:tcPr>
          <w:p w:rsidR="0062532B" w:rsidRPr="00402FBE" w:rsidRDefault="0062532B" w:rsidP="00CD6510">
            <w:pPr>
              <w:spacing w:after="0" w:line="240" w:lineRule="auto"/>
              <w:jc w:val="center"/>
              <w:rPr>
                <w:rFonts w:ascii="Calibri" w:eastAsia="Times New Roman" w:hAnsi="Calibri" w:cs="Times New Roman"/>
                <w:b/>
                <w:i/>
                <w:iCs/>
                <w:color w:val="000000"/>
                <w:sz w:val="20"/>
                <w:szCs w:val="20"/>
              </w:rPr>
            </w:pPr>
            <w:r w:rsidRPr="00402FBE">
              <w:rPr>
                <w:rFonts w:ascii="Calibri" w:eastAsia="Times New Roman" w:hAnsi="Calibri" w:cs="Times New Roman"/>
                <w:b/>
                <w:i/>
                <w:iCs/>
                <w:color w:val="000000"/>
                <w:sz w:val="20"/>
                <w:szCs w:val="20"/>
              </w:rPr>
              <w:t>0.27</w:t>
            </w:r>
          </w:p>
        </w:tc>
        <w:tc>
          <w:tcPr>
            <w:tcW w:w="1080" w:type="dxa"/>
            <w:tcBorders>
              <w:top w:val="nil"/>
              <w:left w:val="nil"/>
              <w:bottom w:val="single" w:sz="8" w:space="0" w:color="auto"/>
              <w:right w:val="single" w:sz="4" w:space="0" w:color="auto"/>
            </w:tcBorders>
            <w:shd w:val="clear" w:color="auto" w:fill="auto"/>
            <w:noWrap/>
            <w:vAlign w:val="bottom"/>
            <w:hideMark/>
          </w:tcPr>
          <w:p w:rsidR="0062532B" w:rsidRPr="00402FBE" w:rsidRDefault="0062532B" w:rsidP="00CD6510">
            <w:pPr>
              <w:spacing w:after="0" w:line="240" w:lineRule="auto"/>
              <w:jc w:val="center"/>
              <w:rPr>
                <w:rFonts w:ascii="Calibri" w:eastAsia="Times New Roman" w:hAnsi="Calibri" w:cs="Times New Roman"/>
                <w:b/>
                <w:i/>
                <w:iCs/>
                <w:color w:val="000000"/>
                <w:sz w:val="20"/>
                <w:szCs w:val="20"/>
              </w:rPr>
            </w:pPr>
            <w:r w:rsidRPr="00402FBE">
              <w:rPr>
                <w:rFonts w:ascii="Calibri" w:eastAsia="Times New Roman" w:hAnsi="Calibri" w:cs="Times New Roman"/>
                <w:b/>
                <w:i/>
                <w:iCs/>
                <w:color w:val="000000"/>
                <w:sz w:val="20"/>
                <w:szCs w:val="20"/>
              </w:rPr>
              <w:t>0.57</w:t>
            </w:r>
          </w:p>
        </w:tc>
      </w:tr>
    </w:tbl>
    <w:p w:rsidR="0062532B" w:rsidRDefault="0062532B" w:rsidP="00A16991">
      <w:pPr>
        <w:autoSpaceDE w:val="0"/>
        <w:autoSpaceDN w:val="0"/>
        <w:adjustRightInd w:val="0"/>
        <w:spacing w:after="0" w:line="240" w:lineRule="auto"/>
        <w:rPr>
          <w:rFonts w:ascii="Palatino Linotype" w:hAnsi="Palatino Linotype" w:cs="Arial"/>
          <w:i/>
          <w:sz w:val="20"/>
          <w:szCs w:val="20"/>
        </w:rPr>
      </w:pPr>
    </w:p>
    <w:p w:rsidR="0062532B" w:rsidRDefault="0062532B" w:rsidP="00A16991">
      <w:pPr>
        <w:autoSpaceDE w:val="0"/>
        <w:autoSpaceDN w:val="0"/>
        <w:adjustRightInd w:val="0"/>
        <w:spacing w:after="0" w:line="240" w:lineRule="auto"/>
        <w:rPr>
          <w:rFonts w:ascii="Palatino Linotype" w:hAnsi="Palatino Linotype" w:cs="Arial"/>
          <w:i/>
          <w:sz w:val="20"/>
          <w:szCs w:val="20"/>
        </w:rPr>
      </w:pPr>
    </w:p>
    <w:p w:rsidR="008902BE" w:rsidRDefault="009C7513" w:rsidP="00797935">
      <w:pPr>
        <w:kinsoku w:val="0"/>
        <w:overflowPunct w:val="0"/>
        <w:spacing w:after="0" w:line="240" w:lineRule="auto"/>
        <w:contextualSpacing/>
        <w:textAlignment w:val="baseline"/>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rsidR="00327183" w:rsidRPr="008C4D75" w:rsidRDefault="007422FD" w:rsidP="00327183">
      <w:pPr>
        <w:autoSpaceDE w:val="0"/>
        <w:autoSpaceDN w:val="0"/>
        <w:adjustRightInd w:val="0"/>
        <w:spacing w:after="0" w:line="240" w:lineRule="auto"/>
        <w:rPr>
          <w:rFonts w:ascii="Palatino Linotype" w:hAnsi="Palatino Linotype" w:cs="Times New Roman"/>
          <w:i/>
          <w:sz w:val="20"/>
          <w:szCs w:val="20"/>
        </w:rPr>
      </w:pPr>
      <w:r w:rsidRPr="00A25024">
        <w:rPr>
          <w:rFonts w:cstheme="minorHAnsi"/>
          <w:bCs/>
        </w:rPr>
        <w:br/>
      </w:r>
      <w:r w:rsidR="008902BE" w:rsidRPr="008C4D75">
        <w:rPr>
          <w:rFonts w:ascii="Palatino Linotype" w:hAnsi="Palatino Linotype" w:cs="Times New Roman"/>
          <w:i/>
          <w:sz w:val="20"/>
          <w:szCs w:val="20"/>
        </w:rPr>
        <w:t>T</w:t>
      </w:r>
      <w:r w:rsidR="00A8470E" w:rsidRPr="008C4D75">
        <w:rPr>
          <w:rFonts w:ascii="Palatino Linotype" w:hAnsi="Palatino Linotype" w:cs="Times New Roman"/>
          <w:i/>
          <w:sz w:val="20"/>
          <w:szCs w:val="20"/>
        </w:rPr>
        <w:t>he pilot study analyses provide</w:t>
      </w:r>
      <w:r w:rsidR="008902BE" w:rsidRPr="008C4D75">
        <w:rPr>
          <w:rFonts w:ascii="Palatino Linotype" w:hAnsi="Palatino Linotype" w:cs="Times New Roman"/>
          <w:i/>
          <w:sz w:val="20"/>
          <w:szCs w:val="20"/>
        </w:rPr>
        <w:t xml:space="preserve"> support for the construct validity of the HCAHPS</w:t>
      </w:r>
      <w:r w:rsidR="00A16991">
        <w:rPr>
          <w:rFonts w:ascii="Palatino Linotype" w:hAnsi="Palatino Linotype" w:cs="Times New Roman"/>
          <w:i/>
          <w:sz w:val="20"/>
          <w:szCs w:val="20"/>
        </w:rPr>
        <w:t xml:space="preserve">, </w:t>
      </w:r>
      <w:r w:rsidR="008902BE" w:rsidRPr="008C4D75">
        <w:rPr>
          <w:rFonts w:ascii="Palatino Linotype" w:hAnsi="Palatino Linotype" w:cs="Times New Roman"/>
          <w:i/>
          <w:sz w:val="20"/>
          <w:szCs w:val="20"/>
        </w:rPr>
        <w:t>confirming the intended factor structure</w:t>
      </w:r>
      <w:r w:rsidR="00A16991">
        <w:rPr>
          <w:rFonts w:ascii="Palatino Linotype" w:hAnsi="Palatino Linotype" w:cs="Times New Roman"/>
          <w:i/>
          <w:sz w:val="20"/>
          <w:szCs w:val="20"/>
        </w:rPr>
        <w:t xml:space="preserve">. </w:t>
      </w:r>
      <w:r w:rsidR="0062532B">
        <w:rPr>
          <w:rFonts w:ascii="Palatino Linotype" w:hAnsi="Palatino Linotype" w:cs="Times New Roman"/>
          <w:i/>
          <w:sz w:val="20"/>
          <w:szCs w:val="20"/>
        </w:rPr>
        <w:t xml:space="preserve">A 2016 discriminant validity analysis confirmed the factor structure. </w:t>
      </w:r>
      <w:r w:rsidR="00A16991">
        <w:rPr>
          <w:rFonts w:ascii="Palatino Linotype" w:hAnsi="Palatino Linotype" w:cs="Times New Roman"/>
          <w:i/>
          <w:sz w:val="20"/>
          <w:szCs w:val="20"/>
        </w:rPr>
        <w:t xml:space="preserve">Both the </w:t>
      </w:r>
      <w:r w:rsidR="0062532B">
        <w:rPr>
          <w:rFonts w:ascii="Palatino Linotype" w:hAnsi="Palatino Linotype" w:cs="Times New Roman"/>
          <w:i/>
          <w:sz w:val="20"/>
          <w:szCs w:val="20"/>
        </w:rPr>
        <w:t xml:space="preserve">2003 pilot study and </w:t>
      </w:r>
      <w:r w:rsidR="0031149C">
        <w:rPr>
          <w:rFonts w:ascii="Palatino Linotype" w:hAnsi="Palatino Linotype" w:cs="Times New Roman"/>
          <w:i/>
          <w:sz w:val="20"/>
          <w:szCs w:val="20"/>
        </w:rPr>
        <w:t>the 2016</w:t>
      </w:r>
      <w:r w:rsidR="00A16991">
        <w:rPr>
          <w:rFonts w:ascii="Palatino Linotype" w:hAnsi="Palatino Linotype" w:cs="Times New Roman"/>
          <w:i/>
          <w:sz w:val="20"/>
          <w:szCs w:val="20"/>
        </w:rPr>
        <w:t xml:space="preserve"> analyses found</w:t>
      </w:r>
      <w:r w:rsidR="00A16991" w:rsidRPr="008C4D75">
        <w:rPr>
          <w:rFonts w:ascii="Palatino Linotype" w:hAnsi="Palatino Linotype" w:cs="Times New Roman"/>
          <w:i/>
          <w:sz w:val="20"/>
          <w:szCs w:val="20"/>
        </w:rPr>
        <w:t xml:space="preserve"> strong correlation of each of the</w:t>
      </w:r>
      <w:r w:rsidR="003C5712">
        <w:rPr>
          <w:rFonts w:ascii="Palatino Linotype" w:hAnsi="Palatino Linotype" w:cs="Times New Roman"/>
          <w:i/>
          <w:sz w:val="20"/>
          <w:szCs w:val="20"/>
        </w:rPr>
        <w:t xml:space="preserve"> multi-item measures </w:t>
      </w:r>
      <w:r w:rsidR="00A16991" w:rsidRPr="008C4D75">
        <w:rPr>
          <w:rFonts w:ascii="Palatino Linotype" w:hAnsi="Palatino Linotype" w:cs="Times New Roman"/>
          <w:i/>
          <w:sz w:val="20"/>
          <w:szCs w:val="20"/>
        </w:rPr>
        <w:t xml:space="preserve">and </w:t>
      </w:r>
      <w:r w:rsidR="003C5712">
        <w:rPr>
          <w:rFonts w:ascii="Palatino Linotype" w:hAnsi="Palatino Linotype" w:cs="Times New Roman"/>
          <w:i/>
          <w:sz w:val="20"/>
          <w:szCs w:val="20"/>
        </w:rPr>
        <w:t>single-</w:t>
      </w:r>
      <w:r w:rsidR="00B26131">
        <w:rPr>
          <w:rFonts w:ascii="Palatino Linotype" w:hAnsi="Palatino Linotype" w:cs="Times New Roman"/>
          <w:i/>
          <w:sz w:val="20"/>
          <w:szCs w:val="20"/>
        </w:rPr>
        <w:t>item measures</w:t>
      </w:r>
      <w:r w:rsidR="00C42329">
        <w:rPr>
          <w:rFonts w:ascii="Palatino Linotype" w:hAnsi="Palatino Linotype" w:cs="Times New Roman"/>
          <w:i/>
          <w:sz w:val="20"/>
          <w:szCs w:val="20"/>
        </w:rPr>
        <w:t xml:space="preserve"> </w:t>
      </w:r>
      <w:r w:rsidR="00C42329" w:rsidRPr="008C4D75">
        <w:rPr>
          <w:rFonts w:ascii="Palatino Linotype" w:hAnsi="Palatino Linotype" w:cs="Times New Roman"/>
          <w:i/>
          <w:sz w:val="20"/>
          <w:szCs w:val="20"/>
        </w:rPr>
        <w:t>with</w:t>
      </w:r>
      <w:r w:rsidR="00A16991">
        <w:rPr>
          <w:rFonts w:ascii="Palatino Linotype" w:hAnsi="Palatino Linotype" w:cs="Times New Roman"/>
          <w:i/>
          <w:sz w:val="20"/>
          <w:szCs w:val="20"/>
        </w:rPr>
        <w:t xml:space="preserve"> the two overall measures.</w:t>
      </w:r>
    </w:p>
    <w:p w:rsidR="003C5793" w:rsidRPr="008C4D75" w:rsidRDefault="003C5793" w:rsidP="00327183">
      <w:pPr>
        <w:autoSpaceDE w:val="0"/>
        <w:autoSpaceDN w:val="0"/>
        <w:adjustRightInd w:val="0"/>
        <w:spacing w:after="0" w:line="240" w:lineRule="auto"/>
        <w:rPr>
          <w:rFonts w:ascii="Palatino Linotype" w:hAnsi="Palatino Linotype" w:cs="Times New Roman"/>
          <w:i/>
          <w:sz w:val="20"/>
          <w:szCs w:val="20"/>
        </w:rPr>
      </w:pPr>
    </w:p>
    <w:p w:rsidR="00327183" w:rsidRPr="008C4D75" w:rsidRDefault="00A8470E" w:rsidP="00327183">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 xml:space="preserve">The 2012 HCAHPS mode experiment </w:t>
      </w:r>
      <w:r w:rsidR="00A16991">
        <w:rPr>
          <w:rFonts w:ascii="Palatino Linotype" w:hAnsi="Palatino Linotype" w:cs="Times New Roman"/>
          <w:i/>
          <w:sz w:val="20"/>
          <w:szCs w:val="20"/>
        </w:rPr>
        <w:t xml:space="preserve">also </w:t>
      </w:r>
      <w:r w:rsidRPr="008C4D75">
        <w:rPr>
          <w:rFonts w:ascii="Palatino Linotype" w:hAnsi="Palatino Linotype" w:cs="Times New Roman"/>
          <w:i/>
          <w:sz w:val="20"/>
          <w:szCs w:val="20"/>
        </w:rPr>
        <w:t>provides similar support for the Care Transition Measure, which was added to the HCAHPS Survey in 2013.</w:t>
      </w:r>
      <w:r w:rsidR="00327183" w:rsidRPr="008C4D75">
        <w:rPr>
          <w:rFonts w:ascii="Palatino Linotype" w:hAnsi="Palatino Linotype" w:cs="Times New Roman"/>
          <w:i/>
          <w:sz w:val="20"/>
          <w:szCs w:val="20"/>
        </w:rPr>
        <w:t xml:space="preserve"> </w:t>
      </w:r>
    </w:p>
    <w:p w:rsidR="003C5793" w:rsidRPr="008C4D75" w:rsidRDefault="003C5793" w:rsidP="00327183">
      <w:pPr>
        <w:autoSpaceDE w:val="0"/>
        <w:autoSpaceDN w:val="0"/>
        <w:adjustRightInd w:val="0"/>
        <w:spacing w:after="0" w:line="240" w:lineRule="auto"/>
        <w:rPr>
          <w:rFonts w:ascii="Palatino Linotype" w:hAnsi="Palatino Linotype" w:cs="Times New Roman"/>
          <w:i/>
          <w:sz w:val="20"/>
          <w:szCs w:val="20"/>
        </w:rPr>
      </w:pP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rsidR="00001D73" w:rsidRDefault="00001D73" w:rsidP="00DB3627">
      <w:pPr>
        <w:autoSpaceDE w:val="0"/>
        <w:autoSpaceDN w:val="0"/>
        <w:adjustRightInd w:val="0"/>
        <w:spacing w:after="0" w:line="240" w:lineRule="auto"/>
        <w:rPr>
          <w:rFonts w:cstheme="minorHAnsi"/>
          <w:b/>
          <w:bCs/>
        </w:rPr>
      </w:pPr>
    </w:p>
    <w:p w:rsidR="00286428"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rsidR="00286428" w:rsidRDefault="00286428" w:rsidP="00DB3627">
      <w:pPr>
        <w:autoSpaceDE w:val="0"/>
        <w:autoSpaceDN w:val="0"/>
        <w:adjustRightInd w:val="0"/>
        <w:spacing w:after="0" w:line="240" w:lineRule="auto"/>
        <w:rPr>
          <w:rFonts w:cstheme="minorHAnsi"/>
          <w:bCs/>
        </w:rPr>
      </w:pPr>
    </w:p>
    <w:p w:rsidR="00043793" w:rsidRDefault="00043793" w:rsidP="00DB3627">
      <w:pPr>
        <w:autoSpaceDE w:val="0"/>
        <w:autoSpaceDN w:val="0"/>
        <w:adjustRightInd w:val="0"/>
        <w:spacing w:after="0" w:line="240" w:lineRule="auto"/>
        <w:rPr>
          <w:rFonts w:cstheme="minorHAnsi"/>
          <w:bCs/>
        </w:rPr>
      </w:pPr>
    </w:p>
    <w:p w:rsidR="00286428" w:rsidRPr="009C0CEB" w:rsidRDefault="00286428" w:rsidP="00286428">
      <w:pPr>
        <w:pStyle w:val="HCAHPSBodyTextPre-Bullets"/>
        <w:rPr>
          <w:rFonts w:ascii="Palatino Linotype" w:hAnsi="Palatino Linotype"/>
          <w:i/>
          <w:sz w:val="20"/>
          <w:szCs w:val="20"/>
        </w:rPr>
      </w:pPr>
      <w:r w:rsidRPr="009C0CEB">
        <w:rPr>
          <w:rFonts w:ascii="Palatino Linotype" w:hAnsi="Palatino Linotype"/>
          <w:i/>
          <w:sz w:val="20"/>
          <w:szCs w:val="20"/>
        </w:rPr>
        <w:t xml:space="preserve">The HCAHPS Survey is broadly intended for patients of all payer types who meet the following criteria: </w:t>
      </w:r>
    </w:p>
    <w:p w:rsidR="00286428" w:rsidRDefault="00286428" w:rsidP="00286428">
      <w:pPr>
        <w:pStyle w:val="BulletArrowStyle"/>
        <w:ind w:left="634"/>
        <w:rPr>
          <w:rFonts w:ascii="Palatino Linotype" w:hAnsi="Palatino Linotype"/>
          <w:i/>
          <w:sz w:val="20"/>
          <w:szCs w:val="20"/>
        </w:rPr>
      </w:pPr>
      <w:r w:rsidRPr="009C0CEB">
        <w:rPr>
          <w:rFonts w:ascii="Palatino Linotype" w:hAnsi="Palatino Linotype"/>
          <w:i/>
          <w:sz w:val="20"/>
          <w:szCs w:val="20"/>
        </w:rPr>
        <w:t>Eighteen (18) years or older at the time of admission</w:t>
      </w:r>
    </w:p>
    <w:p w:rsidR="009C0CEB" w:rsidRPr="009C0CEB" w:rsidRDefault="009C0CEB" w:rsidP="009C0CEB">
      <w:pPr>
        <w:pStyle w:val="BulletArrowStyle"/>
        <w:numPr>
          <w:ilvl w:val="1"/>
          <w:numId w:val="46"/>
        </w:numPr>
        <w:rPr>
          <w:rFonts w:ascii="Palatino Linotype" w:hAnsi="Palatino Linotype"/>
          <w:i/>
          <w:sz w:val="20"/>
          <w:szCs w:val="20"/>
        </w:rPr>
      </w:pPr>
      <w:r>
        <w:rPr>
          <w:rFonts w:ascii="Palatino Linotype" w:hAnsi="Palatino Linotype"/>
          <w:i/>
          <w:sz w:val="20"/>
          <w:szCs w:val="20"/>
        </w:rPr>
        <w:t>To ensure HCAHPS results are for adults only</w:t>
      </w:r>
      <w:r w:rsidR="00043793">
        <w:rPr>
          <w:rFonts w:ascii="Palatino Linotype" w:hAnsi="Palatino Linotype"/>
          <w:i/>
          <w:sz w:val="20"/>
          <w:szCs w:val="20"/>
        </w:rPr>
        <w:t>; there is a distinct and separate survey for pediatric patients.</w:t>
      </w:r>
    </w:p>
    <w:p w:rsidR="009C0CEB" w:rsidRDefault="00286428" w:rsidP="00286428">
      <w:pPr>
        <w:pStyle w:val="BulletArrowStyle"/>
        <w:ind w:left="634"/>
        <w:rPr>
          <w:rFonts w:ascii="Palatino Linotype" w:hAnsi="Palatino Linotype"/>
          <w:i/>
          <w:sz w:val="20"/>
          <w:szCs w:val="20"/>
        </w:rPr>
      </w:pPr>
      <w:r w:rsidRPr="009C0CEB">
        <w:rPr>
          <w:rFonts w:ascii="Palatino Linotype" w:hAnsi="Palatino Linotype"/>
          <w:i/>
          <w:sz w:val="20"/>
          <w:szCs w:val="20"/>
        </w:rPr>
        <w:t>Admission includes at least one overnight stay in the hospital</w:t>
      </w:r>
    </w:p>
    <w:p w:rsidR="00286428" w:rsidRPr="009C0CEB" w:rsidRDefault="009C0CEB" w:rsidP="009C0CEB">
      <w:pPr>
        <w:pStyle w:val="BulletArrowStyle"/>
        <w:numPr>
          <w:ilvl w:val="1"/>
          <w:numId w:val="46"/>
        </w:numPr>
        <w:rPr>
          <w:rFonts w:ascii="Palatino Linotype" w:hAnsi="Palatino Linotype"/>
          <w:i/>
          <w:sz w:val="20"/>
          <w:szCs w:val="20"/>
        </w:rPr>
      </w:pPr>
      <w:r>
        <w:rPr>
          <w:rFonts w:ascii="Palatino Linotype" w:hAnsi="Palatino Linotype"/>
          <w:i/>
          <w:sz w:val="20"/>
          <w:szCs w:val="20"/>
        </w:rPr>
        <w:t xml:space="preserve">A fundamental goal of HCAHPS is to survey adults about their </w:t>
      </w:r>
      <w:r w:rsidR="00043793">
        <w:rPr>
          <w:rFonts w:ascii="Palatino Linotype" w:hAnsi="Palatino Linotype"/>
          <w:i/>
          <w:sz w:val="20"/>
          <w:szCs w:val="20"/>
        </w:rPr>
        <w:t xml:space="preserve">hospital </w:t>
      </w:r>
      <w:r>
        <w:rPr>
          <w:rFonts w:ascii="Palatino Linotype" w:hAnsi="Palatino Linotype"/>
          <w:i/>
          <w:sz w:val="20"/>
          <w:szCs w:val="20"/>
        </w:rPr>
        <w:t>experience as an inpatient (</w:t>
      </w:r>
      <w:r w:rsidR="00043793">
        <w:rPr>
          <w:rFonts w:ascii="Palatino Linotype" w:hAnsi="Palatino Linotype"/>
          <w:i/>
          <w:sz w:val="20"/>
          <w:szCs w:val="20"/>
        </w:rPr>
        <w:t xml:space="preserve">that is, having had </w:t>
      </w:r>
      <w:r>
        <w:rPr>
          <w:rFonts w:ascii="Palatino Linotype" w:hAnsi="Palatino Linotype"/>
          <w:i/>
          <w:sz w:val="20"/>
          <w:szCs w:val="20"/>
        </w:rPr>
        <w:t>at least one overnight stay) in an acute care hospital</w:t>
      </w:r>
      <w:r w:rsidR="00043793">
        <w:rPr>
          <w:rFonts w:ascii="Palatino Linotype" w:hAnsi="Palatino Linotype"/>
          <w:i/>
          <w:sz w:val="20"/>
          <w:szCs w:val="20"/>
        </w:rPr>
        <w:t>).  Note that other CAHPS surveys are appropriate for out-patient experience of care.</w:t>
      </w:r>
    </w:p>
    <w:p w:rsidR="009C0CEB" w:rsidRDefault="00286428" w:rsidP="00286428">
      <w:pPr>
        <w:pStyle w:val="BulletArrowStyle"/>
        <w:rPr>
          <w:rFonts w:ascii="Palatino Linotype" w:hAnsi="Palatino Linotype"/>
          <w:i/>
          <w:sz w:val="20"/>
          <w:szCs w:val="20"/>
        </w:rPr>
      </w:pPr>
      <w:r w:rsidRPr="009C0CEB">
        <w:rPr>
          <w:rFonts w:ascii="Palatino Linotype" w:hAnsi="Palatino Linotype"/>
          <w:i/>
          <w:sz w:val="20"/>
          <w:szCs w:val="20"/>
        </w:rPr>
        <w:t>Non-psychiatric MS-DRG/principal diagnosis at discharge</w:t>
      </w:r>
    </w:p>
    <w:p w:rsidR="00286428" w:rsidRPr="009C0CEB" w:rsidRDefault="009C0CEB" w:rsidP="009C0CEB">
      <w:pPr>
        <w:pStyle w:val="BulletArrowStyle"/>
        <w:numPr>
          <w:ilvl w:val="1"/>
          <w:numId w:val="46"/>
        </w:numPr>
        <w:rPr>
          <w:rFonts w:ascii="Palatino Linotype" w:hAnsi="Palatino Linotype"/>
          <w:i/>
          <w:sz w:val="20"/>
          <w:szCs w:val="20"/>
        </w:rPr>
      </w:pPr>
      <w:r>
        <w:rPr>
          <w:rFonts w:ascii="Palatino Linotype" w:hAnsi="Palatino Linotype"/>
          <w:i/>
          <w:sz w:val="20"/>
          <w:szCs w:val="20"/>
        </w:rPr>
        <w:t>To address concerns about the appropriateness of patient</w:t>
      </w:r>
      <w:r w:rsidR="00043793">
        <w:rPr>
          <w:rFonts w:ascii="Palatino Linotype" w:hAnsi="Palatino Linotype"/>
          <w:i/>
          <w:sz w:val="20"/>
          <w:szCs w:val="20"/>
        </w:rPr>
        <w:t>’</w:t>
      </w:r>
      <w:r>
        <w:rPr>
          <w:rFonts w:ascii="Palatino Linotype" w:hAnsi="Palatino Linotype"/>
          <w:i/>
          <w:sz w:val="20"/>
          <w:szCs w:val="20"/>
        </w:rPr>
        <w:t>s ability to respond to surveys.</w:t>
      </w:r>
    </w:p>
    <w:p w:rsidR="00286428" w:rsidRPr="009C0CEB" w:rsidRDefault="00286428" w:rsidP="00286428">
      <w:pPr>
        <w:pStyle w:val="NoteLevel2underArrowBullet"/>
        <w:rPr>
          <w:rFonts w:ascii="Palatino Linotype" w:hAnsi="Palatino Linotype"/>
          <w:sz w:val="20"/>
          <w:szCs w:val="20"/>
        </w:rPr>
      </w:pPr>
    </w:p>
    <w:p w:rsidR="00286428" w:rsidRPr="009C0CEB" w:rsidRDefault="00286428" w:rsidP="00286428">
      <w:pPr>
        <w:pStyle w:val="NoteLevel2underArrowBullet"/>
        <w:rPr>
          <w:rFonts w:ascii="Palatino Linotype" w:hAnsi="Palatino Linotype"/>
          <w:sz w:val="20"/>
          <w:szCs w:val="20"/>
        </w:rPr>
      </w:pPr>
      <w:r w:rsidRPr="009C0CEB">
        <w:rPr>
          <w:rFonts w:ascii="Palatino Linotype" w:hAnsi="Palatino Linotype"/>
          <w:sz w:val="20"/>
          <w:szCs w:val="20"/>
        </w:rPr>
        <w:t xml:space="preserve">Note: Patients whose principal diagnosis falls within the Maternity Care, Medical or Surgical service lines and who also have a secondary psychiatric diagnosis are still eligible for the survey.  </w:t>
      </w:r>
    </w:p>
    <w:p w:rsidR="00286428" w:rsidRPr="009C0CEB" w:rsidRDefault="00286428" w:rsidP="00286428">
      <w:pPr>
        <w:pStyle w:val="NoteLevel2underArrowBullet"/>
        <w:rPr>
          <w:rFonts w:ascii="Palatino Linotype" w:hAnsi="Palatino Linotype"/>
          <w:sz w:val="20"/>
          <w:szCs w:val="20"/>
        </w:rPr>
      </w:pPr>
    </w:p>
    <w:p w:rsidR="00286428" w:rsidRDefault="00286428" w:rsidP="00286428">
      <w:pPr>
        <w:pStyle w:val="NoteLevel2underArrowBullet"/>
        <w:rPr>
          <w:rFonts w:ascii="Palatino Linotype" w:hAnsi="Palatino Linotype"/>
          <w:sz w:val="20"/>
          <w:szCs w:val="20"/>
        </w:rPr>
      </w:pPr>
      <w:r w:rsidRPr="009C0CEB">
        <w:rPr>
          <w:rFonts w:ascii="Palatino Linotype" w:hAnsi="Palatino Linotype"/>
          <w:sz w:val="20"/>
          <w:szCs w:val="20"/>
        </w:rPr>
        <w:t xml:space="preserve">Note: MS-DRG codes in the </w:t>
      </w:r>
      <w:r w:rsidRPr="009C0CEB">
        <w:rPr>
          <w:rFonts w:ascii="Palatino Linotype" w:hAnsi="Palatino Linotype"/>
          <w:bCs/>
          <w:sz w:val="20"/>
          <w:szCs w:val="20"/>
        </w:rPr>
        <w:t>ineligible</w:t>
      </w:r>
      <w:r w:rsidRPr="009C0CEB">
        <w:rPr>
          <w:rFonts w:ascii="Palatino Linotype" w:hAnsi="Palatino Linotype"/>
          <w:sz w:val="20"/>
          <w:szCs w:val="20"/>
        </w:rPr>
        <w:t xml:space="preserve"> category include patients with MS-DRG codes for </w:t>
      </w:r>
      <w:r w:rsidRPr="009C0CEB">
        <w:rPr>
          <w:rFonts w:ascii="Palatino Linotype" w:hAnsi="Palatino Linotype"/>
          <w:bCs/>
          <w:sz w:val="20"/>
          <w:szCs w:val="20"/>
        </w:rPr>
        <w:t>newborn, psychiatric, substance abuse, rehabilitation, or deceased, and MS-DRG codes with no assigned type</w:t>
      </w:r>
      <w:r w:rsidRPr="009C0CEB">
        <w:rPr>
          <w:rFonts w:ascii="Palatino Linotype" w:hAnsi="Palatino Linotype"/>
          <w:sz w:val="20"/>
          <w:szCs w:val="20"/>
        </w:rPr>
        <w:t xml:space="preserve">. </w:t>
      </w:r>
    </w:p>
    <w:p w:rsidR="00286428" w:rsidRPr="009C0CEB" w:rsidRDefault="00286428" w:rsidP="00286428">
      <w:pPr>
        <w:pStyle w:val="NoteLevel2underArrowBullet"/>
        <w:rPr>
          <w:rFonts w:ascii="Palatino Linotype" w:hAnsi="Palatino Linotype"/>
          <w:sz w:val="20"/>
          <w:szCs w:val="20"/>
        </w:rPr>
      </w:pPr>
    </w:p>
    <w:p w:rsidR="00286428" w:rsidRDefault="00286428" w:rsidP="00286428">
      <w:pPr>
        <w:pStyle w:val="BulletArrowStyle"/>
        <w:rPr>
          <w:rFonts w:ascii="Palatino Linotype" w:hAnsi="Palatino Linotype"/>
          <w:i/>
          <w:sz w:val="20"/>
          <w:szCs w:val="20"/>
        </w:rPr>
      </w:pPr>
      <w:r w:rsidRPr="009C0CEB">
        <w:rPr>
          <w:rFonts w:ascii="Palatino Linotype" w:hAnsi="Palatino Linotype"/>
          <w:i/>
          <w:sz w:val="20"/>
          <w:szCs w:val="20"/>
        </w:rPr>
        <w:t>Alive at the time of discharge</w:t>
      </w:r>
    </w:p>
    <w:p w:rsidR="00043793" w:rsidRPr="009C0CEB" w:rsidRDefault="00043793" w:rsidP="00043793">
      <w:pPr>
        <w:pStyle w:val="BulletArrowStyle"/>
        <w:numPr>
          <w:ilvl w:val="1"/>
          <w:numId w:val="46"/>
        </w:numPr>
        <w:rPr>
          <w:rFonts w:ascii="Palatino Linotype" w:hAnsi="Palatino Linotype"/>
          <w:i/>
          <w:sz w:val="20"/>
          <w:szCs w:val="20"/>
        </w:rPr>
      </w:pPr>
      <w:r>
        <w:rPr>
          <w:rFonts w:ascii="Palatino Linotype" w:hAnsi="Palatino Linotype"/>
          <w:i/>
          <w:sz w:val="20"/>
          <w:szCs w:val="20"/>
        </w:rPr>
        <w:t xml:space="preserve">A prerequisite for reaching patients.  Note that only the patient, not a proxy, is permitted to answer the HCAHPS Survey.  </w:t>
      </w:r>
    </w:p>
    <w:p w:rsidR="00E814D1" w:rsidRDefault="00E814D1" w:rsidP="009C0CEB">
      <w:pPr>
        <w:pStyle w:val="NoteLevel1"/>
        <w:rPr>
          <w:rFonts w:ascii="Palatino Linotype" w:hAnsi="Palatino Linotype"/>
          <w:sz w:val="20"/>
          <w:szCs w:val="20"/>
        </w:rPr>
      </w:pPr>
    </w:p>
    <w:p w:rsidR="00286428" w:rsidRDefault="00286428" w:rsidP="009C0CEB">
      <w:pPr>
        <w:pStyle w:val="NoteLevel1"/>
        <w:rPr>
          <w:rFonts w:ascii="Palatino Linotype" w:hAnsi="Palatino Linotype"/>
          <w:sz w:val="20"/>
          <w:szCs w:val="20"/>
        </w:rPr>
      </w:pPr>
      <w:r w:rsidRPr="009C0CEB">
        <w:rPr>
          <w:rFonts w:ascii="Palatino Linotype" w:hAnsi="Palatino Linotype"/>
          <w:sz w:val="20"/>
          <w:szCs w:val="20"/>
        </w:rPr>
        <w:t>Note: Pediatric patients (under 18 years old at admission)  are ineligible because the current HCAHPS instrument is not designed to address the unique situation of pediatric patients and their families</w:t>
      </w:r>
      <w:r w:rsidR="00391F8B">
        <w:rPr>
          <w:rFonts w:ascii="Palatino Linotype" w:hAnsi="Palatino Linotype"/>
          <w:sz w:val="20"/>
          <w:szCs w:val="20"/>
        </w:rPr>
        <w:t>.</w:t>
      </w:r>
      <w:r w:rsidRPr="009C0CEB">
        <w:rPr>
          <w:rFonts w:ascii="Palatino Linotype" w:hAnsi="Palatino Linotype"/>
          <w:sz w:val="20"/>
          <w:szCs w:val="20"/>
        </w:rPr>
        <w:t xml:space="preserve"> </w:t>
      </w:r>
    </w:p>
    <w:p w:rsidR="00391F8B" w:rsidRDefault="00391F8B" w:rsidP="009C0CEB">
      <w:pPr>
        <w:pStyle w:val="NoteLevel1"/>
        <w:rPr>
          <w:rFonts w:ascii="Palatino Linotype" w:hAnsi="Palatino Linotype"/>
          <w:sz w:val="20"/>
          <w:szCs w:val="20"/>
        </w:rPr>
      </w:pPr>
    </w:p>
    <w:p w:rsidR="00391F8B" w:rsidRDefault="00391F8B" w:rsidP="00391F8B">
      <w:pPr>
        <w:pStyle w:val="NoteLevel1"/>
        <w:rPr>
          <w:rFonts w:ascii="Palatino Linotype" w:hAnsi="Palatino Linotype"/>
          <w:sz w:val="20"/>
          <w:szCs w:val="20"/>
        </w:rPr>
      </w:pPr>
      <w:r w:rsidRPr="009C0CEB">
        <w:rPr>
          <w:rFonts w:ascii="Palatino Linotype" w:hAnsi="Palatino Linotype"/>
          <w:sz w:val="20"/>
          <w:szCs w:val="20"/>
        </w:rPr>
        <w:t xml:space="preserve">Note: </w:t>
      </w:r>
      <w:r>
        <w:rPr>
          <w:rFonts w:ascii="Palatino Linotype" w:hAnsi="Palatino Linotype"/>
          <w:sz w:val="20"/>
          <w:szCs w:val="20"/>
        </w:rPr>
        <w:t>P</w:t>
      </w:r>
      <w:r w:rsidRPr="009C0CEB">
        <w:rPr>
          <w:rFonts w:ascii="Palatino Linotype" w:hAnsi="Palatino Linotype"/>
          <w:sz w:val="20"/>
          <w:szCs w:val="20"/>
        </w:rPr>
        <w:t xml:space="preserve">atients with a primary psychiatric or substance abuse diagnosis are ineligible because the current HCAHPS instrument is not designed to address the behavioral health issues pertinent to psychiatric patients. </w:t>
      </w:r>
    </w:p>
    <w:p w:rsidR="00391F8B" w:rsidRDefault="00391F8B" w:rsidP="009C0CEB">
      <w:pPr>
        <w:pStyle w:val="NoteLevel1"/>
      </w:pPr>
    </w:p>
    <w:p w:rsidR="00286428" w:rsidRPr="009C0CEB" w:rsidRDefault="00286428" w:rsidP="00286428">
      <w:pPr>
        <w:rPr>
          <w:rFonts w:ascii="Palatino Linotype" w:hAnsi="Palatino Linotype"/>
          <w:i/>
          <w:sz w:val="20"/>
          <w:szCs w:val="20"/>
        </w:rPr>
      </w:pPr>
      <w:r w:rsidRPr="009C0CEB">
        <w:rPr>
          <w:rFonts w:ascii="Palatino Linotype" w:hAnsi="Palatino Linotype"/>
          <w:i/>
          <w:iCs/>
          <w:sz w:val="20"/>
          <w:szCs w:val="20"/>
        </w:rPr>
        <w:t xml:space="preserve">Note: Patients identified with discharge status code (UB-04 field location 17) “30 – Still a Patient or Expected to Return for Outpatient Services” are </w:t>
      </w:r>
      <w:r w:rsidRPr="009C0CEB">
        <w:rPr>
          <w:rFonts w:ascii="Palatino Linotype" w:hAnsi="Palatino Linotype"/>
          <w:b/>
          <w:bCs/>
          <w:i/>
          <w:iCs/>
          <w:sz w:val="20"/>
          <w:szCs w:val="20"/>
        </w:rPr>
        <w:t>not</w:t>
      </w:r>
      <w:r w:rsidRPr="009C0CEB">
        <w:rPr>
          <w:rFonts w:ascii="Palatino Linotype" w:hAnsi="Palatino Linotype"/>
          <w:i/>
          <w:iCs/>
          <w:sz w:val="20"/>
          <w:szCs w:val="20"/>
        </w:rPr>
        <w:t xml:space="preserve"> eligible for the HCAHPS Survey. </w:t>
      </w:r>
    </w:p>
    <w:p w:rsidR="00286428" w:rsidRPr="009C0CEB" w:rsidRDefault="00286428" w:rsidP="00286428">
      <w:pPr>
        <w:rPr>
          <w:rStyle w:val="Heading3IntroductionandOverview"/>
          <w:rFonts w:ascii="Palatino Linotype" w:hAnsi="Palatino Linotype"/>
          <w:i/>
          <w:sz w:val="20"/>
          <w:szCs w:val="20"/>
        </w:rPr>
      </w:pPr>
      <w:r w:rsidRPr="009C0CEB">
        <w:rPr>
          <w:rStyle w:val="Heading3IntroductionandOverview"/>
          <w:rFonts w:ascii="Palatino Linotype" w:hAnsi="Palatino Linotype"/>
          <w:i/>
          <w:sz w:val="20"/>
          <w:szCs w:val="20"/>
        </w:rPr>
        <w:t>Exclusions from the HCAHPS Survey</w:t>
      </w:r>
    </w:p>
    <w:p w:rsidR="00286428" w:rsidRPr="009C0CEB" w:rsidRDefault="00286428" w:rsidP="00286428">
      <w:pPr>
        <w:pStyle w:val="HCAHPSBodyTextParagraph"/>
        <w:rPr>
          <w:rFonts w:ascii="Palatino Linotype" w:hAnsi="Palatino Linotype"/>
          <w:i/>
          <w:sz w:val="20"/>
          <w:szCs w:val="20"/>
        </w:rPr>
      </w:pPr>
      <w:r w:rsidRPr="009C0CEB">
        <w:rPr>
          <w:rFonts w:ascii="Palatino Linotype" w:hAnsi="Palatino Linotype"/>
          <w:i/>
          <w:sz w:val="20"/>
          <w:szCs w:val="20"/>
        </w:rPr>
        <w:t>There is a two-stage process for determining whether a discharged patient can be included in the HCAHPS Sample Frame. The first stage is to determine whether the discharged patient meets the HCAHPS eligibility criteria, listed above. If the patient meets the eligibility criteria, then a second set of criteria is applied: Exclusions from the HCAHPS Survey.</w:t>
      </w:r>
    </w:p>
    <w:p w:rsidR="00286428" w:rsidRPr="009C0CEB" w:rsidRDefault="00286428" w:rsidP="00286428">
      <w:pPr>
        <w:pStyle w:val="HCAHPSBodyTextPre-Bullets"/>
        <w:rPr>
          <w:rFonts w:ascii="Palatino Linotype" w:hAnsi="Palatino Linotype"/>
          <w:i/>
          <w:sz w:val="20"/>
          <w:szCs w:val="20"/>
        </w:rPr>
      </w:pPr>
      <w:r w:rsidRPr="009C0CEB">
        <w:rPr>
          <w:rFonts w:ascii="Palatino Linotype" w:hAnsi="Palatino Linotype"/>
          <w:i/>
          <w:sz w:val="20"/>
          <w:szCs w:val="20"/>
        </w:rPr>
        <w:t xml:space="preserve">Patients who meet the eligible population criteria outlined above are to be included in the HCAHPS Sample Frame. However, there are a few categories of otherwise eligible patients who are excluded from the sample frame. These are:   </w:t>
      </w:r>
    </w:p>
    <w:p w:rsidR="00286428" w:rsidRPr="009C0CEB" w:rsidRDefault="00286428" w:rsidP="00286428">
      <w:pPr>
        <w:pStyle w:val="BulletArrowStyle"/>
        <w:ind w:left="634"/>
        <w:rPr>
          <w:rFonts w:ascii="Palatino Linotype" w:hAnsi="Palatino Linotype"/>
          <w:i/>
          <w:sz w:val="20"/>
          <w:szCs w:val="20"/>
        </w:rPr>
      </w:pPr>
      <w:r w:rsidRPr="009C0CEB">
        <w:rPr>
          <w:rFonts w:ascii="Palatino Linotype" w:hAnsi="Palatino Linotype"/>
          <w:i/>
          <w:sz w:val="20"/>
          <w:szCs w:val="20"/>
        </w:rPr>
        <w:t>“No-Publicity” patients – Patients who request that they not be contacted (see below)</w:t>
      </w:r>
    </w:p>
    <w:p w:rsidR="00286428" w:rsidRPr="009C0CEB" w:rsidRDefault="00286428" w:rsidP="00286428">
      <w:pPr>
        <w:pStyle w:val="BulletArrowStyle"/>
        <w:ind w:left="634"/>
        <w:rPr>
          <w:rFonts w:ascii="Palatino Linotype" w:hAnsi="Palatino Linotype"/>
          <w:i/>
          <w:sz w:val="20"/>
          <w:szCs w:val="20"/>
        </w:rPr>
      </w:pPr>
      <w:r w:rsidRPr="009C0CEB">
        <w:rPr>
          <w:rFonts w:ascii="Palatino Linotype" w:hAnsi="Palatino Linotype"/>
          <w:i/>
          <w:sz w:val="20"/>
          <w:szCs w:val="20"/>
        </w:rPr>
        <w:t>Court/Law enforcement patients (i.e., prisoners); this does not include patients residing in halfway houses</w:t>
      </w:r>
    </w:p>
    <w:p w:rsidR="00286428" w:rsidRPr="009C0CEB" w:rsidRDefault="00286428" w:rsidP="00286428">
      <w:pPr>
        <w:pStyle w:val="BulletArrowStyle"/>
        <w:ind w:left="634"/>
        <w:rPr>
          <w:rFonts w:ascii="Palatino Linotype" w:hAnsi="Palatino Linotype"/>
          <w:i/>
          <w:sz w:val="20"/>
          <w:szCs w:val="20"/>
        </w:rPr>
      </w:pPr>
      <w:r w:rsidRPr="009C0CEB">
        <w:rPr>
          <w:rFonts w:ascii="Palatino Linotype" w:hAnsi="Palatino Linotype"/>
          <w:i/>
          <w:sz w:val="20"/>
          <w:szCs w:val="20"/>
        </w:rPr>
        <w:t>Patients with a foreign home address (the U.S. territories – Virgin Islands, Puerto Rico, Guam, American Samoa, and Northern Mariana Islands are not considered foreign addresses and therefore, are not excluded)</w:t>
      </w:r>
    </w:p>
    <w:p w:rsidR="00286428" w:rsidRPr="009C0CEB" w:rsidRDefault="00286428" w:rsidP="00286428">
      <w:pPr>
        <w:pStyle w:val="BulletArrowStyle"/>
        <w:ind w:left="634"/>
        <w:rPr>
          <w:rFonts w:ascii="Palatino Linotype" w:hAnsi="Palatino Linotype"/>
          <w:i/>
          <w:sz w:val="20"/>
          <w:szCs w:val="20"/>
        </w:rPr>
      </w:pPr>
      <w:r w:rsidRPr="009C0CEB">
        <w:rPr>
          <w:rFonts w:ascii="Palatino Linotype" w:hAnsi="Palatino Linotype"/>
          <w:i/>
          <w:sz w:val="20"/>
          <w:szCs w:val="20"/>
        </w:rPr>
        <w:t>Patients discharged to hospice care (hospice-home or hospice-medical facility)</w:t>
      </w:r>
    </w:p>
    <w:p w:rsidR="00286428" w:rsidRPr="009C0CEB" w:rsidRDefault="00286428" w:rsidP="00286428">
      <w:pPr>
        <w:pStyle w:val="BulletArrowStyle"/>
        <w:ind w:left="634"/>
        <w:rPr>
          <w:rFonts w:ascii="Palatino Linotype" w:hAnsi="Palatino Linotype"/>
          <w:i/>
          <w:sz w:val="20"/>
          <w:szCs w:val="20"/>
        </w:rPr>
      </w:pPr>
      <w:r w:rsidRPr="009C0CEB">
        <w:rPr>
          <w:rFonts w:ascii="Palatino Linotype" w:hAnsi="Palatino Linotype"/>
          <w:i/>
          <w:sz w:val="20"/>
          <w:szCs w:val="20"/>
        </w:rPr>
        <w:t xml:space="preserve">Patients who are excluded because of state regulations </w:t>
      </w:r>
    </w:p>
    <w:p w:rsidR="00286428" w:rsidRPr="009C0CEB" w:rsidRDefault="00286428" w:rsidP="00286428">
      <w:pPr>
        <w:pStyle w:val="BulletArrowStyle"/>
        <w:ind w:left="634"/>
        <w:rPr>
          <w:rFonts w:ascii="Palatino Linotype" w:hAnsi="Palatino Linotype"/>
          <w:i/>
          <w:sz w:val="20"/>
          <w:szCs w:val="20"/>
        </w:rPr>
      </w:pPr>
      <w:r w:rsidRPr="009C0CEB">
        <w:rPr>
          <w:rFonts w:ascii="Palatino Linotype" w:hAnsi="Palatino Linotype"/>
          <w:i/>
          <w:sz w:val="20"/>
          <w:szCs w:val="20"/>
        </w:rPr>
        <w:t xml:space="preserve">Patients discharged to nursing homes and skilled nursing facilities </w:t>
      </w:r>
    </w:p>
    <w:p w:rsidR="00286428" w:rsidRPr="009C0CEB" w:rsidRDefault="00286428" w:rsidP="00286428">
      <w:pPr>
        <w:pStyle w:val="HCAHPSBodyTextParagraph"/>
        <w:spacing w:after="120"/>
        <w:rPr>
          <w:rFonts w:ascii="Palatino Linotype" w:hAnsi="Palatino Linotype"/>
          <w:b/>
          <w:bCs/>
          <w:i/>
          <w:iCs/>
          <w:sz w:val="20"/>
          <w:szCs w:val="20"/>
        </w:rPr>
      </w:pPr>
    </w:p>
    <w:p w:rsidR="00833325" w:rsidRPr="009C0CEB" w:rsidRDefault="00B50BC9" w:rsidP="00DB3627">
      <w:pPr>
        <w:autoSpaceDE w:val="0"/>
        <w:autoSpaceDN w:val="0"/>
        <w:adjustRightInd w:val="0"/>
        <w:spacing w:after="0" w:line="240" w:lineRule="auto"/>
        <w:rPr>
          <w:rFonts w:ascii="Palatino Linotype" w:hAnsi="Palatino Linotype" w:cstheme="minorHAnsi"/>
          <w:bCs/>
          <w:i/>
          <w:sz w:val="20"/>
          <w:szCs w:val="20"/>
        </w:rPr>
      </w:pPr>
      <w:r w:rsidRPr="009C0CEB">
        <w:rPr>
          <w:rFonts w:ascii="Palatino Linotype" w:hAnsi="Palatino Linotype" w:cstheme="minorHAnsi"/>
          <w:bCs/>
          <w:i/>
          <w:sz w:val="20"/>
          <w:szCs w:val="20"/>
        </w:rPr>
        <w:t xml:space="preserve">The HCAHPS Survey was designed for the </w:t>
      </w:r>
      <w:r w:rsidR="000C428F" w:rsidRPr="009C0CEB">
        <w:rPr>
          <w:rFonts w:ascii="Palatino Linotype" w:hAnsi="Palatino Linotype" w:cstheme="minorHAnsi"/>
          <w:bCs/>
          <w:i/>
          <w:sz w:val="20"/>
          <w:szCs w:val="20"/>
        </w:rPr>
        <w:t xml:space="preserve">eligible patients, as described above.  Most exclusions are due to inability to contact </w:t>
      </w:r>
      <w:r w:rsidR="00B8451C">
        <w:rPr>
          <w:rFonts w:ascii="Palatino Linotype" w:hAnsi="Palatino Linotype" w:cstheme="minorHAnsi"/>
          <w:bCs/>
          <w:i/>
          <w:sz w:val="20"/>
          <w:szCs w:val="20"/>
        </w:rPr>
        <w:t xml:space="preserve">certain categories of </w:t>
      </w:r>
      <w:r w:rsidR="000C428F" w:rsidRPr="009C0CEB">
        <w:rPr>
          <w:rFonts w:ascii="Palatino Linotype" w:hAnsi="Palatino Linotype" w:cstheme="minorHAnsi"/>
          <w:bCs/>
          <w:i/>
          <w:sz w:val="20"/>
          <w:szCs w:val="20"/>
        </w:rPr>
        <w:t xml:space="preserve">patients and </w:t>
      </w:r>
      <w:r w:rsidR="000C428F">
        <w:rPr>
          <w:rFonts w:ascii="Palatino Linotype" w:hAnsi="Palatino Linotype" w:cstheme="minorHAnsi"/>
          <w:bCs/>
          <w:i/>
          <w:sz w:val="20"/>
          <w:szCs w:val="20"/>
        </w:rPr>
        <w:t>allow</w:t>
      </w:r>
      <w:r w:rsidR="000C428F" w:rsidRPr="009C0CEB">
        <w:rPr>
          <w:rFonts w:ascii="Palatino Linotype" w:hAnsi="Palatino Linotype" w:cstheme="minorHAnsi"/>
          <w:bCs/>
          <w:i/>
          <w:sz w:val="20"/>
          <w:szCs w:val="20"/>
        </w:rPr>
        <w:t xml:space="preserve"> them to complete the survey</w:t>
      </w:r>
      <w:r w:rsidR="00B8451C">
        <w:rPr>
          <w:rFonts w:ascii="Palatino Linotype" w:hAnsi="Palatino Linotype" w:cstheme="minorHAnsi"/>
          <w:bCs/>
          <w:i/>
          <w:sz w:val="20"/>
          <w:szCs w:val="20"/>
        </w:rPr>
        <w:t xml:space="preserve"> with</w:t>
      </w:r>
      <w:r w:rsidR="000C428F" w:rsidRPr="009C0CEB">
        <w:rPr>
          <w:rFonts w:ascii="Palatino Linotype" w:hAnsi="Palatino Linotype" w:cstheme="minorHAnsi"/>
          <w:bCs/>
          <w:i/>
          <w:sz w:val="20"/>
          <w:szCs w:val="20"/>
        </w:rPr>
        <w:t xml:space="preserve">in the specified time frame, or in deference to legal restrictions.    </w:t>
      </w:r>
      <w:r w:rsidR="00833325" w:rsidRPr="009C0CEB">
        <w:rPr>
          <w:rFonts w:ascii="Palatino Linotype" w:hAnsi="Palatino Linotype" w:cstheme="minorHAnsi"/>
          <w:bCs/>
          <w:i/>
          <w:sz w:val="20"/>
          <w:szCs w:val="20"/>
        </w:rPr>
        <w:br/>
        <w:t xml:space="preserve"> </w:t>
      </w:r>
    </w:p>
    <w:p w:rsidR="00833325" w:rsidRPr="00A25024" w:rsidRDefault="00833325" w:rsidP="00DB3627">
      <w:pPr>
        <w:autoSpaceDE w:val="0"/>
        <w:autoSpaceDN w:val="0"/>
        <w:adjustRightInd w:val="0"/>
        <w:spacing w:after="0" w:line="240" w:lineRule="auto"/>
        <w:rPr>
          <w:rFonts w:cstheme="minorHAnsi"/>
          <w:bCs/>
        </w:rPr>
      </w:pPr>
    </w:p>
    <w:p w:rsidR="00B8451C"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rsidR="00B8451C" w:rsidRPr="009C0CEB" w:rsidRDefault="00B8451C" w:rsidP="00092566">
      <w:pPr>
        <w:autoSpaceDE w:val="0"/>
        <w:autoSpaceDN w:val="0"/>
        <w:adjustRightInd w:val="0"/>
        <w:spacing w:after="0" w:line="240" w:lineRule="auto"/>
        <w:rPr>
          <w:rFonts w:ascii="Palatino Linotype" w:hAnsi="Palatino Linotype" w:cstheme="minorHAnsi"/>
          <w:bCs/>
          <w:i/>
          <w:sz w:val="20"/>
          <w:szCs w:val="20"/>
        </w:rPr>
      </w:pPr>
    </w:p>
    <w:p w:rsidR="00B8451C" w:rsidRPr="009C0CEB" w:rsidRDefault="00B8451C" w:rsidP="00092566">
      <w:pPr>
        <w:autoSpaceDE w:val="0"/>
        <w:autoSpaceDN w:val="0"/>
        <w:adjustRightInd w:val="0"/>
        <w:spacing w:after="0" w:line="240" w:lineRule="auto"/>
        <w:rPr>
          <w:rFonts w:ascii="Palatino Linotype" w:hAnsi="Palatino Linotype" w:cstheme="minorHAnsi"/>
          <w:bCs/>
          <w:i/>
          <w:sz w:val="20"/>
          <w:szCs w:val="20"/>
        </w:rPr>
      </w:pPr>
      <w:r w:rsidRPr="009C0CEB">
        <w:rPr>
          <w:rFonts w:ascii="Palatino Linotype" w:hAnsi="Palatino Linotype" w:cstheme="minorHAnsi"/>
          <w:bCs/>
          <w:i/>
          <w:sz w:val="20"/>
          <w:szCs w:val="20"/>
        </w:rPr>
        <w:t xml:space="preserve">HCAHPS exclusions and eligibility </w:t>
      </w:r>
      <w:r w:rsidR="007E320D" w:rsidRPr="009C0CEB">
        <w:rPr>
          <w:rFonts w:ascii="Palatino Linotype" w:hAnsi="Palatino Linotype" w:cstheme="minorHAnsi"/>
          <w:bCs/>
          <w:i/>
          <w:sz w:val="20"/>
          <w:szCs w:val="20"/>
        </w:rPr>
        <w:t xml:space="preserve">criteria </w:t>
      </w:r>
      <w:r w:rsidRPr="009C0CEB">
        <w:rPr>
          <w:rFonts w:ascii="Palatino Linotype" w:hAnsi="Palatino Linotype" w:cstheme="minorHAnsi"/>
          <w:bCs/>
          <w:i/>
          <w:sz w:val="20"/>
          <w:szCs w:val="20"/>
        </w:rPr>
        <w:t xml:space="preserve">are </w:t>
      </w:r>
      <w:r w:rsidR="007E320D" w:rsidRPr="009C0CEB">
        <w:rPr>
          <w:rFonts w:ascii="Palatino Linotype" w:hAnsi="Palatino Linotype" w:cstheme="minorHAnsi"/>
          <w:bCs/>
          <w:i/>
          <w:sz w:val="20"/>
          <w:szCs w:val="20"/>
        </w:rPr>
        <w:t xml:space="preserve">primarily </w:t>
      </w:r>
      <w:r w:rsidRPr="009C0CEB">
        <w:rPr>
          <w:rFonts w:ascii="Palatino Linotype" w:hAnsi="Palatino Linotype" w:cstheme="minorHAnsi"/>
          <w:bCs/>
          <w:i/>
          <w:sz w:val="20"/>
          <w:szCs w:val="20"/>
        </w:rPr>
        <w:t>based on a priori policy goals</w:t>
      </w:r>
      <w:r w:rsidR="007E320D" w:rsidRPr="009C0CEB">
        <w:rPr>
          <w:rFonts w:ascii="Palatino Linotype" w:hAnsi="Palatino Linotype" w:cstheme="minorHAnsi"/>
          <w:bCs/>
          <w:i/>
          <w:sz w:val="20"/>
          <w:szCs w:val="20"/>
        </w:rPr>
        <w:t xml:space="preserve">; they are not based on empirical testing and comparison of categories of patients. </w:t>
      </w:r>
    </w:p>
    <w:p w:rsidR="007422FD" w:rsidRDefault="00833325" w:rsidP="00092566">
      <w:pPr>
        <w:autoSpaceDE w:val="0"/>
        <w:autoSpaceDN w:val="0"/>
        <w:adjustRightInd w:val="0"/>
        <w:spacing w:after="0" w:line="240" w:lineRule="auto"/>
        <w:rPr>
          <w:rFonts w:cstheme="minorHAnsi"/>
          <w:bCs/>
        </w:rPr>
      </w:pPr>
      <w:r w:rsidRPr="00A25024">
        <w:rPr>
          <w:rFonts w:cstheme="minorHAnsi"/>
          <w:bCs/>
        </w:rPr>
        <w:br/>
      </w:r>
    </w:p>
    <w:p w:rsidR="003F44C1" w:rsidRDefault="006C340B" w:rsidP="00DB3627">
      <w:pPr>
        <w:autoSpaceDE w:val="0"/>
        <w:autoSpaceDN w:val="0"/>
        <w:adjustRightInd w:val="0"/>
        <w:spacing w:after="0" w:line="240" w:lineRule="auto"/>
        <w:rPr>
          <w:rFonts w:cstheme="minorHAnsi"/>
          <w:bCs/>
        </w:rPr>
      </w:pPr>
      <w:r>
        <w:rPr>
          <w:rFonts w:cstheme="minorHAnsi"/>
          <w:bCs/>
          <w:sz w:val="12"/>
        </w:rPr>
        <w:t>\</w:t>
      </w:r>
      <w:r w:rsidR="00092566">
        <w:rPr>
          <w:rFonts w:cstheme="minorHAnsi"/>
          <w:b/>
          <w:bCs/>
        </w:rPr>
        <w:t>2b</w:t>
      </w:r>
      <w:r w:rsidR="009C7513">
        <w:rPr>
          <w:rFonts w:cstheme="minorHAnsi"/>
          <w:b/>
          <w:bCs/>
        </w:rPr>
        <w:t>2</w:t>
      </w:r>
      <w:r w:rsidR="00092566">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rsidR="003F44C1" w:rsidRDefault="007422FD" w:rsidP="00AC1D8E">
      <w:pPr>
        <w:autoSpaceDE w:val="0"/>
        <w:autoSpaceDN w:val="0"/>
        <w:adjustRightInd w:val="0"/>
        <w:spacing w:after="0" w:line="240" w:lineRule="auto"/>
        <w:rPr>
          <w:rFonts w:cstheme="minorHAnsi"/>
          <w:bCs/>
        </w:rPr>
      </w:pPr>
      <w:r w:rsidRPr="00A25024">
        <w:rPr>
          <w:rFonts w:cstheme="minorHAnsi"/>
          <w:bCs/>
        </w:rPr>
        <w:br/>
      </w:r>
      <w:r w:rsidR="0086464B">
        <w:rPr>
          <w:rFonts w:cstheme="minorHAnsi"/>
          <w:bCs/>
        </w:rPr>
        <w:t>____________________________</w:t>
      </w:r>
      <w:bookmarkStart w:id="12" w:name="section2b4"/>
      <w:bookmarkEnd w:id="12"/>
    </w:p>
    <w:p w:rsidR="00AC1D8E" w:rsidRPr="003F44C1" w:rsidRDefault="00092566" w:rsidP="00AC1D8E">
      <w:pPr>
        <w:autoSpaceDE w:val="0"/>
        <w:autoSpaceDN w:val="0"/>
        <w:adjustRightInd w:val="0"/>
        <w:spacing w:after="0" w:line="240" w:lineRule="auto"/>
        <w:rPr>
          <w:rFonts w:cstheme="minorHAnsi"/>
          <w:bCs/>
        </w:rPr>
      </w:pPr>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rsidR="00033038" w:rsidRPr="005232D6" w:rsidRDefault="00244A95"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244A95"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244A95"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244A95"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1"/>
            <w14:checkedState w14:val="2612" w14:font="MS Gothic"/>
            <w14:uncheckedState w14:val="2610" w14:font="MS Gothic"/>
          </w14:checkbox>
        </w:sdtPr>
        <w:sdtEndPr/>
        <w:sdtContent>
          <w:r w:rsidR="00C01022">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Fonts w:ascii="Palatino Linotype" w:eastAsia="Times New Roman" w:hAnsi="Palatino Linotype" w:cs="Times New Roman"/>
            <w:i/>
            <w:color w:val="0000FF"/>
          </w:rPr>
          <w:id w:val="-1471512333"/>
          <w:text/>
        </w:sdtPr>
        <w:sdtEndPr/>
        <w:sdtContent>
          <w:r w:rsidR="00FE3CA6" w:rsidRPr="00B43D3F">
            <w:rPr>
              <w:rFonts w:ascii="Palatino Linotype" w:eastAsia="Times New Roman" w:hAnsi="Palatino Linotype" w:cs="Times New Roman"/>
              <w:i/>
              <w:color w:val="0000FF"/>
            </w:rPr>
            <w:t xml:space="preserve">  </w:t>
          </w:r>
          <w:r w:rsidR="00C01022" w:rsidRPr="00B43D3F">
            <w:rPr>
              <w:rFonts w:ascii="Palatino Linotype" w:eastAsia="Times New Roman" w:hAnsi="Palatino Linotype" w:cs="Times New Roman"/>
              <w:i/>
              <w:color w:val="0000FF"/>
            </w:rPr>
            <w:t>Patient-mix adjustment via linear regression and survey mode adjustment based on randomized mode experiment</w:t>
          </w:r>
          <w:r w:rsidR="003C5793">
            <w:rPr>
              <w:rFonts w:ascii="Palatino Linotype" w:eastAsia="Times New Roman" w:hAnsi="Palatino Linotype" w:cs="Times New Roman"/>
              <w:i/>
              <w:color w:val="0000FF"/>
            </w:rPr>
            <w:t>s</w:t>
          </w:r>
          <w:r w:rsidR="00C01022" w:rsidRPr="00B43D3F">
            <w:rPr>
              <w:rFonts w:ascii="Palatino Linotype" w:eastAsia="Times New Roman" w:hAnsi="Palatino Linotype" w:cs="Times New Roman"/>
              <w:i/>
              <w:color w:val="0000FF"/>
            </w:rPr>
            <w:t>.</w:t>
          </w:r>
        </w:sdtContent>
      </w:sdt>
    </w:p>
    <w:p w:rsidR="00743E46" w:rsidRDefault="00743E46" w:rsidP="00092566">
      <w:pPr>
        <w:autoSpaceDE w:val="0"/>
        <w:autoSpaceDN w:val="0"/>
        <w:adjustRightInd w:val="0"/>
        <w:spacing w:after="0" w:line="240" w:lineRule="auto"/>
        <w:rPr>
          <w:rFonts w:cstheme="minorHAnsi"/>
          <w:b/>
          <w:bCs/>
        </w:rPr>
      </w:pPr>
    </w:p>
    <w:p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rsidR="00E30806" w:rsidRPr="00B43D3F" w:rsidRDefault="00E30806" w:rsidP="00E30806">
      <w:pPr>
        <w:autoSpaceDE w:val="0"/>
        <w:autoSpaceDN w:val="0"/>
        <w:adjustRightInd w:val="0"/>
        <w:spacing w:after="0" w:line="240" w:lineRule="auto"/>
        <w:rPr>
          <w:rFonts w:ascii="Times New Roman" w:hAnsi="Times New Roman" w:cs="Times New Roman"/>
        </w:rPr>
      </w:pP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 xml:space="preserve">As noted in the HCAHPS </w:t>
      </w:r>
      <w:r w:rsidRPr="008C4D75">
        <w:rPr>
          <w:rFonts w:ascii="Palatino Linotype" w:hAnsi="Palatino Linotype" w:cs="Times New Roman"/>
          <w:i/>
          <w:iCs/>
          <w:sz w:val="20"/>
          <w:szCs w:val="20"/>
        </w:rPr>
        <w:t>Quality Assurance Guidelines, V12.0</w:t>
      </w:r>
      <w:r w:rsidRPr="008C4D75">
        <w:rPr>
          <w:rFonts w:ascii="Palatino Linotype" w:hAnsi="Palatino Linotype" w:cs="Times New Roman"/>
          <w:i/>
          <w:sz w:val="20"/>
          <w:szCs w:val="20"/>
        </w:rPr>
        <w:t>, prior to public reporting, hospitals’ HCAHPS results are adjusted for the effects of both mode of survey administration and patient-mix. Generally speaking, HCAHPS adjustments for survey mode are larger than adjustments for patient-mix. The survey mode adjustments that are used in publicly reported HCAHPS results are reported in the paper entitled, “Mode and Patient-mix Adjustment of the CAHPS® Hospital Survey</w:t>
      </w:r>
      <w:r w:rsidR="00FE3CA6" w:rsidRPr="008C4D75">
        <w:rPr>
          <w:rFonts w:ascii="Palatino Linotype" w:hAnsi="Palatino Linotype" w:cs="Times New Roman"/>
          <w:i/>
          <w:sz w:val="20"/>
          <w:szCs w:val="20"/>
        </w:rPr>
        <w:t xml:space="preserve"> </w:t>
      </w:r>
      <w:r w:rsidRPr="008C4D75">
        <w:rPr>
          <w:rFonts w:ascii="Palatino Linotype" w:hAnsi="Palatino Linotype" w:cs="Times New Roman"/>
          <w:i/>
          <w:sz w:val="20"/>
          <w:szCs w:val="20"/>
        </w:rPr>
        <w:t xml:space="preserve">(HCAHPS) April 30, 2008,” which can be found on the official HCAHPS On-Line Web site at </w:t>
      </w:r>
      <w:hyperlink r:id="rId15" w:history="1">
        <w:r w:rsidRPr="008C4D75">
          <w:rPr>
            <w:rStyle w:val="Hyperlink"/>
            <w:rFonts w:ascii="Palatino Linotype" w:hAnsi="Palatino Linotype" w:cs="Times New Roman"/>
            <w:i/>
            <w:sz w:val="20"/>
            <w:szCs w:val="20"/>
          </w:rPr>
          <w:t>http://www.hcahpsonline.org/globalassets/hcahps/mode-patient-mix-adjustment/final-draft-description-of-hcahps-mode-and-pma-with-bottom-box-modedoc-april-30-2008.pdf</w:t>
        </w:r>
      </w:hyperlink>
      <w:r w:rsidRPr="008C4D75">
        <w:rPr>
          <w:rFonts w:ascii="Palatino Linotype" w:hAnsi="Palatino Linotype" w:cs="Times New Roman"/>
          <w:i/>
          <w:sz w:val="20"/>
          <w:szCs w:val="20"/>
        </w:rPr>
        <w:t xml:space="preserve"> .</w:t>
      </w:r>
    </w:p>
    <w:p w:rsidR="00E30806" w:rsidRPr="008C4D75" w:rsidRDefault="00E30806" w:rsidP="00E30806">
      <w:pPr>
        <w:autoSpaceDE w:val="0"/>
        <w:autoSpaceDN w:val="0"/>
        <w:adjustRightInd w:val="0"/>
        <w:spacing w:after="0" w:line="240" w:lineRule="auto"/>
        <w:rPr>
          <w:rFonts w:ascii="Palatino Linotype" w:hAnsi="Palatino Linotype" w:cs="Times New Roman"/>
          <w:i/>
          <w:color w:val="000000"/>
          <w:sz w:val="20"/>
          <w:szCs w:val="20"/>
        </w:rPr>
      </w:pPr>
    </w:p>
    <w:p w:rsidR="00E30806" w:rsidRPr="008C4D75" w:rsidRDefault="00E30806" w:rsidP="00E30806">
      <w:pPr>
        <w:autoSpaceDE w:val="0"/>
        <w:autoSpaceDN w:val="0"/>
        <w:adjustRightInd w:val="0"/>
        <w:spacing w:after="0" w:line="240" w:lineRule="auto"/>
        <w:rPr>
          <w:rFonts w:ascii="Palatino Linotype" w:hAnsi="Palatino Linotype" w:cs="Times New Roman"/>
          <w:i/>
          <w:color w:val="000000"/>
          <w:sz w:val="20"/>
          <w:szCs w:val="20"/>
        </w:rPr>
      </w:pPr>
      <w:r w:rsidRPr="008C4D75">
        <w:rPr>
          <w:rFonts w:ascii="Palatino Linotype" w:hAnsi="Palatino Linotype" w:cs="Times New Roman"/>
          <w:i/>
          <w:color w:val="000000"/>
          <w:sz w:val="20"/>
          <w:szCs w:val="20"/>
        </w:rPr>
        <w:t>In order to derive the mode adjustment coefficients, it was necessary to conduct a randomized mode experiment. The resulting mode adjustment coefficients will not change as a function of the data used in public reporting. For more information on how the HCAHPS mode experiment was conducted and the survey mode and patient-mix adjustments were derived, please see, "</w:t>
      </w:r>
      <w:r w:rsidRPr="008C4D75">
        <w:rPr>
          <w:rFonts w:ascii="Palatino Linotype" w:hAnsi="Palatino Linotype" w:cs="Times New Roman"/>
          <w:i/>
          <w:iCs/>
          <w:color w:val="000000"/>
          <w:sz w:val="20"/>
          <w:szCs w:val="20"/>
        </w:rPr>
        <w:t>Effects of Survey Mode, Patient Mix, and Nonresponse on CAHPS Hospital Survey Scores.</w:t>
      </w:r>
      <w:r w:rsidRPr="008C4D75">
        <w:rPr>
          <w:rFonts w:ascii="Palatino Linotype" w:hAnsi="Palatino Linotype" w:cs="Times New Roman"/>
          <w:i/>
          <w:color w:val="000000"/>
          <w:sz w:val="20"/>
          <w:szCs w:val="20"/>
        </w:rPr>
        <w:t xml:space="preserve">" Elliott, M.N., A.M. Zaslavsky, E. Goldstein, W. Lehrman, K. Hambarsoomian, M.K. Beckett, and L. Giordano. </w:t>
      </w:r>
      <w:r w:rsidRPr="008C4D75">
        <w:rPr>
          <w:rFonts w:ascii="Palatino Linotype" w:hAnsi="Palatino Linotype" w:cs="Times New Roman"/>
          <w:i/>
          <w:color w:val="000000"/>
          <w:sz w:val="20"/>
          <w:szCs w:val="20"/>
          <w:u w:val="single"/>
        </w:rPr>
        <w:t>Health Services Research</w:t>
      </w:r>
      <w:r w:rsidRPr="008C4D75">
        <w:rPr>
          <w:rFonts w:ascii="Palatino Linotype" w:hAnsi="Palatino Linotype" w:cs="Times New Roman"/>
          <w:i/>
          <w:color w:val="000000"/>
          <w:sz w:val="20"/>
          <w:szCs w:val="20"/>
        </w:rPr>
        <w:t xml:space="preserve">. 2009. 44: 501-518. </w:t>
      </w:r>
    </w:p>
    <w:p w:rsidR="00E30806" w:rsidRPr="008C4D75" w:rsidRDefault="00E30806" w:rsidP="00E30806">
      <w:pPr>
        <w:autoSpaceDE w:val="0"/>
        <w:autoSpaceDN w:val="0"/>
        <w:adjustRightInd w:val="0"/>
        <w:spacing w:after="0" w:line="240" w:lineRule="auto"/>
        <w:rPr>
          <w:rFonts w:ascii="Palatino Linotype" w:hAnsi="Palatino Linotype" w:cs="Times New Roman"/>
          <w:i/>
          <w:color w:val="000000"/>
          <w:sz w:val="20"/>
          <w:szCs w:val="20"/>
        </w:rPr>
      </w:pPr>
    </w:p>
    <w:p w:rsidR="00E30806" w:rsidRPr="008C4D75" w:rsidRDefault="00E30806" w:rsidP="00E30806">
      <w:pPr>
        <w:autoSpaceDE w:val="0"/>
        <w:autoSpaceDN w:val="0"/>
        <w:adjustRightInd w:val="0"/>
        <w:spacing w:after="0" w:line="240" w:lineRule="auto"/>
        <w:rPr>
          <w:rFonts w:ascii="Palatino Linotype" w:hAnsi="Palatino Linotype" w:cs="Times New Roman"/>
          <w:i/>
          <w:color w:val="000000"/>
          <w:sz w:val="20"/>
          <w:szCs w:val="20"/>
        </w:rPr>
      </w:pPr>
      <w:r w:rsidRPr="008C4D75">
        <w:rPr>
          <w:rFonts w:ascii="Palatino Linotype" w:hAnsi="Palatino Linotype" w:cs="Times New Roman"/>
          <w:i/>
          <w:color w:val="000000"/>
          <w:sz w:val="20"/>
          <w:szCs w:val="20"/>
        </w:rPr>
        <w:t xml:space="preserve">The mode experiment data were also used to develop and validate the HCAHPS patient-mix model (which is referred to as “case-mix” elsewhere in the CAHPS literature), as described in the document referenced above. However, in the case of patient-mix adjustment, a randomized experiment is not necessary to accurately estimate the coefficients of the model. </w:t>
      </w:r>
    </w:p>
    <w:p w:rsidR="00FE3CA6" w:rsidRPr="008C4D75" w:rsidRDefault="00FE3CA6" w:rsidP="00E30806">
      <w:pPr>
        <w:autoSpaceDE w:val="0"/>
        <w:autoSpaceDN w:val="0"/>
        <w:adjustRightInd w:val="0"/>
        <w:spacing w:after="0" w:line="240" w:lineRule="auto"/>
        <w:rPr>
          <w:rFonts w:ascii="Palatino Linotype" w:hAnsi="Palatino Linotype" w:cs="Times New Roman"/>
          <w:i/>
          <w:color w:val="000000"/>
          <w:sz w:val="20"/>
          <w:szCs w:val="20"/>
        </w:rPr>
      </w:pPr>
    </w:p>
    <w:p w:rsidR="003C0F74" w:rsidRDefault="00E30806" w:rsidP="00E30806">
      <w:pPr>
        <w:autoSpaceDE w:val="0"/>
        <w:autoSpaceDN w:val="0"/>
        <w:adjustRightInd w:val="0"/>
        <w:spacing w:after="0" w:line="240" w:lineRule="auto"/>
        <w:rPr>
          <w:rFonts w:ascii="Palatino Linotype" w:hAnsi="Palatino Linotype" w:cs="Times New Roman"/>
          <w:i/>
          <w:color w:val="000000"/>
          <w:sz w:val="20"/>
          <w:szCs w:val="20"/>
        </w:rPr>
      </w:pPr>
      <w:r w:rsidRPr="008C4D75">
        <w:rPr>
          <w:rFonts w:ascii="Palatino Linotype" w:hAnsi="Palatino Linotype" w:cs="Times New Roman"/>
          <w:i/>
          <w:color w:val="000000"/>
          <w:sz w:val="20"/>
          <w:szCs w:val="20"/>
        </w:rPr>
        <w:t xml:space="preserve">In order to estimate the exact patient-mix coefficients as accurately as possible, we employ the large sample size of each quarterly national publicly reported data set. This approach allows us to detect changes in the association of patient-mix adjustors and HCAHPS measures over time and then adjust accordingly. This approach is consistent with recommended CAHPS practice for case-mix adjustment </w:t>
      </w:r>
      <w:hyperlink r:id="rId16" w:history="1">
        <w:r w:rsidRPr="008C4D75">
          <w:rPr>
            <w:rStyle w:val="Hyperlink"/>
            <w:rFonts w:ascii="Palatino Linotype" w:hAnsi="Palatino Linotype" w:cs="Times New Roman"/>
            <w:i/>
            <w:sz w:val="20"/>
            <w:szCs w:val="20"/>
          </w:rPr>
          <w:t>http://www.ahrq.gov/cahps/</w:t>
        </w:r>
      </w:hyperlink>
      <w:r w:rsidRPr="008C4D75">
        <w:rPr>
          <w:rFonts w:ascii="Palatino Linotype" w:hAnsi="Palatino Linotype" w:cs="Times New Roman"/>
          <w:i/>
          <w:color w:val="000000"/>
          <w:sz w:val="20"/>
          <w:szCs w:val="20"/>
        </w:rPr>
        <w:t xml:space="preserve">. </w:t>
      </w:r>
    </w:p>
    <w:p w:rsidR="003C0F74" w:rsidRDefault="003C0F74" w:rsidP="00E30806">
      <w:pPr>
        <w:autoSpaceDE w:val="0"/>
        <w:autoSpaceDN w:val="0"/>
        <w:adjustRightInd w:val="0"/>
        <w:spacing w:after="0" w:line="240" w:lineRule="auto"/>
        <w:rPr>
          <w:rFonts w:ascii="Palatino Linotype" w:hAnsi="Palatino Linotype" w:cs="Times New Roman"/>
          <w:i/>
          <w:color w:val="000000"/>
          <w:sz w:val="20"/>
          <w:szCs w:val="20"/>
        </w:rPr>
      </w:pPr>
    </w:p>
    <w:p w:rsidR="00E30806" w:rsidRDefault="003C0F74" w:rsidP="00E30806">
      <w:pPr>
        <w:autoSpaceDE w:val="0"/>
        <w:autoSpaceDN w:val="0"/>
        <w:adjustRightInd w:val="0"/>
        <w:spacing w:after="0" w:line="240" w:lineRule="auto"/>
        <w:rPr>
          <w:rFonts w:ascii="Palatino Linotype" w:hAnsi="Palatino Linotype" w:cs="Times New Roman"/>
          <w:i/>
          <w:color w:val="000000"/>
          <w:sz w:val="20"/>
          <w:szCs w:val="20"/>
        </w:rPr>
      </w:pPr>
      <w:r>
        <w:rPr>
          <w:rFonts w:ascii="Palatino Linotype" w:hAnsi="Palatino Linotype" w:cs="Times New Roman"/>
          <w:i/>
          <w:color w:val="000000"/>
          <w:sz w:val="20"/>
          <w:szCs w:val="20"/>
        </w:rPr>
        <w:t xml:space="preserve">Note: The patient-mix adjustments applicable </w:t>
      </w:r>
      <w:r w:rsidR="004936CC">
        <w:rPr>
          <w:rFonts w:ascii="Palatino Linotype" w:hAnsi="Palatino Linotype" w:cs="Times New Roman"/>
          <w:i/>
          <w:color w:val="000000"/>
          <w:sz w:val="20"/>
          <w:szCs w:val="20"/>
        </w:rPr>
        <w:t xml:space="preserve">to </w:t>
      </w:r>
      <w:r>
        <w:rPr>
          <w:rFonts w:ascii="Palatino Linotype" w:hAnsi="Palatino Linotype" w:cs="Times New Roman"/>
          <w:i/>
          <w:color w:val="000000"/>
          <w:sz w:val="20"/>
          <w:szCs w:val="20"/>
        </w:rPr>
        <w:t>CY 2016 discharges can be found at:</w:t>
      </w:r>
    </w:p>
    <w:p w:rsidR="003C0F74" w:rsidRPr="008C4D75" w:rsidRDefault="00244A95" w:rsidP="00E30806">
      <w:pPr>
        <w:autoSpaceDE w:val="0"/>
        <w:autoSpaceDN w:val="0"/>
        <w:adjustRightInd w:val="0"/>
        <w:spacing w:after="0" w:line="240" w:lineRule="auto"/>
        <w:rPr>
          <w:rFonts w:ascii="Palatino Linotype" w:hAnsi="Palatino Linotype" w:cs="Times New Roman"/>
          <w:i/>
          <w:color w:val="000000"/>
          <w:sz w:val="20"/>
          <w:szCs w:val="20"/>
        </w:rPr>
      </w:pPr>
      <w:hyperlink r:id="rId17" w:history="1">
        <w:r w:rsidR="003C0F74" w:rsidRPr="00F53B31">
          <w:rPr>
            <w:rStyle w:val="Hyperlink"/>
            <w:rFonts w:ascii="Palatino Linotype" w:hAnsi="Palatino Linotype" w:cs="Times New Roman"/>
            <w:i/>
            <w:sz w:val="20"/>
            <w:szCs w:val="20"/>
          </w:rPr>
          <w:t>https://www.hcahpsonline.org/globalassets/hcahps/mode-patient-mix-adjustment/2017-10_mode_patient-mix-adj_pma.pdf</w:t>
        </w:r>
      </w:hyperlink>
      <w:r w:rsidR="003C0F74">
        <w:rPr>
          <w:rFonts w:ascii="Palatino Linotype" w:hAnsi="Palatino Linotype" w:cs="Times New Roman"/>
          <w:i/>
          <w:color w:val="000000"/>
          <w:sz w:val="20"/>
          <w:szCs w:val="20"/>
        </w:rPr>
        <w:t xml:space="preserve"> .</w:t>
      </w:r>
    </w:p>
    <w:p w:rsidR="00E30806" w:rsidRPr="008C4D75" w:rsidRDefault="00E30806" w:rsidP="00E30806">
      <w:pPr>
        <w:autoSpaceDE w:val="0"/>
        <w:autoSpaceDN w:val="0"/>
        <w:adjustRightInd w:val="0"/>
        <w:spacing w:after="0" w:line="240" w:lineRule="auto"/>
        <w:rPr>
          <w:rFonts w:ascii="Palatino Linotype" w:hAnsi="Palatino Linotype" w:cs="Times New Roman"/>
          <w:i/>
          <w:color w:val="000000"/>
          <w:sz w:val="20"/>
          <w:szCs w:val="20"/>
        </w:rPr>
      </w:pPr>
    </w:p>
    <w:p w:rsidR="00E30806" w:rsidRPr="008C4D75" w:rsidRDefault="00475CFC" w:rsidP="00E30806">
      <w:pPr>
        <w:autoSpaceDE w:val="0"/>
        <w:autoSpaceDN w:val="0"/>
        <w:adjustRightInd w:val="0"/>
        <w:spacing w:after="0" w:line="240" w:lineRule="auto"/>
        <w:rPr>
          <w:rFonts w:ascii="Palatino Linotype" w:hAnsi="Palatino Linotype" w:cs="Times New Roman"/>
          <w:i/>
          <w:color w:val="000000"/>
          <w:sz w:val="20"/>
          <w:szCs w:val="20"/>
        </w:rPr>
      </w:pPr>
      <w:r>
        <w:rPr>
          <w:rFonts w:ascii="Palatino Linotype" w:hAnsi="Palatino Linotype" w:cs="Times New Roman"/>
          <w:i/>
          <w:color w:val="000000"/>
          <w:sz w:val="20"/>
          <w:szCs w:val="20"/>
        </w:rPr>
        <w:t>N</w:t>
      </w:r>
      <w:r w:rsidR="00E30806" w:rsidRPr="008C4D75">
        <w:rPr>
          <w:rFonts w:ascii="Palatino Linotype" w:hAnsi="Palatino Linotype" w:cs="Times New Roman"/>
          <w:i/>
          <w:color w:val="000000"/>
          <w:sz w:val="20"/>
          <w:szCs w:val="20"/>
        </w:rPr>
        <w:t xml:space="preserve">ote: The HCAHPS Patient-Mix Adjustment (PMA) model has been updated to incorporate more detailed information about patients’ Service Line and Gender. Prior to Quarter 1 2017, the patient-mix adjustment for service line distinguished among the three service line categories: Medical, Surgical, and Maternity. Beginning with Quarter 1 2017 discharges, the patient-mix adjustment </w:t>
      </w:r>
      <w:r w:rsidR="00730C08">
        <w:rPr>
          <w:rFonts w:ascii="Palatino Linotype" w:hAnsi="Palatino Linotype" w:cs="Times New Roman"/>
          <w:i/>
          <w:color w:val="000000"/>
          <w:sz w:val="20"/>
          <w:szCs w:val="20"/>
        </w:rPr>
        <w:t xml:space="preserve">included </w:t>
      </w:r>
      <w:r w:rsidR="00E30806" w:rsidRPr="008C4D75">
        <w:rPr>
          <w:rFonts w:ascii="Palatino Linotype" w:hAnsi="Palatino Linotype" w:cs="Times New Roman"/>
          <w:i/>
          <w:color w:val="000000"/>
          <w:sz w:val="20"/>
          <w:szCs w:val="20"/>
        </w:rPr>
        <w:t xml:space="preserve">patient gender with service line to distinguish among 5 categories: Female Medical, Male Medical, Female Surgical, Male Surgical, and Maternity, which is only female. Female Medical will serve as the reference category for this adjustment. HCAHPS survey results </w:t>
      </w:r>
      <w:r w:rsidR="00EF5D5F">
        <w:rPr>
          <w:rFonts w:ascii="Palatino Linotype" w:hAnsi="Palatino Linotype" w:cs="Times New Roman"/>
          <w:i/>
          <w:color w:val="000000"/>
          <w:sz w:val="20"/>
          <w:szCs w:val="20"/>
        </w:rPr>
        <w:t>were</w:t>
      </w:r>
      <w:r w:rsidR="00E30806" w:rsidRPr="008C4D75">
        <w:rPr>
          <w:rFonts w:ascii="Palatino Linotype" w:hAnsi="Palatino Linotype" w:cs="Times New Roman"/>
          <w:i/>
          <w:color w:val="000000"/>
          <w:sz w:val="20"/>
          <w:szCs w:val="20"/>
        </w:rPr>
        <w:t xml:space="preserve"> adjusted using the new PMA model beginning with January 1, 2017 discharges. </w:t>
      </w:r>
      <w:r w:rsidR="006352D6">
        <w:rPr>
          <w:rFonts w:ascii="Palatino Linotype" w:hAnsi="Palatino Linotype" w:cs="Times New Roman"/>
          <w:i/>
          <w:color w:val="000000"/>
          <w:sz w:val="20"/>
          <w:szCs w:val="20"/>
        </w:rPr>
        <w:t>Updated survey mode adjustments from a 2016 randomized mode experiment were also incorporated beginning with April 2017 discharges.</w:t>
      </w:r>
    </w:p>
    <w:p w:rsidR="00FE3CA6" w:rsidRPr="008C4D75" w:rsidRDefault="00FE3CA6" w:rsidP="00E30806">
      <w:pPr>
        <w:autoSpaceDE w:val="0"/>
        <w:autoSpaceDN w:val="0"/>
        <w:adjustRightInd w:val="0"/>
        <w:spacing w:after="0" w:line="240" w:lineRule="auto"/>
        <w:rPr>
          <w:rFonts w:ascii="Palatino Linotype" w:hAnsi="Palatino Linotype" w:cs="Times New Roman"/>
          <w:i/>
          <w:color w:val="000000"/>
          <w:sz w:val="20"/>
          <w:szCs w:val="20"/>
        </w:rPr>
      </w:pP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color w:val="000000"/>
          <w:sz w:val="20"/>
          <w:szCs w:val="20"/>
        </w:rPr>
        <w:t>Because the Maternity service line is entirely female, CMS has to a degree always employed gender in its HCAHPS service line adjustment. CMS’ recent research shows that</w:t>
      </w:r>
      <w:r w:rsidR="00730C08">
        <w:rPr>
          <w:rFonts w:ascii="Palatino Linotype" w:hAnsi="Palatino Linotype" w:cs="Times New Roman"/>
          <w:i/>
          <w:color w:val="000000"/>
          <w:sz w:val="20"/>
          <w:szCs w:val="20"/>
        </w:rPr>
        <w:t xml:space="preserve"> when</w:t>
      </w:r>
      <w:r w:rsidRPr="008C4D75">
        <w:rPr>
          <w:rFonts w:ascii="Palatino Linotype" w:hAnsi="Palatino Linotype" w:cs="Times New Roman"/>
          <w:i/>
          <w:color w:val="000000"/>
          <w:sz w:val="20"/>
          <w:szCs w:val="20"/>
        </w:rPr>
        <w:t xml:space="preserve"> the new Service Line and Gender adjustment </w:t>
      </w:r>
      <w:r w:rsidR="00730C08">
        <w:rPr>
          <w:rFonts w:ascii="Palatino Linotype" w:hAnsi="Palatino Linotype" w:cs="Times New Roman"/>
          <w:i/>
          <w:color w:val="000000"/>
          <w:sz w:val="20"/>
          <w:szCs w:val="20"/>
        </w:rPr>
        <w:t>wa</w:t>
      </w:r>
      <w:r w:rsidRPr="008C4D75">
        <w:rPr>
          <w:rFonts w:ascii="Palatino Linotype" w:hAnsi="Palatino Linotype" w:cs="Times New Roman"/>
          <w:i/>
          <w:color w:val="000000"/>
          <w:sz w:val="20"/>
          <w:szCs w:val="20"/>
        </w:rPr>
        <w:t>s implemented, hospitals whose patients are predominantly male experience</w:t>
      </w:r>
      <w:r w:rsidR="00730C08">
        <w:rPr>
          <w:rFonts w:ascii="Palatino Linotype" w:hAnsi="Palatino Linotype" w:cs="Times New Roman"/>
          <w:i/>
          <w:color w:val="000000"/>
          <w:sz w:val="20"/>
          <w:szCs w:val="20"/>
        </w:rPr>
        <w:t>d</w:t>
      </w:r>
      <w:r w:rsidRPr="008C4D75">
        <w:rPr>
          <w:rFonts w:ascii="Palatino Linotype" w:hAnsi="Palatino Linotype" w:cs="Times New Roman"/>
          <w:i/>
          <w:color w:val="000000"/>
          <w:sz w:val="20"/>
          <w:szCs w:val="20"/>
        </w:rPr>
        <w:t xml:space="preserve"> a small decrease in their Cleanliness measure score, while those predominantly female experience</w:t>
      </w:r>
      <w:r w:rsidR="00730C08">
        <w:rPr>
          <w:rFonts w:ascii="Palatino Linotype" w:hAnsi="Palatino Linotype" w:cs="Times New Roman"/>
          <w:i/>
          <w:color w:val="000000"/>
          <w:sz w:val="20"/>
          <w:szCs w:val="20"/>
        </w:rPr>
        <w:t>d</w:t>
      </w:r>
      <w:r w:rsidRPr="008C4D75">
        <w:rPr>
          <w:rFonts w:ascii="Palatino Linotype" w:hAnsi="Palatino Linotype" w:cs="Times New Roman"/>
          <w:i/>
          <w:color w:val="000000"/>
          <w:sz w:val="20"/>
          <w:szCs w:val="20"/>
        </w:rPr>
        <w:t xml:space="preserve"> a small increase; changes to other HCAHPS measures w</w:t>
      </w:r>
      <w:r w:rsidR="00730C08">
        <w:rPr>
          <w:rFonts w:ascii="Palatino Linotype" w:hAnsi="Palatino Linotype" w:cs="Times New Roman"/>
          <w:i/>
          <w:color w:val="000000"/>
          <w:sz w:val="20"/>
          <w:szCs w:val="20"/>
        </w:rPr>
        <w:t>ere</w:t>
      </w:r>
      <w:r w:rsidRPr="008C4D75">
        <w:rPr>
          <w:rFonts w:ascii="Palatino Linotype" w:hAnsi="Palatino Linotype" w:cs="Times New Roman"/>
          <w:i/>
          <w:color w:val="000000"/>
          <w:sz w:val="20"/>
          <w:szCs w:val="20"/>
        </w:rPr>
        <w:t xml:space="preserve"> smaller. However, by employing the new Service Line and Gender adjustment, scores </w:t>
      </w:r>
      <w:r w:rsidR="00730C08">
        <w:rPr>
          <w:rFonts w:ascii="Palatino Linotype" w:hAnsi="Palatino Linotype" w:cs="Times New Roman"/>
          <w:i/>
          <w:color w:val="000000"/>
          <w:sz w:val="20"/>
          <w:szCs w:val="20"/>
        </w:rPr>
        <w:t xml:space="preserve">are </w:t>
      </w:r>
      <w:r w:rsidRPr="008C4D75">
        <w:rPr>
          <w:rFonts w:ascii="Palatino Linotype" w:hAnsi="Palatino Linotype" w:cs="Times New Roman"/>
          <w:i/>
          <w:color w:val="000000"/>
          <w:sz w:val="20"/>
          <w:szCs w:val="20"/>
        </w:rPr>
        <w:t xml:space="preserve">more accurate than before. </w:t>
      </w:r>
      <w:r w:rsidRPr="008C4D75">
        <w:rPr>
          <w:rFonts w:ascii="Palatino Linotype" w:hAnsi="Palatino Linotype" w:cs="Times New Roman"/>
          <w:i/>
          <w:sz w:val="20"/>
          <w:szCs w:val="20"/>
        </w:rPr>
        <w:t xml:space="preserve">Adjustments contained in Tables 1a, 2a, and 3a are needed to estimate PMA for discharges prior to January 1, 2017. To estimate PMA for discharges on or after January 1, 2017 </w:t>
      </w:r>
      <w:r w:rsidR="00A8470E" w:rsidRPr="008C4D75">
        <w:rPr>
          <w:rFonts w:ascii="Palatino Linotype" w:hAnsi="Palatino Linotype" w:cs="Times New Roman"/>
          <w:i/>
          <w:sz w:val="20"/>
          <w:szCs w:val="20"/>
        </w:rPr>
        <w:t xml:space="preserve">please see Tables 1b, 2b, found on the HCAHPS On-Line Web site </w:t>
      </w:r>
      <w:r w:rsidR="00B26131" w:rsidRPr="008C4D75">
        <w:rPr>
          <w:rFonts w:ascii="Palatino Linotype" w:hAnsi="Palatino Linotype" w:cs="Times New Roman"/>
          <w:i/>
          <w:sz w:val="20"/>
          <w:szCs w:val="20"/>
        </w:rPr>
        <w:t xml:space="preserve">at </w:t>
      </w:r>
      <w:hyperlink r:id="rId18" w:history="1">
        <w:r w:rsidR="00A8470E" w:rsidRPr="008C4D75">
          <w:rPr>
            <w:rStyle w:val="Hyperlink"/>
            <w:rFonts w:ascii="Palatino Linotype" w:hAnsi="Palatino Linotype" w:cs="Times New Roman"/>
            <w:i/>
            <w:sz w:val="20"/>
            <w:szCs w:val="20"/>
          </w:rPr>
          <w:t>http://www.hcahpsonline.org/globalassets/hcahps/mode-patient-mix-adjustment/2017-12_mode-patient-adj_pma.pdf</w:t>
        </w:r>
      </w:hyperlink>
      <w:r w:rsidR="00A8470E" w:rsidRPr="008C4D75">
        <w:rPr>
          <w:rFonts w:ascii="Palatino Linotype" w:hAnsi="Palatino Linotype" w:cs="Times New Roman"/>
          <w:i/>
          <w:sz w:val="20"/>
          <w:szCs w:val="20"/>
        </w:rPr>
        <w:t xml:space="preserve"> .</w:t>
      </w:r>
    </w:p>
    <w:p w:rsidR="00FE3CA6" w:rsidRPr="008C4D75" w:rsidRDefault="00FE3CA6" w:rsidP="00E30806">
      <w:pPr>
        <w:autoSpaceDE w:val="0"/>
        <w:autoSpaceDN w:val="0"/>
        <w:adjustRightInd w:val="0"/>
        <w:spacing w:after="0" w:line="240" w:lineRule="auto"/>
        <w:rPr>
          <w:rFonts w:ascii="Palatino Linotype" w:hAnsi="Palatino Linotype" w:cs="Times New Roman"/>
          <w:i/>
          <w:sz w:val="20"/>
          <w:szCs w:val="20"/>
        </w:rPr>
      </w:pP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 xml:space="preserve">Patient-mix adjustment is performed within each quarter of data after data cleaning and before mode adjustment. </w:t>
      </w:r>
      <w:r w:rsidRPr="008C4D75">
        <w:rPr>
          <w:rFonts w:ascii="Palatino Linotype" w:hAnsi="Palatino Linotype" w:cs="Times New Roman"/>
          <w:i/>
          <w:iCs/>
          <w:sz w:val="20"/>
          <w:szCs w:val="20"/>
        </w:rPr>
        <w:t xml:space="preserve">Coefficients </w:t>
      </w:r>
      <w:r w:rsidRPr="008C4D75">
        <w:rPr>
          <w:rFonts w:ascii="Palatino Linotype" w:hAnsi="Palatino Linotype" w:cs="Times New Roman"/>
          <w:i/>
          <w:sz w:val="20"/>
          <w:szCs w:val="20"/>
        </w:rPr>
        <w:t xml:space="preserve">obtained in linear regression models (not reported) estimate the tendency of patients to respond more positively or negatively. The </w:t>
      </w:r>
      <w:r w:rsidRPr="008C4D75">
        <w:rPr>
          <w:rFonts w:ascii="Palatino Linotype" w:hAnsi="Palatino Linotype" w:cs="Times New Roman"/>
          <w:i/>
          <w:iCs/>
          <w:sz w:val="20"/>
          <w:szCs w:val="20"/>
        </w:rPr>
        <w:t xml:space="preserve">adjustments </w:t>
      </w:r>
      <w:r w:rsidRPr="008C4D75">
        <w:rPr>
          <w:rFonts w:ascii="Palatino Linotype" w:hAnsi="Palatino Linotype" w:cs="Times New Roman"/>
          <w:i/>
          <w:sz w:val="20"/>
          <w:szCs w:val="20"/>
        </w:rPr>
        <w:t xml:space="preserve">needed to counter that tendency are obtained by multiplying the patient-mix </w:t>
      </w:r>
      <w:r w:rsidRPr="008C4D75">
        <w:rPr>
          <w:rFonts w:ascii="Palatino Linotype" w:hAnsi="Palatino Linotype" w:cs="Times New Roman"/>
          <w:i/>
          <w:iCs/>
          <w:sz w:val="20"/>
          <w:szCs w:val="20"/>
        </w:rPr>
        <w:t xml:space="preserve">coefficients </w:t>
      </w:r>
      <w:r w:rsidRPr="008C4D75">
        <w:rPr>
          <w:rFonts w:ascii="Palatino Linotype" w:hAnsi="Palatino Linotype" w:cs="Times New Roman"/>
          <w:i/>
          <w:sz w:val="20"/>
          <w:szCs w:val="20"/>
        </w:rPr>
        <w:t xml:space="preserve">by (-1.0). Tables 1a-b and 2a-b below report patient-mix adjustments for the “top-box” (most positive response) and “bottom-box” (least positive response) respectively of the </w:t>
      </w:r>
      <w:r w:rsidR="00C57A88">
        <w:rPr>
          <w:rFonts w:ascii="Palatino Linotype" w:hAnsi="Palatino Linotype" w:cs="Times New Roman"/>
          <w:i/>
          <w:sz w:val="20"/>
          <w:szCs w:val="20"/>
        </w:rPr>
        <w:t>ten</w:t>
      </w:r>
      <w:r w:rsidR="00C57A88" w:rsidRPr="008C4D75">
        <w:rPr>
          <w:rFonts w:ascii="Palatino Linotype" w:hAnsi="Palatino Linotype" w:cs="Times New Roman"/>
          <w:i/>
          <w:sz w:val="20"/>
          <w:szCs w:val="20"/>
        </w:rPr>
        <w:t xml:space="preserve"> </w:t>
      </w:r>
      <w:r w:rsidRPr="008C4D75">
        <w:rPr>
          <w:rFonts w:ascii="Palatino Linotype" w:hAnsi="Palatino Linotype" w:cs="Times New Roman"/>
          <w:i/>
          <w:sz w:val="20"/>
          <w:szCs w:val="20"/>
        </w:rPr>
        <w:t>publicly reported HCAHPS measures (s</w:t>
      </w:r>
      <w:r w:rsidR="00C57A88">
        <w:rPr>
          <w:rFonts w:ascii="Palatino Linotype" w:hAnsi="Palatino Linotype" w:cs="Times New Roman"/>
          <w:i/>
          <w:sz w:val="20"/>
          <w:szCs w:val="20"/>
        </w:rPr>
        <w:t>ix</w:t>
      </w:r>
      <w:r w:rsidRPr="008C4D75">
        <w:rPr>
          <w:rFonts w:ascii="Palatino Linotype" w:hAnsi="Palatino Linotype" w:cs="Times New Roman"/>
          <w:i/>
          <w:sz w:val="20"/>
          <w:szCs w:val="20"/>
        </w:rPr>
        <w:t xml:space="preserve"> </w:t>
      </w:r>
      <w:r w:rsidR="003C5712">
        <w:rPr>
          <w:rFonts w:ascii="Palatino Linotype" w:hAnsi="Palatino Linotype" w:cs="Times New Roman"/>
          <w:i/>
          <w:sz w:val="20"/>
          <w:szCs w:val="20"/>
        </w:rPr>
        <w:t>multi-item measures</w:t>
      </w:r>
      <w:r w:rsidRPr="008C4D75">
        <w:rPr>
          <w:rFonts w:ascii="Palatino Linotype" w:hAnsi="Palatino Linotype" w:cs="Times New Roman"/>
          <w:i/>
          <w:sz w:val="20"/>
          <w:szCs w:val="20"/>
        </w:rPr>
        <w:t>, two</w:t>
      </w:r>
      <w:r w:rsidR="003C5712">
        <w:rPr>
          <w:rFonts w:ascii="Palatino Linotype" w:hAnsi="Palatino Linotype" w:cs="Times New Roman"/>
          <w:i/>
          <w:sz w:val="20"/>
          <w:szCs w:val="20"/>
        </w:rPr>
        <w:t xml:space="preserve"> single-item measures</w:t>
      </w:r>
      <w:r w:rsidRPr="008C4D75">
        <w:rPr>
          <w:rFonts w:ascii="Palatino Linotype" w:hAnsi="Palatino Linotype" w:cs="Times New Roman"/>
          <w:i/>
          <w:sz w:val="20"/>
          <w:szCs w:val="20"/>
        </w:rPr>
        <w:t xml:space="preserve">, and two global items), averaged across the four reported quarters. </w:t>
      </w: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 xml:space="preserve">As an example, patients aged 55-64 were 4.89% (Q2-2016 though Q4-2016) and 4.93% (Q1-2017) or 4.90% for the quarter ((4.89%/4)*3)+((4.93/4)*1) more likely to provide the most positive response (“Always”) for items in the </w:t>
      </w:r>
      <w:r w:rsidRPr="008C4D75">
        <w:rPr>
          <w:rFonts w:ascii="Palatino Linotype" w:hAnsi="Palatino Linotype" w:cs="Times New Roman"/>
          <w:i/>
          <w:iCs/>
          <w:sz w:val="20"/>
          <w:szCs w:val="20"/>
        </w:rPr>
        <w:t>Communication with Nurses</w:t>
      </w:r>
      <w:r w:rsidR="003C5712">
        <w:rPr>
          <w:rFonts w:ascii="Palatino Linotype" w:hAnsi="Palatino Linotype" w:cs="Times New Roman"/>
          <w:i/>
          <w:iCs/>
          <w:sz w:val="20"/>
          <w:szCs w:val="20"/>
        </w:rPr>
        <w:t xml:space="preserve"> multi-item measure </w:t>
      </w:r>
      <w:r w:rsidRPr="008C4D75">
        <w:rPr>
          <w:rFonts w:ascii="Palatino Linotype" w:hAnsi="Palatino Linotype" w:cs="Times New Roman"/>
          <w:i/>
          <w:sz w:val="20"/>
          <w:szCs w:val="20"/>
        </w:rPr>
        <w:t>when compared to the reference group of patients 85 and older. Thus, the corresponding adjustment for patients aged 55-64 relative to patients 85 and older for that</w:t>
      </w:r>
      <w:r w:rsidR="003C5712">
        <w:rPr>
          <w:rFonts w:ascii="Palatino Linotype" w:hAnsi="Palatino Linotype" w:cs="Times New Roman"/>
          <w:i/>
          <w:sz w:val="20"/>
          <w:szCs w:val="20"/>
        </w:rPr>
        <w:t xml:space="preserve"> multi-item </w:t>
      </w:r>
      <w:r w:rsidR="006F5448">
        <w:rPr>
          <w:rFonts w:ascii="Palatino Linotype" w:hAnsi="Palatino Linotype" w:cs="Times New Roman"/>
          <w:i/>
          <w:sz w:val="20"/>
          <w:szCs w:val="20"/>
        </w:rPr>
        <w:t xml:space="preserve">measure </w:t>
      </w:r>
      <w:r w:rsidR="006F5448" w:rsidRPr="008C4D75">
        <w:rPr>
          <w:rFonts w:ascii="Palatino Linotype" w:hAnsi="Palatino Linotype" w:cs="Times New Roman"/>
          <w:i/>
          <w:sz w:val="20"/>
          <w:szCs w:val="20"/>
        </w:rPr>
        <w:t>is</w:t>
      </w:r>
      <w:r w:rsidRPr="008C4D75">
        <w:rPr>
          <w:rFonts w:ascii="Palatino Linotype" w:hAnsi="Palatino Linotype" w:cs="Times New Roman"/>
          <w:i/>
          <w:sz w:val="20"/>
          <w:szCs w:val="20"/>
        </w:rPr>
        <w:t xml:space="preserve"> a subtraction of 4.90%, reflected in the “-4.89%” and “-4.93%” entries in Tables 1a and 1b, respectively. Similarly, for each level of decreasing self-rated health status (where 5=poor, 4=fair, 3=good, 2=very good, and 1=excellent), the percentage of patients providing an “Always” response for </w:t>
      </w:r>
      <w:r w:rsidRPr="008C4D75">
        <w:rPr>
          <w:rFonts w:ascii="Palatino Linotype" w:hAnsi="Palatino Linotype" w:cs="Times New Roman"/>
          <w:i/>
          <w:iCs/>
          <w:sz w:val="20"/>
          <w:szCs w:val="20"/>
        </w:rPr>
        <w:t xml:space="preserve">Communication with Doctors </w:t>
      </w:r>
      <w:r w:rsidRPr="008C4D75">
        <w:rPr>
          <w:rFonts w:ascii="Palatino Linotype" w:hAnsi="Palatino Linotype" w:cs="Times New Roman"/>
          <w:i/>
          <w:sz w:val="20"/>
          <w:szCs w:val="20"/>
        </w:rPr>
        <w:t xml:space="preserve">decreased by 4.77% (Q2-2016 though Q4-2016) and 4.79% (Q1-2017) or 4.78% for the quarter ((4.77%/4)*3)+((4.79/4)*1). Thus, a patient in fair health (4) would have a (4-1)*4.78=14.34% lower chance of an “Always” response than a patient in excellent health (1), and the corresponding adjustment for a patient in poor health relative to a patient in excellent health would be +19.12%. </w:t>
      </w: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Publicly</w:t>
      </w:r>
      <w:r w:rsidR="00117BDE">
        <w:rPr>
          <w:rFonts w:ascii="Palatino Linotype" w:hAnsi="Palatino Linotype" w:cs="Times New Roman"/>
          <w:i/>
          <w:sz w:val="20"/>
          <w:szCs w:val="20"/>
        </w:rPr>
        <w:t>-</w:t>
      </w:r>
      <w:r w:rsidRPr="008C4D75">
        <w:rPr>
          <w:rFonts w:ascii="Palatino Linotype" w:hAnsi="Palatino Linotype" w:cs="Times New Roman"/>
          <w:i/>
          <w:sz w:val="20"/>
          <w:szCs w:val="20"/>
        </w:rPr>
        <w:t xml:space="preserve">reported HCAHPS scores are adjusted to the overall national mean of patient-mix variables across all hospitals reporting in a given quarter (as reported in Tables 3a and 3b). Thus, whether the scores of a given hospital are adjusted upward or downward for a given measure depends not only on these patient-mix adjustments, but also on the patient-mix of that hospital relative to the national average of these patient-mix characteristics. Specifically, the total patient mix-adjustment for a given hospital is the sum of a series of products, where each product multiplies the adjustment in Tables 1a and 1b (top-box) or Tables 2a and 2b (bottom-box) by the deviation of the hospital’s mean on the corresponding patient-mix variable from the national mean on that patient-mix variable (from Tables 3a and 3b). </w:t>
      </w: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 xml:space="preserve">Four sets of numbers are needed to calculate final patient-mix adjusted scores for a given hospital: (1) Means of HCAHPS outcomes (top-box proportions or bottom-box proportions) for the hospital in question that have been adjusted for survey mode; (2) individual-level patient-mix adjustments from Tables 1 and 2 of this document; (3) that hospital’s means on patient-mix variables; and (4) national means on patient-mix variables from Tables 3a and 3b of this document. </w:t>
      </w: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 xml:space="preserve">Below we provide additional detail regarding the calculation of the </w:t>
      </w:r>
      <w:r w:rsidRPr="008C4D75">
        <w:rPr>
          <w:rFonts w:ascii="Palatino Linotype" w:hAnsi="Palatino Linotype" w:cs="Times New Roman"/>
          <w:i/>
          <w:iCs/>
          <w:sz w:val="20"/>
          <w:szCs w:val="20"/>
        </w:rPr>
        <w:t xml:space="preserve">response percentile </w:t>
      </w:r>
      <w:r w:rsidRPr="008C4D75">
        <w:rPr>
          <w:rFonts w:ascii="Palatino Linotype" w:hAnsi="Palatino Linotype" w:cs="Times New Roman"/>
          <w:i/>
          <w:sz w:val="20"/>
          <w:szCs w:val="20"/>
        </w:rPr>
        <w:t xml:space="preserve">and </w:t>
      </w:r>
      <w:r w:rsidRPr="008C4D75">
        <w:rPr>
          <w:rFonts w:ascii="Palatino Linotype" w:hAnsi="Palatino Linotype" w:cs="Times New Roman"/>
          <w:i/>
          <w:iCs/>
          <w:sz w:val="20"/>
          <w:szCs w:val="20"/>
        </w:rPr>
        <w:t xml:space="preserve">service line by age interaction </w:t>
      </w:r>
      <w:r w:rsidRPr="008C4D75">
        <w:rPr>
          <w:rFonts w:ascii="Palatino Linotype" w:hAnsi="Palatino Linotype" w:cs="Times New Roman"/>
          <w:i/>
          <w:sz w:val="20"/>
          <w:szCs w:val="20"/>
        </w:rPr>
        <w:t xml:space="preserve">variables. </w:t>
      </w:r>
      <w:r w:rsidR="003F44C1">
        <w:rPr>
          <w:rFonts w:ascii="Palatino Linotype" w:hAnsi="Palatino Linotype" w:cs="Times New Roman"/>
          <w:i/>
          <w:sz w:val="20"/>
          <w:szCs w:val="20"/>
        </w:rPr>
        <w:t xml:space="preserve"> </w:t>
      </w:r>
      <w:r w:rsidRPr="008C4D75">
        <w:rPr>
          <w:rFonts w:ascii="Palatino Linotype" w:hAnsi="Palatino Linotype" w:cs="Times New Roman"/>
          <w:i/>
          <w:sz w:val="20"/>
          <w:szCs w:val="20"/>
        </w:rPr>
        <w:t xml:space="preserve">A hospital’s patient-mix adjustment variable </w:t>
      </w:r>
      <w:r w:rsidRPr="008C4D75">
        <w:rPr>
          <w:rFonts w:ascii="Palatino Linotype" w:hAnsi="Palatino Linotype" w:cs="Times New Roman"/>
          <w:i/>
          <w:iCs/>
          <w:sz w:val="20"/>
          <w:szCs w:val="20"/>
        </w:rPr>
        <w:t xml:space="preserve">response percentile </w:t>
      </w:r>
      <w:r w:rsidRPr="008C4D75">
        <w:rPr>
          <w:rFonts w:ascii="Palatino Linotype" w:hAnsi="Palatino Linotype" w:cs="Times New Roman"/>
          <w:i/>
          <w:sz w:val="20"/>
          <w:szCs w:val="20"/>
        </w:rPr>
        <w:t xml:space="preserve">is calculated as follows: For a given hospital and a given month, all completed surveys are ranked based on their respective “lag times.” Lag time is the number of days between a patient’s discharge from the hospital and the return of the mail survey, or the final disposition of the telephone or IVR survey. Ranks are averaged in the case of ties. Response percentile is calculated by dividing lag time rank by monthly sample size. </w:t>
      </w: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 xml:space="preserve">The </w:t>
      </w:r>
      <w:r w:rsidRPr="008C4D75">
        <w:rPr>
          <w:rFonts w:ascii="Palatino Linotype" w:hAnsi="Palatino Linotype" w:cs="Times New Roman"/>
          <w:i/>
          <w:iCs/>
          <w:sz w:val="20"/>
          <w:szCs w:val="20"/>
        </w:rPr>
        <w:t xml:space="preserve">service line by age interaction </w:t>
      </w:r>
      <w:r w:rsidRPr="008C4D75">
        <w:rPr>
          <w:rFonts w:ascii="Palatino Linotype" w:hAnsi="Palatino Linotype" w:cs="Times New Roman"/>
          <w:i/>
          <w:sz w:val="20"/>
          <w:szCs w:val="20"/>
        </w:rPr>
        <w:t xml:space="preserve">variables used in patient-mix adjustment can be calculated by following the steps below for all completed surveys: </w:t>
      </w:r>
    </w:p>
    <w:p w:rsidR="00E30806" w:rsidRPr="008C4D75" w:rsidRDefault="00E30806" w:rsidP="00E30806">
      <w:pPr>
        <w:autoSpaceDE w:val="0"/>
        <w:autoSpaceDN w:val="0"/>
        <w:adjustRightInd w:val="0"/>
        <w:spacing w:after="27" w:line="240" w:lineRule="auto"/>
        <w:rPr>
          <w:rFonts w:ascii="Palatino Linotype" w:hAnsi="Palatino Linotype" w:cs="Times New Roman"/>
          <w:i/>
          <w:sz w:val="20"/>
          <w:szCs w:val="20"/>
        </w:rPr>
      </w:pPr>
      <w:r w:rsidRPr="008C4D75">
        <w:rPr>
          <w:rFonts w:ascii="Palatino Linotype" w:hAnsi="Palatino Linotype" w:cs="Times New Roman"/>
          <w:i/>
          <w:sz w:val="20"/>
          <w:szCs w:val="20"/>
        </w:rPr>
        <w:t xml:space="preserve">1) Create an age variable that can take values from 1 through 8, depending on the age range of the patient. Denote this variable as AGE. </w:t>
      </w:r>
    </w:p>
    <w:p w:rsidR="00E30806" w:rsidRPr="008C4D75" w:rsidRDefault="00E30806" w:rsidP="00E30806">
      <w:pPr>
        <w:autoSpaceDE w:val="0"/>
        <w:autoSpaceDN w:val="0"/>
        <w:adjustRightInd w:val="0"/>
        <w:spacing w:after="27" w:line="240" w:lineRule="auto"/>
        <w:rPr>
          <w:rFonts w:ascii="Palatino Linotype" w:hAnsi="Palatino Linotype" w:cs="Times New Roman"/>
          <w:i/>
          <w:sz w:val="20"/>
          <w:szCs w:val="20"/>
        </w:rPr>
      </w:pPr>
      <w:r w:rsidRPr="008C4D75">
        <w:rPr>
          <w:rFonts w:ascii="Palatino Linotype" w:hAnsi="Palatino Linotype" w:cs="Times New Roman"/>
          <w:i/>
          <w:sz w:val="20"/>
          <w:szCs w:val="20"/>
        </w:rPr>
        <w:t xml:space="preserve">2) Create an indicator variable for whether a survey was from the surgical service line. Let this variable equal 1 if surgical and equal to 0 if not surgical. Denote this variable as SURG. </w:t>
      </w:r>
    </w:p>
    <w:p w:rsidR="00E30806" w:rsidRPr="008C4D75" w:rsidRDefault="00E30806" w:rsidP="00E30806">
      <w:pPr>
        <w:autoSpaceDE w:val="0"/>
        <w:autoSpaceDN w:val="0"/>
        <w:adjustRightInd w:val="0"/>
        <w:spacing w:after="27" w:line="240" w:lineRule="auto"/>
        <w:rPr>
          <w:rFonts w:ascii="Palatino Linotype" w:hAnsi="Palatino Linotype" w:cs="Times New Roman"/>
          <w:i/>
          <w:sz w:val="20"/>
          <w:szCs w:val="20"/>
        </w:rPr>
      </w:pPr>
      <w:r w:rsidRPr="008C4D75">
        <w:rPr>
          <w:rFonts w:ascii="Palatino Linotype" w:hAnsi="Palatino Linotype" w:cs="Times New Roman"/>
          <w:i/>
          <w:sz w:val="20"/>
          <w:szCs w:val="20"/>
        </w:rPr>
        <w:t xml:space="preserve">3) Create an indicator variable for whether a survey was from the maternity service line. Let this variable equal 1 if maternity and equal to 0 if not maternity. Denote this variable as MAT. </w:t>
      </w: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 xml:space="preserve">4) At this point, every completed survey should have a value from 1 to 8 for AGE, a value of 0 or 1 for SURG, and a value of 0 or 1 for MAT. </w:t>
      </w: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 xml:space="preserve">The surgical by age interaction variable (Surgical*Age) is equal to the product of SURG and AGE. Similarly, the maternity by age interaction variable (Maternity*Age) is calculated as the product of MAT and AGE. To obtain hospital-level values for these two interaction variables, simply average all the survey-level values just calculated for Surgical*Age and Maternity*Age. </w:t>
      </w: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 xml:space="preserve">The formula for applying patient mix adjustment is as follows: </w:t>
      </w: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 xml:space="preserve">If y is the mode-adjusted hospital mean of an HCAHPS outcome (top-box or bottom-box) </w:t>
      </w: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a1-a1</w:t>
      </w:r>
      <w:r w:rsidR="00593E87">
        <w:rPr>
          <w:rFonts w:ascii="Palatino Linotype" w:hAnsi="Palatino Linotype" w:cs="Times New Roman"/>
          <w:i/>
          <w:sz w:val="20"/>
          <w:szCs w:val="20"/>
        </w:rPr>
        <w:t>9</w:t>
      </w:r>
      <w:r w:rsidRPr="008C4D75">
        <w:rPr>
          <w:rFonts w:ascii="Palatino Linotype" w:hAnsi="Palatino Linotype" w:cs="Times New Roman"/>
          <w:i/>
          <w:sz w:val="20"/>
          <w:szCs w:val="20"/>
        </w:rPr>
        <w:t xml:space="preserve"> are the individual-level adjustments from Tables 1a and 1b or Tables 2a and 2b for the 1</w:t>
      </w:r>
      <w:r w:rsidR="00593E87">
        <w:rPr>
          <w:rFonts w:ascii="Palatino Linotype" w:hAnsi="Palatino Linotype" w:cs="Times New Roman"/>
          <w:i/>
          <w:sz w:val="20"/>
          <w:szCs w:val="20"/>
        </w:rPr>
        <w:t>9</w:t>
      </w:r>
      <w:r w:rsidRPr="008C4D75">
        <w:rPr>
          <w:rFonts w:ascii="Palatino Linotype" w:hAnsi="Palatino Linotype" w:cs="Times New Roman"/>
          <w:i/>
          <w:sz w:val="20"/>
          <w:szCs w:val="20"/>
        </w:rPr>
        <w:t xml:space="preserve"> rows other than reference categories (in proportion rather than percentage form) </w:t>
      </w: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m1-m1</w:t>
      </w:r>
      <w:r w:rsidR="00593E87">
        <w:rPr>
          <w:rFonts w:ascii="Palatino Linotype" w:hAnsi="Palatino Linotype" w:cs="Times New Roman"/>
          <w:i/>
          <w:sz w:val="20"/>
          <w:szCs w:val="20"/>
        </w:rPr>
        <w:t>9</w:t>
      </w:r>
      <w:r w:rsidRPr="008C4D75">
        <w:rPr>
          <w:rFonts w:ascii="Palatino Linotype" w:hAnsi="Palatino Linotype" w:cs="Times New Roman"/>
          <w:i/>
          <w:sz w:val="20"/>
          <w:szCs w:val="20"/>
        </w:rPr>
        <w:t xml:space="preserve"> are the national means for the PMA variables in the same rows in Table 3a and 3b </w:t>
      </w: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h1-h1</w:t>
      </w:r>
      <w:r w:rsidR="00593E87">
        <w:rPr>
          <w:rFonts w:ascii="Palatino Linotype" w:hAnsi="Palatino Linotype" w:cs="Times New Roman"/>
          <w:i/>
          <w:sz w:val="20"/>
          <w:szCs w:val="20"/>
        </w:rPr>
        <w:t>9</w:t>
      </w:r>
      <w:r w:rsidRPr="008C4D75">
        <w:rPr>
          <w:rFonts w:ascii="Palatino Linotype" w:hAnsi="Palatino Linotype" w:cs="Times New Roman"/>
          <w:i/>
          <w:sz w:val="20"/>
          <w:szCs w:val="20"/>
        </w:rPr>
        <w:t xml:space="preserve"> are the PMA means for the hospital in question in the same form as in Tables 3 a and 3b, </w:t>
      </w: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then y’=y+a1(h1-m1)+a2(h2-m2)+…+a1</w:t>
      </w:r>
      <w:r w:rsidR="00593E87">
        <w:rPr>
          <w:rFonts w:ascii="Palatino Linotype" w:hAnsi="Palatino Linotype" w:cs="Times New Roman"/>
          <w:i/>
          <w:sz w:val="20"/>
          <w:szCs w:val="20"/>
        </w:rPr>
        <w:t>9</w:t>
      </w:r>
      <w:r w:rsidRPr="008C4D75">
        <w:rPr>
          <w:rFonts w:ascii="Palatino Linotype" w:hAnsi="Palatino Linotype" w:cs="Times New Roman"/>
          <w:i/>
          <w:sz w:val="20"/>
          <w:szCs w:val="20"/>
        </w:rPr>
        <w:t>(h1</w:t>
      </w:r>
      <w:r w:rsidR="00593E87">
        <w:rPr>
          <w:rFonts w:ascii="Palatino Linotype" w:hAnsi="Palatino Linotype" w:cs="Times New Roman"/>
          <w:i/>
          <w:sz w:val="20"/>
          <w:szCs w:val="20"/>
        </w:rPr>
        <w:t>9</w:t>
      </w:r>
      <w:r w:rsidRPr="008C4D75">
        <w:rPr>
          <w:rFonts w:ascii="Palatino Linotype" w:hAnsi="Palatino Linotype" w:cs="Times New Roman"/>
          <w:i/>
          <w:sz w:val="20"/>
          <w:szCs w:val="20"/>
        </w:rPr>
        <w:t>-m1</w:t>
      </w:r>
      <w:r w:rsidR="00593E87">
        <w:rPr>
          <w:rFonts w:ascii="Palatino Linotype" w:hAnsi="Palatino Linotype" w:cs="Times New Roman"/>
          <w:i/>
          <w:sz w:val="20"/>
          <w:szCs w:val="20"/>
        </w:rPr>
        <w:t>9</w:t>
      </w:r>
      <w:r w:rsidRPr="008C4D75">
        <w:rPr>
          <w:rFonts w:ascii="Palatino Linotype" w:hAnsi="Palatino Linotype" w:cs="Times New Roman"/>
          <w:i/>
          <w:sz w:val="20"/>
          <w:szCs w:val="20"/>
        </w:rPr>
        <w:t xml:space="preserve">) is the patient-mix and mode-adjusted hospital score for that outcome. </w:t>
      </w: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HCAHPS publicly</w:t>
      </w:r>
      <w:r w:rsidR="00BD4428">
        <w:rPr>
          <w:rFonts w:ascii="Palatino Linotype" w:hAnsi="Palatino Linotype" w:cs="Times New Roman"/>
          <w:i/>
          <w:sz w:val="20"/>
          <w:szCs w:val="20"/>
        </w:rPr>
        <w:t>-</w:t>
      </w:r>
      <w:r w:rsidRPr="008C4D75">
        <w:rPr>
          <w:rFonts w:ascii="Palatino Linotype" w:hAnsi="Palatino Linotype" w:cs="Times New Roman"/>
          <w:i/>
          <w:sz w:val="20"/>
          <w:szCs w:val="20"/>
        </w:rPr>
        <w:t xml:space="preserve">reported four-quarter hospital averages are weighted proportionately to the number of eligible patients seen by the hospital in each of the quarters. Specifically, each quarter’s score has a quarterly weight equal to the quarter’s eligible discharge size divided by the total eligible discharge size for the four quarters that make up the reporting period. Quarterly weights are applied after patient-mix adjustment and survey mode adjustment. </w:t>
      </w: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r w:rsidRPr="008C4D75">
        <w:rPr>
          <w:rFonts w:ascii="Palatino Linotype" w:hAnsi="Palatino Linotype" w:cs="Times New Roman"/>
          <w:i/>
          <w:sz w:val="20"/>
          <w:szCs w:val="20"/>
        </w:rPr>
        <w:t xml:space="preserve">For public reporting purposes, HCAHPS scores are rounded to integer percentages. Rounding occurs within top, middle, and bottom-box scores only after patient-mix and mode adjustments have been applied. If the sum of the three scores is not 100%, a further adjustment is made to the middle-box score. </w:t>
      </w:r>
    </w:p>
    <w:p w:rsidR="00E30806" w:rsidRPr="008C4D75" w:rsidRDefault="00E30806" w:rsidP="00E30806">
      <w:pPr>
        <w:autoSpaceDE w:val="0"/>
        <w:autoSpaceDN w:val="0"/>
        <w:adjustRightInd w:val="0"/>
        <w:spacing w:after="0" w:line="240" w:lineRule="auto"/>
        <w:rPr>
          <w:rFonts w:ascii="Palatino Linotype" w:hAnsi="Palatino Linotype" w:cs="Times New Roman"/>
          <w:i/>
          <w:sz w:val="20"/>
          <w:szCs w:val="20"/>
        </w:rPr>
      </w:pPr>
    </w:p>
    <w:p w:rsidR="00C01022" w:rsidRPr="008C4D75" w:rsidRDefault="00E30806" w:rsidP="00E30806">
      <w:pPr>
        <w:rPr>
          <w:rFonts w:ascii="Palatino Linotype" w:hAnsi="Palatino Linotype" w:cs="Times New Roman"/>
          <w:i/>
          <w:sz w:val="20"/>
          <w:szCs w:val="20"/>
        </w:rPr>
      </w:pPr>
      <w:r w:rsidRPr="008C4D75">
        <w:rPr>
          <w:rFonts w:ascii="Palatino Linotype" w:hAnsi="Palatino Linotype" w:cs="Times New Roman"/>
          <w:i/>
          <w:sz w:val="20"/>
          <w:szCs w:val="20"/>
        </w:rPr>
        <w:t xml:space="preserve">Please note: The information presented here will permit a hospital to closely approximate the effect of patient-mix adjustment on its HCAHPS results. However, </w:t>
      </w:r>
      <w:r w:rsidRPr="008C4D75">
        <w:rPr>
          <w:rFonts w:ascii="Palatino Linotype" w:hAnsi="Palatino Linotype" w:cs="Times New Roman"/>
          <w:i/>
          <w:iCs/>
          <w:sz w:val="20"/>
          <w:szCs w:val="20"/>
        </w:rPr>
        <w:t xml:space="preserve">exact replication </w:t>
      </w:r>
      <w:r w:rsidRPr="008C4D75">
        <w:rPr>
          <w:rFonts w:ascii="Palatino Linotype" w:hAnsi="Palatino Linotype" w:cs="Times New Roman"/>
          <w:i/>
          <w:sz w:val="20"/>
          <w:szCs w:val="20"/>
        </w:rPr>
        <w:t xml:space="preserve">of published HCAHPS results may not be possible because of (1) the effects of data cleaning and (2) small differences </w:t>
      </w:r>
      <w:r w:rsidR="00B43D3F" w:rsidRPr="008C4D75">
        <w:rPr>
          <w:rFonts w:ascii="Palatino Linotype" w:hAnsi="Palatino Linotype" w:cs="Times New Roman"/>
          <w:i/>
          <w:sz w:val="20"/>
          <w:szCs w:val="20"/>
        </w:rPr>
        <w:t>b</w:t>
      </w:r>
      <w:r w:rsidRPr="008C4D75">
        <w:rPr>
          <w:rFonts w:ascii="Palatino Linotype" w:hAnsi="Palatino Linotype" w:cs="Times New Roman"/>
          <w:i/>
          <w:sz w:val="20"/>
          <w:szCs w:val="20"/>
        </w:rPr>
        <w:t xml:space="preserve">etween the effects of quarterly patient-mix adjustments and the four-quarter averages presented here. For each future public reporting period, Tables 1a-b, 2a-b and 3a-b will be updated and will be posted on the official HCAHPS On-Line Web site at </w:t>
      </w:r>
      <w:hyperlink r:id="rId19" w:history="1">
        <w:r w:rsidRPr="008C4D75">
          <w:rPr>
            <w:rStyle w:val="Hyperlink"/>
            <w:rFonts w:ascii="Palatino Linotype" w:hAnsi="Palatino Linotype" w:cs="Times New Roman"/>
            <w:i/>
            <w:sz w:val="20"/>
            <w:szCs w:val="20"/>
          </w:rPr>
          <w:t>http://www.hcahpsonline.org/en/mode--patient-mix-adj/</w:t>
        </w:r>
      </w:hyperlink>
      <w:r w:rsidRPr="008C4D75">
        <w:rPr>
          <w:rFonts w:ascii="Palatino Linotype" w:hAnsi="Palatino Linotype" w:cs="Times New Roman"/>
          <w:i/>
          <w:sz w:val="20"/>
          <w:szCs w:val="20"/>
        </w:rPr>
        <w:t>.</w:t>
      </w:r>
    </w:p>
    <w:p w:rsidR="00035F1C" w:rsidRDefault="009C7513" w:rsidP="009D3882">
      <w:pPr>
        <w:rPr>
          <w:rFonts w:cs="Calibri"/>
          <w:bCs/>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p>
    <w:p w:rsidR="003F44C1" w:rsidRDefault="00035F1C" w:rsidP="00AF2D68">
      <w:pPr>
        <w:rPr>
          <w:rFonts w:cstheme="minorHAnsi"/>
          <w:b/>
          <w:bCs/>
        </w:rPr>
      </w:pPr>
      <w:r w:rsidRPr="008C4D75">
        <w:rPr>
          <w:rFonts w:ascii="Palatino Linotype" w:hAnsi="Palatino Linotype" w:cs="Calibri"/>
          <w:bCs/>
          <w:i/>
          <w:sz w:val="20"/>
          <w:szCs w:val="20"/>
        </w:rPr>
        <w:t xml:space="preserve">Not Applicable. </w:t>
      </w:r>
      <w:r w:rsidR="009D3882" w:rsidRPr="008C4D75">
        <w:rPr>
          <w:rFonts w:ascii="Palatino Linotype" w:hAnsi="Palatino Linotype" w:cs="Calibri"/>
          <w:bCs/>
          <w:i/>
          <w:sz w:val="20"/>
          <w:szCs w:val="20"/>
        </w:rPr>
        <w:br/>
      </w:r>
    </w:p>
    <w:p w:rsidR="00070F89" w:rsidRPr="003F44C1" w:rsidRDefault="009C7513" w:rsidP="00AF2D68">
      <w:pPr>
        <w:rPr>
          <w:rFonts w:cstheme="minorHAnsi"/>
          <w:b/>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rsidR="00B07429" w:rsidRPr="008C4D75" w:rsidRDefault="00070F89" w:rsidP="00AF2D68">
      <w:pPr>
        <w:rPr>
          <w:rFonts w:ascii="Palatino Linotype" w:hAnsi="Palatino Linotype" w:cstheme="minorHAnsi"/>
          <w:bCs/>
          <w:i/>
          <w:sz w:val="20"/>
          <w:szCs w:val="20"/>
        </w:rPr>
      </w:pPr>
      <w:r w:rsidRPr="008C4D75">
        <w:rPr>
          <w:rFonts w:ascii="Palatino Linotype" w:hAnsi="Palatino Linotype" w:cstheme="minorHAnsi"/>
          <w:bCs/>
          <w:i/>
          <w:sz w:val="20"/>
          <w:szCs w:val="20"/>
        </w:rPr>
        <w:t xml:space="preserve">The risk adjustment </w:t>
      </w:r>
      <w:r w:rsidR="00B07429" w:rsidRPr="008C4D75">
        <w:rPr>
          <w:rFonts w:ascii="Palatino Linotype" w:hAnsi="Palatino Linotype" w:cstheme="minorHAnsi"/>
          <w:bCs/>
          <w:i/>
          <w:sz w:val="20"/>
          <w:szCs w:val="20"/>
        </w:rPr>
        <w:t xml:space="preserve">method </w:t>
      </w:r>
      <w:r w:rsidRPr="008C4D75">
        <w:rPr>
          <w:rFonts w:ascii="Palatino Linotype" w:hAnsi="Palatino Linotype" w:cstheme="minorHAnsi"/>
          <w:bCs/>
          <w:i/>
          <w:sz w:val="20"/>
          <w:szCs w:val="20"/>
        </w:rPr>
        <w:t xml:space="preserve">for HCAHPS has been described above in section 2b3.1.1. </w:t>
      </w:r>
    </w:p>
    <w:p w:rsidR="00070F89" w:rsidRPr="008C4D75" w:rsidRDefault="00070F89" w:rsidP="00AF2D68">
      <w:pPr>
        <w:rPr>
          <w:rFonts w:ascii="Palatino Linotype" w:hAnsi="Palatino Linotype" w:cstheme="minorHAnsi"/>
          <w:bCs/>
          <w:i/>
          <w:sz w:val="20"/>
          <w:szCs w:val="20"/>
        </w:rPr>
      </w:pPr>
      <w:r w:rsidRPr="008C4D75">
        <w:rPr>
          <w:rFonts w:ascii="Palatino Linotype" w:hAnsi="Palatino Linotype" w:cstheme="minorHAnsi"/>
          <w:bCs/>
          <w:i/>
          <w:sz w:val="20"/>
          <w:szCs w:val="20"/>
        </w:rPr>
        <w:t xml:space="preserve">The clinical factors in the HCAHPS patient-mix adjustment </w:t>
      </w:r>
      <w:r w:rsidR="00B07429" w:rsidRPr="008C4D75">
        <w:rPr>
          <w:rFonts w:ascii="Palatino Linotype" w:hAnsi="Palatino Linotype" w:cstheme="minorHAnsi"/>
          <w:bCs/>
          <w:i/>
          <w:sz w:val="20"/>
          <w:szCs w:val="20"/>
        </w:rPr>
        <w:t xml:space="preserve">model </w:t>
      </w:r>
      <w:r w:rsidRPr="008C4D75">
        <w:rPr>
          <w:rFonts w:ascii="Palatino Linotype" w:hAnsi="Palatino Linotype" w:cstheme="minorHAnsi"/>
          <w:bCs/>
          <w:i/>
          <w:sz w:val="20"/>
          <w:szCs w:val="20"/>
        </w:rPr>
        <w:t>include patient’s age, gender</w:t>
      </w:r>
      <w:r w:rsidR="00B07429" w:rsidRPr="008C4D75">
        <w:rPr>
          <w:rFonts w:ascii="Palatino Linotype" w:hAnsi="Palatino Linotype" w:cstheme="minorHAnsi"/>
          <w:bCs/>
          <w:i/>
          <w:sz w:val="20"/>
          <w:szCs w:val="20"/>
        </w:rPr>
        <w:t xml:space="preserve"> by</w:t>
      </w:r>
      <w:r w:rsidRPr="008C4D75">
        <w:rPr>
          <w:rFonts w:ascii="Palatino Linotype" w:hAnsi="Palatino Linotype" w:cstheme="minorHAnsi"/>
          <w:bCs/>
          <w:i/>
          <w:sz w:val="20"/>
          <w:szCs w:val="20"/>
        </w:rPr>
        <w:t xml:space="preserve"> service line, and self-reported overall health.</w:t>
      </w:r>
    </w:p>
    <w:p w:rsidR="00B07429" w:rsidRPr="008C4D75" w:rsidRDefault="00B07429" w:rsidP="00B07429">
      <w:pPr>
        <w:rPr>
          <w:rFonts w:ascii="Palatino Linotype" w:hAnsi="Palatino Linotype" w:cstheme="minorHAnsi"/>
          <w:bCs/>
          <w:i/>
          <w:sz w:val="20"/>
          <w:szCs w:val="20"/>
        </w:rPr>
      </w:pPr>
      <w:r w:rsidRPr="008C4D75">
        <w:rPr>
          <w:rFonts w:ascii="Palatino Linotype" w:hAnsi="Palatino Linotype" w:cstheme="minorHAnsi"/>
          <w:bCs/>
          <w:i/>
          <w:sz w:val="20"/>
          <w:szCs w:val="20"/>
        </w:rPr>
        <w:t>The social risk factors in the HCAHPS patient-mix adjustment model include patient’s self-reported education and primary language spoken at home.</w:t>
      </w:r>
    </w:p>
    <w:p w:rsidR="006C2A23" w:rsidRDefault="009C0CA2" w:rsidP="006C2A23">
      <w:pPr>
        <w:rPr>
          <w:rFonts w:cstheme="minorHAnsi"/>
          <w:b/>
          <w:bCs/>
        </w:rPr>
      </w:pPr>
      <w:r w:rsidRPr="008C4D75">
        <w:rPr>
          <w:rFonts w:ascii="Palatino Linotype" w:hAnsi="Palatino Linotype" w:cstheme="minorHAnsi"/>
          <w:bCs/>
          <w:i/>
          <w:sz w:val="20"/>
          <w:szCs w:val="20"/>
        </w:rPr>
        <w:t xml:space="preserve">We do not </w:t>
      </w:r>
      <w:r w:rsidR="00BD4428">
        <w:rPr>
          <w:rFonts w:ascii="Palatino Linotype" w:hAnsi="Palatino Linotype" w:cstheme="minorHAnsi"/>
          <w:bCs/>
          <w:i/>
          <w:sz w:val="20"/>
          <w:szCs w:val="20"/>
        </w:rPr>
        <w:t>apply</w:t>
      </w:r>
      <w:r w:rsidRPr="008C4D75">
        <w:rPr>
          <w:rFonts w:ascii="Palatino Linotype" w:hAnsi="Palatino Linotype" w:cstheme="minorHAnsi"/>
          <w:bCs/>
          <w:i/>
          <w:sz w:val="20"/>
          <w:szCs w:val="20"/>
        </w:rPr>
        <w:t xml:space="preserve"> any ordering </w:t>
      </w:r>
      <w:r w:rsidR="003225EA" w:rsidRPr="008C4D75">
        <w:rPr>
          <w:rFonts w:ascii="Palatino Linotype" w:hAnsi="Palatino Linotype" w:cstheme="minorHAnsi"/>
          <w:bCs/>
          <w:i/>
          <w:sz w:val="20"/>
          <w:szCs w:val="20"/>
        </w:rPr>
        <w:t>when</w:t>
      </w:r>
      <w:r w:rsidRPr="008C4D75">
        <w:rPr>
          <w:rFonts w:ascii="Palatino Linotype" w:hAnsi="Palatino Linotype" w:cstheme="minorHAnsi"/>
          <w:bCs/>
          <w:i/>
          <w:sz w:val="20"/>
          <w:szCs w:val="20"/>
        </w:rPr>
        <w:t xml:space="preserve"> including risk factors in the patient-mix adjustment model; </w:t>
      </w:r>
      <w:r w:rsidR="00B07429" w:rsidRPr="008C4D75">
        <w:rPr>
          <w:rFonts w:ascii="Palatino Linotype" w:hAnsi="Palatino Linotype" w:cstheme="minorHAnsi"/>
          <w:bCs/>
          <w:i/>
          <w:sz w:val="20"/>
          <w:szCs w:val="20"/>
        </w:rPr>
        <w:t>all patient-mix adjustment fact</w:t>
      </w:r>
      <w:r w:rsidR="004120E9" w:rsidRPr="008C4D75">
        <w:rPr>
          <w:rFonts w:ascii="Palatino Linotype" w:hAnsi="Palatino Linotype" w:cstheme="minorHAnsi"/>
          <w:bCs/>
          <w:i/>
          <w:sz w:val="20"/>
          <w:szCs w:val="20"/>
        </w:rPr>
        <w:t>ors are entered simultaneously.</w:t>
      </w:r>
      <w:r w:rsidR="00092566" w:rsidRPr="008C4D75">
        <w:rPr>
          <w:rFonts w:ascii="Palatino Linotype" w:hAnsi="Palatino Linotype" w:cstheme="minorHAnsi"/>
          <w:bCs/>
          <w:sz w:val="20"/>
          <w:szCs w:val="20"/>
        </w:rPr>
        <w:br/>
      </w:r>
    </w:p>
    <w:p w:rsidR="00275563" w:rsidRDefault="00275563" w:rsidP="006C2A23">
      <w:pPr>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rsidR="00275563" w:rsidRPr="005232D6" w:rsidRDefault="00244A95"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9E35FC">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rsidR="00275563" w:rsidRPr="005232D6" w:rsidRDefault="00244A95"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9E35FC">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rsidR="00275563" w:rsidRPr="005232D6" w:rsidRDefault="00244A95"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rsidR="00275563" w:rsidRDefault="00275563" w:rsidP="00001D73">
      <w:pPr>
        <w:autoSpaceDE w:val="0"/>
        <w:autoSpaceDN w:val="0"/>
        <w:adjustRightInd w:val="0"/>
        <w:spacing w:after="0" w:line="240" w:lineRule="auto"/>
        <w:rPr>
          <w:rFonts w:cstheme="minorHAnsi"/>
          <w:b/>
          <w:bCs/>
        </w:rPr>
      </w:pPr>
    </w:p>
    <w:p w:rsidR="009E35FC"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p>
    <w:p w:rsidR="003225EA" w:rsidRDefault="003225EA" w:rsidP="00001D73">
      <w:pPr>
        <w:autoSpaceDE w:val="0"/>
        <w:autoSpaceDN w:val="0"/>
        <w:adjustRightInd w:val="0"/>
        <w:spacing w:after="0" w:line="240" w:lineRule="auto"/>
        <w:rPr>
          <w:rFonts w:cstheme="minorHAnsi"/>
          <w:b/>
          <w:bCs/>
        </w:rPr>
      </w:pPr>
    </w:p>
    <w:p w:rsidR="00D066FB" w:rsidRDefault="00D066FB" w:rsidP="009E35FC">
      <w:pPr>
        <w:autoSpaceDE w:val="0"/>
        <w:autoSpaceDN w:val="0"/>
        <w:adjustRightInd w:val="0"/>
        <w:spacing w:after="0" w:line="240" w:lineRule="auto"/>
        <w:rPr>
          <w:rFonts w:ascii="Palatino Linotype" w:hAnsi="Palatino Linotype" w:cstheme="minorHAnsi"/>
          <w:bCs/>
          <w:i/>
          <w:sz w:val="20"/>
          <w:szCs w:val="20"/>
        </w:rPr>
      </w:pPr>
      <w:r>
        <w:rPr>
          <w:rFonts w:ascii="Palatino Linotype" w:hAnsi="Palatino Linotype" w:cstheme="minorHAnsi"/>
          <w:bCs/>
          <w:i/>
          <w:sz w:val="20"/>
          <w:szCs w:val="20"/>
        </w:rPr>
        <w:t>The development of social risk factors was first informed by a literature search on social risk factors related to patient experience and survey response. This process included identification of social risk candidate variables. Next, potential social risk factors were analyzed for exclusion due being potentially endogenous to the patient care received. Finally, examination of patient-mix adjusted outcome differences associated with these risk factors.</w:t>
      </w:r>
    </w:p>
    <w:p w:rsidR="00D066FB" w:rsidRDefault="00D066FB" w:rsidP="009E35FC">
      <w:pPr>
        <w:autoSpaceDE w:val="0"/>
        <w:autoSpaceDN w:val="0"/>
        <w:adjustRightInd w:val="0"/>
        <w:spacing w:after="0" w:line="240" w:lineRule="auto"/>
        <w:rPr>
          <w:rFonts w:ascii="Palatino Linotype" w:hAnsi="Palatino Linotype" w:cstheme="minorHAnsi"/>
          <w:bCs/>
          <w:i/>
          <w:sz w:val="20"/>
          <w:szCs w:val="20"/>
        </w:rPr>
      </w:pPr>
    </w:p>
    <w:p w:rsidR="00683AD7" w:rsidRDefault="00683AD7" w:rsidP="00683AD7">
      <w:pPr>
        <w:autoSpaceDE w:val="0"/>
        <w:autoSpaceDN w:val="0"/>
        <w:adjustRightInd w:val="0"/>
        <w:spacing w:after="0" w:line="240" w:lineRule="auto"/>
        <w:rPr>
          <w:rFonts w:ascii="Palatino Linotype" w:hAnsi="Palatino Linotype" w:cstheme="minorHAnsi"/>
          <w:bCs/>
          <w:i/>
          <w:sz w:val="20"/>
          <w:szCs w:val="20"/>
        </w:rPr>
      </w:pPr>
      <w:r>
        <w:rPr>
          <w:rFonts w:ascii="Palatino Linotype" w:hAnsi="Palatino Linotype" w:cstheme="minorHAnsi"/>
          <w:bCs/>
          <w:i/>
          <w:sz w:val="20"/>
          <w:szCs w:val="20"/>
        </w:rPr>
        <w:t>Analyses conducted from a random sample of 19,720 patients discharged from 132 hospitals between December 2002 and January 2003. The objective was</w:t>
      </w:r>
      <w:r w:rsidRPr="00683AD7">
        <w:rPr>
          <w:rFonts w:ascii="Palatino Linotype" w:hAnsi="Palatino Linotype" w:cstheme="minorHAnsi"/>
          <w:bCs/>
          <w:i/>
          <w:sz w:val="20"/>
          <w:szCs w:val="20"/>
        </w:rPr>
        <w:t xml:space="preserve"> to assess the extent to which</w:t>
      </w:r>
      <w:r>
        <w:rPr>
          <w:rFonts w:ascii="Palatino Linotype" w:hAnsi="Palatino Linotype" w:cstheme="minorHAnsi"/>
          <w:bCs/>
          <w:i/>
          <w:sz w:val="20"/>
          <w:szCs w:val="20"/>
        </w:rPr>
        <w:t xml:space="preserve"> </w:t>
      </w:r>
      <w:r w:rsidRPr="00683AD7">
        <w:rPr>
          <w:rFonts w:ascii="Palatino Linotype" w:hAnsi="Palatino Linotype" w:cstheme="minorHAnsi"/>
          <w:bCs/>
          <w:i/>
          <w:sz w:val="20"/>
          <w:szCs w:val="20"/>
        </w:rPr>
        <w:t>patient characteristics predict patient ratings (‘‘predictive power’’</w:t>
      </w:r>
      <w:r>
        <w:rPr>
          <w:rFonts w:ascii="Palatino Linotype" w:hAnsi="Palatino Linotype" w:cstheme="minorHAnsi"/>
          <w:bCs/>
          <w:i/>
          <w:sz w:val="20"/>
          <w:szCs w:val="20"/>
        </w:rPr>
        <w:t xml:space="preserve">) and the heterogeneity </w:t>
      </w:r>
      <w:r w:rsidRPr="00683AD7">
        <w:rPr>
          <w:rFonts w:ascii="Palatino Linotype" w:hAnsi="Palatino Linotype" w:cstheme="minorHAnsi"/>
          <w:bCs/>
          <w:i/>
          <w:sz w:val="20"/>
          <w:szCs w:val="20"/>
        </w:rPr>
        <w:t>of the characteristics across hospitals.</w:t>
      </w:r>
      <w:r>
        <w:rPr>
          <w:rFonts w:ascii="Palatino Linotype" w:hAnsi="Palatino Linotype" w:cstheme="minorHAnsi"/>
          <w:bCs/>
          <w:i/>
          <w:sz w:val="20"/>
          <w:szCs w:val="20"/>
        </w:rPr>
        <w:t xml:space="preserve"> T</w:t>
      </w:r>
      <w:r w:rsidRPr="00683AD7">
        <w:rPr>
          <w:rFonts w:ascii="Palatino Linotype" w:hAnsi="Palatino Linotype" w:cstheme="minorHAnsi"/>
          <w:bCs/>
          <w:i/>
          <w:sz w:val="20"/>
          <w:szCs w:val="20"/>
        </w:rPr>
        <w:t>he</w:t>
      </w:r>
      <w:r>
        <w:rPr>
          <w:rFonts w:ascii="Palatino Linotype" w:hAnsi="Palatino Linotype" w:cstheme="minorHAnsi"/>
          <w:bCs/>
          <w:i/>
          <w:sz w:val="20"/>
          <w:szCs w:val="20"/>
        </w:rPr>
        <w:t xml:space="preserve"> </w:t>
      </w:r>
      <w:r w:rsidRPr="00683AD7">
        <w:rPr>
          <w:rFonts w:ascii="Palatino Linotype" w:hAnsi="Palatino Linotype" w:cstheme="minorHAnsi"/>
          <w:bCs/>
          <w:i/>
          <w:sz w:val="20"/>
          <w:szCs w:val="20"/>
        </w:rPr>
        <w:t>measures</w:t>
      </w:r>
      <w:r>
        <w:rPr>
          <w:rFonts w:ascii="Palatino Linotype" w:hAnsi="Palatino Linotype" w:cstheme="minorHAnsi"/>
          <w:bCs/>
          <w:i/>
          <w:sz w:val="20"/>
          <w:szCs w:val="20"/>
        </w:rPr>
        <w:t xml:space="preserve"> were combined to estimate the impact </w:t>
      </w:r>
      <w:r w:rsidRPr="00683AD7">
        <w:rPr>
          <w:rFonts w:ascii="Palatino Linotype" w:hAnsi="Palatino Linotype" w:cstheme="minorHAnsi"/>
          <w:bCs/>
          <w:i/>
          <w:sz w:val="20"/>
          <w:szCs w:val="20"/>
        </w:rPr>
        <w:t>of each predictor (‘‘impact factor’’</w:t>
      </w:r>
      <w:r>
        <w:rPr>
          <w:rFonts w:ascii="Palatino Linotype" w:hAnsi="Palatino Linotype" w:cstheme="minorHAnsi"/>
          <w:bCs/>
          <w:i/>
          <w:sz w:val="20"/>
          <w:szCs w:val="20"/>
        </w:rPr>
        <w:t>)</w:t>
      </w:r>
      <w:r w:rsidRPr="00683AD7">
        <w:rPr>
          <w:rFonts w:ascii="Palatino Linotype" w:hAnsi="Palatino Linotype" w:cstheme="minorHAnsi"/>
          <w:bCs/>
          <w:i/>
          <w:sz w:val="20"/>
          <w:szCs w:val="20"/>
        </w:rPr>
        <w:t xml:space="preserve"> high impact variables</w:t>
      </w:r>
      <w:r>
        <w:rPr>
          <w:rFonts w:ascii="Palatino Linotype" w:hAnsi="Palatino Linotype" w:cstheme="minorHAnsi"/>
          <w:bCs/>
          <w:i/>
          <w:sz w:val="20"/>
          <w:szCs w:val="20"/>
        </w:rPr>
        <w:t xml:space="preserve"> were selected</w:t>
      </w:r>
      <w:r w:rsidRPr="00683AD7">
        <w:rPr>
          <w:rFonts w:ascii="Palatino Linotype" w:hAnsi="Palatino Linotype" w:cstheme="minorHAnsi"/>
          <w:bCs/>
          <w:i/>
          <w:sz w:val="20"/>
          <w:szCs w:val="20"/>
        </w:rPr>
        <w:t xml:space="preserve"> for </w:t>
      </w:r>
      <w:r>
        <w:rPr>
          <w:rFonts w:ascii="Palatino Linotype" w:hAnsi="Palatino Linotype" w:cstheme="minorHAnsi"/>
          <w:bCs/>
          <w:i/>
          <w:sz w:val="20"/>
          <w:szCs w:val="20"/>
        </w:rPr>
        <w:t xml:space="preserve">adjusting </w:t>
      </w:r>
      <w:r w:rsidRPr="00683AD7">
        <w:rPr>
          <w:rFonts w:ascii="Palatino Linotype" w:hAnsi="Palatino Linotype" w:cstheme="minorHAnsi"/>
          <w:bCs/>
          <w:i/>
          <w:sz w:val="20"/>
          <w:szCs w:val="20"/>
        </w:rPr>
        <w:t xml:space="preserve">ratings </w:t>
      </w:r>
      <w:r>
        <w:rPr>
          <w:rFonts w:ascii="Palatino Linotype" w:hAnsi="Palatino Linotype" w:cstheme="minorHAnsi"/>
          <w:bCs/>
          <w:i/>
          <w:sz w:val="20"/>
          <w:szCs w:val="20"/>
        </w:rPr>
        <w:t xml:space="preserve">for HCAHPS. </w:t>
      </w:r>
    </w:p>
    <w:p w:rsidR="00683AD7" w:rsidRDefault="00683AD7" w:rsidP="00683AD7">
      <w:pPr>
        <w:autoSpaceDE w:val="0"/>
        <w:autoSpaceDN w:val="0"/>
        <w:adjustRightInd w:val="0"/>
        <w:spacing w:after="0" w:line="240" w:lineRule="auto"/>
        <w:rPr>
          <w:rFonts w:ascii="Palatino Linotype" w:hAnsi="Palatino Linotype" w:cstheme="minorHAnsi"/>
          <w:bCs/>
          <w:i/>
          <w:sz w:val="20"/>
          <w:szCs w:val="20"/>
        </w:rPr>
      </w:pPr>
    </w:p>
    <w:p w:rsidR="00D066FB" w:rsidRDefault="00683AD7" w:rsidP="00683AD7">
      <w:pPr>
        <w:autoSpaceDE w:val="0"/>
        <w:autoSpaceDN w:val="0"/>
        <w:adjustRightInd w:val="0"/>
        <w:spacing w:after="0" w:line="240" w:lineRule="auto"/>
        <w:rPr>
          <w:rFonts w:ascii="Palatino Linotype" w:hAnsi="Palatino Linotype" w:cstheme="minorHAnsi"/>
          <w:bCs/>
          <w:i/>
          <w:sz w:val="20"/>
          <w:szCs w:val="20"/>
        </w:rPr>
      </w:pPr>
      <w:r w:rsidRPr="00683AD7">
        <w:rPr>
          <w:rFonts w:ascii="Palatino Linotype" w:hAnsi="Palatino Linotype" w:cstheme="minorHAnsi"/>
          <w:bCs/>
          <w:i/>
          <w:sz w:val="20"/>
          <w:szCs w:val="20"/>
        </w:rPr>
        <w:t>The most im</w:t>
      </w:r>
      <w:r>
        <w:rPr>
          <w:rFonts w:ascii="Palatino Linotype" w:hAnsi="Palatino Linotype" w:cstheme="minorHAnsi"/>
          <w:bCs/>
          <w:i/>
          <w:sz w:val="20"/>
          <w:szCs w:val="20"/>
        </w:rPr>
        <w:t xml:space="preserve">portant case-mix variables were hospital service </w:t>
      </w:r>
      <w:r w:rsidRPr="00683AD7">
        <w:rPr>
          <w:rFonts w:ascii="Palatino Linotype" w:hAnsi="Palatino Linotype" w:cstheme="minorHAnsi"/>
          <w:bCs/>
          <w:i/>
          <w:sz w:val="20"/>
          <w:szCs w:val="20"/>
        </w:rPr>
        <w:t>(surgery, obstetric, medical), age, race (non-Hispanic bl</w:t>
      </w:r>
      <w:r>
        <w:rPr>
          <w:rFonts w:ascii="Palatino Linotype" w:hAnsi="Palatino Linotype" w:cstheme="minorHAnsi"/>
          <w:bCs/>
          <w:i/>
          <w:sz w:val="20"/>
          <w:szCs w:val="20"/>
        </w:rPr>
        <w:t xml:space="preserve">ack), education, general health </w:t>
      </w:r>
      <w:r w:rsidRPr="00683AD7">
        <w:rPr>
          <w:rFonts w:ascii="Palatino Linotype" w:hAnsi="Palatino Linotype" w:cstheme="minorHAnsi"/>
          <w:bCs/>
          <w:i/>
          <w:sz w:val="20"/>
          <w:szCs w:val="20"/>
        </w:rPr>
        <w:t>status (GHS), speaking Spanish at home, having a circula</w:t>
      </w:r>
      <w:r>
        <w:rPr>
          <w:rFonts w:ascii="Palatino Linotype" w:hAnsi="Palatino Linotype" w:cstheme="minorHAnsi"/>
          <w:bCs/>
          <w:i/>
          <w:sz w:val="20"/>
          <w:szCs w:val="20"/>
        </w:rPr>
        <w:t xml:space="preserve">tory disorder, and interactions </w:t>
      </w:r>
      <w:r w:rsidRPr="00683AD7">
        <w:rPr>
          <w:rFonts w:ascii="Palatino Linotype" w:hAnsi="Palatino Linotype" w:cstheme="minorHAnsi"/>
          <w:bCs/>
          <w:i/>
          <w:sz w:val="20"/>
          <w:szCs w:val="20"/>
        </w:rPr>
        <w:t>of each of these variables with service. Adjustment</w:t>
      </w:r>
      <w:r>
        <w:rPr>
          <w:rFonts w:ascii="Palatino Linotype" w:hAnsi="Palatino Linotype" w:cstheme="minorHAnsi"/>
          <w:bCs/>
          <w:i/>
          <w:sz w:val="20"/>
          <w:szCs w:val="20"/>
        </w:rPr>
        <w:t xml:space="preserve"> for GHS and education affected </w:t>
      </w:r>
      <w:r w:rsidRPr="00683AD7">
        <w:rPr>
          <w:rFonts w:ascii="Palatino Linotype" w:hAnsi="Palatino Linotype" w:cstheme="minorHAnsi"/>
          <w:bCs/>
          <w:i/>
          <w:sz w:val="20"/>
          <w:szCs w:val="20"/>
        </w:rPr>
        <w:t>scores in each of the three services, while age and being n</w:t>
      </w:r>
      <w:r>
        <w:rPr>
          <w:rFonts w:ascii="Palatino Linotype" w:hAnsi="Palatino Linotype" w:cstheme="minorHAnsi"/>
          <w:bCs/>
          <w:i/>
          <w:sz w:val="20"/>
          <w:szCs w:val="20"/>
        </w:rPr>
        <w:t xml:space="preserve">on-Hispanic black had important </w:t>
      </w:r>
      <w:r w:rsidRPr="00683AD7">
        <w:rPr>
          <w:rFonts w:ascii="Palatino Linotype" w:hAnsi="Palatino Linotype" w:cstheme="minorHAnsi"/>
          <w:bCs/>
          <w:i/>
          <w:sz w:val="20"/>
          <w:szCs w:val="20"/>
        </w:rPr>
        <w:t xml:space="preserve">impacts for those receiving surgery or medical </w:t>
      </w:r>
      <w:r>
        <w:rPr>
          <w:rFonts w:ascii="Palatino Linotype" w:hAnsi="Palatino Linotype" w:cstheme="minorHAnsi"/>
          <w:bCs/>
          <w:i/>
          <w:sz w:val="20"/>
          <w:szCs w:val="20"/>
        </w:rPr>
        <w:t xml:space="preserve">services. Circulatory disorder, </w:t>
      </w:r>
      <w:r w:rsidRPr="00683AD7">
        <w:rPr>
          <w:rFonts w:ascii="Palatino Linotype" w:hAnsi="Palatino Linotype" w:cstheme="minorHAnsi"/>
          <w:bCs/>
          <w:i/>
          <w:sz w:val="20"/>
          <w:szCs w:val="20"/>
        </w:rPr>
        <w:t xml:space="preserve">Spanish language, and Hispanic affected scores for those </w:t>
      </w:r>
      <w:r>
        <w:rPr>
          <w:rFonts w:ascii="Palatino Linotype" w:hAnsi="Palatino Linotype" w:cstheme="minorHAnsi"/>
          <w:bCs/>
          <w:i/>
          <w:sz w:val="20"/>
          <w:szCs w:val="20"/>
        </w:rPr>
        <w:t xml:space="preserve">treated on surgery, obstetrics, </w:t>
      </w:r>
      <w:r w:rsidRPr="00683AD7">
        <w:rPr>
          <w:rFonts w:ascii="Palatino Linotype" w:hAnsi="Palatino Linotype" w:cstheme="minorHAnsi"/>
          <w:bCs/>
          <w:i/>
          <w:sz w:val="20"/>
          <w:szCs w:val="20"/>
        </w:rPr>
        <w:t xml:space="preserve">and medical services, respectively. </w:t>
      </w:r>
      <w:r>
        <w:rPr>
          <w:rFonts w:ascii="Palatino Linotype" w:hAnsi="Palatino Linotype" w:cstheme="minorHAnsi"/>
          <w:bCs/>
          <w:i/>
          <w:sz w:val="20"/>
          <w:szCs w:val="20"/>
        </w:rPr>
        <w:t xml:space="preserve">Of the 20 medical conditions tested, only circulatory </w:t>
      </w:r>
      <w:r w:rsidRPr="00683AD7">
        <w:rPr>
          <w:rFonts w:ascii="Palatino Linotype" w:hAnsi="Palatino Linotype" w:cstheme="minorHAnsi"/>
          <w:bCs/>
          <w:i/>
          <w:sz w:val="20"/>
          <w:szCs w:val="20"/>
        </w:rPr>
        <w:t>problems had an important impact within an</w:t>
      </w:r>
      <w:r>
        <w:rPr>
          <w:rFonts w:ascii="Palatino Linotype" w:hAnsi="Palatino Linotype" w:cstheme="minorHAnsi"/>
          <w:bCs/>
          <w:i/>
          <w:sz w:val="20"/>
          <w:szCs w:val="20"/>
        </w:rPr>
        <w:t xml:space="preserve">y of the services. Results were </w:t>
      </w:r>
      <w:r w:rsidRPr="00683AD7">
        <w:rPr>
          <w:rFonts w:ascii="Palatino Linotype" w:hAnsi="Palatino Linotype" w:cstheme="minorHAnsi"/>
          <w:bCs/>
          <w:i/>
          <w:sz w:val="20"/>
          <w:szCs w:val="20"/>
        </w:rPr>
        <w:t>consistent for the overall ratings of nurse, doctor, and</w:t>
      </w:r>
      <w:r>
        <w:rPr>
          <w:rFonts w:ascii="Palatino Linotype" w:hAnsi="Palatino Linotype" w:cstheme="minorHAnsi"/>
          <w:bCs/>
          <w:i/>
          <w:sz w:val="20"/>
          <w:szCs w:val="20"/>
        </w:rPr>
        <w:t xml:space="preserve"> hospital. Although the overall </w:t>
      </w:r>
      <w:r w:rsidRPr="00683AD7">
        <w:rPr>
          <w:rFonts w:ascii="Palatino Linotype" w:hAnsi="Palatino Linotype" w:cstheme="minorHAnsi"/>
          <w:bCs/>
          <w:i/>
          <w:sz w:val="20"/>
          <w:szCs w:val="20"/>
        </w:rPr>
        <w:t>impact of case-mix adjustment is modest, the rankings of some</w:t>
      </w:r>
      <w:r>
        <w:rPr>
          <w:rFonts w:ascii="Palatino Linotype" w:hAnsi="Palatino Linotype" w:cstheme="minorHAnsi"/>
          <w:bCs/>
          <w:i/>
          <w:sz w:val="20"/>
          <w:szCs w:val="20"/>
        </w:rPr>
        <w:t xml:space="preserve"> hospitals may be substantially </w:t>
      </w:r>
      <w:r w:rsidRPr="00683AD7">
        <w:rPr>
          <w:rFonts w:ascii="Palatino Linotype" w:hAnsi="Palatino Linotype" w:cstheme="minorHAnsi"/>
          <w:bCs/>
          <w:i/>
          <w:sz w:val="20"/>
          <w:szCs w:val="20"/>
        </w:rPr>
        <w:t>affected.</w:t>
      </w:r>
      <w:r w:rsidR="005102B9">
        <w:rPr>
          <w:rFonts w:ascii="Palatino Linotype" w:hAnsi="Palatino Linotype" w:cstheme="minorHAnsi"/>
          <w:bCs/>
          <w:i/>
          <w:sz w:val="20"/>
          <w:szCs w:val="20"/>
        </w:rPr>
        <w:t xml:space="preserve"> In conclusion, c</w:t>
      </w:r>
      <w:r w:rsidRPr="00683AD7">
        <w:rPr>
          <w:rFonts w:ascii="Palatino Linotype" w:hAnsi="Palatino Linotype" w:cstheme="minorHAnsi"/>
          <w:bCs/>
          <w:i/>
          <w:sz w:val="20"/>
          <w:szCs w:val="20"/>
        </w:rPr>
        <w:t>ase-mix adjustment ha</w:t>
      </w:r>
      <w:r w:rsidR="005102B9">
        <w:rPr>
          <w:rFonts w:ascii="Palatino Linotype" w:hAnsi="Palatino Linotype" w:cstheme="minorHAnsi"/>
          <w:bCs/>
          <w:i/>
          <w:sz w:val="20"/>
          <w:szCs w:val="20"/>
        </w:rPr>
        <w:t>d</w:t>
      </w:r>
      <w:r w:rsidRPr="00683AD7">
        <w:rPr>
          <w:rFonts w:ascii="Palatino Linotype" w:hAnsi="Palatino Linotype" w:cstheme="minorHAnsi"/>
          <w:bCs/>
          <w:i/>
          <w:sz w:val="20"/>
          <w:szCs w:val="20"/>
        </w:rPr>
        <w:t xml:space="preserve"> a small imp</w:t>
      </w:r>
      <w:r w:rsidR="005102B9">
        <w:rPr>
          <w:rFonts w:ascii="Palatino Linotype" w:hAnsi="Palatino Linotype" w:cstheme="minorHAnsi"/>
          <w:bCs/>
          <w:i/>
          <w:sz w:val="20"/>
          <w:szCs w:val="20"/>
        </w:rPr>
        <w:t xml:space="preserve">act on hospital ratings, but may lead </w:t>
      </w:r>
      <w:r w:rsidRPr="00683AD7">
        <w:rPr>
          <w:rFonts w:ascii="Palatino Linotype" w:hAnsi="Palatino Linotype" w:cstheme="minorHAnsi"/>
          <w:bCs/>
          <w:i/>
          <w:sz w:val="20"/>
          <w:szCs w:val="20"/>
        </w:rPr>
        <w:t>to important reductions in the bias in comparisons between hospitals.</w:t>
      </w:r>
    </w:p>
    <w:p w:rsidR="00CF1B46" w:rsidRDefault="00CF1B46" w:rsidP="00683AD7">
      <w:pPr>
        <w:autoSpaceDE w:val="0"/>
        <w:autoSpaceDN w:val="0"/>
        <w:adjustRightInd w:val="0"/>
        <w:spacing w:after="0" w:line="240" w:lineRule="auto"/>
        <w:rPr>
          <w:rFonts w:ascii="Palatino Linotype" w:hAnsi="Palatino Linotype" w:cstheme="minorHAnsi"/>
          <w:bCs/>
          <w:i/>
          <w:sz w:val="20"/>
          <w:szCs w:val="20"/>
        </w:rPr>
      </w:pPr>
    </w:p>
    <w:p w:rsidR="00CF1B46" w:rsidRDefault="00CF1B46" w:rsidP="00683AD7">
      <w:pPr>
        <w:autoSpaceDE w:val="0"/>
        <w:autoSpaceDN w:val="0"/>
        <w:adjustRightInd w:val="0"/>
        <w:spacing w:after="0" w:line="240" w:lineRule="auto"/>
        <w:rPr>
          <w:rFonts w:ascii="Palatino Linotype" w:hAnsi="Palatino Linotype" w:cstheme="minorHAnsi"/>
          <w:bCs/>
          <w:i/>
          <w:sz w:val="20"/>
          <w:szCs w:val="20"/>
        </w:rPr>
      </w:pPr>
      <w:r>
        <w:rPr>
          <w:rFonts w:ascii="Palatino Linotype" w:hAnsi="Palatino Linotype" w:cstheme="minorHAnsi"/>
          <w:bCs/>
          <w:i/>
          <w:sz w:val="20"/>
          <w:szCs w:val="20"/>
        </w:rPr>
        <w:t xml:space="preserve">The stepwise </w:t>
      </w:r>
      <w:r w:rsidR="00B63513">
        <w:rPr>
          <w:rFonts w:ascii="Palatino Linotype" w:hAnsi="Palatino Linotype" w:cstheme="minorHAnsi"/>
          <w:bCs/>
          <w:i/>
          <w:sz w:val="20"/>
          <w:szCs w:val="20"/>
        </w:rPr>
        <w:t>case-mix adjustment analysis below predicts kept items and composites (outcomes) in linear regression at the patient level using hospital intercepts, in addition to case mix adjusters and social risk variables.</w:t>
      </w:r>
    </w:p>
    <w:p w:rsidR="00BA5A5C" w:rsidRDefault="00BA5A5C" w:rsidP="00683AD7">
      <w:pPr>
        <w:autoSpaceDE w:val="0"/>
        <w:autoSpaceDN w:val="0"/>
        <w:adjustRightInd w:val="0"/>
        <w:spacing w:after="0" w:line="240" w:lineRule="auto"/>
        <w:rPr>
          <w:rFonts w:ascii="Palatino Linotype" w:hAnsi="Palatino Linotype" w:cstheme="minorHAnsi"/>
          <w:bCs/>
          <w:i/>
          <w:sz w:val="20"/>
          <w:szCs w:val="20"/>
        </w:rPr>
      </w:pPr>
    </w:p>
    <w:p w:rsidR="002B0694" w:rsidRDefault="002B0694" w:rsidP="00683AD7">
      <w:pPr>
        <w:autoSpaceDE w:val="0"/>
        <w:autoSpaceDN w:val="0"/>
        <w:adjustRightInd w:val="0"/>
        <w:spacing w:after="0" w:line="240" w:lineRule="auto"/>
        <w:rPr>
          <w:rFonts w:ascii="Palatino Linotype" w:hAnsi="Palatino Linotype" w:cstheme="minorHAnsi"/>
          <w:bCs/>
          <w:i/>
          <w:sz w:val="20"/>
          <w:szCs w:val="20"/>
        </w:rPr>
      </w:pPr>
    </w:p>
    <w:p w:rsidR="002B0694" w:rsidRDefault="002B0694" w:rsidP="00683AD7">
      <w:pPr>
        <w:autoSpaceDE w:val="0"/>
        <w:autoSpaceDN w:val="0"/>
        <w:adjustRightInd w:val="0"/>
        <w:spacing w:after="0" w:line="240" w:lineRule="auto"/>
        <w:rPr>
          <w:rFonts w:ascii="Palatino Linotype" w:hAnsi="Palatino Linotype" w:cstheme="minorHAnsi"/>
          <w:bCs/>
          <w:i/>
          <w:sz w:val="20"/>
          <w:szCs w:val="20"/>
        </w:rPr>
      </w:pPr>
    </w:p>
    <w:p w:rsidR="002B0694" w:rsidRDefault="002B0694" w:rsidP="00683AD7">
      <w:pPr>
        <w:autoSpaceDE w:val="0"/>
        <w:autoSpaceDN w:val="0"/>
        <w:adjustRightInd w:val="0"/>
        <w:spacing w:after="0" w:line="240" w:lineRule="auto"/>
        <w:rPr>
          <w:rFonts w:ascii="Palatino Linotype" w:hAnsi="Palatino Linotype" w:cstheme="minorHAnsi"/>
          <w:bCs/>
          <w:i/>
          <w:sz w:val="20"/>
          <w:szCs w:val="20"/>
        </w:rPr>
      </w:pPr>
    </w:p>
    <w:p w:rsidR="00BA5A5C" w:rsidRDefault="00BA5A5C" w:rsidP="00683AD7">
      <w:pPr>
        <w:autoSpaceDE w:val="0"/>
        <w:autoSpaceDN w:val="0"/>
        <w:adjustRightInd w:val="0"/>
        <w:spacing w:after="0" w:line="240" w:lineRule="auto"/>
        <w:rPr>
          <w:rFonts w:ascii="Palatino Linotype" w:hAnsi="Palatino Linotype" w:cstheme="minorHAnsi"/>
          <w:bCs/>
          <w:i/>
          <w:sz w:val="20"/>
          <w:szCs w:val="20"/>
        </w:rPr>
      </w:pPr>
      <w:r w:rsidRPr="00961492">
        <w:rPr>
          <w:rFonts w:ascii="Calibri" w:eastAsia="Times New Roman" w:hAnsi="Calibri" w:cs="Times New Roman"/>
          <w:color w:val="49494D"/>
          <w:sz w:val="18"/>
          <w:szCs w:val="18"/>
        </w:rPr>
        <w:t xml:space="preserve">Table 1:    Stepwise Analysis </w:t>
      </w:r>
      <w:r w:rsidRPr="00961492">
        <w:rPr>
          <w:rFonts w:ascii="Calibri" w:eastAsia="Times New Roman" w:hAnsi="Calibri" w:cs="Times New Roman"/>
          <w:color w:val="6E6E72"/>
          <w:sz w:val="18"/>
          <w:szCs w:val="18"/>
        </w:rPr>
        <w:t>(</w:t>
      </w:r>
      <w:r w:rsidRPr="00961492">
        <w:rPr>
          <w:rFonts w:ascii="Calibri" w:eastAsia="Times New Roman" w:hAnsi="Calibri" w:cs="Times New Roman"/>
          <w:color w:val="49494D"/>
          <w:sz w:val="18"/>
          <w:szCs w:val="18"/>
        </w:rPr>
        <w:t>All Serv</w:t>
      </w:r>
      <w:r w:rsidRPr="00961492">
        <w:rPr>
          <w:rFonts w:ascii="Calibri" w:eastAsia="Times New Roman" w:hAnsi="Calibri" w:cs="Times New Roman"/>
          <w:color w:val="312B2F"/>
          <w:sz w:val="18"/>
          <w:szCs w:val="18"/>
        </w:rPr>
        <w:t>i</w:t>
      </w:r>
      <w:r w:rsidRPr="00961492">
        <w:rPr>
          <w:rFonts w:ascii="Calibri" w:eastAsia="Times New Roman" w:hAnsi="Calibri" w:cs="Times New Roman"/>
          <w:color w:val="49494D"/>
          <w:sz w:val="18"/>
          <w:szCs w:val="18"/>
        </w:rPr>
        <w:t>ces</w:t>
      </w:r>
      <w:r w:rsidRPr="00961492">
        <w:rPr>
          <w:rFonts w:ascii="Calibri" w:eastAsia="Times New Roman" w:hAnsi="Calibri" w:cs="Times New Roman"/>
          <w:color w:val="6E6E72"/>
          <w:sz w:val="18"/>
          <w:szCs w:val="18"/>
        </w:rPr>
        <w:t>)</w:t>
      </w:r>
    </w:p>
    <w:p w:rsidR="00B26009" w:rsidRDefault="00B26009" w:rsidP="00683AD7">
      <w:pPr>
        <w:autoSpaceDE w:val="0"/>
        <w:autoSpaceDN w:val="0"/>
        <w:adjustRightInd w:val="0"/>
        <w:spacing w:after="0" w:line="240" w:lineRule="auto"/>
        <w:rPr>
          <w:rFonts w:ascii="Palatino Linotype" w:hAnsi="Palatino Linotype" w:cstheme="minorHAnsi"/>
          <w:bCs/>
          <w:i/>
          <w:sz w:val="20"/>
          <w:szCs w:val="20"/>
        </w:rPr>
      </w:pPr>
    </w:p>
    <w:tbl>
      <w:tblPr>
        <w:tblW w:w="8524" w:type="dxa"/>
        <w:tblInd w:w="108" w:type="dxa"/>
        <w:tblLook w:val="04A0" w:firstRow="1" w:lastRow="0" w:firstColumn="1" w:lastColumn="0" w:noHBand="0" w:noVBand="1"/>
        <w:tblCaption w:val="Table with Stepwise Analysis"/>
        <w:tblDescription w:val="The stepwise case-mix adjustment analysis below predicts kept items and composites (outcomes) in linear regression at the patient level using hospital intercepts"/>
      </w:tblPr>
      <w:tblGrid>
        <w:gridCol w:w="2213"/>
        <w:gridCol w:w="1150"/>
        <w:gridCol w:w="922"/>
        <w:gridCol w:w="1060"/>
        <w:gridCol w:w="1060"/>
        <w:gridCol w:w="1096"/>
        <w:gridCol w:w="1023"/>
      </w:tblGrid>
      <w:tr w:rsidR="006F0FFC" w:rsidRPr="00961492" w:rsidTr="00BA5A5C">
        <w:trPr>
          <w:trHeight w:val="242"/>
        </w:trPr>
        <w:tc>
          <w:tcPr>
            <w:tcW w:w="2213" w:type="dxa"/>
            <w:tcBorders>
              <w:top w:val="nil"/>
              <w:left w:val="nil"/>
              <w:bottom w:val="nil"/>
              <w:right w:val="nil"/>
            </w:tcBorders>
            <w:shd w:val="clear" w:color="auto" w:fill="auto"/>
            <w:noWrap/>
            <w:hideMark/>
          </w:tcPr>
          <w:p w:rsidR="006F0FFC" w:rsidRPr="00961492" w:rsidRDefault="006F0FFC" w:rsidP="006F0FFC">
            <w:pPr>
              <w:spacing w:after="0" w:line="240" w:lineRule="auto"/>
              <w:rPr>
                <w:rFonts w:ascii="Calibri" w:eastAsia="Times New Roman" w:hAnsi="Calibri" w:cs="Times New Roman"/>
                <w:i/>
                <w:iCs/>
                <w:sz w:val="18"/>
                <w:szCs w:val="18"/>
              </w:rPr>
            </w:pPr>
          </w:p>
        </w:tc>
        <w:tc>
          <w:tcPr>
            <w:tcW w:w="2072"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Nurse Rating</w:t>
            </w:r>
          </w:p>
        </w:tc>
        <w:tc>
          <w:tcPr>
            <w:tcW w:w="2120" w:type="dxa"/>
            <w:gridSpan w:val="2"/>
            <w:tcBorders>
              <w:top w:val="single" w:sz="4" w:space="0" w:color="auto"/>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xml:space="preserve"> Doctor Rating  </w:t>
            </w:r>
          </w:p>
        </w:tc>
        <w:tc>
          <w:tcPr>
            <w:tcW w:w="2119" w:type="dxa"/>
            <w:gridSpan w:val="2"/>
            <w:tcBorders>
              <w:top w:val="single" w:sz="4" w:space="0" w:color="auto"/>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Hospital Rating</w:t>
            </w:r>
          </w:p>
        </w:tc>
      </w:tr>
      <w:tr w:rsidR="006F0FFC" w:rsidRPr="00961492" w:rsidTr="00BA5A5C">
        <w:trPr>
          <w:trHeight w:val="553"/>
          <w:tblHeader/>
        </w:trPr>
        <w:tc>
          <w:tcPr>
            <w:tcW w:w="22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i/>
                <w:iCs/>
                <w:sz w:val="18"/>
                <w:szCs w:val="18"/>
              </w:rPr>
              <w:t>Predictor Levels</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i/>
                <w:iCs/>
                <w:sz w:val="18"/>
                <w:szCs w:val="18"/>
              </w:rPr>
              <w:t>Parameter Estimate</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i/>
                <w:iCs/>
                <w:sz w:val="18"/>
                <w:szCs w:val="18"/>
              </w:rPr>
              <w:t>Overall p-Value</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i/>
                <w:iCs/>
                <w:sz w:val="18"/>
                <w:szCs w:val="18"/>
              </w:rPr>
              <w:t>Parameter Estimate</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i/>
                <w:iCs/>
                <w:sz w:val="18"/>
                <w:szCs w:val="18"/>
              </w:rPr>
              <w:t>Overall p-Value</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Pr>
                <w:rFonts w:ascii="Calibri" w:eastAsia="Times New Roman" w:hAnsi="Calibri" w:cs="Times New Roman"/>
                <w:i/>
                <w:iCs/>
                <w:sz w:val="18"/>
                <w:szCs w:val="18"/>
              </w:rPr>
              <w:t>Parameter Estimate</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i/>
                <w:iCs/>
                <w:sz w:val="18"/>
                <w:szCs w:val="18"/>
              </w:rPr>
              <w:t>Overall p-Value</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rPr>
                <w:rFonts w:ascii="Calibri" w:eastAsia="Times New Roman" w:hAnsi="Calibri" w:cs="Times New Roman"/>
                <w:sz w:val="18"/>
                <w:szCs w:val="18"/>
              </w:rPr>
            </w:pPr>
            <w:r w:rsidRPr="00961492">
              <w:rPr>
                <w:rFonts w:ascii="Calibri" w:eastAsia="Times New Roman" w:hAnsi="Calibri" w:cs="Times New Roman"/>
                <w:sz w:val="18"/>
                <w:szCs w:val="18"/>
              </w:rPr>
              <w:t>In</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100" w:firstLine="180"/>
              <w:rPr>
                <w:rFonts w:ascii="Calibri" w:eastAsia="Times New Roman" w:hAnsi="Calibri" w:cs="Times New Roman"/>
                <w:sz w:val="18"/>
                <w:szCs w:val="18"/>
              </w:rPr>
            </w:pPr>
            <w:r w:rsidRPr="00961492">
              <w:rPr>
                <w:rFonts w:ascii="Calibri" w:eastAsia="Times New Roman" w:hAnsi="Calibri" w:cs="Times New Roman"/>
                <w:sz w:val="18"/>
                <w:szCs w:val="18"/>
              </w:rPr>
              <w:t>Intercept</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8.20</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&lt;.0001</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8.74</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8.28</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100" w:firstLine="180"/>
              <w:rPr>
                <w:rFonts w:ascii="Calibri" w:eastAsia="Times New Roman" w:hAnsi="Calibri" w:cs="Times New Roman"/>
                <w:sz w:val="18"/>
                <w:szCs w:val="18"/>
              </w:rPr>
            </w:pPr>
            <w:r w:rsidRPr="00961492">
              <w:rPr>
                <w:rFonts w:ascii="Calibri" w:eastAsia="Times New Roman" w:hAnsi="Calibri" w:cs="Times New Roman"/>
                <w:sz w:val="18"/>
                <w:szCs w:val="18"/>
              </w:rPr>
              <w:t>Service</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100" w:firstLine="180"/>
              <w:jc w:val="right"/>
              <w:rPr>
                <w:rFonts w:ascii="Calibri" w:eastAsia="Times New Roman" w:hAnsi="Calibri" w:cs="Times New Roman"/>
                <w:sz w:val="18"/>
                <w:szCs w:val="18"/>
              </w:rPr>
            </w:pPr>
            <w:r w:rsidRPr="00961492">
              <w:rPr>
                <w:rFonts w:ascii="Calibri" w:eastAsia="Times New Roman" w:hAnsi="Calibri" w:cs="Times New Roman"/>
                <w:sz w:val="18"/>
                <w:szCs w:val="18"/>
              </w:rPr>
              <w:t>Medical</w:t>
            </w:r>
          </w:p>
        </w:tc>
        <w:tc>
          <w:tcPr>
            <w:tcW w:w="1150" w:type="dxa"/>
            <w:tcBorders>
              <w:top w:val="nil"/>
              <w:left w:val="nil"/>
              <w:bottom w:val="single" w:sz="4" w:space="0" w:color="auto"/>
              <w:right w:val="single" w:sz="4" w:space="0" w:color="auto"/>
            </w:tcBorders>
            <w:shd w:val="clear" w:color="auto" w:fill="auto"/>
            <w:vAlign w:val="center"/>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0.04</w:t>
            </w:r>
          </w:p>
        </w:tc>
        <w:tc>
          <w:tcPr>
            <w:tcW w:w="922" w:type="dxa"/>
            <w:tcBorders>
              <w:top w:val="nil"/>
              <w:left w:val="nil"/>
              <w:bottom w:val="single" w:sz="4" w:space="0" w:color="auto"/>
              <w:right w:val="single" w:sz="4" w:space="0" w:color="auto"/>
            </w:tcBorders>
            <w:shd w:val="clear" w:color="auto" w:fill="auto"/>
            <w:vAlign w:val="center"/>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&lt;.0001</w:t>
            </w:r>
          </w:p>
        </w:tc>
        <w:tc>
          <w:tcPr>
            <w:tcW w:w="1060" w:type="dxa"/>
            <w:tcBorders>
              <w:top w:val="nil"/>
              <w:left w:val="nil"/>
              <w:bottom w:val="single" w:sz="4" w:space="0" w:color="auto"/>
              <w:right w:val="single" w:sz="4" w:space="0" w:color="auto"/>
            </w:tcBorders>
            <w:shd w:val="clear" w:color="auto" w:fill="auto"/>
            <w:vAlign w:val="center"/>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-0.42***</w:t>
            </w:r>
          </w:p>
        </w:tc>
        <w:tc>
          <w:tcPr>
            <w:tcW w:w="1060" w:type="dxa"/>
            <w:tcBorders>
              <w:top w:val="nil"/>
              <w:left w:val="nil"/>
              <w:bottom w:val="single" w:sz="4" w:space="0" w:color="auto"/>
              <w:right w:val="single" w:sz="4" w:space="0" w:color="auto"/>
            </w:tcBorders>
            <w:shd w:val="clear" w:color="auto" w:fill="auto"/>
            <w:vAlign w:val="center"/>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c>
          <w:tcPr>
            <w:tcW w:w="1096" w:type="dxa"/>
            <w:tcBorders>
              <w:top w:val="nil"/>
              <w:left w:val="nil"/>
              <w:bottom w:val="single" w:sz="4" w:space="0" w:color="auto"/>
              <w:right w:val="single" w:sz="4" w:space="0" w:color="auto"/>
            </w:tcBorders>
            <w:shd w:val="clear" w:color="auto" w:fill="auto"/>
            <w:vAlign w:val="center"/>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-0.09</w:t>
            </w:r>
          </w:p>
        </w:tc>
        <w:tc>
          <w:tcPr>
            <w:tcW w:w="1023" w:type="dxa"/>
            <w:tcBorders>
              <w:top w:val="nil"/>
              <w:left w:val="nil"/>
              <w:bottom w:val="single" w:sz="4" w:space="0" w:color="auto"/>
              <w:right w:val="single" w:sz="4" w:space="0" w:color="auto"/>
            </w:tcBorders>
            <w:shd w:val="clear" w:color="auto" w:fill="auto"/>
            <w:vAlign w:val="center"/>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&lt;.0001</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100" w:firstLine="180"/>
              <w:jc w:val="right"/>
              <w:rPr>
                <w:rFonts w:ascii="Calibri" w:eastAsia="Times New Roman" w:hAnsi="Calibri" w:cs="Times New Roman"/>
                <w:sz w:val="18"/>
                <w:szCs w:val="18"/>
              </w:rPr>
            </w:pPr>
            <w:r w:rsidRPr="00961492">
              <w:rPr>
                <w:rFonts w:ascii="Calibri" w:eastAsia="Times New Roman" w:hAnsi="Calibri" w:cs="Times New Roman"/>
                <w:sz w:val="18"/>
                <w:szCs w:val="18"/>
              </w:rPr>
              <w:t>OB</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0.42***</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0.03</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0.41***</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100" w:firstLine="180"/>
              <w:rPr>
                <w:rFonts w:ascii="Calibri" w:eastAsia="Times New Roman" w:hAnsi="Calibri" w:cs="Times New Roman"/>
                <w:sz w:val="18"/>
                <w:szCs w:val="18"/>
              </w:rPr>
            </w:pPr>
            <w:r w:rsidRPr="00961492">
              <w:rPr>
                <w:rFonts w:ascii="Calibri" w:eastAsia="Times New Roman" w:hAnsi="Calibri" w:cs="Times New Roman"/>
                <w:sz w:val="18"/>
                <w:szCs w:val="18"/>
              </w:rPr>
              <w:t>Health status</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sz w:val="18"/>
                <w:szCs w:val="18"/>
              </w:rPr>
            </w:pPr>
            <w:r w:rsidRPr="00961492">
              <w:rPr>
                <w:rFonts w:ascii="Calibri" w:eastAsia="Times New Roman" w:hAnsi="Calibri" w:cs="Times New Roman"/>
                <w:sz w:val="18"/>
                <w:szCs w:val="18"/>
              </w:rPr>
              <w:t>Excellent</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0.24***</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&lt;.0001</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0.28***</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0.32***</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sz w:val="18"/>
                <w:szCs w:val="18"/>
              </w:rPr>
            </w:pPr>
            <w:r w:rsidRPr="00961492">
              <w:rPr>
                <w:rFonts w:ascii="Calibri" w:eastAsia="Times New Roman" w:hAnsi="Calibri" w:cs="Times New Roman"/>
                <w:sz w:val="18"/>
                <w:szCs w:val="18"/>
              </w:rPr>
              <w:t>Very good</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sz w:val="18"/>
                <w:szCs w:val="18"/>
              </w:rPr>
            </w:pPr>
            <w:r w:rsidRPr="00961492">
              <w:rPr>
                <w:rFonts w:ascii="Calibri" w:eastAsia="Times New Roman" w:hAnsi="Calibri" w:cs="Times New Roman"/>
                <w:sz w:val="18"/>
                <w:szCs w:val="18"/>
              </w:rPr>
              <w:t>Good</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-0.54***</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-0.53***</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-0.65***</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sz w:val="18"/>
                <w:szCs w:val="18"/>
              </w:rPr>
            </w:pPr>
            <w:r w:rsidRPr="00961492">
              <w:rPr>
                <w:rFonts w:ascii="Calibri" w:eastAsia="Times New Roman" w:hAnsi="Calibri" w:cs="Times New Roman"/>
                <w:sz w:val="18"/>
                <w:szCs w:val="18"/>
              </w:rPr>
              <w:t>Fair</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-0.31***</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-0.19***</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-0.34***</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sz w:val="18"/>
                <w:szCs w:val="18"/>
              </w:rPr>
            </w:pPr>
            <w:r w:rsidRPr="00961492">
              <w:rPr>
                <w:rFonts w:ascii="Calibri" w:eastAsia="Times New Roman" w:hAnsi="Calibri" w:cs="Times New Roman"/>
                <w:sz w:val="18"/>
                <w:szCs w:val="18"/>
              </w:rPr>
              <w:t>Poor</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-0.96***</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-0.86***</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-1.14***</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100" w:firstLine="180"/>
              <w:rPr>
                <w:rFonts w:ascii="Calibri" w:eastAsia="Times New Roman" w:hAnsi="Calibri" w:cs="Times New Roman"/>
                <w:sz w:val="18"/>
                <w:szCs w:val="18"/>
              </w:rPr>
            </w:pPr>
            <w:r w:rsidRPr="00961492">
              <w:rPr>
                <w:rFonts w:ascii="Calibri" w:eastAsia="Times New Roman" w:hAnsi="Calibri" w:cs="Times New Roman"/>
                <w:sz w:val="18"/>
                <w:szCs w:val="18"/>
              </w:rPr>
              <w:t>Mental health</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sz w:val="18"/>
                <w:szCs w:val="18"/>
              </w:rPr>
            </w:pPr>
            <w:r w:rsidRPr="00961492">
              <w:rPr>
                <w:rFonts w:ascii="Calibri" w:eastAsia="Times New Roman" w:hAnsi="Calibri" w:cs="Times New Roman"/>
                <w:sz w:val="18"/>
                <w:szCs w:val="18"/>
              </w:rPr>
              <w:t>Excellent</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0.17***</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0.24***</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0.19***</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sz w:val="18"/>
                <w:szCs w:val="18"/>
              </w:rPr>
            </w:pPr>
            <w:r w:rsidRPr="00961492">
              <w:rPr>
                <w:rFonts w:ascii="Calibri" w:eastAsia="Times New Roman" w:hAnsi="Calibri" w:cs="Times New Roman"/>
                <w:sz w:val="18"/>
                <w:szCs w:val="18"/>
              </w:rPr>
              <w:t>Very good</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sz w:val="18"/>
                <w:szCs w:val="18"/>
              </w:rPr>
            </w:pPr>
            <w:r w:rsidRPr="00961492">
              <w:rPr>
                <w:rFonts w:ascii="Calibri" w:eastAsia="Times New Roman" w:hAnsi="Calibri" w:cs="Times New Roman"/>
                <w:sz w:val="18"/>
                <w:szCs w:val="18"/>
              </w:rPr>
              <w:t>Good</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-0.19**</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-0.24***</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-0.05</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sz w:val="18"/>
                <w:szCs w:val="18"/>
              </w:rPr>
            </w:pPr>
            <w:r w:rsidRPr="00961492">
              <w:rPr>
                <w:rFonts w:ascii="Calibri" w:eastAsia="Times New Roman" w:hAnsi="Calibri" w:cs="Times New Roman"/>
                <w:sz w:val="18"/>
                <w:szCs w:val="18"/>
              </w:rPr>
              <w:t>Fair</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-0.04</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-0.09</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0.01</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sz w:val="18"/>
                <w:szCs w:val="18"/>
              </w:rPr>
            </w:pPr>
            <w:r w:rsidRPr="00961492">
              <w:rPr>
                <w:rFonts w:ascii="Calibri" w:eastAsia="Times New Roman" w:hAnsi="Calibri" w:cs="Times New Roman"/>
                <w:sz w:val="18"/>
                <w:szCs w:val="18"/>
              </w:rPr>
              <w:t>Poor</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-0.48**</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-0.74***</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-0.35*</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100" w:firstLine="180"/>
              <w:rPr>
                <w:rFonts w:ascii="Calibri" w:eastAsia="Times New Roman" w:hAnsi="Calibri" w:cs="Times New Roman"/>
                <w:sz w:val="18"/>
                <w:szCs w:val="18"/>
              </w:rPr>
            </w:pPr>
            <w:r w:rsidRPr="00961492">
              <w:rPr>
                <w:rFonts w:ascii="Calibri" w:eastAsia="Times New Roman" w:hAnsi="Calibri" w:cs="Times New Roman"/>
                <w:sz w:val="18"/>
                <w:szCs w:val="18"/>
              </w:rPr>
              <w:t>Age</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sz w:val="18"/>
                <w:szCs w:val="18"/>
              </w:rPr>
            </w:pPr>
            <w:r w:rsidRPr="00961492">
              <w:rPr>
                <w:rFonts w:ascii="Calibri" w:eastAsia="Times New Roman" w:hAnsi="Calibri" w:cs="Times New Roman"/>
                <w:sz w:val="18"/>
                <w:szCs w:val="18"/>
              </w:rPr>
              <w:t>18</w:t>
            </w:r>
            <w:r>
              <w:rPr>
                <w:rFonts w:ascii="Calibri" w:eastAsia="Times New Roman" w:hAnsi="Calibri" w:cs="Times New Roman"/>
                <w:sz w:val="18"/>
                <w:szCs w:val="18"/>
              </w:rPr>
              <w:t>-</w:t>
            </w:r>
            <w:r w:rsidRPr="00961492">
              <w:rPr>
                <w:rFonts w:ascii="Calibri" w:eastAsia="Times New Roman" w:hAnsi="Calibri" w:cs="Times New Roman"/>
                <w:sz w:val="18"/>
                <w:szCs w:val="18"/>
              </w:rPr>
              <w:t>24</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-0.24**</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-0.30***</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-0.22*</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sz w:val="18"/>
                <w:szCs w:val="18"/>
              </w:rPr>
            </w:pPr>
            <w:r>
              <w:rPr>
                <w:rFonts w:ascii="Calibri" w:eastAsia="Times New Roman" w:hAnsi="Calibri" w:cs="Times New Roman"/>
                <w:sz w:val="18"/>
                <w:szCs w:val="18"/>
              </w:rPr>
              <w:t>25-</w:t>
            </w:r>
            <w:r w:rsidRPr="00961492">
              <w:rPr>
                <w:rFonts w:ascii="Calibri" w:eastAsia="Times New Roman" w:hAnsi="Calibri" w:cs="Times New Roman"/>
                <w:sz w:val="18"/>
                <w:szCs w:val="18"/>
              </w:rPr>
              <w:t>34</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sz w:val="18"/>
                <w:szCs w:val="18"/>
              </w:rPr>
            </w:pPr>
            <w:r w:rsidRPr="00961492">
              <w:rPr>
                <w:rFonts w:ascii="Calibri" w:eastAsia="Times New Roman" w:hAnsi="Calibri" w:cs="Times New Roman"/>
                <w:sz w:val="18"/>
                <w:szCs w:val="18"/>
              </w:rPr>
              <w:t>35-44</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0.10</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0.14*</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0.05</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sz w:val="18"/>
                <w:szCs w:val="18"/>
              </w:rPr>
            </w:pPr>
            <w:r>
              <w:rPr>
                <w:rFonts w:ascii="Calibri" w:eastAsia="Times New Roman" w:hAnsi="Calibri" w:cs="Times New Roman"/>
                <w:sz w:val="18"/>
                <w:szCs w:val="18"/>
              </w:rPr>
              <w:t>45-</w:t>
            </w:r>
            <w:r w:rsidRPr="00961492">
              <w:rPr>
                <w:rFonts w:ascii="Calibri" w:eastAsia="Times New Roman" w:hAnsi="Calibri" w:cs="Times New Roman"/>
                <w:sz w:val="18"/>
                <w:szCs w:val="18"/>
              </w:rPr>
              <w:t>54</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0.24**</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0.27***</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0.25**</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sz w:val="18"/>
                <w:szCs w:val="18"/>
              </w:rPr>
            </w:pPr>
            <w:r w:rsidRPr="00961492">
              <w:rPr>
                <w:rFonts w:ascii="Calibri" w:eastAsia="Times New Roman" w:hAnsi="Calibri" w:cs="Times New Roman"/>
                <w:sz w:val="18"/>
                <w:szCs w:val="18"/>
              </w:rPr>
              <w:t>55-64</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0.53***</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0.52***</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0.56***</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sz w:val="18"/>
                <w:szCs w:val="18"/>
              </w:rPr>
            </w:pPr>
            <w:r>
              <w:rPr>
                <w:rFonts w:ascii="Calibri" w:eastAsia="Times New Roman" w:hAnsi="Calibri" w:cs="Times New Roman"/>
                <w:sz w:val="18"/>
                <w:szCs w:val="18"/>
              </w:rPr>
              <w:t>65-</w:t>
            </w:r>
            <w:r w:rsidRPr="00961492">
              <w:rPr>
                <w:rFonts w:ascii="Calibri" w:eastAsia="Times New Roman" w:hAnsi="Calibri" w:cs="Times New Roman"/>
                <w:sz w:val="18"/>
                <w:szCs w:val="18"/>
              </w:rPr>
              <w:t>74</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0.70***</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0.67***</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0.76***</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i/>
                <w:iCs/>
                <w:sz w:val="18"/>
                <w:szCs w:val="18"/>
              </w:rPr>
            </w:pPr>
            <w:r w:rsidRPr="00961492">
              <w:rPr>
                <w:rFonts w:ascii="Calibri" w:eastAsia="Times New Roman" w:hAnsi="Calibri" w:cs="Times New Roman"/>
                <w:i/>
                <w:iCs/>
                <w:sz w:val="18"/>
                <w:szCs w:val="18"/>
              </w:rPr>
              <w:t>75-79</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0.79***</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0.69***</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0.85***</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400" w:firstLine="720"/>
              <w:jc w:val="right"/>
              <w:rPr>
                <w:rFonts w:ascii="Calibri" w:eastAsia="Times New Roman" w:hAnsi="Calibri" w:cs="Times New Roman"/>
                <w:sz w:val="18"/>
                <w:szCs w:val="18"/>
              </w:rPr>
            </w:pPr>
            <w:r>
              <w:rPr>
                <w:rFonts w:ascii="Calibri" w:eastAsia="Times New Roman" w:hAnsi="Calibri" w:cs="Times New Roman"/>
                <w:sz w:val="18"/>
                <w:szCs w:val="18"/>
              </w:rPr>
              <w:t>80</w:t>
            </w:r>
            <w:r w:rsidRPr="00961492">
              <w:rPr>
                <w:rFonts w:ascii="Calibri" w:eastAsia="Times New Roman" w:hAnsi="Calibri" w:cs="Times New Roman"/>
                <w:sz w:val="18"/>
                <w:szCs w:val="18"/>
              </w:rPr>
              <w:t>+</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0.83***</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0.76***</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0.99***</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100" w:firstLine="180"/>
              <w:rPr>
                <w:rFonts w:ascii="Calibri" w:eastAsia="Times New Roman" w:hAnsi="Calibri" w:cs="Times New Roman"/>
                <w:sz w:val="18"/>
                <w:szCs w:val="18"/>
              </w:rPr>
            </w:pPr>
            <w:r w:rsidRPr="00961492">
              <w:rPr>
                <w:rFonts w:ascii="Calibri" w:eastAsia="Times New Roman" w:hAnsi="Calibri" w:cs="Times New Roman"/>
                <w:sz w:val="18"/>
                <w:szCs w:val="18"/>
              </w:rPr>
              <w:t>Education</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300" w:firstLine="540"/>
              <w:jc w:val="right"/>
              <w:rPr>
                <w:rFonts w:ascii="Calibri" w:eastAsia="Times New Roman" w:hAnsi="Calibri" w:cs="Times New Roman"/>
                <w:sz w:val="18"/>
                <w:szCs w:val="18"/>
              </w:rPr>
            </w:pPr>
            <w:r w:rsidRPr="00961492">
              <w:rPr>
                <w:rFonts w:ascii="Calibri" w:eastAsia="Times New Roman" w:hAnsi="Calibri" w:cs="Times New Roman"/>
                <w:sz w:val="18"/>
                <w:szCs w:val="18"/>
              </w:rPr>
              <w:t>Eighth grade</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0.35***</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0.30***</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0.42***</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&lt;.0001</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300" w:firstLine="540"/>
              <w:jc w:val="right"/>
              <w:rPr>
                <w:rFonts w:ascii="Calibri" w:eastAsia="Times New Roman" w:hAnsi="Calibri" w:cs="Times New Roman"/>
                <w:sz w:val="18"/>
                <w:szCs w:val="18"/>
              </w:rPr>
            </w:pPr>
            <w:r w:rsidRPr="00961492">
              <w:rPr>
                <w:rFonts w:ascii="Calibri" w:eastAsia="Times New Roman" w:hAnsi="Calibri" w:cs="Times New Roman"/>
                <w:sz w:val="18"/>
                <w:szCs w:val="18"/>
              </w:rPr>
              <w:t>Some high school</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0.31***</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0.26***</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0.43***</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300" w:firstLine="540"/>
              <w:jc w:val="right"/>
              <w:rPr>
                <w:rFonts w:ascii="Calibri" w:eastAsia="Times New Roman" w:hAnsi="Calibri" w:cs="Times New Roman"/>
                <w:sz w:val="18"/>
                <w:szCs w:val="18"/>
              </w:rPr>
            </w:pPr>
            <w:r>
              <w:rPr>
                <w:rFonts w:ascii="Calibri" w:eastAsia="Times New Roman" w:hAnsi="Calibri" w:cs="Times New Roman"/>
                <w:sz w:val="18"/>
                <w:szCs w:val="18"/>
              </w:rPr>
              <w:t xml:space="preserve">High </w:t>
            </w:r>
            <w:r w:rsidRPr="00961492">
              <w:rPr>
                <w:rFonts w:ascii="Calibri" w:eastAsia="Times New Roman" w:hAnsi="Calibri" w:cs="Times New Roman"/>
                <w:sz w:val="18"/>
                <w:szCs w:val="18"/>
              </w:rPr>
              <w:t>school</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0.22***</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0.25***</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0.29***</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300" w:firstLine="540"/>
              <w:jc w:val="right"/>
              <w:rPr>
                <w:rFonts w:ascii="Calibri" w:eastAsia="Times New Roman" w:hAnsi="Calibri" w:cs="Times New Roman"/>
                <w:sz w:val="18"/>
                <w:szCs w:val="18"/>
              </w:rPr>
            </w:pPr>
            <w:r w:rsidRPr="00961492">
              <w:rPr>
                <w:rFonts w:ascii="Calibri" w:eastAsia="Times New Roman" w:hAnsi="Calibri" w:cs="Times New Roman"/>
                <w:sz w:val="18"/>
                <w:szCs w:val="18"/>
              </w:rPr>
              <w:t>Some college</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300" w:firstLine="540"/>
              <w:jc w:val="right"/>
              <w:rPr>
                <w:rFonts w:ascii="Calibri" w:eastAsia="Times New Roman" w:hAnsi="Calibri" w:cs="Times New Roman"/>
                <w:sz w:val="18"/>
                <w:szCs w:val="18"/>
              </w:rPr>
            </w:pPr>
            <w:r w:rsidRPr="00961492">
              <w:rPr>
                <w:rFonts w:ascii="Calibri" w:eastAsia="Times New Roman" w:hAnsi="Calibri" w:cs="Times New Roman"/>
                <w:sz w:val="18"/>
                <w:szCs w:val="18"/>
              </w:rPr>
              <w:t>College</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-0.15*</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-0.03</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- 0 .13</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hideMark/>
          </w:tcPr>
          <w:p w:rsidR="006F0FFC" w:rsidRPr="00961492" w:rsidRDefault="006F0FFC" w:rsidP="006F0FFC">
            <w:pPr>
              <w:spacing w:after="0" w:line="240" w:lineRule="auto"/>
              <w:ind w:firstLineChars="300" w:firstLine="540"/>
              <w:jc w:val="right"/>
              <w:rPr>
                <w:rFonts w:ascii="Calibri" w:eastAsia="Times New Roman" w:hAnsi="Calibri" w:cs="Times New Roman"/>
                <w:sz w:val="18"/>
                <w:szCs w:val="18"/>
              </w:rPr>
            </w:pPr>
            <w:r w:rsidRPr="00961492">
              <w:rPr>
                <w:rFonts w:ascii="Calibri" w:eastAsia="Times New Roman" w:hAnsi="Calibri" w:cs="Times New Roman"/>
                <w:sz w:val="18"/>
                <w:szCs w:val="18"/>
              </w:rPr>
              <w:t>College+</w:t>
            </w:r>
          </w:p>
        </w:tc>
        <w:tc>
          <w:tcPr>
            <w:tcW w:w="115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-0.20***</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-0.23***</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c>
          <w:tcPr>
            <w:tcW w:w="1096"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- 0.22***</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noWrap/>
            <w:hideMark/>
          </w:tcPr>
          <w:p w:rsidR="006F0FFC" w:rsidRPr="00961492" w:rsidRDefault="006F0FFC" w:rsidP="006F0FFC">
            <w:pPr>
              <w:spacing w:after="0" w:line="240" w:lineRule="auto"/>
              <w:ind w:firstLineChars="100" w:firstLine="180"/>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Race/ethnicity</w:t>
            </w:r>
          </w:p>
        </w:tc>
        <w:tc>
          <w:tcPr>
            <w:tcW w:w="115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922"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96"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23"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noWrap/>
            <w:hideMark/>
          </w:tcPr>
          <w:p w:rsidR="006F0FFC" w:rsidRPr="00961492" w:rsidRDefault="006F0FFC" w:rsidP="006F0FFC">
            <w:pPr>
              <w:spacing w:after="0" w:line="240" w:lineRule="auto"/>
              <w:ind w:firstLineChars="200" w:firstLine="360"/>
              <w:jc w:val="right"/>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Non-Hispanic black</w:t>
            </w:r>
          </w:p>
        </w:tc>
        <w:tc>
          <w:tcPr>
            <w:tcW w:w="115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0.41</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0.29</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c>
          <w:tcPr>
            <w:tcW w:w="1096"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0.43</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noWrap/>
            <w:hideMark/>
          </w:tcPr>
          <w:p w:rsidR="006F0FFC" w:rsidRPr="00961492" w:rsidRDefault="006F0FFC" w:rsidP="006F0FFC">
            <w:pPr>
              <w:spacing w:after="0" w:line="240" w:lineRule="auto"/>
              <w:ind w:firstLineChars="100" w:firstLine="180"/>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Spanish language</w:t>
            </w:r>
          </w:p>
        </w:tc>
        <w:tc>
          <w:tcPr>
            <w:tcW w:w="115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0.71</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0.61</w:t>
            </w:r>
          </w:p>
        </w:tc>
        <w:tc>
          <w:tcPr>
            <w:tcW w:w="1060"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c>
          <w:tcPr>
            <w:tcW w:w="1096"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0.88</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noWrap/>
            <w:hideMark/>
          </w:tcPr>
          <w:p w:rsidR="006F0FFC" w:rsidRPr="00961492" w:rsidRDefault="006F0FFC" w:rsidP="006F0FFC">
            <w:pPr>
              <w:spacing w:after="0" w:line="240" w:lineRule="auto"/>
              <w:ind w:firstLineChars="100" w:firstLine="180"/>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Sex: male</w:t>
            </w:r>
          </w:p>
        </w:tc>
        <w:tc>
          <w:tcPr>
            <w:tcW w:w="115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0.24</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96"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0.19</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noWrap/>
            <w:hideMark/>
          </w:tcPr>
          <w:p w:rsidR="006F0FFC" w:rsidRPr="00961492" w:rsidRDefault="006F0FFC" w:rsidP="006F0FFC">
            <w:pPr>
              <w:spacing w:after="0" w:line="240" w:lineRule="auto"/>
              <w:ind w:firstLineChars="100" w:firstLine="180"/>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Proxy help</w:t>
            </w:r>
          </w:p>
        </w:tc>
        <w:tc>
          <w:tcPr>
            <w:tcW w:w="115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-0.34</w:t>
            </w:r>
          </w:p>
        </w:tc>
        <w:tc>
          <w:tcPr>
            <w:tcW w:w="922"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96"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-0.26</w:t>
            </w:r>
          </w:p>
        </w:tc>
        <w:tc>
          <w:tcPr>
            <w:tcW w:w="1023" w:type="dxa"/>
            <w:tcBorders>
              <w:top w:val="nil"/>
              <w:left w:val="nil"/>
              <w:bottom w:val="single" w:sz="4" w:space="0" w:color="auto"/>
              <w:right w:val="single" w:sz="4" w:space="0" w:color="auto"/>
            </w:tcBorders>
            <w:shd w:val="clear" w:color="auto" w:fill="auto"/>
            <w:hideMark/>
          </w:tcPr>
          <w:p w:rsidR="006F0FFC" w:rsidRPr="00961492" w:rsidRDefault="006F0FFC" w:rsidP="006F0FFC">
            <w:pPr>
              <w:spacing w:after="0" w:line="240" w:lineRule="auto"/>
              <w:jc w:val="center"/>
              <w:rPr>
                <w:rFonts w:ascii="Calibri" w:eastAsia="Times New Roman" w:hAnsi="Calibri" w:cs="Times New Roman"/>
                <w:sz w:val="18"/>
                <w:szCs w:val="18"/>
              </w:rPr>
            </w:pPr>
            <w:r w:rsidRPr="00961492">
              <w:rPr>
                <w:rFonts w:ascii="Calibri" w:eastAsia="Times New Roman" w:hAnsi="Calibri" w:cs="Times New Roman"/>
                <w:sz w:val="18"/>
                <w:szCs w:val="18"/>
              </w:rPr>
              <w:t>&lt; .0001</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noWrap/>
            <w:hideMark/>
          </w:tcPr>
          <w:p w:rsidR="006F0FFC" w:rsidRPr="00961492" w:rsidRDefault="006F0FFC" w:rsidP="006F0FFC">
            <w:pPr>
              <w:spacing w:after="0" w:line="240" w:lineRule="auto"/>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Out</w:t>
            </w:r>
          </w:p>
        </w:tc>
        <w:tc>
          <w:tcPr>
            <w:tcW w:w="115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922"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96"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23"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noWrap/>
            <w:hideMark/>
          </w:tcPr>
          <w:p w:rsidR="006F0FFC" w:rsidRPr="00961492" w:rsidRDefault="006F0FFC" w:rsidP="006F0FFC">
            <w:pPr>
              <w:spacing w:after="0" w:line="240" w:lineRule="auto"/>
              <w:ind w:firstLineChars="100" w:firstLine="180"/>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Sex: male</w:t>
            </w:r>
          </w:p>
        </w:tc>
        <w:tc>
          <w:tcPr>
            <w:tcW w:w="115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922"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0.0348</w:t>
            </w:r>
          </w:p>
        </w:tc>
        <w:tc>
          <w:tcPr>
            <w:tcW w:w="1096"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23"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noWrap/>
            <w:hideMark/>
          </w:tcPr>
          <w:p w:rsidR="006F0FFC" w:rsidRPr="00961492" w:rsidRDefault="006F0FFC" w:rsidP="006F0FFC">
            <w:pPr>
              <w:spacing w:after="0" w:line="240" w:lineRule="auto"/>
              <w:ind w:firstLineChars="100" w:firstLine="180"/>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Race/ethnicity</w:t>
            </w:r>
          </w:p>
        </w:tc>
        <w:tc>
          <w:tcPr>
            <w:tcW w:w="115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922"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96"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23"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noWrap/>
            <w:hideMark/>
          </w:tcPr>
          <w:p w:rsidR="006F0FFC" w:rsidRPr="00961492" w:rsidRDefault="006F0FFC" w:rsidP="006F0FFC">
            <w:pPr>
              <w:spacing w:after="0" w:line="240" w:lineRule="auto"/>
              <w:ind w:firstLineChars="300" w:firstLine="540"/>
              <w:jc w:val="right"/>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Hispanic</w:t>
            </w:r>
          </w:p>
        </w:tc>
        <w:tc>
          <w:tcPr>
            <w:tcW w:w="115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922"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0.1994</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0.0069</w:t>
            </w:r>
          </w:p>
        </w:tc>
        <w:tc>
          <w:tcPr>
            <w:tcW w:w="1096"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23"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0.0785</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noWrap/>
            <w:hideMark/>
          </w:tcPr>
          <w:p w:rsidR="006F0FFC" w:rsidRPr="00961492" w:rsidRDefault="006F0FFC" w:rsidP="006F0FFC">
            <w:pPr>
              <w:spacing w:after="0" w:line="240" w:lineRule="auto"/>
              <w:ind w:firstLineChars="300" w:firstLine="540"/>
              <w:jc w:val="right"/>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Asian</w:t>
            </w:r>
          </w:p>
        </w:tc>
        <w:tc>
          <w:tcPr>
            <w:tcW w:w="115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922"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0.2322</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0.0763</w:t>
            </w:r>
          </w:p>
        </w:tc>
        <w:tc>
          <w:tcPr>
            <w:tcW w:w="1096"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23"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0.0972</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noWrap/>
            <w:hideMark/>
          </w:tcPr>
          <w:p w:rsidR="006F0FFC" w:rsidRPr="00961492" w:rsidRDefault="006F0FFC" w:rsidP="006F0FFC">
            <w:pPr>
              <w:spacing w:after="0" w:line="240" w:lineRule="auto"/>
              <w:ind w:firstLineChars="300" w:firstLine="540"/>
              <w:jc w:val="right"/>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Native American</w:t>
            </w:r>
          </w:p>
        </w:tc>
        <w:tc>
          <w:tcPr>
            <w:tcW w:w="115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922"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0.3018</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0.0708</w:t>
            </w:r>
          </w:p>
        </w:tc>
        <w:tc>
          <w:tcPr>
            <w:tcW w:w="1096"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23"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0.9721</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noWrap/>
            <w:hideMark/>
          </w:tcPr>
          <w:p w:rsidR="006F0FFC" w:rsidRPr="00961492" w:rsidRDefault="006F0FFC" w:rsidP="006F0FFC">
            <w:pPr>
              <w:spacing w:after="0" w:line="240" w:lineRule="auto"/>
              <w:ind w:firstLineChars="100" w:firstLine="180"/>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Proxy help</w:t>
            </w:r>
          </w:p>
        </w:tc>
        <w:tc>
          <w:tcPr>
            <w:tcW w:w="115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922"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0.0124</w:t>
            </w:r>
          </w:p>
        </w:tc>
        <w:tc>
          <w:tcPr>
            <w:tcW w:w="1096"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23"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r>
      <w:tr w:rsidR="006F0FFC" w:rsidRPr="00961492" w:rsidTr="00BA5A5C">
        <w:trPr>
          <w:trHeight w:val="213"/>
          <w:tblHeader/>
        </w:trPr>
        <w:tc>
          <w:tcPr>
            <w:tcW w:w="2213" w:type="dxa"/>
            <w:tcBorders>
              <w:top w:val="nil"/>
              <w:left w:val="single" w:sz="4" w:space="0" w:color="auto"/>
              <w:bottom w:val="single" w:sz="4" w:space="0" w:color="auto"/>
              <w:right w:val="single" w:sz="4" w:space="0" w:color="auto"/>
            </w:tcBorders>
            <w:shd w:val="clear" w:color="auto" w:fill="auto"/>
            <w:noWrap/>
            <w:hideMark/>
          </w:tcPr>
          <w:p w:rsidR="006F0FFC" w:rsidRPr="00961492" w:rsidRDefault="006F0FFC" w:rsidP="006F0FFC">
            <w:pPr>
              <w:spacing w:after="0" w:line="240" w:lineRule="auto"/>
              <w:ind w:firstLineChars="100" w:firstLine="180"/>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Proxy answer</w:t>
            </w:r>
          </w:p>
        </w:tc>
        <w:tc>
          <w:tcPr>
            <w:tcW w:w="115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922"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0.7628</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0.7459</w:t>
            </w:r>
          </w:p>
        </w:tc>
        <w:tc>
          <w:tcPr>
            <w:tcW w:w="1096"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w:t>
            </w:r>
          </w:p>
        </w:tc>
        <w:tc>
          <w:tcPr>
            <w:tcW w:w="1023" w:type="dxa"/>
            <w:tcBorders>
              <w:top w:val="nil"/>
              <w:left w:val="nil"/>
              <w:bottom w:val="single" w:sz="4" w:space="0" w:color="auto"/>
              <w:right w:val="single" w:sz="4" w:space="0" w:color="auto"/>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0.8087</w:t>
            </w:r>
          </w:p>
        </w:tc>
      </w:tr>
      <w:tr w:rsidR="006F0FFC" w:rsidRPr="00961492" w:rsidTr="00BA5A5C">
        <w:trPr>
          <w:trHeight w:val="213"/>
          <w:tblHeader/>
        </w:trPr>
        <w:tc>
          <w:tcPr>
            <w:tcW w:w="2213" w:type="dxa"/>
            <w:tcBorders>
              <w:top w:val="nil"/>
              <w:left w:val="nil"/>
              <w:bottom w:val="nil"/>
              <w:right w:val="nil"/>
            </w:tcBorders>
            <w:shd w:val="clear" w:color="auto" w:fill="auto"/>
            <w:noWrap/>
            <w:hideMark/>
          </w:tcPr>
          <w:p w:rsidR="006F0FFC" w:rsidRPr="00961492" w:rsidRDefault="006F0FFC" w:rsidP="006F0FFC">
            <w:pPr>
              <w:spacing w:after="0" w:line="240" w:lineRule="auto"/>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*p&lt;.01,</w:t>
            </w:r>
          </w:p>
        </w:tc>
        <w:tc>
          <w:tcPr>
            <w:tcW w:w="1150"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c>
          <w:tcPr>
            <w:tcW w:w="922"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Times New Roman" w:eastAsia="Times New Roman" w:hAnsi="Times New Roman" w:cs="Times New Roman"/>
                <w:color w:val="000000"/>
                <w:sz w:val="18"/>
                <w:szCs w:val="18"/>
              </w:rPr>
            </w:pPr>
          </w:p>
        </w:tc>
        <w:tc>
          <w:tcPr>
            <w:tcW w:w="1060"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c>
          <w:tcPr>
            <w:tcW w:w="1060"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c>
          <w:tcPr>
            <w:tcW w:w="1096"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c>
          <w:tcPr>
            <w:tcW w:w="1023"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r>
      <w:tr w:rsidR="006F0FFC" w:rsidRPr="00961492" w:rsidTr="00BA5A5C">
        <w:trPr>
          <w:trHeight w:val="213"/>
          <w:tblHeader/>
        </w:trPr>
        <w:tc>
          <w:tcPr>
            <w:tcW w:w="2213" w:type="dxa"/>
            <w:tcBorders>
              <w:top w:val="nil"/>
              <w:left w:val="nil"/>
              <w:bottom w:val="nil"/>
              <w:right w:val="nil"/>
            </w:tcBorders>
            <w:shd w:val="clear" w:color="auto" w:fill="auto"/>
            <w:noWrap/>
            <w:hideMark/>
          </w:tcPr>
          <w:p w:rsidR="006F0FFC" w:rsidRPr="00961492" w:rsidRDefault="006F0FFC" w:rsidP="006F0FFC">
            <w:pPr>
              <w:spacing w:after="0" w:line="240" w:lineRule="auto"/>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**p&lt;.001,</w:t>
            </w:r>
          </w:p>
        </w:tc>
        <w:tc>
          <w:tcPr>
            <w:tcW w:w="1150"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c>
          <w:tcPr>
            <w:tcW w:w="922"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c>
          <w:tcPr>
            <w:tcW w:w="1060"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c>
          <w:tcPr>
            <w:tcW w:w="1060"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c>
          <w:tcPr>
            <w:tcW w:w="1096"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c>
          <w:tcPr>
            <w:tcW w:w="1023"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r>
      <w:tr w:rsidR="006F0FFC" w:rsidRPr="00961492" w:rsidTr="00BA5A5C">
        <w:trPr>
          <w:trHeight w:val="213"/>
          <w:tblHeader/>
        </w:trPr>
        <w:tc>
          <w:tcPr>
            <w:tcW w:w="6405" w:type="dxa"/>
            <w:gridSpan w:val="5"/>
            <w:tcBorders>
              <w:top w:val="nil"/>
              <w:left w:val="nil"/>
              <w:bottom w:val="nil"/>
              <w:right w:val="nil"/>
            </w:tcBorders>
            <w:shd w:val="clear" w:color="auto" w:fill="auto"/>
            <w:noWrap/>
            <w:hideMark/>
          </w:tcPr>
          <w:p w:rsidR="006F0FFC" w:rsidRPr="00961492" w:rsidRDefault="006F0FFC" w:rsidP="006F0FFC">
            <w:pPr>
              <w:spacing w:after="0" w:line="240" w:lineRule="auto"/>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 xml:space="preserve">***p&lt;.0001. The </w:t>
            </w:r>
            <w:r>
              <w:rPr>
                <w:rFonts w:ascii="Calibri" w:eastAsia="Times New Roman" w:hAnsi="Calibri" w:cs="Times New Roman"/>
                <w:color w:val="000000"/>
                <w:sz w:val="18"/>
                <w:szCs w:val="18"/>
              </w:rPr>
              <w:t xml:space="preserve">baseline categorical predictors </w:t>
            </w:r>
            <w:r w:rsidRPr="00961492">
              <w:rPr>
                <w:rFonts w:ascii="Calibri" w:eastAsia="Times New Roman" w:hAnsi="Calibri" w:cs="Times New Roman"/>
                <w:color w:val="000000"/>
                <w:sz w:val="18"/>
                <w:szCs w:val="18"/>
              </w:rPr>
              <w:t>is the level with the blank cell.</w:t>
            </w:r>
          </w:p>
        </w:tc>
        <w:tc>
          <w:tcPr>
            <w:tcW w:w="1096"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c>
          <w:tcPr>
            <w:tcW w:w="1023"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r>
      <w:tr w:rsidR="006F0FFC" w:rsidRPr="00961492" w:rsidTr="00BA5A5C">
        <w:trPr>
          <w:trHeight w:val="213"/>
          <w:tblHeader/>
        </w:trPr>
        <w:tc>
          <w:tcPr>
            <w:tcW w:w="2213" w:type="dxa"/>
            <w:tcBorders>
              <w:top w:val="nil"/>
              <w:left w:val="nil"/>
              <w:bottom w:val="nil"/>
              <w:right w:val="nil"/>
            </w:tcBorders>
            <w:shd w:val="clear" w:color="auto" w:fill="auto"/>
            <w:noWrap/>
            <w:hideMark/>
          </w:tcPr>
          <w:p w:rsidR="006F0FFC" w:rsidRPr="00961492" w:rsidRDefault="006F0FFC" w:rsidP="006F0FFC">
            <w:pPr>
              <w:spacing w:after="0" w:line="240" w:lineRule="auto"/>
              <w:rPr>
                <w:rFonts w:ascii="Calibri" w:eastAsia="Times New Roman" w:hAnsi="Calibri" w:cs="Times New Roman"/>
                <w:color w:val="000000"/>
                <w:sz w:val="18"/>
                <w:szCs w:val="18"/>
              </w:rPr>
            </w:pPr>
            <w:r w:rsidRPr="00961492">
              <w:rPr>
                <w:rFonts w:ascii="Calibri" w:eastAsia="Times New Roman" w:hAnsi="Calibri" w:cs="Times New Roman"/>
                <w:color w:val="000000"/>
                <w:sz w:val="18"/>
                <w:szCs w:val="18"/>
              </w:rPr>
              <w:t>OB, obstetrics.</w:t>
            </w:r>
          </w:p>
        </w:tc>
        <w:tc>
          <w:tcPr>
            <w:tcW w:w="1150"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c>
          <w:tcPr>
            <w:tcW w:w="922"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c>
          <w:tcPr>
            <w:tcW w:w="1060"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c>
          <w:tcPr>
            <w:tcW w:w="1060"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c>
          <w:tcPr>
            <w:tcW w:w="1096"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c>
          <w:tcPr>
            <w:tcW w:w="1023" w:type="dxa"/>
            <w:tcBorders>
              <w:top w:val="nil"/>
              <w:left w:val="nil"/>
              <w:bottom w:val="nil"/>
              <w:right w:val="nil"/>
            </w:tcBorders>
            <w:shd w:val="clear" w:color="auto" w:fill="auto"/>
            <w:noWrap/>
            <w:hideMark/>
          </w:tcPr>
          <w:p w:rsidR="006F0FFC" w:rsidRPr="00961492" w:rsidRDefault="006F0FFC" w:rsidP="006F0FFC">
            <w:pPr>
              <w:spacing w:after="0" w:line="240" w:lineRule="auto"/>
              <w:jc w:val="center"/>
              <w:rPr>
                <w:rFonts w:ascii="Calibri" w:eastAsia="Times New Roman" w:hAnsi="Calibri" w:cs="Times New Roman"/>
                <w:color w:val="000000"/>
                <w:sz w:val="18"/>
                <w:szCs w:val="18"/>
              </w:rPr>
            </w:pPr>
          </w:p>
        </w:tc>
      </w:tr>
    </w:tbl>
    <w:p w:rsidR="00B26009" w:rsidRDefault="00B26009" w:rsidP="00683AD7">
      <w:pPr>
        <w:autoSpaceDE w:val="0"/>
        <w:autoSpaceDN w:val="0"/>
        <w:adjustRightInd w:val="0"/>
        <w:spacing w:after="0" w:line="240" w:lineRule="auto"/>
        <w:rPr>
          <w:rFonts w:ascii="Palatino Linotype" w:hAnsi="Palatino Linotype" w:cstheme="minorHAnsi"/>
          <w:bCs/>
          <w:i/>
          <w:sz w:val="20"/>
          <w:szCs w:val="20"/>
        </w:rPr>
      </w:pPr>
    </w:p>
    <w:p w:rsidR="00D066FB" w:rsidRDefault="00D066FB" w:rsidP="009E35FC">
      <w:pPr>
        <w:autoSpaceDE w:val="0"/>
        <w:autoSpaceDN w:val="0"/>
        <w:adjustRightInd w:val="0"/>
        <w:spacing w:after="0" w:line="240" w:lineRule="auto"/>
        <w:rPr>
          <w:rFonts w:ascii="Palatino Linotype" w:hAnsi="Palatino Linotype" w:cstheme="minorHAnsi"/>
          <w:bCs/>
          <w:i/>
          <w:sz w:val="20"/>
          <w:szCs w:val="20"/>
        </w:rPr>
      </w:pPr>
    </w:p>
    <w:p w:rsidR="00B43D3F" w:rsidRPr="008C4D75" w:rsidRDefault="00B63513" w:rsidP="009E35FC">
      <w:pPr>
        <w:autoSpaceDE w:val="0"/>
        <w:autoSpaceDN w:val="0"/>
        <w:adjustRightInd w:val="0"/>
        <w:spacing w:after="0" w:line="240" w:lineRule="auto"/>
        <w:rPr>
          <w:rFonts w:ascii="Palatino Linotype" w:hAnsi="Palatino Linotype" w:cstheme="minorHAnsi"/>
          <w:bCs/>
          <w:i/>
          <w:sz w:val="20"/>
          <w:szCs w:val="20"/>
        </w:rPr>
      </w:pPr>
      <w:bookmarkStart w:id="13" w:name="_Hlk535926825"/>
      <w:r>
        <w:rPr>
          <w:rFonts w:ascii="Palatino Linotype" w:hAnsi="Palatino Linotype" w:cstheme="minorHAnsi"/>
          <w:bCs/>
          <w:i/>
          <w:sz w:val="20"/>
          <w:szCs w:val="20"/>
        </w:rPr>
        <w:t>Citation for Table 1 shown above:</w:t>
      </w:r>
    </w:p>
    <w:p w:rsidR="009E35FC" w:rsidRPr="008C4D75" w:rsidRDefault="009E35FC" w:rsidP="009E35FC">
      <w:pPr>
        <w:autoSpaceDE w:val="0"/>
        <w:autoSpaceDN w:val="0"/>
        <w:adjustRightInd w:val="0"/>
        <w:spacing w:after="0" w:line="240" w:lineRule="auto"/>
        <w:rPr>
          <w:rFonts w:ascii="Palatino Linotype" w:hAnsi="Palatino Linotype" w:cstheme="minorHAnsi"/>
          <w:bCs/>
          <w:i/>
          <w:sz w:val="20"/>
          <w:szCs w:val="20"/>
        </w:rPr>
      </w:pPr>
      <w:r w:rsidRPr="008C4D75">
        <w:rPr>
          <w:rFonts w:ascii="Palatino Linotype" w:hAnsi="Palatino Linotype" w:cs="AdvBasBE-R"/>
          <w:i/>
          <w:sz w:val="20"/>
          <w:szCs w:val="20"/>
        </w:rPr>
        <w:t>Case-Mix Adjustment of the CAHPS</w:t>
      </w:r>
      <w:r w:rsidR="00D03763" w:rsidRPr="008C4D75">
        <w:rPr>
          <w:rFonts w:ascii="Palatino Linotype" w:hAnsi="Palatino Linotype"/>
          <w:bCs/>
          <w:i/>
          <w:sz w:val="20"/>
          <w:szCs w:val="20"/>
          <w:vertAlign w:val="superscript"/>
        </w:rPr>
        <w:t>®</w:t>
      </w:r>
      <w:r w:rsidRPr="008C4D75">
        <w:rPr>
          <w:rFonts w:ascii="Palatino Linotype" w:hAnsi="Palatino Linotype" w:cs="AdvEls-ent3"/>
          <w:i/>
          <w:sz w:val="20"/>
          <w:szCs w:val="20"/>
        </w:rPr>
        <w:t xml:space="preserve"> </w:t>
      </w:r>
      <w:r w:rsidRPr="008C4D75">
        <w:rPr>
          <w:rFonts w:ascii="Palatino Linotype" w:hAnsi="Palatino Linotype" w:cs="AdvBasBE-R"/>
          <w:i/>
          <w:sz w:val="20"/>
          <w:szCs w:val="20"/>
        </w:rPr>
        <w:t xml:space="preserve">Hospital Survey.  </w:t>
      </w:r>
      <w:r w:rsidRPr="008C4D75">
        <w:rPr>
          <w:rFonts w:ascii="Palatino Linotype" w:hAnsi="Palatino Linotype" w:cs="AdvBasBT-I"/>
          <w:i/>
          <w:sz w:val="20"/>
          <w:szCs w:val="20"/>
        </w:rPr>
        <w:t xml:space="preserve">A. James O’Malley, Alan M. Zaslavsky, Marc N. Elliott, Lawrence Zaborski, and Paul D. Cleary.  </w:t>
      </w:r>
      <w:r w:rsidRPr="008C4D75">
        <w:rPr>
          <w:rFonts w:ascii="Palatino Linotype" w:hAnsi="Palatino Linotype" w:cs="AdvBasBT-I"/>
          <w:i/>
          <w:sz w:val="20"/>
          <w:szCs w:val="20"/>
          <w:u w:val="single"/>
        </w:rPr>
        <w:t>Health Services Research</w:t>
      </w:r>
      <w:r w:rsidR="00634EEC" w:rsidRPr="008C4D75">
        <w:rPr>
          <w:rFonts w:ascii="Palatino Linotype" w:hAnsi="Palatino Linotype" w:cs="AdvBasBT-I"/>
          <w:i/>
          <w:sz w:val="20"/>
          <w:szCs w:val="20"/>
        </w:rPr>
        <w:t>,</w:t>
      </w:r>
      <w:r w:rsidRPr="008C4D75">
        <w:rPr>
          <w:rFonts w:ascii="Palatino Linotype" w:hAnsi="Palatino Linotype" w:cs="AdvBasBT-I"/>
          <w:i/>
          <w:sz w:val="20"/>
          <w:szCs w:val="20"/>
        </w:rPr>
        <w:t xml:space="preserve"> 40, part II</w:t>
      </w:r>
      <w:r w:rsidR="00634EEC" w:rsidRPr="008C4D75">
        <w:rPr>
          <w:rFonts w:ascii="Palatino Linotype" w:hAnsi="Palatino Linotype" w:cs="AdvBasBT-I"/>
          <w:i/>
          <w:sz w:val="20"/>
          <w:szCs w:val="20"/>
        </w:rPr>
        <w:t>:</w:t>
      </w:r>
      <w:r w:rsidRPr="008C4D75">
        <w:rPr>
          <w:rFonts w:ascii="Palatino Linotype" w:hAnsi="Palatino Linotype" w:cs="AdvBasBT-I"/>
          <w:i/>
          <w:sz w:val="20"/>
          <w:szCs w:val="20"/>
        </w:rPr>
        <w:t xml:space="preserve"> 2162-2181. 2005.  </w:t>
      </w:r>
      <w:r w:rsidRPr="008C4D75">
        <w:rPr>
          <w:rFonts w:ascii="Palatino Linotype" w:hAnsi="Palatino Linotype" w:cstheme="minorHAnsi"/>
          <w:bCs/>
          <w:i/>
          <w:sz w:val="20"/>
          <w:szCs w:val="20"/>
        </w:rPr>
        <w:t xml:space="preserve"> </w:t>
      </w:r>
    </w:p>
    <w:p w:rsidR="00B63513" w:rsidRDefault="00B63513" w:rsidP="00B63513">
      <w:pPr>
        <w:autoSpaceDE w:val="0"/>
        <w:autoSpaceDN w:val="0"/>
        <w:adjustRightInd w:val="0"/>
        <w:spacing w:after="0" w:line="240" w:lineRule="auto"/>
        <w:rPr>
          <w:rFonts w:ascii="Palatino Linotype" w:hAnsi="Palatino Linotype" w:cstheme="minorHAnsi"/>
          <w:bCs/>
          <w:i/>
          <w:sz w:val="20"/>
          <w:szCs w:val="20"/>
        </w:rPr>
      </w:pPr>
    </w:p>
    <w:p w:rsidR="00B63513" w:rsidRDefault="00B63513" w:rsidP="00B63513">
      <w:pPr>
        <w:autoSpaceDE w:val="0"/>
        <w:autoSpaceDN w:val="0"/>
        <w:adjustRightInd w:val="0"/>
        <w:spacing w:after="0" w:line="240" w:lineRule="auto"/>
        <w:rPr>
          <w:rFonts w:ascii="Palatino Linotype" w:hAnsi="Palatino Linotype" w:cstheme="minorHAnsi"/>
          <w:bCs/>
          <w:i/>
          <w:sz w:val="20"/>
          <w:szCs w:val="20"/>
        </w:rPr>
      </w:pPr>
      <w:r>
        <w:rPr>
          <w:rFonts w:ascii="Palatino Linotype" w:hAnsi="Palatino Linotype" w:cstheme="minorHAnsi"/>
          <w:bCs/>
          <w:i/>
          <w:sz w:val="20"/>
          <w:szCs w:val="20"/>
        </w:rPr>
        <w:t xml:space="preserve">Current national HCAHPS top-box patient-mix adjustments for social risk factors are shown below and can be located here: </w:t>
      </w:r>
      <w:r w:rsidRPr="00B63513">
        <w:rPr>
          <w:rFonts w:ascii="Palatino Linotype" w:hAnsi="Palatino Linotype" w:cstheme="minorHAnsi"/>
          <w:bCs/>
          <w:i/>
          <w:sz w:val="20"/>
          <w:szCs w:val="20"/>
        </w:rPr>
        <w:t>http://hcahpsonline.org/globalassets/hcahps/mode-patient-mix-adjustment/january_2019_-mode--patient-mix-adj_pma.pdf</w:t>
      </w:r>
    </w:p>
    <w:p w:rsidR="0096726A" w:rsidRDefault="0096726A" w:rsidP="006F0FFC">
      <w:pPr>
        <w:rPr>
          <w:sz w:val="26"/>
          <w:szCs w:val="26"/>
        </w:rPr>
      </w:pPr>
    </w:p>
    <w:p w:rsidR="00E43C45" w:rsidRDefault="00E43C45" w:rsidP="00E43C45">
      <w:pPr>
        <w:pStyle w:val="NoSpacing"/>
      </w:pPr>
      <w:r w:rsidRPr="001515A2">
        <w:t>Table 1:</w:t>
      </w:r>
      <w:r w:rsidR="00E82EB8">
        <w:t xml:space="preserve"> HCAHPS Patient-Mix Adjustments </w:t>
      </w:r>
      <w:r w:rsidRPr="001515A2">
        <w:t xml:space="preserve">of Top-Box for Patients Discharged </w:t>
      </w:r>
      <w:r>
        <w:t>between Quarter 2</w:t>
      </w:r>
      <w:r w:rsidRPr="001515A2">
        <w:t xml:space="preserve">, 2017 and Quarter </w:t>
      </w:r>
      <w:r>
        <w:t>1, 2018</w:t>
      </w:r>
      <w:r w:rsidRPr="001515A2">
        <w:t xml:space="preserve"> (</w:t>
      </w:r>
      <w:r>
        <w:t>April</w:t>
      </w:r>
      <w:r w:rsidRPr="001515A2">
        <w:t xml:space="preserve"> 1, 2017 to </w:t>
      </w:r>
      <w:r>
        <w:t>March 31</w:t>
      </w:r>
      <w:r w:rsidRPr="001515A2">
        <w:t>, 201</w:t>
      </w:r>
      <w:r>
        <w:t>8</w:t>
      </w:r>
      <w:r w:rsidRPr="001515A2">
        <w:t>)</w:t>
      </w:r>
    </w:p>
    <w:tbl>
      <w:tblPr>
        <w:tblW w:w="10215" w:type="dxa"/>
        <w:jc w:val="center"/>
        <w:tblLayout w:type="fixed"/>
        <w:tblLook w:val="04A0" w:firstRow="1" w:lastRow="0" w:firstColumn="1" w:lastColumn="0" w:noHBand="0" w:noVBand="1"/>
        <w:tblCaption w:val="Table with HCAHPS Patient-Mix Adjustments of Top-Box for Discharged Patients"/>
        <w:tblDescription w:val="HCAHPS Patient-Mix Adjustments of Top-Box for Patients Discharged between Quarter 2, 2017 and Quarter 1, 2018 (April 1, 2017 to March 31, 2018)"/>
      </w:tblPr>
      <w:tblGrid>
        <w:gridCol w:w="2408"/>
        <w:gridCol w:w="780"/>
        <w:gridCol w:w="781"/>
        <w:gridCol w:w="781"/>
        <w:gridCol w:w="780"/>
        <w:gridCol w:w="781"/>
        <w:gridCol w:w="781"/>
        <w:gridCol w:w="780"/>
        <w:gridCol w:w="781"/>
        <w:gridCol w:w="781"/>
        <w:gridCol w:w="781"/>
      </w:tblGrid>
      <w:tr w:rsidR="0096726A" w:rsidRPr="00BE7AAF" w:rsidTr="00BA5A5C">
        <w:trPr>
          <w:trHeight w:val="2819"/>
          <w:jc w:val="center"/>
        </w:trPr>
        <w:tc>
          <w:tcPr>
            <w:tcW w:w="2408" w:type="dxa"/>
            <w:tcBorders>
              <w:top w:val="single" w:sz="12" w:space="0" w:color="auto"/>
              <w:left w:val="single" w:sz="12" w:space="0" w:color="auto"/>
              <w:bottom w:val="single" w:sz="12" w:space="0" w:color="auto"/>
              <w:right w:val="single" w:sz="12" w:space="0" w:color="auto"/>
            </w:tcBorders>
            <w:shd w:val="clear" w:color="auto" w:fill="D9D9D9"/>
            <w:vAlign w:val="center"/>
          </w:tcPr>
          <w:p w:rsidR="0096726A" w:rsidRPr="00BE7AAF" w:rsidRDefault="0096726A" w:rsidP="00E43C45">
            <w:pPr>
              <w:rPr>
                <w:rFonts w:ascii="Calibri" w:hAnsi="Calibri"/>
                <w:bCs/>
                <w:color w:val="000000"/>
              </w:rPr>
            </w:pPr>
            <w:r w:rsidRPr="00BE7AAF">
              <w:rPr>
                <w:rFonts w:ascii="Calibri" w:hAnsi="Calibri"/>
                <w:bCs/>
                <w:color w:val="000000"/>
              </w:rPr>
              <w:t>Patient-Mix Adjustment       (PMA)</w:t>
            </w:r>
          </w:p>
        </w:tc>
        <w:tc>
          <w:tcPr>
            <w:tcW w:w="780" w:type="dxa"/>
            <w:tcBorders>
              <w:top w:val="single" w:sz="12" w:space="0" w:color="auto"/>
              <w:left w:val="single" w:sz="12" w:space="0" w:color="auto"/>
              <w:bottom w:val="single" w:sz="12" w:space="0" w:color="auto"/>
              <w:right w:val="single" w:sz="8" w:space="0" w:color="auto"/>
            </w:tcBorders>
            <w:shd w:val="clear" w:color="auto" w:fill="D9D9D9"/>
            <w:noWrap/>
            <w:textDirection w:val="btLr"/>
            <w:vAlign w:val="center"/>
          </w:tcPr>
          <w:p w:rsidR="0096726A" w:rsidRPr="00BE7AAF" w:rsidRDefault="0096726A" w:rsidP="00E43C45">
            <w:pPr>
              <w:rPr>
                <w:rFonts w:ascii="Calibri" w:hAnsi="Calibri"/>
                <w:bCs/>
                <w:color w:val="000000"/>
              </w:rPr>
            </w:pPr>
            <w:r w:rsidRPr="00BE7AAF">
              <w:rPr>
                <w:rFonts w:ascii="Calibri" w:hAnsi="Calibri"/>
                <w:bCs/>
                <w:color w:val="000000"/>
              </w:rPr>
              <w:t>Comm. with Nurses</w:t>
            </w:r>
          </w:p>
        </w:tc>
        <w:tc>
          <w:tcPr>
            <w:tcW w:w="781" w:type="dxa"/>
            <w:tcBorders>
              <w:top w:val="single" w:sz="12" w:space="0" w:color="auto"/>
              <w:left w:val="single" w:sz="8" w:space="0" w:color="auto"/>
              <w:bottom w:val="single" w:sz="12" w:space="0" w:color="auto"/>
              <w:right w:val="single" w:sz="8" w:space="0" w:color="auto"/>
            </w:tcBorders>
            <w:shd w:val="clear" w:color="auto" w:fill="D9D9D9"/>
            <w:noWrap/>
            <w:textDirection w:val="btLr"/>
            <w:vAlign w:val="center"/>
          </w:tcPr>
          <w:p w:rsidR="0096726A" w:rsidRPr="00BE7AAF" w:rsidRDefault="0096726A" w:rsidP="00E43C45">
            <w:pPr>
              <w:rPr>
                <w:rFonts w:ascii="Calibri" w:hAnsi="Calibri"/>
                <w:bCs/>
                <w:color w:val="000000"/>
              </w:rPr>
            </w:pPr>
            <w:r w:rsidRPr="00BE7AAF">
              <w:rPr>
                <w:rFonts w:ascii="Calibri" w:hAnsi="Calibri"/>
                <w:bCs/>
                <w:color w:val="000000"/>
              </w:rPr>
              <w:t>Comm. with Doctors</w:t>
            </w:r>
          </w:p>
        </w:tc>
        <w:tc>
          <w:tcPr>
            <w:tcW w:w="781" w:type="dxa"/>
            <w:tcBorders>
              <w:top w:val="single" w:sz="12" w:space="0" w:color="auto"/>
              <w:left w:val="single" w:sz="8" w:space="0" w:color="auto"/>
              <w:bottom w:val="single" w:sz="12" w:space="0" w:color="auto"/>
              <w:right w:val="single" w:sz="8" w:space="0" w:color="auto"/>
            </w:tcBorders>
            <w:shd w:val="clear" w:color="auto" w:fill="D9D9D9"/>
            <w:noWrap/>
            <w:textDirection w:val="btLr"/>
            <w:vAlign w:val="center"/>
          </w:tcPr>
          <w:p w:rsidR="0096726A" w:rsidRPr="00BE7AAF" w:rsidRDefault="0096726A" w:rsidP="00E43C45">
            <w:pPr>
              <w:rPr>
                <w:rFonts w:ascii="Calibri" w:hAnsi="Calibri"/>
                <w:bCs/>
                <w:color w:val="000000"/>
              </w:rPr>
            </w:pPr>
            <w:r w:rsidRPr="00BE7AAF">
              <w:rPr>
                <w:rFonts w:ascii="Calibri" w:hAnsi="Calibri"/>
                <w:bCs/>
                <w:color w:val="000000"/>
              </w:rPr>
              <w:t>Responsiveness of Hosp. Staff</w:t>
            </w:r>
          </w:p>
        </w:tc>
        <w:tc>
          <w:tcPr>
            <w:tcW w:w="780" w:type="dxa"/>
            <w:tcBorders>
              <w:top w:val="single" w:sz="12" w:space="0" w:color="auto"/>
              <w:left w:val="single" w:sz="8" w:space="0" w:color="auto"/>
              <w:bottom w:val="single" w:sz="12" w:space="0" w:color="auto"/>
              <w:right w:val="single" w:sz="8" w:space="0" w:color="auto"/>
            </w:tcBorders>
            <w:shd w:val="clear" w:color="auto" w:fill="D9D9D9"/>
            <w:noWrap/>
            <w:textDirection w:val="btLr"/>
            <w:vAlign w:val="center"/>
          </w:tcPr>
          <w:p w:rsidR="0096726A" w:rsidRPr="00BE7AAF" w:rsidRDefault="0096726A" w:rsidP="00E43C45">
            <w:pPr>
              <w:rPr>
                <w:rFonts w:ascii="Calibri" w:hAnsi="Calibri"/>
                <w:bCs/>
                <w:color w:val="000000"/>
              </w:rPr>
            </w:pPr>
            <w:r w:rsidRPr="00BE7AAF">
              <w:rPr>
                <w:rFonts w:ascii="Calibri" w:hAnsi="Calibri"/>
                <w:bCs/>
                <w:color w:val="000000"/>
              </w:rPr>
              <w:t>Comm. About Medicines</w:t>
            </w:r>
          </w:p>
        </w:tc>
        <w:tc>
          <w:tcPr>
            <w:tcW w:w="781" w:type="dxa"/>
            <w:tcBorders>
              <w:top w:val="single" w:sz="12" w:space="0" w:color="auto"/>
              <w:left w:val="single" w:sz="8" w:space="0" w:color="auto"/>
              <w:bottom w:val="single" w:sz="12" w:space="0" w:color="auto"/>
              <w:right w:val="single" w:sz="8" w:space="0" w:color="auto"/>
            </w:tcBorders>
            <w:shd w:val="clear" w:color="auto" w:fill="D9D9D9"/>
            <w:noWrap/>
            <w:textDirection w:val="btLr"/>
            <w:vAlign w:val="center"/>
          </w:tcPr>
          <w:p w:rsidR="0096726A" w:rsidRPr="00BE7AAF" w:rsidRDefault="0096726A" w:rsidP="00E43C45">
            <w:pPr>
              <w:rPr>
                <w:rFonts w:ascii="Calibri" w:hAnsi="Calibri"/>
                <w:bCs/>
                <w:color w:val="000000"/>
              </w:rPr>
            </w:pPr>
            <w:r w:rsidRPr="00BE7AAF">
              <w:rPr>
                <w:rFonts w:ascii="Calibri" w:hAnsi="Calibri"/>
                <w:bCs/>
                <w:color w:val="000000"/>
              </w:rPr>
              <w:t>Cleanliness of Hosp. Env.</w:t>
            </w:r>
          </w:p>
        </w:tc>
        <w:tc>
          <w:tcPr>
            <w:tcW w:w="781" w:type="dxa"/>
            <w:tcBorders>
              <w:top w:val="single" w:sz="12" w:space="0" w:color="auto"/>
              <w:left w:val="single" w:sz="8" w:space="0" w:color="auto"/>
              <w:bottom w:val="single" w:sz="12" w:space="0" w:color="auto"/>
              <w:right w:val="single" w:sz="8" w:space="0" w:color="auto"/>
            </w:tcBorders>
            <w:shd w:val="clear" w:color="auto" w:fill="D9D9D9"/>
            <w:noWrap/>
            <w:textDirection w:val="btLr"/>
            <w:vAlign w:val="center"/>
          </w:tcPr>
          <w:p w:rsidR="0096726A" w:rsidRPr="00BE7AAF" w:rsidRDefault="0096726A" w:rsidP="00E43C45">
            <w:pPr>
              <w:rPr>
                <w:rFonts w:ascii="Calibri" w:hAnsi="Calibri"/>
                <w:bCs/>
                <w:color w:val="000000"/>
              </w:rPr>
            </w:pPr>
            <w:r w:rsidRPr="00BE7AAF">
              <w:rPr>
                <w:rFonts w:ascii="Calibri" w:hAnsi="Calibri"/>
                <w:bCs/>
                <w:color w:val="000000"/>
              </w:rPr>
              <w:t>Quietness of Hosp. Env.</w:t>
            </w:r>
          </w:p>
        </w:tc>
        <w:tc>
          <w:tcPr>
            <w:tcW w:w="780" w:type="dxa"/>
            <w:tcBorders>
              <w:top w:val="single" w:sz="12" w:space="0" w:color="auto"/>
              <w:left w:val="single" w:sz="8" w:space="0" w:color="auto"/>
              <w:bottom w:val="single" w:sz="12" w:space="0" w:color="auto"/>
              <w:right w:val="single" w:sz="8" w:space="0" w:color="auto"/>
            </w:tcBorders>
            <w:shd w:val="clear" w:color="auto" w:fill="D9D9D9"/>
            <w:noWrap/>
            <w:textDirection w:val="btLr"/>
            <w:vAlign w:val="center"/>
          </w:tcPr>
          <w:p w:rsidR="0096726A" w:rsidRPr="00BE7AAF" w:rsidRDefault="0096726A" w:rsidP="00E43C45">
            <w:pPr>
              <w:rPr>
                <w:rFonts w:ascii="Calibri" w:hAnsi="Calibri"/>
                <w:bCs/>
                <w:color w:val="000000"/>
              </w:rPr>
            </w:pPr>
            <w:r w:rsidRPr="00BE7AAF">
              <w:rPr>
                <w:rFonts w:ascii="Calibri" w:hAnsi="Calibri"/>
                <w:bCs/>
                <w:color w:val="000000"/>
              </w:rPr>
              <w:t>Discharge Information</w:t>
            </w:r>
          </w:p>
        </w:tc>
        <w:tc>
          <w:tcPr>
            <w:tcW w:w="781" w:type="dxa"/>
            <w:tcBorders>
              <w:top w:val="single" w:sz="12" w:space="0" w:color="auto"/>
              <w:left w:val="single" w:sz="8" w:space="0" w:color="auto"/>
              <w:bottom w:val="single" w:sz="12" w:space="0" w:color="auto"/>
              <w:right w:val="single" w:sz="8" w:space="0" w:color="auto"/>
            </w:tcBorders>
            <w:shd w:val="clear" w:color="auto" w:fill="D9D9D9"/>
            <w:textDirection w:val="btLr"/>
            <w:vAlign w:val="center"/>
          </w:tcPr>
          <w:p w:rsidR="0096726A" w:rsidRPr="00BE7AAF" w:rsidRDefault="0096726A" w:rsidP="00E43C45">
            <w:pPr>
              <w:rPr>
                <w:rFonts w:ascii="Calibri" w:hAnsi="Calibri"/>
                <w:bCs/>
                <w:color w:val="000000"/>
              </w:rPr>
            </w:pPr>
            <w:r>
              <w:rPr>
                <w:rFonts w:ascii="Calibri" w:hAnsi="Calibri"/>
                <w:bCs/>
                <w:color w:val="000000"/>
              </w:rPr>
              <w:t xml:space="preserve">Care Transition </w:t>
            </w:r>
          </w:p>
        </w:tc>
        <w:tc>
          <w:tcPr>
            <w:tcW w:w="781" w:type="dxa"/>
            <w:tcBorders>
              <w:top w:val="single" w:sz="12" w:space="0" w:color="auto"/>
              <w:left w:val="single" w:sz="8" w:space="0" w:color="auto"/>
              <w:bottom w:val="single" w:sz="12" w:space="0" w:color="auto"/>
              <w:right w:val="single" w:sz="8" w:space="0" w:color="auto"/>
            </w:tcBorders>
            <w:shd w:val="clear" w:color="auto" w:fill="D9D9D9"/>
            <w:textDirection w:val="btLr"/>
            <w:vAlign w:val="center"/>
          </w:tcPr>
          <w:p w:rsidR="0096726A" w:rsidRPr="00BE7AAF" w:rsidRDefault="0096726A" w:rsidP="00E43C45">
            <w:pPr>
              <w:rPr>
                <w:rFonts w:ascii="Calibri" w:hAnsi="Calibri"/>
                <w:bCs/>
                <w:color w:val="000000"/>
              </w:rPr>
            </w:pPr>
            <w:r w:rsidRPr="00BE7AAF">
              <w:rPr>
                <w:rFonts w:ascii="Calibri" w:hAnsi="Calibri"/>
                <w:bCs/>
                <w:color w:val="000000"/>
              </w:rPr>
              <w:t>Hospital Rating</w:t>
            </w:r>
          </w:p>
        </w:tc>
        <w:tc>
          <w:tcPr>
            <w:tcW w:w="781" w:type="dxa"/>
            <w:tcBorders>
              <w:top w:val="single" w:sz="12" w:space="0" w:color="auto"/>
              <w:left w:val="single" w:sz="8" w:space="0" w:color="auto"/>
              <w:bottom w:val="single" w:sz="12" w:space="0" w:color="auto"/>
              <w:right w:val="single" w:sz="12" w:space="0" w:color="auto"/>
            </w:tcBorders>
            <w:shd w:val="clear" w:color="auto" w:fill="D9D9D9"/>
            <w:noWrap/>
            <w:textDirection w:val="btLr"/>
            <w:vAlign w:val="center"/>
          </w:tcPr>
          <w:p w:rsidR="0096726A" w:rsidRPr="00BE7AAF" w:rsidRDefault="0096726A" w:rsidP="00E43C45">
            <w:pPr>
              <w:rPr>
                <w:rFonts w:ascii="Calibri" w:hAnsi="Calibri"/>
                <w:bCs/>
                <w:color w:val="000000"/>
              </w:rPr>
            </w:pPr>
            <w:r w:rsidRPr="00BE7AAF">
              <w:rPr>
                <w:rFonts w:ascii="Calibri" w:hAnsi="Calibri"/>
                <w:bCs/>
                <w:color w:val="000000"/>
              </w:rPr>
              <w:t>Recommend the Hospital</w:t>
            </w:r>
          </w:p>
        </w:tc>
      </w:tr>
      <w:tr w:rsidR="0096726A" w:rsidRPr="0089226A" w:rsidTr="00BA5A5C">
        <w:trPr>
          <w:trHeight w:val="900"/>
          <w:jc w:val="center"/>
        </w:trPr>
        <w:tc>
          <w:tcPr>
            <w:tcW w:w="2408" w:type="dxa"/>
            <w:tcBorders>
              <w:top w:val="single" w:sz="12" w:space="0" w:color="auto"/>
              <w:left w:val="single" w:sz="12" w:space="0" w:color="auto"/>
              <w:bottom w:val="single" w:sz="4" w:space="0" w:color="auto"/>
              <w:right w:val="single" w:sz="12" w:space="0" w:color="auto"/>
            </w:tcBorders>
            <w:shd w:val="clear" w:color="auto" w:fill="D9D9D9"/>
            <w:vAlign w:val="center"/>
          </w:tcPr>
          <w:p w:rsidR="0096726A" w:rsidRPr="008C7F37" w:rsidRDefault="0096726A" w:rsidP="0096726A">
            <w:pPr>
              <w:pStyle w:val="NoSpacing"/>
            </w:pPr>
            <w:r w:rsidRPr="008C7F37">
              <w:t>Education (per level;                           1=8th grade or less and 6=More than 4-year college degree)</w:t>
            </w:r>
          </w:p>
        </w:tc>
        <w:tc>
          <w:tcPr>
            <w:tcW w:w="780"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1.41%</w:t>
            </w:r>
          </w:p>
        </w:tc>
        <w:tc>
          <w:tcPr>
            <w:tcW w:w="781" w:type="dxa"/>
            <w:tcBorders>
              <w:top w:val="single" w:sz="12"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1.</w:t>
            </w:r>
            <w:r>
              <w:rPr>
                <w:sz w:val="16"/>
                <w:szCs w:val="16"/>
              </w:rPr>
              <w:t>44</w:t>
            </w:r>
            <w:r w:rsidRPr="00A058F8">
              <w:rPr>
                <w:sz w:val="16"/>
                <w:szCs w:val="16"/>
              </w:rPr>
              <w:t>%</w:t>
            </w:r>
          </w:p>
        </w:tc>
        <w:tc>
          <w:tcPr>
            <w:tcW w:w="781" w:type="dxa"/>
            <w:tcBorders>
              <w:top w:val="single" w:sz="12"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2.</w:t>
            </w:r>
            <w:r>
              <w:rPr>
                <w:sz w:val="16"/>
                <w:szCs w:val="16"/>
              </w:rPr>
              <w:t>27</w:t>
            </w:r>
            <w:r w:rsidRPr="00A058F8">
              <w:rPr>
                <w:sz w:val="16"/>
                <w:szCs w:val="16"/>
              </w:rPr>
              <w:t>%</w:t>
            </w:r>
          </w:p>
        </w:tc>
        <w:tc>
          <w:tcPr>
            <w:tcW w:w="780" w:type="dxa"/>
            <w:tcBorders>
              <w:top w:val="single" w:sz="12"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2.7</w:t>
            </w:r>
            <w:r>
              <w:rPr>
                <w:sz w:val="16"/>
                <w:szCs w:val="16"/>
              </w:rPr>
              <w:t>0</w:t>
            </w:r>
            <w:r w:rsidRPr="00A058F8">
              <w:rPr>
                <w:sz w:val="16"/>
                <w:szCs w:val="16"/>
              </w:rPr>
              <w:t>%</w:t>
            </w:r>
          </w:p>
        </w:tc>
        <w:tc>
          <w:tcPr>
            <w:tcW w:w="781" w:type="dxa"/>
            <w:tcBorders>
              <w:top w:val="single" w:sz="12"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1.3</w:t>
            </w:r>
            <w:r>
              <w:rPr>
                <w:sz w:val="16"/>
                <w:szCs w:val="16"/>
              </w:rPr>
              <w:t>5</w:t>
            </w:r>
            <w:r w:rsidRPr="00A058F8">
              <w:rPr>
                <w:sz w:val="16"/>
                <w:szCs w:val="16"/>
              </w:rPr>
              <w:t>%</w:t>
            </w:r>
          </w:p>
        </w:tc>
        <w:tc>
          <w:tcPr>
            <w:tcW w:w="781" w:type="dxa"/>
            <w:tcBorders>
              <w:top w:val="single" w:sz="12"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3.</w:t>
            </w:r>
            <w:r>
              <w:rPr>
                <w:sz w:val="16"/>
                <w:szCs w:val="16"/>
              </w:rPr>
              <w:t>38</w:t>
            </w:r>
            <w:r w:rsidRPr="00A058F8">
              <w:rPr>
                <w:sz w:val="16"/>
                <w:szCs w:val="16"/>
              </w:rPr>
              <w:t>%</w:t>
            </w:r>
          </w:p>
        </w:tc>
        <w:tc>
          <w:tcPr>
            <w:tcW w:w="780" w:type="dxa"/>
            <w:tcBorders>
              <w:top w:val="single" w:sz="12"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0.39</w:t>
            </w:r>
            <w:r w:rsidRPr="00A058F8">
              <w:rPr>
                <w:sz w:val="16"/>
                <w:szCs w:val="16"/>
              </w:rPr>
              <w:t>%</w:t>
            </w:r>
          </w:p>
        </w:tc>
        <w:tc>
          <w:tcPr>
            <w:tcW w:w="781" w:type="dxa"/>
            <w:tcBorders>
              <w:top w:val="single" w:sz="12" w:space="0" w:color="auto"/>
              <w:left w:val="nil"/>
              <w:bottom w:val="single" w:sz="4" w:space="0" w:color="auto"/>
              <w:right w:val="single" w:sz="4" w:space="0" w:color="auto"/>
            </w:tcBorders>
            <w:vAlign w:val="center"/>
          </w:tcPr>
          <w:p w:rsidR="0096726A" w:rsidRPr="00A058F8" w:rsidRDefault="0096726A" w:rsidP="0096726A">
            <w:pPr>
              <w:pStyle w:val="NoSpacing"/>
              <w:rPr>
                <w:sz w:val="16"/>
                <w:szCs w:val="16"/>
              </w:rPr>
            </w:pPr>
            <w:r w:rsidRPr="00A058F8">
              <w:rPr>
                <w:sz w:val="16"/>
                <w:szCs w:val="16"/>
              </w:rPr>
              <w:t>-0.6</w:t>
            </w:r>
            <w:r>
              <w:rPr>
                <w:sz w:val="16"/>
                <w:szCs w:val="16"/>
              </w:rPr>
              <w:t>3</w:t>
            </w:r>
            <w:r w:rsidRPr="00A058F8">
              <w:rPr>
                <w:sz w:val="16"/>
                <w:szCs w:val="16"/>
              </w:rPr>
              <w:t>%</w:t>
            </w:r>
          </w:p>
        </w:tc>
        <w:tc>
          <w:tcPr>
            <w:tcW w:w="781" w:type="dxa"/>
            <w:tcBorders>
              <w:top w:val="single" w:sz="12" w:space="0" w:color="auto"/>
              <w:left w:val="single" w:sz="4" w:space="0" w:color="auto"/>
              <w:bottom w:val="single" w:sz="4" w:space="0" w:color="auto"/>
              <w:right w:val="single" w:sz="8" w:space="0" w:color="auto"/>
            </w:tcBorders>
            <w:vAlign w:val="center"/>
          </w:tcPr>
          <w:p w:rsidR="0096726A" w:rsidRPr="00A058F8" w:rsidRDefault="0096726A" w:rsidP="0096726A">
            <w:pPr>
              <w:pStyle w:val="NoSpacing"/>
              <w:rPr>
                <w:sz w:val="16"/>
                <w:szCs w:val="16"/>
              </w:rPr>
            </w:pPr>
            <w:r w:rsidRPr="00A058F8">
              <w:rPr>
                <w:sz w:val="16"/>
                <w:szCs w:val="16"/>
              </w:rPr>
              <w:t>2.4</w:t>
            </w:r>
            <w:r>
              <w:rPr>
                <w:sz w:val="16"/>
                <w:szCs w:val="16"/>
              </w:rPr>
              <w:t>2</w:t>
            </w:r>
            <w:r w:rsidRPr="00A058F8">
              <w:rPr>
                <w:sz w:val="16"/>
                <w:szCs w:val="16"/>
              </w:rPr>
              <w:t>%</w:t>
            </w:r>
          </w:p>
        </w:tc>
        <w:tc>
          <w:tcPr>
            <w:tcW w:w="781" w:type="dxa"/>
            <w:tcBorders>
              <w:top w:val="single" w:sz="12" w:space="0" w:color="auto"/>
              <w:left w:val="nil"/>
              <w:bottom w:val="single" w:sz="4" w:space="0" w:color="auto"/>
              <w:right w:val="single" w:sz="12"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0.9</w:t>
            </w:r>
            <w:r>
              <w:rPr>
                <w:sz w:val="16"/>
                <w:szCs w:val="16"/>
              </w:rPr>
              <w:t>2</w:t>
            </w:r>
            <w:r w:rsidRPr="00A058F8">
              <w:rPr>
                <w:sz w:val="16"/>
                <w:szCs w:val="16"/>
              </w:rPr>
              <w:t>%</w:t>
            </w:r>
          </w:p>
        </w:tc>
      </w:tr>
      <w:tr w:rsidR="0096726A" w:rsidRPr="00BE7AAF" w:rsidTr="00BA5A5C">
        <w:trPr>
          <w:trHeight w:val="600"/>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vAlign w:val="center"/>
          </w:tcPr>
          <w:p w:rsidR="0096726A" w:rsidRPr="008C7F37" w:rsidRDefault="0096726A" w:rsidP="0096726A">
            <w:pPr>
              <w:pStyle w:val="NoSpacing"/>
            </w:pPr>
            <w:r w:rsidRPr="008C7F37">
              <w:t>Self-Rated Health (per level; 1=Excellent and 5=Poor)</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4.8</w:t>
            </w:r>
            <w:r>
              <w:rPr>
                <w:sz w:val="16"/>
                <w:szCs w:val="16"/>
              </w:rPr>
              <w:t>2</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4.80</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6.</w:t>
            </w:r>
            <w:r>
              <w:rPr>
                <w:sz w:val="16"/>
                <w:szCs w:val="16"/>
              </w:rPr>
              <w:t>20</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4.9</w:t>
            </w:r>
            <w:r>
              <w:rPr>
                <w:sz w:val="16"/>
                <w:szCs w:val="16"/>
              </w:rPr>
              <w:t>4</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4.2</w:t>
            </w:r>
            <w:r>
              <w:rPr>
                <w:sz w:val="16"/>
                <w:szCs w:val="16"/>
              </w:rPr>
              <w:t>6</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4.4</w:t>
            </w:r>
            <w:r>
              <w:rPr>
                <w:sz w:val="16"/>
                <w:szCs w:val="16"/>
              </w:rPr>
              <w:t>3</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1.0</w:t>
            </w:r>
            <w:r>
              <w:rPr>
                <w:sz w:val="16"/>
                <w:szCs w:val="16"/>
              </w:rPr>
              <w:t>8</w:t>
            </w:r>
            <w:r w:rsidRPr="00A058F8">
              <w:rPr>
                <w:sz w:val="16"/>
                <w:szCs w:val="16"/>
              </w:rPr>
              <w:t>%</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96726A">
            <w:pPr>
              <w:pStyle w:val="NoSpacing"/>
              <w:rPr>
                <w:sz w:val="16"/>
                <w:szCs w:val="16"/>
              </w:rPr>
            </w:pPr>
            <w:r w:rsidRPr="00A058F8">
              <w:rPr>
                <w:sz w:val="16"/>
                <w:szCs w:val="16"/>
              </w:rPr>
              <w:t>6.</w:t>
            </w:r>
            <w:r>
              <w:rPr>
                <w:sz w:val="16"/>
                <w:szCs w:val="16"/>
              </w:rPr>
              <w:t>37</w:t>
            </w:r>
            <w:r w:rsidRPr="00A058F8">
              <w:rPr>
                <w:sz w:val="16"/>
                <w:szCs w:val="16"/>
              </w:rPr>
              <w:t>%</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96726A">
            <w:pPr>
              <w:pStyle w:val="NoSpacing"/>
              <w:rPr>
                <w:sz w:val="16"/>
                <w:szCs w:val="16"/>
              </w:rPr>
            </w:pPr>
            <w:r>
              <w:rPr>
                <w:sz w:val="16"/>
                <w:szCs w:val="16"/>
              </w:rPr>
              <w:t>6.32</w:t>
            </w:r>
            <w:r w:rsidRPr="00A058F8">
              <w:rPr>
                <w:sz w:val="16"/>
                <w:szCs w:val="16"/>
              </w:rPr>
              <w:t>%</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5.5</w:t>
            </w:r>
            <w:r>
              <w:rPr>
                <w:sz w:val="16"/>
                <w:szCs w:val="16"/>
              </w:rPr>
              <w:t>4</w:t>
            </w:r>
            <w:r w:rsidRPr="00A058F8">
              <w:rPr>
                <w:sz w:val="16"/>
                <w:szCs w:val="16"/>
              </w:rPr>
              <w:t>%</w:t>
            </w:r>
          </w:p>
        </w:tc>
      </w:tr>
      <w:tr w:rsidR="0096726A" w:rsidRPr="00BE7AAF" w:rsidTr="00BA5A5C">
        <w:trPr>
          <w:trHeight w:val="600"/>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vAlign w:val="center"/>
          </w:tcPr>
          <w:p w:rsidR="0096726A" w:rsidRPr="008C7F37" w:rsidRDefault="0096726A" w:rsidP="0096726A">
            <w:pPr>
              <w:pStyle w:val="NoSpacing"/>
            </w:pPr>
            <w:r w:rsidRPr="008C7F37">
              <w:t>Response Percentile                                   (per 1% of response percentile)</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0.19%</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0.18%</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0.24</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0.19%</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0.06%</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w:t>
            </w:r>
            <w:r>
              <w:rPr>
                <w:sz w:val="16"/>
                <w:szCs w:val="16"/>
              </w:rPr>
              <w:t>4</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0.03%</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96726A">
            <w:pPr>
              <w:pStyle w:val="NoSpacing"/>
              <w:rPr>
                <w:sz w:val="16"/>
                <w:szCs w:val="16"/>
              </w:rPr>
            </w:pPr>
            <w:r>
              <w:rPr>
                <w:sz w:val="16"/>
                <w:szCs w:val="16"/>
              </w:rPr>
              <w:t>0.19</w:t>
            </w:r>
            <w:r w:rsidRPr="00A058F8">
              <w:rPr>
                <w:sz w:val="16"/>
                <w:szCs w:val="16"/>
              </w:rPr>
              <w:t>%</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96726A">
            <w:pPr>
              <w:pStyle w:val="NoSpacing"/>
              <w:rPr>
                <w:sz w:val="16"/>
                <w:szCs w:val="16"/>
              </w:rPr>
            </w:pPr>
            <w:r w:rsidRPr="00A058F8">
              <w:rPr>
                <w:sz w:val="16"/>
                <w:szCs w:val="16"/>
              </w:rPr>
              <w:t>0.17%</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0.17%</w:t>
            </w:r>
          </w:p>
        </w:tc>
      </w:tr>
      <w:tr w:rsidR="0096726A" w:rsidRPr="00BE7AAF" w:rsidTr="00BA5A5C">
        <w:trPr>
          <w:trHeight w:val="350"/>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8C7F37" w:rsidRDefault="0096726A" w:rsidP="0096726A">
            <w:pPr>
              <w:pStyle w:val="NoSpacing"/>
            </w:pPr>
            <w:r w:rsidRPr="008C7F37">
              <w:t>Spanish</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w:t>
            </w:r>
            <w:r>
              <w:rPr>
                <w:sz w:val="16"/>
                <w:szCs w:val="16"/>
              </w:rPr>
              <w:t>76</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-2.</w:t>
            </w:r>
            <w:r>
              <w:rPr>
                <w:sz w:val="16"/>
                <w:szCs w:val="16"/>
              </w:rPr>
              <w:t>57</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w:t>
            </w:r>
            <w:r>
              <w:rPr>
                <w:sz w:val="16"/>
                <w:szCs w:val="16"/>
              </w:rPr>
              <w:t>91</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-2.50</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1.27</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-4.</w:t>
            </w:r>
            <w:r>
              <w:rPr>
                <w:sz w:val="16"/>
                <w:szCs w:val="16"/>
              </w:rPr>
              <w:t>88</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-1.72</w:t>
            </w:r>
            <w:r w:rsidRPr="00A058F8">
              <w:rPr>
                <w:sz w:val="16"/>
                <w:szCs w:val="16"/>
              </w:rPr>
              <w:t>%</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96726A">
            <w:pPr>
              <w:pStyle w:val="NoSpacing"/>
              <w:rPr>
                <w:sz w:val="16"/>
                <w:szCs w:val="16"/>
              </w:rPr>
            </w:pPr>
            <w:r w:rsidRPr="00A058F8">
              <w:rPr>
                <w:sz w:val="16"/>
                <w:szCs w:val="16"/>
              </w:rPr>
              <w:t>0.</w:t>
            </w:r>
            <w:r>
              <w:rPr>
                <w:sz w:val="16"/>
                <w:szCs w:val="16"/>
              </w:rPr>
              <w:t>84</w:t>
            </w:r>
            <w:r w:rsidRPr="00A058F8">
              <w:rPr>
                <w:sz w:val="16"/>
                <w:szCs w:val="16"/>
              </w:rPr>
              <w:t>%</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96726A">
            <w:pPr>
              <w:pStyle w:val="NoSpacing"/>
              <w:rPr>
                <w:sz w:val="16"/>
                <w:szCs w:val="16"/>
              </w:rPr>
            </w:pPr>
            <w:r w:rsidRPr="00A058F8">
              <w:rPr>
                <w:sz w:val="16"/>
                <w:szCs w:val="16"/>
              </w:rPr>
              <w:t>-11.</w:t>
            </w:r>
            <w:r>
              <w:rPr>
                <w:sz w:val="16"/>
                <w:szCs w:val="16"/>
              </w:rPr>
              <w:t>88</w:t>
            </w:r>
            <w:r w:rsidRPr="00A058F8">
              <w:rPr>
                <w:sz w:val="16"/>
                <w:szCs w:val="16"/>
              </w:rPr>
              <w:t>%</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-9.</w:t>
            </w:r>
            <w:r>
              <w:rPr>
                <w:sz w:val="16"/>
                <w:szCs w:val="16"/>
              </w:rPr>
              <w:t>38</w:t>
            </w:r>
            <w:r w:rsidRPr="00A058F8">
              <w:rPr>
                <w:sz w:val="16"/>
                <w:szCs w:val="16"/>
              </w:rPr>
              <w:t>%</w:t>
            </w:r>
          </w:p>
        </w:tc>
      </w:tr>
      <w:tr w:rsidR="0096726A" w:rsidRPr="00BE7AAF" w:rsidTr="00BA5A5C">
        <w:trPr>
          <w:trHeight w:val="350"/>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8C7F37" w:rsidRDefault="0096726A" w:rsidP="0096726A">
            <w:pPr>
              <w:pStyle w:val="NoSpacing"/>
            </w:pPr>
            <w:r w:rsidRPr="008C7F37">
              <w:t>Chinese</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5.65</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4.8</w:t>
            </w:r>
            <w:r>
              <w:rPr>
                <w:sz w:val="16"/>
                <w:szCs w:val="16"/>
              </w:rPr>
              <w:t>0</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5</w:t>
            </w:r>
            <w:r w:rsidRPr="00A058F8">
              <w:rPr>
                <w:sz w:val="16"/>
                <w:szCs w:val="16"/>
              </w:rPr>
              <w:t>.</w:t>
            </w:r>
            <w:r>
              <w:rPr>
                <w:sz w:val="16"/>
                <w:szCs w:val="16"/>
              </w:rPr>
              <w:t>84</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3.</w:t>
            </w:r>
            <w:r>
              <w:rPr>
                <w:sz w:val="16"/>
                <w:szCs w:val="16"/>
              </w:rPr>
              <w:t>55</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3.76</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w:t>
            </w:r>
            <w:r>
              <w:rPr>
                <w:sz w:val="16"/>
                <w:szCs w:val="16"/>
              </w:rPr>
              <w:t>2.13</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w:t>
            </w:r>
            <w:r>
              <w:rPr>
                <w:sz w:val="16"/>
                <w:szCs w:val="16"/>
              </w:rPr>
              <w:t>1.99</w:t>
            </w:r>
            <w:r w:rsidRPr="00A058F8">
              <w:rPr>
                <w:sz w:val="16"/>
                <w:szCs w:val="16"/>
              </w:rPr>
              <w:t>%</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96726A">
            <w:pPr>
              <w:pStyle w:val="NoSpacing"/>
              <w:rPr>
                <w:sz w:val="16"/>
                <w:szCs w:val="16"/>
              </w:rPr>
            </w:pPr>
            <w:r w:rsidRPr="00A058F8">
              <w:rPr>
                <w:sz w:val="16"/>
                <w:szCs w:val="16"/>
              </w:rPr>
              <w:t>11.</w:t>
            </w:r>
            <w:r>
              <w:rPr>
                <w:sz w:val="16"/>
                <w:szCs w:val="16"/>
              </w:rPr>
              <w:t>06</w:t>
            </w:r>
            <w:r w:rsidRPr="00A058F8">
              <w:rPr>
                <w:sz w:val="16"/>
                <w:szCs w:val="16"/>
              </w:rPr>
              <w:t>%</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96726A">
            <w:pPr>
              <w:pStyle w:val="NoSpacing"/>
              <w:rPr>
                <w:sz w:val="16"/>
                <w:szCs w:val="16"/>
              </w:rPr>
            </w:pPr>
            <w:r w:rsidRPr="00A058F8">
              <w:rPr>
                <w:sz w:val="16"/>
                <w:szCs w:val="16"/>
              </w:rPr>
              <w:t>3.</w:t>
            </w:r>
            <w:r>
              <w:rPr>
                <w:sz w:val="16"/>
                <w:szCs w:val="16"/>
              </w:rPr>
              <w:t>56</w:t>
            </w:r>
            <w:r w:rsidRPr="00A058F8">
              <w:rPr>
                <w:sz w:val="16"/>
                <w:szCs w:val="16"/>
              </w:rPr>
              <w:t>%</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96726A">
            <w:pPr>
              <w:pStyle w:val="NoSpacing"/>
              <w:rPr>
                <w:sz w:val="16"/>
                <w:szCs w:val="16"/>
              </w:rPr>
            </w:pPr>
            <w:r>
              <w:rPr>
                <w:sz w:val="16"/>
                <w:szCs w:val="16"/>
              </w:rPr>
              <w:t>2.77</w:t>
            </w:r>
            <w:r w:rsidRPr="00A058F8">
              <w:rPr>
                <w:sz w:val="16"/>
                <w:szCs w:val="16"/>
              </w:rPr>
              <w:t>%</w:t>
            </w:r>
          </w:p>
        </w:tc>
      </w:tr>
      <w:tr w:rsidR="0096726A" w:rsidRPr="00BE7AAF" w:rsidTr="00BA5A5C">
        <w:trPr>
          <w:trHeight w:val="368"/>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8C7F37" w:rsidRDefault="0096726A" w:rsidP="0096726A">
            <w:pPr>
              <w:pStyle w:val="NoSpacing"/>
            </w:pPr>
            <w:r w:rsidRPr="00C24A41">
              <w:rPr>
                <w:sz w:val="16"/>
                <w:szCs w:val="16"/>
              </w:rPr>
              <w:t>R/V/</w:t>
            </w:r>
            <w:r>
              <w:rPr>
                <w:sz w:val="16"/>
                <w:szCs w:val="16"/>
              </w:rPr>
              <w:t>P/</w:t>
            </w:r>
            <w:r w:rsidRPr="00C24A41">
              <w:rPr>
                <w:sz w:val="16"/>
                <w:szCs w:val="16"/>
              </w:rPr>
              <w:t xml:space="preserve">O (Russian, Vietnamese, </w:t>
            </w:r>
            <w:r>
              <w:rPr>
                <w:sz w:val="16"/>
                <w:szCs w:val="16"/>
              </w:rPr>
              <w:t xml:space="preserve">Portuguese, </w:t>
            </w:r>
            <w:r w:rsidRPr="00C24A41">
              <w:rPr>
                <w:sz w:val="16"/>
                <w:szCs w:val="16"/>
              </w:rPr>
              <w:t>Other)</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1.15</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w:t>
            </w:r>
            <w:r>
              <w:rPr>
                <w:sz w:val="16"/>
                <w:szCs w:val="16"/>
              </w:rPr>
              <w:t>50</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2.36</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0.51</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3.</w:t>
            </w:r>
            <w:r>
              <w:rPr>
                <w:sz w:val="16"/>
                <w:szCs w:val="16"/>
              </w:rPr>
              <w:t>56</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-6.3</w:t>
            </w:r>
            <w:r>
              <w:rPr>
                <w:sz w:val="16"/>
                <w:szCs w:val="16"/>
              </w:rPr>
              <w:t>4</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w:t>
            </w:r>
            <w:r>
              <w:rPr>
                <w:sz w:val="16"/>
                <w:szCs w:val="16"/>
              </w:rPr>
              <w:t>03</w:t>
            </w:r>
            <w:r w:rsidRPr="00A058F8">
              <w:rPr>
                <w:sz w:val="16"/>
                <w:szCs w:val="16"/>
              </w:rPr>
              <w:t>%</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96726A">
            <w:pPr>
              <w:pStyle w:val="NoSpacing"/>
              <w:rPr>
                <w:sz w:val="16"/>
                <w:szCs w:val="16"/>
              </w:rPr>
            </w:pPr>
            <w:r>
              <w:rPr>
                <w:sz w:val="16"/>
                <w:szCs w:val="16"/>
              </w:rPr>
              <w:t>6.30</w:t>
            </w:r>
            <w:r w:rsidRPr="00A058F8">
              <w:rPr>
                <w:sz w:val="16"/>
                <w:szCs w:val="16"/>
              </w:rPr>
              <w:t>%</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96726A">
            <w:pPr>
              <w:pStyle w:val="NoSpacing"/>
              <w:rPr>
                <w:sz w:val="16"/>
                <w:szCs w:val="16"/>
              </w:rPr>
            </w:pPr>
            <w:r w:rsidRPr="00A058F8">
              <w:rPr>
                <w:sz w:val="16"/>
                <w:szCs w:val="16"/>
              </w:rPr>
              <w:t>1.5</w:t>
            </w:r>
            <w:r>
              <w:rPr>
                <w:sz w:val="16"/>
                <w:szCs w:val="16"/>
              </w:rPr>
              <w:t>6</w:t>
            </w:r>
            <w:r w:rsidRPr="00A058F8">
              <w:rPr>
                <w:sz w:val="16"/>
                <w:szCs w:val="16"/>
              </w:rPr>
              <w:t>%</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w:t>
            </w:r>
            <w:r>
              <w:rPr>
                <w:sz w:val="16"/>
                <w:szCs w:val="16"/>
              </w:rPr>
              <w:t>34</w:t>
            </w:r>
            <w:r w:rsidRPr="00A058F8">
              <w:rPr>
                <w:sz w:val="16"/>
                <w:szCs w:val="16"/>
              </w:rPr>
              <w:t>%</w:t>
            </w:r>
          </w:p>
        </w:tc>
      </w:tr>
      <w:tr w:rsidR="0096726A" w:rsidRPr="00BE7AAF" w:rsidTr="00BA5A5C">
        <w:trPr>
          <w:trHeight w:val="288"/>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8C7F37" w:rsidRDefault="0096726A" w:rsidP="0096726A">
            <w:pPr>
              <w:pStyle w:val="NoSpacing"/>
            </w:pPr>
            <w:r w:rsidRPr="008C7F37">
              <w:t>English (REFERENCE)</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0.00%</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0.00%</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96726A">
            <w:pPr>
              <w:pStyle w:val="NoSpacing"/>
              <w:rPr>
                <w:sz w:val="16"/>
                <w:szCs w:val="16"/>
              </w:rPr>
            </w:pPr>
            <w:r w:rsidRPr="00A058F8">
              <w:rPr>
                <w:sz w:val="16"/>
                <w:szCs w:val="16"/>
              </w:rPr>
              <w:t>0.00%</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96726A">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0.00%</w:t>
            </w:r>
          </w:p>
        </w:tc>
      </w:tr>
      <w:tr w:rsidR="0096726A" w:rsidRPr="00BE7AAF" w:rsidTr="00BA5A5C">
        <w:trPr>
          <w:trHeight w:val="144"/>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8C7F37" w:rsidRDefault="0096726A" w:rsidP="0096726A">
            <w:pPr>
              <w:pStyle w:val="NoSpacing"/>
            </w:pPr>
            <w:r w:rsidRPr="008C7F37">
              <w:t>Age 18-24</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1.98</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0.70</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3.</w:t>
            </w:r>
            <w:r>
              <w:rPr>
                <w:sz w:val="16"/>
                <w:szCs w:val="16"/>
              </w:rPr>
              <w:t>69</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w:t>
            </w:r>
            <w:r>
              <w:rPr>
                <w:sz w:val="16"/>
                <w:szCs w:val="16"/>
              </w:rPr>
              <w:t>9.62</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-0.03</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-4.39</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-3.</w:t>
            </w:r>
            <w:r>
              <w:rPr>
                <w:sz w:val="16"/>
                <w:szCs w:val="16"/>
              </w:rPr>
              <w:t>3</w:t>
            </w:r>
            <w:r w:rsidRPr="00A058F8">
              <w:rPr>
                <w:sz w:val="16"/>
                <w:szCs w:val="16"/>
              </w:rPr>
              <w:t>4%</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96726A">
            <w:pPr>
              <w:pStyle w:val="NoSpacing"/>
              <w:rPr>
                <w:sz w:val="16"/>
                <w:szCs w:val="16"/>
              </w:rPr>
            </w:pPr>
            <w:r>
              <w:rPr>
                <w:sz w:val="16"/>
                <w:szCs w:val="16"/>
              </w:rPr>
              <w:t>-8</w:t>
            </w:r>
            <w:r w:rsidRPr="00A058F8">
              <w:rPr>
                <w:sz w:val="16"/>
                <w:szCs w:val="16"/>
              </w:rPr>
              <w:t>.</w:t>
            </w:r>
            <w:r>
              <w:rPr>
                <w:sz w:val="16"/>
                <w:szCs w:val="16"/>
              </w:rPr>
              <w:t>07</w:t>
            </w:r>
            <w:r w:rsidRPr="00A058F8">
              <w:rPr>
                <w:sz w:val="16"/>
                <w:szCs w:val="16"/>
              </w:rPr>
              <w:t>%</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96726A">
            <w:pPr>
              <w:pStyle w:val="NoSpacing"/>
              <w:rPr>
                <w:sz w:val="16"/>
                <w:szCs w:val="16"/>
              </w:rPr>
            </w:pPr>
            <w:r>
              <w:rPr>
                <w:sz w:val="16"/>
                <w:szCs w:val="16"/>
              </w:rPr>
              <w:t>16.22</w:t>
            </w:r>
            <w:r w:rsidRPr="00A058F8">
              <w:rPr>
                <w:sz w:val="16"/>
                <w:szCs w:val="16"/>
              </w:rPr>
              <w:t>%</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12.</w:t>
            </w:r>
            <w:r>
              <w:rPr>
                <w:sz w:val="16"/>
                <w:szCs w:val="16"/>
              </w:rPr>
              <w:t>55</w:t>
            </w:r>
            <w:r w:rsidRPr="00A058F8">
              <w:rPr>
                <w:sz w:val="16"/>
                <w:szCs w:val="16"/>
              </w:rPr>
              <w:t>%</w:t>
            </w:r>
          </w:p>
        </w:tc>
      </w:tr>
      <w:tr w:rsidR="0096726A" w:rsidRPr="00BE7AAF" w:rsidTr="00BA5A5C">
        <w:trPr>
          <w:trHeight w:val="288"/>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8C7F37" w:rsidRDefault="0096726A" w:rsidP="0096726A">
            <w:pPr>
              <w:pStyle w:val="NoSpacing"/>
            </w:pPr>
            <w:r w:rsidRPr="008C7F37">
              <w:t>Age 25-34</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w:t>
            </w:r>
            <w:r>
              <w:rPr>
                <w:sz w:val="16"/>
                <w:szCs w:val="16"/>
              </w:rPr>
              <w:t>58</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-0.82</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-2.66</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-11.</w:t>
            </w:r>
            <w:r>
              <w:rPr>
                <w:sz w:val="16"/>
                <w:szCs w:val="16"/>
              </w:rPr>
              <w:t>66</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w:t>
            </w:r>
            <w:r>
              <w:rPr>
                <w:sz w:val="16"/>
                <w:szCs w:val="16"/>
              </w:rPr>
              <w:t>75</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-6.46</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w:t>
            </w:r>
            <w:r>
              <w:rPr>
                <w:sz w:val="16"/>
                <w:szCs w:val="16"/>
              </w:rPr>
              <w:t>3.98</w:t>
            </w:r>
            <w:r w:rsidRPr="00A058F8">
              <w:rPr>
                <w:sz w:val="16"/>
                <w:szCs w:val="16"/>
              </w:rPr>
              <w:t>%</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96726A">
            <w:pPr>
              <w:pStyle w:val="NoSpacing"/>
              <w:rPr>
                <w:sz w:val="16"/>
                <w:szCs w:val="16"/>
              </w:rPr>
            </w:pPr>
            <w:r>
              <w:rPr>
                <w:sz w:val="16"/>
                <w:szCs w:val="16"/>
              </w:rPr>
              <w:t>-12.17</w:t>
            </w:r>
            <w:r w:rsidRPr="00A058F8">
              <w:rPr>
                <w:sz w:val="16"/>
                <w:szCs w:val="16"/>
              </w:rPr>
              <w:t>%</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96726A">
            <w:pPr>
              <w:pStyle w:val="NoSpacing"/>
              <w:rPr>
                <w:sz w:val="16"/>
                <w:szCs w:val="16"/>
              </w:rPr>
            </w:pPr>
            <w:r>
              <w:rPr>
                <w:sz w:val="16"/>
                <w:szCs w:val="16"/>
              </w:rPr>
              <w:t>12.20</w:t>
            </w:r>
            <w:r w:rsidRPr="00A058F8">
              <w:rPr>
                <w:sz w:val="16"/>
                <w:szCs w:val="16"/>
              </w:rPr>
              <w:t>%</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7.7</w:t>
            </w:r>
            <w:r>
              <w:rPr>
                <w:sz w:val="16"/>
                <w:szCs w:val="16"/>
              </w:rPr>
              <w:t>0</w:t>
            </w:r>
            <w:r w:rsidRPr="00A058F8">
              <w:rPr>
                <w:sz w:val="16"/>
                <w:szCs w:val="16"/>
              </w:rPr>
              <w:t>%</w:t>
            </w:r>
          </w:p>
        </w:tc>
      </w:tr>
      <w:tr w:rsidR="0096726A" w:rsidRPr="00BE7AAF" w:rsidTr="00BA5A5C">
        <w:trPr>
          <w:trHeight w:val="288"/>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8C7F37" w:rsidRDefault="0096726A" w:rsidP="0096726A">
            <w:pPr>
              <w:pStyle w:val="NoSpacing"/>
            </w:pPr>
            <w:r w:rsidRPr="008C7F37">
              <w:t>Age 35-44</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-1.</w:t>
            </w:r>
            <w:r>
              <w:rPr>
                <w:sz w:val="16"/>
                <w:szCs w:val="16"/>
              </w:rPr>
              <w:t>57</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-1.69</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-4.</w:t>
            </w:r>
            <w:r>
              <w:rPr>
                <w:sz w:val="16"/>
                <w:szCs w:val="16"/>
              </w:rPr>
              <w:t>08</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-11</w:t>
            </w:r>
            <w:r w:rsidRPr="00A058F8">
              <w:rPr>
                <w:sz w:val="16"/>
                <w:szCs w:val="16"/>
              </w:rPr>
              <w:t>.</w:t>
            </w:r>
            <w:r>
              <w:rPr>
                <w:sz w:val="16"/>
                <w:szCs w:val="16"/>
              </w:rPr>
              <w:t>75</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0.08</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-5.</w:t>
            </w:r>
            <w:r>
              <w:rPr>
                <w:sz w:val="16"/>
                <w:szCs w:val="16"/>
              </w:rPr>
              <w:t>21</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-4.07</w:t>
            </w:r>
            <w:r w:rsidRPr="00A058F8">
              <w:rPr>
                <w:sz w:val="16"/>
                <w:szCs w:val="16"/>
              </w:rPr>
              <w:t>%</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96726A">
            <w:pPr>
              <w:pStyle w:val="NoSpacing"/>
              <w:rPr>
                <w:sz w:val="16"/>
                <w:szCs w:val="16"/>
              </w:rPr>
            </w:pPr>
            <w:r w:rsidRPr="00A058F8">
              <w:rPr>
                <w:sz w:val="16"/>
                <w:szCs w:val="16"/>
              </w:rPr>
              <w:t>-11.</w:t>
            </w:r>
            <w:r>
              <w:rPr>
                <w:sz w:val="16"/>
                <w:szCs w:val="16"/>
              </w:rPr>
              <w:t>60</w:t>
            </w:r>
            <w:r w:rsidRPr="00A058F8">
              <w:rPr>
                <w:sz w:val="16"/>
                <w:szCs w:val="16"/>
              </w:rPr>
              <w:t>%</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96726A">
            <w:pPr>
              <w:pStyle w:val="NoSpacing"/>
              <w:rPr>
                <w:sz w:val="16"/>
                <w:szCs w:val="16"/>
              </w:rPr>
            </w:pPr>
            <w:r w:rsidRPr="00A058F8">
              <w:rPr>
                <w:sz w:val="16"/>
                <w:szCs w:val="16"/>
              </w:rPr>
              <w:t>9.</w:t>
            </w:r>
            <w:r>
              <w:rPr>
                <w:sz w:val="16"/>
                <w:szCs w:val="16"/>
              </w:rPr>
              <w:t>26</w:t>
            </w:r>
            <w:r w:rsidRPr="00A058F8">
              <w:rPr>
                <w:sz w:val="16"/>
                <w:szCs w:val="16"/>
              </w:rPr>
              <w:t>%</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5.</w:t>
            </w:r>
            <w:r>
              <w:rPr>
                <w:sz w:val="16"/>
                <w:szCs w:val="16"/>
              </w:rPr>
              <w:t>44</w:t>
            </w:r>
            <w:r w:rsidRPr="00A058F8">
              <w:rPr>
                <w:sz w:val="16"/>
                <w:szCs w:val="16"/>
              </w:rPr>
              <w:t>%</w:t>
            </w:r>
          </w:p>
        </w:tc>
      </w:tr>
      <w:tr w:rsidR="0096726A" w:rsidRPr="00BE7AAF" w:rsidTr="00BA5A5C">
        <w:trPr>
          <w:trHeight w:val="288"/>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8C7F37" w:rsidRDefault="0096726A" w:rsidP="0096726A">
            <w:pPr>
              <w:pStyle w:val="NoSpacing"/>
            </w:pPr>
            <w:r w:rsidRPr="008C7F37">
              <w:t>Age 45-54</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-3.</w:t>
            </w:r>
            <w:r>
              <w:rPr>
                <w:sz w:val="16"/>
                <w:szCs w:val="16"/>
              </w:rPr>
              <w:t>95</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w:t>
            </w:r>
            <w:r>
              <w:rPr>
                <w:sz w:val="16"/>
                <w:szCs w:val="16"/>
              </w:rPr>
              <w:t>4.21</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-6.</w:t>
            </w:r>
            <w:r>
              <w:rPr>
                <w:sz w:val="16"/>
                <w:szCs w:val="16"/>
              </w:rPr>
              <w:t>35</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w:t>
            </w:r>
            <w:r>
              <w:rPr>
                <w:sz w:val="16"/>
                <w:szCs w:val="16"/>
              </w:rPr>
              <w:t>13.32</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-0.3</w:t>
            </w:r>
            <w:r>
              <w:rPr>
                <w:sz w:val="16"/>
                <w:szCs w:val="16"/>
              </w:rPr>
              <w:t>8</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-4.</w:t>
            </w:r>
            <w:r>
              <w:rPr>
                <w:sz w:val="16"/>
                <w:szCs w:val="16"/>
              </w:rPr>
              <w:t>54</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-4.</w:t>
            </w:r>
            <w:r>
              <w:rPr>
                <w:sz w:val="16"/>
                <w:szCs w:val="16"/>
              </w:rPr>
              <w:t>88</w:t>
            </w:r>
            <w:r w:rsidRPr="00A058F8">
              <w:rPr>
                <w:sz w:val="16"/>
                <w:szCs w:val="16"/>
              </w:rPr>
              <w:t>%</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96726A">
            <w:pPr>
              <w:pStyle w:val="NoSpacing"/>
              <w:rPr>
                <w:sz w:val="16"/>
                <w:szCs w:val="16"/>
              </w:rPr>
            </w:pPr>
            <w:r w:rsidRPr="00A058F8">
              <w:rPr>
                <w:sz w:val="16"/>
                <w:szCs w:val="16"/>
              </w:rPr>
              <w:t>-12.</w:t>
            </w:r>
            <w:r>
              <w:rPr>
                <w:sz w:val="16"/>
                <w:szCs w:val="16"/>
              </w:rPr>
              <w:t>70</w:t>
            </w:r>
            <w:r w:rsidRPr="00A058F8">
              <w:rPr>
                <w:sz w:val="16"/>
                <w:szCs w:val="16"/>
              </w:rPr>
              <w:t>%</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96726A">
            <w:pPr>
              <w:pStyle w:val="NoSpacing"/>
              <w:rPr>
                <w:sz w:val="16"/>
                <w:szCs w:val="16"/>
              </w:rPr>
            </w:pPr>
            <w:r w:rsidRPr="00A058F8">
              <w:rPr>
                <w:sz w:val="16"/>
                <w:szCs w:val="16"/>
              </w:rPr>
              <w:t>4.</w:t>
            </w:r>
            <w:r>
              <w:rPr>
                <w:sz w:val="16"/>
                <w:szCs w:val="16"/>
              </w:rPr>
              <w:t>09</w:t>
            </w:r>
            <w:r w:rsidRPr="00A058F8">
              <w:rPr>
                <w:sz w:val="16"/>
                <w:szCs w:val="16"/>
              </w:rPr>
              <w:t>%</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1.</w:t>
            </w:r>
            <w:r>
              <w:rPr>
                <w:sz w:val="16"/>
                <w:szCs w:val="16"/>
              </w:rPr>
              <w:t>33</w:t>
            </w:r>
            <w:r w:rsidRPr="00A058F8">
              <w:rPr>
                <w:sz w:val="16"/>
                <w:szCs w:val="16"/>
              </w:rPr>
              <w:t>%</w:t>
            </w:r>
          </w:p>
        </w:tc>
      </w:tr>
      <w:tr w:rsidR="0096726A" w:rsidRPr="00BE7AAF" w:rsidTr="00BA5A5C">
        <w:trPr>
          <w:trHeight w:val="288"/>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8C7F37" w:rsidRDefault="0096726A" w:rsidP="0096726A">
            <w:pPr>
              <w:pStyle w:val="NoSpacing"/>
            </w:pPr>
            <w:r w:rsidRPr="008C7F37">
              <w:t>Age 55-64</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-4.</w:t>
            </w:r>
            <w:r>
              <w:rPr>
                <w:sz w:val="16"/>
                <w:szCs w:val="16"/>
              </w:rPr>
              <w:t>98</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-5</w:t>
            </w:r>
            <w:r w:rsidRPr="00A058F8">
              <w:rPr>
                <w:sz w:val="16"/>
                <w:szCs w:val="16"/>
              </w:rPr>
              <w:t>.</w:t>
            </w:r>
            <w:r>
              <w:rPr>
                <w:sz w:val="16"/>
                <w:szCs w:val="16"/>
              </w:rPr>
              <w:t>01</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-7.06</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w:t>
            </w:r>
            <w:r>
              <w:rPr>
                <w:sz w:val="16"/>
                <w:szCs w:val="16"/>
              </w:rPr>
              <w:t>12.07</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-0.2</w:t>
            </w:r>
            <w:r>
              <w:rPr>
                <w:sz w:val="16"/>
                <w:szCs w:val="16"/>
              </w:rPr>
              <w:t>4</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-3.13</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-5.08</w:t>
            </w:r>
            <w:r w:rsidRPr="00A058F8">
              <w:rPr>
                <w:sz w:val="16"/>
                <w:szCs w:val="16"/>
              </w:rPr>
              <w:t>%</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96726A">
            <w:pPr>
              <w:pStyle w:val="NoSpacing"/>
              <w:rPr>
                <w:sz w:val="16"/>
                <w:szCs w:val="16"/>
              </w:rPr>
            </w:pPr>
            <w:r w:rsidRPr="00A058F8">
              <w:rPr>
                <w:sz w:val="16"/>
                <w:szCs w:val="16"/>
              </w:rPr>
              <w:t>-11.</w:t>
            </w:r>
            <w:r>
              <w:rPr>
                <w:sz w:val="16"/>
                <w:szCs w:val="16"/>
              </w:rPr>
              <w:t>95</w:t>
            </w:r>
            <w:r w:rsidRPr="00A058F8">
              <w:rPr>
                <w:sz w:val="16"/>
                <w:szCs w:val="16"/>
              </w:rPr>
              <w:t>%</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96726A">
            <w:pPr>
              <w:pStyle w:val="NoSpacing"/>
              <w:rPr>
                <w:sz w:val="16"/>
                <w:szCs w:val="16"/>
              </w:rPr>
            </w:pPr>
            <w:r w:rsidRPr="00A058F8">
              <w:rPr>
                <w:sz w:val="16"/>
                <w:szCs w:val="16"/>
              </w:rPr>
              <w:t>0.6</w:t>
            </w:r>
            <w:r>
              <w:rPr>
                <w:sz w:val="16"/>
                <w:szCs w:val="16"/>
              </w:rPr>
              <w:t>2</w:t>
            </w:r>
            <w:r w:rsidRPr="00A058F8">
              <w:rPr>
                <w:sz w:val="16"/>
                <w:szCs w:val="16"/>
              </w:rPr>
              <w:t>%</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-0.3</w:t>
            </w:r>
            <w:r>
              <w:rPr>
                <w:sz w:val="16"/>
                <w:szCs w:val="16"/>
              </w:rPr>
              <w:t>5</w:t>
            </w:r>
            <w:r w:rsidRPr="00A058F8">
              <w:rPr>
                <w:sz w:val="16"/>
                <w:szCs w:val="16"/>
              </w:rPr>
              <w:t>%</w:t>
            </w:r>
          </w:p>
        </w:tc>
      </w:tr>
      <w:tr w:rsidR="0096726A" w:rsidRPr="00BE7AAF" w:rsidTr="00BA5A5C">
        <w:trPr>
          <w:trHeight w:val="288"/>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8C7F37" w:rsidRDefault="0096726A" w:rsidP="0096726A">
            <w:pPr>
              <w:pStyle w:val="NoSpacing"/>
            </w:pPr>
            <w:r w:rsidRPr="008C7F37">
              <w:t>Age 65-74</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-5.</w:t>
            </w:r>
            <w:r>
              <w:rPr>
                <w:sz w:val="16"/>
                <w:szCs w:val="16"/>
              </w:rPr>
              <w:t>53</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-5.70</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-6.3</w:t>
            </w:r>
            <w:r>
              <w:rPr>
                <w:sz w:val="16"/>
                <w:szCs w:val="16"/>
              </w:rPr>
              <w:t>8</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w:t>
            </w:r>
            <w:r>
              <w:rPr>
                <w:sz w:val="16"/>
                <w:szCs w:val="16"/>
              </w:rPr>
              <w:t>10.22</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0.28</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-2.</w:t>
            </w:r>
            <w:r>
              <w:rPr>
                <w:sz w:val="16"/>
                <w:szCs w:val="16"/>
              </w:rPr>
              <w:t>62</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-4.9</w:t>
            </w:r>
            <w:r>
              <w:rPr>
                <w:sz w:val="16"/>
                <w:szCs w:val="16"/>
              </w:rPr>
              <w:t>3</w:t>
            </w:r>
            <w:r w:rsidRPr="00A058F8">
              <w:rPr>
                <w:sz w:val="16"/>
                <w:szCs w:val="16"/>
              </w:rPr>
              <w:t>%</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96726A">
            <w:pPr>
              <w:pStyle w:val="NoSpacing"/>
              <w:rPr>
                <w:sz w:val="16"/>
                <w:szCs w:val="16"/>
              </w:rPr>
            </w:pPr>
            <w:r w:rsidRPr="00A058F8">
              <w:rPr>
                <w:sz w:val="16"/>
                <w:szCs w:val="16"/>
              </w:rPr>
              <w:t>-10.5</w:t>
            </w:r>
            <w:r>
              <w:rPr>
                <w:sz w:val="16"/>
                <w:szCs w:val="16"/>
              </w:rPr>
              <w:t>6</w:t>
            </w:r>
            <w:r w:rsidRPr="00A058F8">
              <w:rPr>
                <w:sz w:val="16"/>
                <w:szCs w:val="16"/>
              </w:rPr>
              <w:t>%</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96726A">
            <w:pPr>
              <w:pStyle w:val="NoSpacing"/>
              <w:rPr>
                <w:sz w:val="16"/>
                <w:szCs w:val="16"/>
              </w:rPr>
            </w:pPr>
            <w:r w:rsidRPr="00A058F8">
              <w:rPr>
                <w:sz w:val="16"/>
                <w:szCs w:val="16"/>
              </w:rPr>
              <w:t>-2.</w:t>
            </w:r>
            <w:r>
              <w:rPr>
                <w:sz w:val="16"/>
                <w:szCs w:val="16"/>
              </w:rPr>
              <w:t>32</w:t>
            </w:r>
            <w:r w:rsidRPr="00A058F8">
              <w:rPr>
                <w:sz w:val="16"/>
                <w:szCs w:val="16"/>
              </w:rPr>
              <w:t>%</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96726A">
            <w:pPr>
              <w:pStyle w:val="NoSpacing"/>
              <w:rPr>
                <w:sz w:val="16"/>
                <w:szCs w:val="16"/>
              </w:rPr>
            </w:pPr>
            <w:r>
              <w:rPr>
                <w:sz w:val="16"/>
                <w:szCs w:val="16"/>
              </w:rPr>
              <w:t>-1.76</w:t>
            </w:r>
            <w:r w:rsidRPr="00A058F8">
              <w:rPr>
                <w:sz w:val="16"/>
                <w:szCs w:val="16"/>
              </w:rPr>
              <w:t>%</w:t>
            </w:r>
          </w:p>
        </w:tc>
      </w:tr>
      <w:tr w:rsidR="0096726A" w:rsidRPr="00BE7AAF" w:rsidTr="00BA5A5C">
        <w:trPr>
          <w:trHeight w:val="288"/>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8C7F37" w:rsidRDefault="0096726A" w:rsidP="0096726A">
            <w:pPr>
              <w:pStyle w:val="NoSpacing"/>
            </w:pPr>
            <w:r w:rsidRPr="008C7F37">
              <w:t>Age 75-84</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-3.</w:t>
            </w:r>
            <w:r>
              <w:rPr>
                <w:sz w:val="16"/>
                <w:szCs w:val="16"/>
              </w:rPr>
              <w:t>37</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-3.50</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-3.</w:t>
            </w:r>
            <w:r>
              <w:rPr>
                <w:sz w:val="16"/>
                <w:szCs w:val="16"/>
              </w:rPr>
              <w:t>75</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-5.</w:t>
            </w:r>
            <w:r>
              <w:rPr>
                <w:sz w:val="16"/>
                <w:szCs w:val="16"/>
              </w:rPr>
              <w:t>47</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1.07</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-1.1</w:t>
            </w:r>
            <w:r>
              <w:rPr>
                <w:sz w:val="16"/>
                <w:szCs w:val="16"/>
              </w:rPr>
              <w:t>1</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-2.</w:t>
            </w:r>
            <w:r>
              <w:rPr>
                <w:sz w:val="16"/>
                <w:szCs w:val="16"/>
              </w:rPr>
              <w:t>43</w:t>
            </w:r>
            <w:r w:rsidRPr="00A058F8">
              <w:rPr>
                <w:sz w:val="16"/>
                <w:szCs w:val="16"/>
              </w:rPr>
              <w:t>%</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96726A">
            <w:pPr>
              <w:pStyle w:val="NoSpacing"/>
              <w:rPr>
                <w:sz w:val="16"/>
                <w:szCs w:val="16"/>
              </w:rPr>
            </w:pPr>
            <w:r w:rsidRPr="00A058F8">
              <w:rPr>
                <w:sz w:val="16"/>
                <w:szCs w:val="16"/>
              </w:rPr>
              <w:t>-4.</w:t>
            </w:r>
            <w:r>
              <w:rPr>
                <w:sz w:val="16"/>
                <w:szCs w:val="16"/>
              </w:rPr>
              <w:t>87</w:t>
            </w:r>
            <w:r w:rsidRPr="00A058F8">
              <w:rPr>
                <w:sz w:val="16"/>
                <w:szCs w:val="16"/>
              </w:rPr>
              <w:t>%</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96726A">
            <w:pPr>
              <w:pStyle w:val="NoSpacing"/>
              <w:rPr>
                <w:sz w:val="16"/>
                <w:szCs w:val="16"/>
              </w:rPr>
            </w:pPr>
            <w:r>
              <w:rPr>
                <w:sz w:val="16"/>
                <w:szCs w:val="16"/>
              </w:rPr>
              <w:t>-2.03</w:t>
            </w:r>
            <w:r w:rsidRPr="00A058F8">
              <w:rPr>
                <w:sz w:val="16"/>
                <w:szCs w:val="16"/>
              </w:rPr>
              <w:t>%</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96726A">
            <w:pPr>
              <w:pStyle w:val="NoSpacing"/>
              <w:rPr>
                <w:sz w:val="16"/>
                <w:szCs w:val="16"/>
              </w:rPr>
            </w:pPr>
            <w:r>
              <w:rPr>
                <w:sz w:val="16"/>
                <w:szCs w:val="16"/>
              </w:rPr>
              <w:t>-1.37</w:t>
            </w:r>
            <w:r w:rsidRPr="00A058F8">
              <w:rPr>
                <w:sz w:val="16"/>
                <w:szCs w:val="16"/>
              </w:rPr>
              <w:t>%</w:t>
            </w:r>
          </w:p>
        </w:tc>
      </w:tr>
      <w:tr w:rsidR="0096726A" w:rsidRPr="00BE7AAF" w:rsidTr="00BA5A5C">
        <w:trPr>
          <w:trHeight w:val="288"/>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8C7F37" w:rsidRDefault="0096726A" w:rsidP="0096726A">
            <w:pPr>
              <w:pStyle w:val="NoSpacing"/>
            </w:pPr>
            <w:r w:rsidRPr="008C7F37">
              <w:t>Age 85+ (REFERENCE)</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0.00%</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0.00%</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96726A">
            <w:pPr>
              <w:pStyle w:val="NoSpacing"/>
              <w:rPr>
                <w:sz w:val="16"/>
                <w:szCs w:val="16"/>
              </w:rPr>
            </w:pPr>
            <w:r w:rsidRPr="00A058F8">
              <w:rPr>
                <w:sz w:val="16"/>
                <w:szCs w:val="16"/>
              </w:rPr>
              <w:t>0.00%</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96726A">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0.00%</w:t>
            </w:r>
          </w:p>
        </w:tc>
      </w:tr>
      <w:tr w:rsidR="0096726A" w:rsidRPr="00BE7AAF" w:rsidTr="00BA5A5C">
        <w:trPr>
          <w:trHeight w:val="288"/>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8C7F37" w:rsidRDefault="0096726A" w:rsidP="0096726A">
            <w:pPr>
              <w:pStyle w:val="NoSpacing"/>
            </w:pPr>
            <w:r w:rsidRPr="008C7F37">
              <w:t>Male Medical</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w:t>
            </w:r>
            <w:r>
              <w:rPr>
                <w:sz w:val="16"/>
                <w:szCs w:val="16"/>
              </w:rPr>
              <w:t>1.00</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0.39</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-2.</w:t>
            </w:r>
            <w:r>
              <w:rPr>
                <w:sz w:val="16"/>
                <w:szCs w:val="16"/>
              </w:rPr>
              <w:t>18</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-3.66</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-6.</w:t>
            </w:r>
            <w:r>
              <w:rPr>
                <w:sz w:val="16"/>
                <w:szCs w:val="16"/>
              </w:rPr>
              <w:t>64</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0.42</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-2.5</w:t>
            </w:r>
            <w:r>
              <w:rPr>
                <w:sz w:val="16"/>
                <w:szCs w:val="16"/>
              </w:rPr>
              <w:t>7</w:t>
            </w:r>
            <w:r w:rsidRPr="00A058F8">
              <w:rPr>
                <w:sz w:val="16"/>
                <w:szCs w:val="16"/>
              </w:rPr>
              <w:t>%</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96726A">
            <w:pPr>
              <w:pStyle w:val="NoSpacing"/>
              <w:rPr>
                <w:sz w:val="16"/>
                <w:szCs w:val="16"/>
              </w:rPr>
            </w:pPr>
            <w:r w:rsidRPr="00A058F8">
              <w:rPr>
                <w:sz w:val="16"/>
                <w:szCs w:val="16"/>
              </w:rPr>
              <w:t>-0.9</w:t>
            </w:r>
            <w:r>
              <w:rPr>
                <w:sz w:val="16"/>
                <w:szCs w:val="16"/>
              </w:rPr>
              <w:t>6</w:t>
            </w:r>
            <w:r w:rsidRPr="00A058F8">
              <w:rPr>
                <w:sz w:val="16"/>
                <w:szCs w:val="16"/>
              </w:rPr>
              <w:t>%</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96726A">
            <w:pPr>
              <w:pStyle w:val="NoSpacing"/>
              <w:rPr>
                <w:sz w:val="16"/>
                <w:szCs w:val="16"/>
              </w:rPr>
            </w:pPr>
            <w:r w:rsidRPr="00A058F8">
              <w:rPr>
                <w:sz w:val="16"/>
                <w:szCs w:val="16"/>
              </w:rPr>
              <w:t>-0.4</w:t>
            </w:r>
            <w:r>
              <w:rPr>
                <w:sz w:val="16"/>
                <w:szCs w:val="16"/>
              </w:rPr>
              <w:t>7</w:t>
            </w:r>
            <w:r w:rsidRPr="00A058F8">
              <w:rPr>
                <w:sz w:val="16"/>
                <w:szCs w:val="16"/>
              </w:rPr>
              <w:t>%</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-2.0</w:t>
            </w:r>
            <w:r>
              <w:rPr>
                <w:sz w:val="16"/>
                <w:szCs w:val="16"/>
              </w:rPr>
              <w:t>5</w:t>
            </w:r>
            <w:r w:rsidRPr="00A058F8">
              <w:rPr>
                <w:sz w:val="16"/>
                <w:szCs w:val="16"/>
              </w:rPr>
              <w:t>%</w:t>
            </w:r>
          </w:p>
        </w:tc>
      </w:tr>
      <w:tr w:rsidR="0096726A" w:rsidRPr="00BE7AAF" w:rsidTr="00BA5A5C">
        <w:trPr>
          <w:trHeight w:val="288"/>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8C7F37" w:rsidRDefault="0096726A" w:rsidP="0096726A">
            <w:pPr>
              <w:pStyle w:val="NoSpacing"/>
            </w:pPr>
            <w:r w:rsidRPr="008C7F37">
              <w:t>Male Surgical</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-1.</w:t>
            </w:r>
            <w:r>
              <w:rPr>
                <w:sz w:val="16"/>
                <w:szCs w:val="16"/>
              </w:rPr>
              <w:t>38</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-7.</w:t>
            </w:r>
            <w:r>
              <w:rPr>
                <w:sz w:val="16"/>
                <w:szCs w:val="16"/>
              </w:rPr>
              <w:t>93</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w:t>
            </w:r>
            <w:r>
              <w:rPr>
                <w:sz w:val="16"/>
                <w:szCs w:val="16"/>
              </w:rPr>
              <w:t>3.00</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-6.</w:t>
            </w:r>
            <w:r>
              <w:rPr>
                <w:sz w:val="16"/>
                <w:szCs w:val="16"/>
              </w:rPr>
              <w:t>40</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Pr>
                <w:sz w:val="16"/>
                <w:szCs w:val="16"/>
              </w:rPr>
              <w:t>-7.43</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-1.</w:t>
            </w:r>
            <w:r>
              <w:rPr>
                <w:sz w:val="16"/>
                <w:szCs w:val="16"/>
              </w:rPr>
              <w:t>09</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-6.</w:t>
            </w:r>
            <w:r>
              <w:rPr>
                <w:sz w:val="16"/>
                <w:szCs w:val="16"/>
              </w:rPr>
              <w:t>59</w:t>
            </w:r>
            <w:r w:rsidRPr="00A058F8">
              <w:rPr>
                <w:sz w:val="16"/>
                <w:szCs w:val="16"/>
              </w:rPr>
              <w:t>%</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96726A">
            <w:pPr>
              <w:pStyle w:val="NoSpacing"/>
              <w:rPr>
                <w:sz w:val="16"/>
                <w:szCs w:val="16"/>
              </w:rPr>
            </w:pPr>
            <w:r w:rsidRPr="00A058F8">
              <w:rPr>
                <w:sz w:val="16"/>
                <w:szCs w:val="16"/>
              </w:rPr>
              <w:t>-4.</w:t>
            </w:r>
            <w:r>
              <w:rPr>
                <w:sz w:val="16"/>
                <w:szCs w:val="16"/>
              </w:rPr>
              <w:t>74</w:t>
            </w:r>
            <w:r w:rsidRPr="00A058F8">
              <w:rPr>
                <w:sz w:val="16"/>
                <w:szCs w:val="16"/>
              </w:rPr>
              <w:t>%</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96726A">
            <w:pPr>
              <w:pStyle w:val="NoSpacing"/>
              <w:rPr>
                <w:sz w:val="16"/>
                <w:szCs w:val="16"/>
              </w:rPr>
            </w:pPr>
            <w:r>
              <w:rPr>
                <w:sz w:val="16"/>
                <w:szCs w:val="16"/>
              </w:rPr>
              <w:t>-7</w:t>
            </w:r>
            <w:r w:rsidRPr="00A058F8">
              <w:rPr>
                <w:sz w:val="16"/>
                <w:szCs w:val="16"/>
              </w:rPr>
              <w:t>.</w:t>
            </w:r>
            <w:r>
              <w:rPr>
                <w:sz w:val="16"/>
                <w:szCs w:val="16"/>
              </w:rPr>
              <w:t>01</w:t>
            </w:r>
            <w:r w:rsidRPr="00A058F8">
              <w:rPr>
                <w:sz w:val="16"/>
                <w:szCs w:val="16"/>
              </w:rPr>
              <w:t>%</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96726A">
            <w:pPr>
              <w:pStyle w:val="NoSpacing"/>
              <w:rPr>
                <w:sz w:val="16"/>
                <w:szCs w:val="16"/>
              </w:rPr>
            </w:pPr>
            <w:r w:rsidRPr="00A058F8">
              <w:rPr>
                <w:sz w:val="16"/>
                <w:szCs w:val="16"/>
              </w:rPr>
              <w:t>-7.3</w:t>
            </w:r>
            <w:r>
              <w:rPr>
                <w:sz w:val="16"/>
                <w:szCs w:val="16"/>
              </w:rPr>
              <w:t>5</w:t>
            </w:r>
            <w:r w:rsidRPr="00A058F8">
              <w:rPr>
                <w:sz w:val="16"/>
                <w:szCs w:val="16"/>
              </w:rPr>
              <w:t>%</w:t>
            </w:r>
          </w:p>
        </w:tc>
      </w:tr>
      <w:tr w:rsidR="0096726A" w:rsidRPr="00BE7AAF" w:rsidTr="00BA5A5C">
        <w:trPr>
          <w:trHeight w:val="216"/>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8C7F37" w:rsidRDefault="0096726A" w:rsidP="00E43C45">
            <w:pPr>
              <w:pStyle w:val="NoSpacing"/>
            </w:pPr>
            <w:r w:rsidRPr="008C7F37">
              <w:t xml:space="preserve">Female </w:t>
            </w:r>
            <w:r>
              <w:t>Surgical</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Pr>
                <w:sz w:val="16"/>
                <w:szCs w:val="16"/>
              </w:rPr>
              <w:t>0.06</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sidRPr="00A058F8">
              <w:rPr>
                <w:sz w:val="16"/>
                <w:szCs w:val="16"/>
              </w:rPr>
              <w:t>-8.</w:t>
            </w:r>
            <w:r>
              <w:rPr>
                <w:sz w:val="16"/>
                <w:szCs w:val="16"/>
              </w:rPr>
              <w:t>65</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Pr>
                <w:sz w:val="16"/>
                <w:szCs w:val="16"/>
              </w:rPr>
              <w:t>-0.97</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sidRPr="00A058F8">
              <w:rPr>
                <w:sz w:val="16"/>
                <w:szCs w:val="16"/>
              </w:rPr>
              <w:t>-</w:t>
            </w:r>
            <w:r>
              <w:rPr>
                <w:sz w:val="16"/>
                <w:szCs w:val="16"/>
              </w:rPr>
              <w:t>1.83</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Pr>
                <w:sz w:val="16"/>
                <w:szCs w:val="16"/>
              </w:rPr>
              <w:t>-0.70</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Pr>
                <w:sz w:val="16"/>
                <w:szCs w:val="16"/>
              </w:rPr>
              <w:t>-3.19</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sidRPr="00A058F8">
              <w:rPr>
                <w:sz w:val="16"/>
                <w:szCs w:val="16"/>
              </w:rPr>
              <w:t>-5.</w:t>
            </w:r>
            <w:r>
              <w:rPr>
                <w:sz w:val="16"/>
                <w:szCs w:val="16"/>
              </w:rPr>
              <w:t>56</w:t>
            </w:r>
            <w:r w:rsidRPr="00A058F8">
              <w:rPr>
                <w:sz w:val="16"/>
                <w:szCs w:val="16"/>
              </w:rPr>
              <w:t>%</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E43C45">
            <w:pPr>
              <w:pStyle w:val="NoSpacing"/>
              <w:rPr>
                <w:sz w:val="16"/>
                <w:szCs w:val="16"/>
              </w:rPr>
            </w:pPr>
            <w:r>
              <w:rPr>
                <w:sz w:val="16"/>
                <w:szCs w:val="16"/>
              </w:rPr>
              <w:t>-3.49</w:t>
            </w:r>
            <w:r w:rsidRPr="00A058F8">
              <w:rPr>
                <w:sz w:val="16"/>
                <w:szCs w:val="16"/>
              </w:rPr>
              <w:t>%</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E43C45">
            <w:pPr>
              <w:pStyle w:val="NoSpacing"/>
              <w:rPr>
                <w:sz w:val="16"/>
                <w:szCs w:val="16"/>
              </w:rPr>
            </w:pPr>
            <w:r>
              <w:rPr>
                <w:sz w:val="16"/>
                <w:szCs w:val="16"/>
              </w:rPr>
              <w:t>-5.91</w:t>
            </w:r>
            <w:r w:rsidRPr="00A058F8">
              <w:rPr>
                <w:sz w:val="16"/>
                <w:szCs w:val="16"/>
              </w:rPr>
              <w:t>%</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E43C45">
            <w:pPr>
              <w:pStyle w:val="NoSpacing"/>
              <w:rPr>
                <w:sz w:val="16"/>
                <w:szCs w:val="16"/>
              </w:rPr>
            </w:pPr>
            <w:r>
              <w:rPr>
                <w:sz w:val="16"/>
                <w:szCs w:val="16"/>
              </w:rPr>
              <w:t>-5.22</w:t>
            </w:r>
            <w:r w:rsidRPr="00A058F8">
              <w:rPr>
                <w:sz w:val="16"/>
                <w:szCs w:val="16"/>
              </w:rPr>
              <w:t>%</w:t>
            </w:r>
          </w:p>
        </w:tc>
      </w:tr>
      <w:tr w:rsidR="0096726A" w:rsidRPr="00BE7AAF" w:rsidTr="00BA5A5C">
        <w:trPr>
          <w:trHeight w:val="332"/>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E349C7" w:rsidRDefault="0096726A" w:rsidP="00E43C45">
            <w:pPr>
              <w:pStyle w:val="NoSpacing"/>
            </w:pPr>
            <w:r w:rsidRPr="008C7F37">
              <w:t>Female Maternity</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sidRPr="00A058F8">
              <w:rPr>
                <w:sz w:val="16"/>
                <w:szCs w:val="16"/>
              </w:rPr>
              <w:t>-6.</w:t>
            </w:r>
            <w:r>
              <w:rPr>
                <w:sz w:val="16"/>
                <w:szCs w:val="16"/>
              </w:rPr>
              <w:t>61</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sidRPr="00A058F8">
              <w:rPr>
                <w:sz w:val="16"/>
                <w:szCs w:val="16"/>
              </w:rPr>
              <w:t>-12.</w:t>
            </w:r>
            <w:r>
              <w:rPr>
                <w:sz w:val="16"/>
                <w:szCs w:val="16"/>
              </w:rPr>
              <w:t>08</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sidRPr="00A058F8">
              <w:rPr>
                <w:sz w:val="16"/>
                <w:szCs w:val="16"/>
              </w:rPr>
              <w:t>-14.</w:t>
            </w:r>
            <w:r>
              <w:rPr>
                <w:sz w:val="16"/>
                <w:szCs w:val="16"/>
              </w:rPr>
              <w:t>81</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sidRPr="00A058F8">
              <w:rPr>
                <w:sz w:val="16"/>
                <w:szCs w:val="16"/>
              </w:rPr>
              <w:t>-</w:t>
            </w:r>
            <w:r>
              <w:rPr>
                <w:sz w:val="16"/>
                <w:szCs w:val="16"/>
              </w:rPr>
              <w:t>12.75</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Pr>
                <w:sz w:val="16"/>
                <w:szCs w:val="16"/>
              </w:rPr>
              <w:t>-</w:t>
            </w:r>
            <w:r w:rsidRPr="00A058F8">
              <w:rPr>
                <w:sz w:val="16"/>
                <w:szCs w:val="16"/>
              </w:rPr>
              <w:t>0.</w:t>
            </w:r>
            <w:r>
              <w:rPr>
                <w:sz w:val="16"/>
                <w:szCs w:val="16"/>
              </w:rPr>
              <w:t>16</w:t>
            </w:r>
            <w:r w:rsidRPr="00A058F8">
              <w:rPr>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Pr>
                <w:sz w:val="16"/>
                <w:szCs w:val="16"/>
              </w:rPr>
              <w:t>-12</w:t>
            </w:r>
            <w:r w:rsidRPr="00A058F8">
              <w:rPr>
                <w:sz w:val="16"/>
                <w:szCs w:val="16"/>
              </w:rPr>
              <w:t>.</w:t>
            </w:r>
            <w:r>
              <w:rPr>
                <w:sz w:val="16"/>
                <w:szCs w:val="16"/>
              </w:rPr>
              <w:t>38</w:t>
            </w:r>
            <w:r w:rsidRPr="00A058F8">
              <w:rPr>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sidRPr="00A058F8">
              <w:rPr>
                <w:sz w:val="16"/>
                <w:szCs w:val="16"/>
              </w:rPr>
              <w:t>-</w:t>
            </w:r>
            <w:r>
              <w:rPr>
                <w:sz w:val="16"/>
                <w:szCs w:val="16"/>
              </w:rPr>
              <w:t>6.00</w:t>
            </w:r>
            <w:r w:rsidRPr="00A058F8">
              <w:rPr>
                <w:sz w:val="16"/>
                <w:szCs w:val="16"/>
              </w:rPr>
              <w:t>%</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E43C45">
            <w:pPr>
              <w:pStyle w:val="NoSpacing"/>
              <w:rPr>
                <w:sz w:val="16"/>
                <w:szCs w:val="16"/>
              </w:rPr>
            </w:pPr>
            <w:r>
              <w:rPr>
                <w:sz w:val="16"/>
                <w:szCs w:val="16"/>
              </w:rPr>
              <w:t>-4</w:t>
            </w:r>
            <w:r w:rsidRPr="00A058F8">
              <w:rPr>
                <w:sz w:val="16"/>
                <w:szCs w:val="16"/>
              </w:rPr>
              <w:t>.</w:t>
            </w:r>
            <w:r>
              <w:rPr>
                <w:sz w:val="16"/>
                <w:szCs w:val="16"/>
              </w:rPr>
              <w:t>83</w:t>
            </w:r>
            <w:r w:rsidRPr="00A058F8">
              <w:rPr>
                <w:sz w:val="16"/>
                <w:szCs w:val="16"/>
              </w:rPr>
              <w:t>%</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E43C45">
            <w:pPr>
              <w:pStyle w:val="NoSpacing"/>
              <w:rPr>
                <w:sz w:val="16"/>
                <w:szCs w:val="16"/>
              </w:rPr>
            </w:pPr>
            <w:r w:rsidRPr="00A058F8">
              <w:rPr>
                <w:sz w:val="16"/>
                <w:szCs w:val="16"/>
              </w:rPr>
              <w:t>-14.</w:t>
            </w:r>
            <w:r>
              <w:rPr>
                <w:sz w:val="16"/>
                <w:szCs w:val="16"/>
              </w:rPr>
              <w:t>36</w:t>
            </w:r>
            <w:r w:rsidRPr="00A058F8">
              <w:rPr>
                <w:sz w:val="16"/>
                <w:szCs w:val="16"/>
              </w:rPr>
              <w:t>%</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E43C45">
            <w:pPr>
              <w:pStyle w:val="NoSpacing"/>
              <w:rPr>
                <w:sz w:val="16"/>
                <w:szCs w:val="16"/>
              </w:rPr>
            </w:pPr>
            <w:r w:rsidRPr="00A058F8">
              <w:rPr>
                <w:sz w:val="16"/>
                <w:szCs w:val="16"/>
              </w:rPr>
              <w:t>-</w:t>
            </w:r>
            <w:r>
              <w:rPr>
                <w:sz w:val="16"/>
                <w:szCs w:val="16"/>
              </w:rPr>
              <w:t>14.75</w:t>
            </w:r>
            <w:r w:rsidRPr="00A058F8">
              <w:rPr>
                <w:sz w:val="16"/>
                <w:szCs w:val="16"/>
              </w:rPr>
              <w:t>%</w:t>
            </w:r>
          </w:p>
        </w:tc>
      </w:tr>
      <w:tr w:rsidR="0096726A" w:rsidRPr="00BE7AAF" w:rsidTr="00BA5A5C">
        <w:trPr>
          <w:trHeight w:val="503"/>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8C7F37" w:rsidRDefault="0096726A" w:rsidP="00E43C45">
            <w:pPr>
              <w:pStyle w:val="NoSpacing"/>
            </w:pPr>
            <w:r w:rsidRPr="008C7F37">
              <w:t>Female Medical (REFERENCE)</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sidRPr="00A058F8">
              <w:rPr>
                <w:sz w:val="16"/>
                <w:szCs w:val="16"/>
              </w:rPr>
              <w:t>0.00%</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sidRPr="00A058F8">
              <w:rPr>
                <w:sz w:val="16"/>
                <w:szCs w:val="16"/>
              </w:rPr>
              <w:t>0.00%</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E43C45">
            <w:pPr>
              <w:pStyle w:val="NoSpacing"/>
              <w:rPr>
                <w:sz w:val="16"/>
                <w:szCs w:val="16"/>
              </w:rPr>
            </w:pPr>
            <w:r w:rsidRPr="00A058F8">
              <w:rPr>
                <w:sz w:val="16"/>
                <w:szCs w:val="16"/>
              </w:rPr>
              <w:t>0.00%</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E43C45">
            <w:pPr>
              <w:pStyle w:val="NoSpacing"/>
              <w:rPr>
                <w:sz w:val="16"/>
                <w:szCs w:val="16"/>
              </w:rPr>
            </w:pPr>
            <w:r w:rsidRPr="00A058F8">
              <w:rPr>
                <w:sz w:val="16"/>
                <w:szCs w:val="16"/>
              </w:rPr>
              <w:t>0.00%</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E43C45">
            <w:pPr>
              <w:pStyle w:val="NoSpacing"/>
              <w:rPr>
                <w:sz w:val="16"/>
                <w:szCs w:val="16"/>
              </w:rPr>
            </w:pPr>
            <w:r w:rsidRPr="00A058F8">
              <w:rPr>
                <w:sz w:val="16"/>
                <w:szCs w:val="16"/>
              </w:rPr>
              <w:t>0.00%</w:t>
            </w:r>
          </w:p>
        </w:tc>
      </w:tr>
      <w:tr w:rsidR="0096726A" w:rsidRPr="00BE7AAF" w:rsidTr="00BA5A5C">
        <w:trPr>
          <w:trHeight w:val="216"/>
          <w:jc w:val="center"/>
        </w:trPr>
        <w:tc>
          <w:tcPr>
            <w:tcW w:w="2408" w:type="dxa"/>
            <w:tcBorders>
              <w:top w:val="single" w:sz="4" w:space="0" w:color="auto"/>
              <w:left w:val="single" w:sz="12" w:space="0" w:color="auto"/>
              <w:bottom w:val="single" w:sz="4" w:space="0" w:color="auto"/>
              <w:right w:val="single" w:sz="12" w:space="0" w:color="auto"/>
            </w:tcBorders>
            <w:shd w:val="clear" w:color="auto" w:fill="D9D9D9"/>
            <w:noWrap/>
            <w:vAlign w:val="center"/>
          </w:tcPr>
          <w:p w:rsidR="0096726A" w:rsidRPr="008C7F37" w:rsidRDefault="0096726A" w:rsidP="00E43C45">
            <w:pPr>
              <w:pStyle w:val="NoSpacing"/>
            </w:pPr>
            <w:r w:rsidRPr="008C7F37">
              <w:t>Surgical * Age</w:t>
            </w:r>
            <w:r w:rsidRPr="008C7F37">
              <w:rPr>
                <w:vertAlign w:val="superscript"/>
              </w:rPr>
              <w:t>1</w:t>
            </w:r>
          </w:p>
        </w:tc>
        <w:tc>
          <w:tcPr>
            <w:tcW w:w="78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96726A" w:rsidRPr="00A058F8" w:rsidRDefault="0096726A" w:rsidP="00E43C45">
            <w:pPr>
              <w:pStyle w:val="NoSpacing"/>
              <w:rPr>
                <w:rFonts w:cs="Arial"/>
                <w:sz w:val="16"/>
                <w:szCs w:val="16"/>
              </w:rPr>
            </w:pPr>
            <w:r w:rsidRPr="00A058F8">
              <w:rPr>
                <w:rFonts w:cs="Arial"/>
                <w:sz w:val="16"/>
                <w:szCs w:val="16"/>
              </w:rPr>
              <w:t>-0.1</w:t>
            </w:r>
            <w:r>
              <w:rPr>
                <w:rFonts w:cs="Arial"/>
                <w:sz w:val="16"/>
                <w:szCs w:val="16"/>
              </w:rPr>
              <w:t>2</w:t>
            </w:r>
            <w:r w:rsidRPr="00A058F8">
              <w:rPr>
                <w:rFonts w:cs="Arial"/>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rFonts w:cs="Arial"/>
                <w:sz w:val="16"/>
                <w:szCs w:val="16"/>
              </w:rPr>
            </w:pPr>
            <w:r w:rsidRPr="00A058F8">
              <w:rPr>
                <w:rFonts w:cs="Arial"/>
                <w:sz w:val="16"/>
                <w:szCs w:val="16"/>
              </w:rPr>
              <w:t>0.</w:t>
            </w:r>
            <w:r>
              <w:rPr>
                <w:rFonts w:cs="Arial"/>
                <w:sz w:val="16"/>
                <w:szCs w:val="16"/>
              </w:rPr>
              <w:t>39</w:t>
            </w:r>
            <w:r w:rsidRPr="00A058F8">
              <w:rPr>
                <w:rFonts w:cs="Arial"/>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rFonts w:cs="Arial"/>
                <w:sz w:val="16"/>
                <w:szCs w:val="16"/>
              </w:rPr>
            </w:pPr>
            <w:r>
              <w:rPr>
                <w:rFonts w:cs="Arial"/>
                <w:sz w:val="16"/>
                <w:szCs w:val="16"/>
              </w:rPr>
              <w:t>-0.40</w:t>
            </w:r>
            <w:r w:rsidRPr="00A058F8">
              <w:rPr>
                <w:rFonts w:cs="Arial"/>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rFonts w:cs="Arial"/>
                <w:sz w:val="16"/>
                <w:szCs w:val="16"/>
              </w:rPr>
            </w:pPr>
            <w:r w:rsidRPr="00A058F8">
              <w:rPr>
                <w:rFonts w:cs="Arial"/>
                <w:sz w:val="16"/>
                <w:szCs w:val="16"/>
              </w:rPr>
              <w:t>0.</w:t>
            </w:r>
            <w:r>
              <w:rPr>
                <w:rFonts w:cs="Arial"/>
                <w:sz w:val="16"/>
                <w:szCs w:val="16"/>
              </w:rPr>
              <w:t>03</w:t>
            </w:r>
            <w:r w:rsidRPr="00A058F8">
              <w:rPr>
                <w:rFonts w:cs="Arial"/>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rFonts w:cs="Arial"/>
                <w:sz w:val="16"/>
                <w:szCs w:val="16"/>
              </w:rPr>
            </w:pPr>
            <w:r w:rsidRPr="00A058F8">
              <w:rPr>
                <w:rFonts w:cs="Arial"/>
                <w:sz w:val="16"/>
                <w:szCs w:val="16"/>
              </w:rPr>
              <w:t>-0.2</w:t>
            </w:r>
            <w:r>
              <w:rPr>
                <w:rFonts w:cs="Arial"/>
                <w:sz w:val="16"/>
                <w:szCs w:val="16"/>
              </w:rPr>
              <w:t>8</w:t>
            </w:r>
            <w:r w:rsidRPr="00A058F8">
              <w:rPr>
                <w:rFonts w:cs="Arial"/>
                <w:sz w:val="16"/>
                <w:szCs w:val="16"/>
              </w:rPr>
              <w:t>%</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rFonts w:cs="Arial"/>
                <w:sz w:val="16"/>
                <w:szCs w:val="16"/>
              </w:rPr>
            </w:pPr>
            <w:r w:rsidRPr="00A058F8">
              <w:rPr>
                <w:rFonts w:cs="Arial"/>
                <w:sz w:val="16"/>
                <w:szCs w:val="16"/>
              </w:rPr>
              <w:t>0.0</w:t>
            </w:r>
            <w:r>
              <w:rPr>
                <w:rFonts w:cs="Arial"/>
                <w:sz w:val="16"/>
                <w:szCs w:val="16"/>
              </w:rPr>
              <w:t>6</w:t>
            </w:r>
            <w:r w:rsidRPr="00A058F8">
              <w:rPr>
                <w:rFonts w:cs="Arial"/>
                <w:sz w:val="16"/>
                <w:szCs w:val="16"/>
              </w:rPr>
              <w:t>%</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96726A" w:rsidRPr="00A058F8" w:rsidRDefault="0096726A" w:rsidP="00E43C45">
            <w:pPr>
              <w:pStyle w:val="NoSpacing"/>
              <w:rPr>
                <w:rFonts w:cs="Arial"/>
                <w:sz w:val="16"/>
                <w:szCs w:val="16"/>
              </w:rPr>
            </w:pPr>
            <w:r w:rsidRPr="00A058F8">
              <w:rPr>
                <w:rFonts w:cs="Arial"/>
                <w:sz w:val="16"/>
                <w:szCs w:val="16"/>
              </w:rPr>
              <w:t>-0.1</w:t>
            </w:r>
            <w:r>
              <w:rPr>
                <w:rFonts w:cs="Arial"/>
                <w:sz w:val="16"/>
                <w:szCs w:val="16"/>
              </w:rPr>
              <w:t>3</w:t>
            </w:r>
            <w:r w:rsidRPr="00A058F8">
              <w:rPr>
                <w:rFonts w:cs="Arial"/>
                <w:sz w:val="16"/>
                <w:szCs w:val="16"/>
              </w:rPr>
              <w:t>%</w:t>
            </w:r>
          </w:p>
        </w:tc>
        <w:tc>
          <w:tcPr>
            <w:tcW w:w="781" w:type="dxa"/>
            <w:tcBorders>
              <w:top w:val="single" w:sz="4" w:space="0" w:color="auto"/>
              <w:left w:val="nil"/>
              <w:bottom w:val="single" w:sz="4" w:space="0" w:color="auto"/>
              <w:right w:val="single" w:sz="4" w:space="0" w:color="auto"/>
            </w:tcBorders>
            <w:vAlign w:val="center"/>
          </w:tcPr>
          <w:p w:rsidR="0096726A" w:rsidRPr="00A058F8" w:rsidRDefault="0096726A" w:rsidP="00E43C45">
            <w:pPr>
              <w:pStyle w:val="NoSpacing"/>
              <w:rPr>
                <w:rFonts w:cs="Arial"/>
                <w:sz w:val="16"/>
                <w:szCs w:val="16"/>
              </w:rPr>
            </w:pPr>
            <w:r w:rsidRPr="00A058F8">
              <w:rPr>
                <w:rFonts w:cs="Arial"/>
                <w:sz w:val="16"/>
                <w:szCs w:val="16"/>
              </w:rPr>
              <w:t>0.0</w:t>
            </w:r>
            <w:r>
              <w:rPr>
                <w:rFonts w:cs="Arial"/>
                <w:sz w:val="16"/>
                <w:szCs w:val="16"/>
              </w:rPr>
              <w:t>5</w:t>
            </w:r>
            <w:r w:rsidRPr="00A058F8">
              <w:rPr>
                <w:rFonts w:cs="Arial"/>
                <w:sz w:val="16"/>
                <w:szCs w:val="16"/>
              </w:rPr>
              <w:t>%</w:t>
            </w:r>
          </w:p>
        </w:tc>
        <w:tc>
          <w:tcPr>
            <w:tcW w:w="781" w:type="dxa"/>
            <w:tcBorders>
              <w:top w:val="single" w:sz="4" w:space="0" w:color="auto"/>
              <w:left w:val="single" w:sz="4" w:space="0" w:color="auto"/>
              <w:bottom w:val="single" w:sz="4" w:space="0" w:color="auto"/>
              <w:right w:val="single" w:sz="8" w:space="0" w:color="auto"/>
            </w:tcBorders>
            <w:vAlign w:val="center"/>
          </w:tcPr>
          <w:p w:rsidR="0096726A" w:rsidRPr="00A058F8" w:rsidRDefault="0096726A" w:rsidP="00E43C45">
            <w:pPr>
              <w:pStyle w:val="NoSpacing"/>
              <w:rPr>
                <w:rFonts w:cs="Arial"/>
                <w:sz w:val="16"/>
                <w:szCs w:val="16"/>
              </w:rPr>
            </w:pPr>
            <w:r w:rsidRPr="00A058F8">
              <w:rPr>
                <w:rFonts w:cs="Arial"/>
                <w:sz w:val="16"/>
                <w:szCs w:val="16"/>
              </w:rPr>
              <w:t>0.3</w:t>
            </w:r>
            <w:r>
              <w:rPr>
                <w:rFonts w:cs="Arial"/>
                <w:sz w:val="16"/>
                <w:szCs w:val="16"/>
              </w:rPr>
              <w:t>6</w:t>
            </w:r>
            <w:r w:rsidRPr="00A058F8">
              <w:rPr>
                <w:rFonts w:cs="Arial"/>
                <w:sz w:val="16"/>
                <w:szCs w:val="16"/>
              </w:rPr>
              <w:t>%</w:t>
            </w:r>
          </w:p>
        </w:tc>
        <w:tc>
          <w:tcPr>
            <w:tcW w:w="781" w:type="dxa"/>
            <w:tcBorders>
              <w:top w:val="single" w:sz="4" w:space="0" w:color="auto"/>
              <w:left w:val="nil"/>
              <w:bottom w:val="single" w:sz="4" w:space="0" w:color="auto"/>
              <w:right w:val="single" w:sz="12" w:space="0" w:color="auto"/>
            </w:tcBorders>
            <w:shd w:val="clear" w:color="auto" w:fill="auto"/>
            <w:noWrap/>
            <w:vAlign w:val="center"/>
          </w:tcPr>
          <w:p w:rsidR="0096726A" w:rsidRPr="00A058F8" w:rsidRDefault="0096726A" w:rsidP="00E43C45">
            <w:pPr>
              <w:pStyle w:val="NoSpacing"/>
              <w:rPr>
                <w:rFonts w:cs="Arial"/>
                <w:sz w:val="16"/>
                <w:szCs w:val="16"/>
              </w:rPr>
            </w:pPr>
            <w:r w:rsidRPr="00A058F8">
              <w:rPr>
                <w:rFonts w:cs="Arial"/>
                <w:sz w:val="16"/>
                <w:szCs w:val="16"/>
              </w:rPr>
              <w:t>0.2</w:t>
            </w:r>
            <w:r>
              <w:rPr>
                <w:rFonts w:cs="Arial"/>
                <w:sz w:val="16"/>
                <w:szCs w:val="16"/>
              </w:rPr>
              <w:t>4</w:t>
            </w:r>
            <w:r w:rsidRPr="00A058F8">
              <w:rPr>
                <w:rFonts w:cs="Arial"/>
                <w:sz w:val="16"/>
                <w:szCs w:val="16"/>
              </w:rPr>
              <w:t>%</w:t>
            </w:r>
          </w:p>
        </w:tc>
      </w:tr>
      <w:tr w:rsidR="0096726A" w:rsidRPr="00BE7AAF" w:rsidTr="00BA5A5C">
        <w:trPr>
          <w:trHeight w:val="216"/>
          <w:jc w:val="center"/>
        </w:trPr>
        <w:tc>
          <w:tcPr>
            <w:tcW w:w="2408" w:type="dxa"/>
            <w:tcBorders>
              <w:top w:val="single" w:sz="4" w:space="0" w:color="auto"/>
              <w:left w:val="single" w:sz="12" w:space="0" w:color="auto"/>
              <w:bottom w:val="single" w:sz="12" w:space="0" w:color="auto"/>
              <w:right w:val="single" w:sz="12" w:space="0" w:color="auto"/>
            </w:tcBorders>
            <w:shd w:val="clear" w:color="auto" w:fill="D9D9D9"/>
            <w:noWrap/>
            <w:vAlign w:val="center"/>
          </w:tcPr>
          <w:p w:rsidR="0096726A" w:rsidRPr="008C7F37" w:rsidRDefault="00E43C45" w:rsidP="00E43C45">
            <w:pPr>
              <w:pStyle w:val="NoSpacing"/>
            </w:pPr>
            <w:r>
              <w:t xml:space="preserve">Maternity * </w:t>
            </w:r>
            <w:r w:rsidRPr="008C7F37">
              <w:t>Age</w:t>
            </w:r>
            <w:r w:rsidRPr="008C7F37">
              <w:rPr>
                <w:vertAlign w:val="superscript"/>
              </w:rPr>
              <w:t>1</w:t>
            </w:r>
          </w:p>
        </w:tc>
        <w:tc>
          <w:tcPr>
            <w:tcW w:w="780"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96726A" w:rsidRPr="00A058F8" w:rsidRDefault="0096726A" w:rsidP="00E43C45">
            <w:pPr>
              <w:pStyle w:val="NoSpacing"/>
              <w:rPr>
                <w:rFonts w:cs="Arial"/>
                <w:sz w:val="16"/>
                <w:szCs w:val="16"/>
              </w:rPr>
            </w:pPr>
            <w:r w:rsidRPr="00A058F8">
              <w:rPr>
                <w:rFonts w:cs="Arial"/>
                <w:sz w:val="16"/>
                <w:szCs w:val="16"/>
              </w:rPr>
              <w:t>0.</w:t>
            </w:r>
            <w:r>
              <w:rPr>
                <w:rFonts w:cs="Arial"/>
                <w:sz w:val="16"/>
                <w:szCs w:val="16"/>
              </w:rPr>
              <w:t>87</w:t>
            </w:r>
            <w:r w:rsidRPr="00A058F8">
              <w:rPr>
                <w:rFonts w:cs="Arial"/>
                <w:sz w:val="16"/>
                <w:szCs w:val="16"/>
              </w:rPr>
              <w:t>%</w:t>
            </w:r>
          </w:p>
        </w:tc>
        <w:tc>
          <w:tcPr>
            <w:tcW w:w="781" w:type="dxa"/>
            <w:tcBorders>
              <w:top w:val="single" w:sz="4" w:space="0" w:color="auto"/>
              <w:left w:val="nil"/>
              <w:bottom w:val="single" w:sz="12" w:space="0" w:color="auto"/>
              <w:right w:val="single" w:sz="4" w:space="0" w:color="auto"/>
            </w:tcBorders>
            <w:shd w:val="clear" w:color="auto" w:fill="auto"/>
            <w:noWrap/>
            <w:vAlign w:val="center"/>
          </w:tcPr>
          <w:p w:rsidR="0096726A" w:rsidRPr="00A058F8" w:rsidRDefault="0096726A" w:rsidP="00E43C45">
            <w:pPr>
              <w:pStyle w:val="NoSpacing"/>
              <w:rPr>
                <w:rFonts w:cs="Arial"/>
                <w:sz w:val="16"/>
                <w:szCs w:val="16"/>
              </w:rPr>
            </w:pPr>
            <w:r>
              <w:rPr>
                <w:rFonts w:cs="Arial"/>
                <w:sz w:val="16"/>
                <w:szCs w:val="16"/>
              </w:rPr>
              <w:t>0.95</w:t>
            </w:r>
            <w:r w:rsidRPr="00A058F8">
              <w:rPr>
                <w:rFonts w:cs="Arial"/>
                <w:sz w:val="16"/>
                <w:szCs w:val="16"/>
              </w:rPr>
              <w:t>%</w:t>
            </w:r>
          </w:p>
        </w:tc>
        <w:tc>
          <w:tcPr>
            <w:tcW w:w="781" w:type="dxa"/>
            <w:tcBorders>
              <w:top w:val="single" w:sz="4" w:space="0" w:color="auto"/>
              <w:left w:val="nil"/>
              <w:bottom w:val="single" w:sz="12" w:space="0" w:color="auto"/>
              <w:right w:val="single" w:sz="4" w:space="0" w:color="auto"/>
            </w:tcBorders>
            <w:shd w:val="clear" w:color="auto" w:fill="auto"/>
            <w:noWrap/>
            <w:vAlign w:val="center"/>
          </w:tcPr>
          <w:p w:rsidR="0096726A" w:rsidRPr="00A058F8" w:rsidRDefault="0096726A" w:rsidP="00E43C45">
            <w:pPr>
              <w:pStyle w:val="NoSpacing"/>
              <w:rPr>
                <w:rFonts w:cs="Arial"/>
                <w:sz w:val="16"/>
                <w:szCs w:val="16"/>
              </w:rPr>
            </w:pPr>
            <w:r w:rsidRPr="00A058F8">
              <w:rPr>
                <w:rFonts w:cs="Arial"/>
                <w:sz w:val="16"/>
                <w:szCs w:val="16"/>
              </w:rPr>
              <w:t>0.</w:t>
            </w:r>
            <w:r>
              <w:rPr>
                <w:rFonts w:cs="Arial"/>
                <w:sz w:val="16"/>
                <w:szCs w:val="16"/>
              </w:rPr>
              <w:t>74</w:t>
            </w:r>
            <w:r w:rsidRPr="00A058F8">
              <w:rPr>
                <w:rFonts w:cs="Arial"/>
                <w:sz w:val="16"/>
                <w:szCs w:val="16"/>
              </w:rPr>
              <w:t>%</w:t>
            </w:r>
          </w:p>
        </w:tc>
        <w:tc>
          <w:tcPr>
            <w:tcW w:w="780" w:type="dxa"/>
            <w:tcBorders>
              <w:top w:val="single" w:sz="4" w:space="0" w:color="auto"/>
              <w:left w:val="nil"/>
              <w:bottom w:val="single" w:sz="12" w:space="0" w:color="auto"/>
              <w:right w:val="single" w:sz="4" w:space="0" w:color="auto"/>
            </w:tcBorders>
            <w:shd w:val="clear" w:color="auto" w:fill="auto"/>
            <w:noWrap/>
            <w:vAlign w:val="center"/>
          </w:tcPr>
          <w:p w:rsidR="0096726A" w:rsidRPr="00A058F8" w:rsidRDefault="0096726A" w:rsidP="00E43C45">
            <w:pPr>
              <w:pStyle w:val="NoSpacing"/>
              <w:rPr>
                <w:rFonts w:cs="Arial"/>
                <w:sz w:val="16"/>
                <w:szCs w:val="16"/>
              </w:rPr>
            </w:pPr>
            <w:r>
              <w:rPr>
                <w:rFonts w:cs="Arial"/>
                <w:sz w:val="16"/>
                <w:szCs w:val="16"/>
              </w:rPr>
              <w:t>1.89</w:t>
            </w:r>
            <w:r w:rsidRPr="00A058F8">
              <w:rPr>
                <w:rFonts w:cs="Arial"/>
                <w:sz w:val="16"/>
                <w:szCs w:val="16"/>
              </w:rPr>
              <w:t>%</w:t>
            </w:r>
          </w:p>
        </w:tc>
        <w:tc>
          <w:tcPr>
            <w:tcW w:w="781" w:type="dxa"/>
            <w:tcBorders>
              <w:top w:val="single" w:sz="4" w:space="0" w:color="auto"/>
              <w:left w:val="nil"/>
              <w:bottom w:val="single" w:sz="12" w:space="0" w:color="auto"/>
              <w:right w:val="single" w:sz="4" w:space="0" w:color="auto"/>
            </w:tcBorders>
            <w:shd w:val="clear" w:color="auto" w:fill="auto"/>
            <w:noWrap/>
            <w:vAlign w:val="center"/>
          </w:tcPr>
          <w:p w:rsidR="0096726A" w:rsidRPr="00A058F8" w:rsidRDefault="0096726A" w:rsidP="00E43C45">
            <w:pPr>
              <w:pStyle w:val="NoSpacing"/>
              <w:rPr>
                <w:rFonts w:cs="Arial"/>
                <w:sz w:val="16"/>
                <w:szCs w:val="16"/>
              </w:rPr>
            </w:pPr>
            <w:r w:rsidRPr="00A058F8">
              <w:rPr>
                <w:rFonts w:cs="Arial"/>
                <w:sz w:val="16"/>
                <w:szCs w:val="16"/>
              </w:rPr>
              <w:t>0.2</w:t>
            </w:r>
            <w:r>
              <w:rPr>
                <w:rFonts w:cs="Arial"/>
                <w:sz w:val="16"/>
                <w:szCs w:val="16"/>
              </w:rPr>
              <w:t>7</w:t>
            </w:r>
            <w:r w:rsidRPr="00A058F8">
              <w:rPr>
                <w:rFonts w:cs="Arial"/>
                <w:sz w:val="16"/>
                <w:szCs w:val="16"/>
              </w:rPr>
              <w:t>%</w:t>
            </w:r>
          </w:p>
        </w:tc>
        <w:tc>
          <w:tcPr>
            <w:tcW w:w="781" w:type="dxa"/>
            <w:tcBorders>
              <w:top w:val="single" w:sz="4" w:space="0" w:color="auto"/>
              <w:left w:val="nil"/>
              <w:bottom w:val="single" w:sz="12" w:space="0" w:color="auto"/>
              <w:right w:val="single" w:sz="4" w:space="0" w:color="auto"/>
            </w:tcBorders>
            <w:shd w:val="clear" w:color="auto" w:fill="auto"/>
            <w:noWrap/>
            <w:vAlign w:val="center"/>
          </w:tcPr>
          <w:p w:rsidR="0096726A" w:rsidRPr="00A058F8" w:rsidRDefault="0096726A" w:rsidP="00E43C45">
            <w:pPr>
              <w:pStyle w:val="NoSpacing"/>
              <w:rPr>
                <w:rFonts w:cs="Arial"/>
                <w:sz w:val="16"/>
                <w:szCs w:val="16"/>
              </w:rPr>
            </w:pPr>
            <w:r>
              <w:rPr>
                <w:rFonts w:cs="Arial"/>
                <w:sz w:val="16"/>
                <w:szCs w:val="16"/>
              </w:rPr>
              <w:t>0.64</w:t>
            </w:r>
            <w:r w:rsidRPr="00A058F8">
              <w:rPr>
                <w:rFonts w:cs="Arial"/>
                <w:sz w:val="16"/>
                <w:szCs w:val="16"/>
              </w:rPr>
              <w:t>%</w:t>
            </w:r>
          </w:p>
        </w:tc>
        <w:tc>
          <w:tcPr>
            <w:tcW w:w="780" w:type="dxa"/>
            <w:tcBorders>
              <w:top w:val="single" w:sz="4" w:space="0" w:color="auto"/>
              <w:left w:val="nil"/>
              <w:bottom w:val="single" w:sz="12" w:space="0" w:color="auto"/>
              <w:right w:val="single" w:sz="4" w:space="0" w:color="auto"/>
            </w:tcBorders>
            <w:shd w:val="clear" w:color="auto" w:fill="auto"/>
            <w:noWrap/>
            <w:vAlign w:val="center"/>
          </w:tcPr>
          <w:p w:rsidR="0096726A" w:rsidRPr="00A058F8" w:rsidRDefault="0096726A" w:rsidP="00E43C45">
            <w:pPr>
              <w:pStyle w:val="NoSpacing"/>
              <w:rPr>
                <w:rFonts w:cs="Arial"/>
                <w:sz w:val="16"/>
                <w:szCs w:val="16"/>
              </w:rPr>
            </w:pPr>
            <w:r w:rsidRPr="00A058F8">
              <w:rPr>
                <w:rFonts w:cs="Arial"/>
                <w:sz w:val="16"/>
                <w:szCs w:val="16"/>
              </w:rPr>
              <w:t>0.</w:t>
            </w:r>
            <w:r>
              <w:rPr>
                <w:rFonts w:cs="Arial"/>
                <w:sz w:val="16"/>
                <w:szCs w:val="16"/>
              </w:rPr>
              <w:t>89</w:t>
            </w:r>
            <w:r w:rsidRPr="00A058F8">
              <w:rPr>
                <w:rFonts w:cs="Arial"/>
                <w:sz w:val="16"/>
                <w:szCs w:val="16"/>
              </w:rPr>
              <w:t>%</w:t>
            </w:r>
          </w:p>
        </w:tc>
        <w:tc>
          <w:tcPr>
            <w:tcW w:w="781" w:type="dxa"/>
            <w:tcBorders>
              <w:top w:val="single" w:sz="4" w:space="0" w:color="auto"/>
              <w:left w:val="nil"/>
              <w:bottom w:val="single" w:sz="12" w:space="0" w:color="auto"/>
              <w:right w:val="single" w:sz="4" w:space="0" w:color="auto"/>
            </w:tcBorders>
            <w:vAlign w:val="center"/>
          </w:tcPr>
          <w:p w:rsidR="0096726A" w:rsidRPr="00A058F8" w:rsidRDefault="0096726A" w:rsidP="00E43C45">
            <w:pPr>
              <w:pStyle w:val="NoSpacing"/>
              <w:rPr>
                <w:rFonts w:cs="Arial"/>
                <w:sz w:val="16"/>
                <w:szCs w:val="16"/>
              </w:rPr>
            </w:pPr>
            <w:r w:rsidRPr="00A058F8">
              <w:rPr>
                <w:rFonts w:cs="Arial"/>
                <w:sz w:val="16"/>
                <w:szCs w:val="16"/>
              </w:rPr>
              <w:t>1.</w:t>
            </w:r>
            <w:r>
              <w:rPr>
                <w:rFonts w:cs="Arial"/>
                <w:sz w:val="16"/>
                <w:szCs w:val="16"/>
              </w:rPr>
              <w:t>22</w:t>
            </w:r>
            <w:r w:rsidRPr="00A058F8">
              <w:rPr>
                <w:rFonts w:cs="Arial"/>
                <w:sz w:val="16"/>
                <w:szCs w:val="16"/>
              </w:rPr>
              <w:t>%</w:t>
            </w:r>
          </w:p>
        </w:tc>
        <w:tc>
          <w:tcPr>
            <w:tcW w:w="781" w:type="dxa"/>
            <w:tcBorders>
              <w:top w:val="single" w:sz="4" w:space="0" w:color="auto"/>
              <w:left w:val="single" w:sz="4" w:space="0" w:color="auto"/>
              <w:bottom w:val="single" w:sz="12" w:space="0" w:color="auto"/>
              <w:right w:val="single" w:sz="8" w:space="0" w:color="auto"/>
            </w:tcBorders>
            <w:vAlign w:val="center"/>
          </w:tcPr>
          <w:p w:rsidR="0096726A" w:rsidRPr="00A058F8" w:rsidRDefault="0096726A" w:rsidP="00E43C45">
            <w:pPr>
              <w:pStyle w:val="NoSpacing"/>
              <w:rPr>
                <w:rFonts w:cs="Arial"/>
                <w:sz w:val="16"/>
                <w:szCs w:val="16"/>
              </w:rPr>
            </w:pPr>
            <w:r>
              <w:rPr>
                <w:rFonts w:cs="Arial"/>
                <w:sz w:val="16"/>
                <w:szCs w:val="16"/>
              </w:rPr>
              <w:t>2.52</w:t>
            </w:r>
            <w:r w:rsidRPr="00A058F8">
              <w:rPr>
                <w:rFonts w:cs="Arial"/>
                <w:sz w:val="16"/>
                <w:szCs w:val="16"/>
              </w:rPr>
              <w:t>%</w:t>
            </w:r>
          </w:p>
        </w:tc>
        <w:tc>
          <w:tcPr>
            <w:tcW w:w="781" w:type="dxa"/>
            <w:tcBorders>
              <w:top w:val="single" w:sz="4" w:space="0" w:color="auto"/>
              <w:left w:val="nil"/>
              <w:bottom w:val="single" w:sz="12" w:space="0" w:color="auto"/>
              <w:right w:val="single" w:sz="12" w:space="0" w:color="auto"/>
            </w:tcBorders>
            <w:shd w:val="clear" w:color="auto" w:fill="auto"/>
            <w:noWrap/>
            <w:vAlign w:val="center"/>
          </w:tcPr>
          <w:p w:rsidR="0096726A" w:rsidRPr="00A058F8" w:rsidRDefault="0096726A" w:rsidP="00E43C45">
            <w:pPr>
              <w:pStyle w:val="NoSpacing"/>
              <w:rPr>
                <w:rFonts w:cs="Arial"/>
                <w:sz w:val="16"/>
                <w:szCs w:val="16"/>
              </w:rPr>
            </w:pPr>
            <w:r w:rsidRPr="00A058F8">
              <w:rPr>
                <w:rFonts w:cs="Arial"/>
                <w:sz w:val="16"/>
                <w:szCs w:val="16"/>
              </w:rPr>
              <w:t>2.</w:t>
            </w:r>
            <w:r>
              <w:rPr>
                <w:rFonts w:cs="Arial"/>
                <w:sz w:val="16"/>
                <w:szCs w:val="16"/>
              </w:rPr>
              <w:t>07</w:t>
            </w:r>
            <w:r w:rsidRPr="00A058F8">
              <w:rPr>
                <w:rFonts w:cs="Arial"/>
                <w:sz w:val="16"/>
                <w:szCs w:val="16"/>
              </w:rPr>
              <w:t>%</w:t>
            </w:r>
          </w:p>
        </w:tc>
      </w:tr>
    </w:tbl>
    <w:p w:rsidR="00E43C45" w:rsidRPr="00C77A0D" w:rsidRDefault="00E43C45" w:rsidP="00E43C45">
      <w:pPr>
        <w:rPr>
          <w:sz w:val="18"/>
          <w:szCs w:val="20"/>
        </w:rPr>
      </w:pPr>
      <w:r w:rsidRPr="00C77A0D">
        <w:rPr>
          <w:sz w:val="18"/>
          <w:szCs w:val="20"/>
          <w:vertAlign w:val="superscript"/>
        </w:rPr>
        <w:t>1</w:t>
      </w:r>
      <w:r w:rsidRPr="00C77A0D">
        <w:rPr>
          <w:sz w:val="18"/>
          <w:szCs w:val="20"/>
        </w:rPr>
        <w:t xml:space="preserve"> Age takes on the values of 1 to 8 as follows: (1: 18 to 24); (2: 25 to 34); (3: 35 to 44); (4: 45 to 54); (5: 55 to 64); (6: 65 to 74); (7: 75 to 84); and (8: 85+).</w:t>
      </w:r>
    </w:p>
    <w:p w:rsidR="00A80791" w:rsidRDefault="00A80791" w:rsidP="00A80791">
      <w:pPr>
        <w:autoSpaceDE w:val="0"/>
        <w:autoSpaceDN w:val="0"/>
        <w:adjustRightInd w:val="0"/>
        <w:spacing w:after="0" w:line="240" w:lineRule="auto"/>
        <w:rPr>
          <w:rFonts w:ascii="Palatino Linotype" w:hAnsi="Palatino Linotype"/>
          <w:bCs/>
          <w:i/>
          <w:sz w:val="20"/>
          <w:szCs w:val="20"/>
        </w:rPr>
      </w:pPr>
      <w:r>
        <w:rPr>
          <w:rFonts w:ascii="Palatino Linotype" w:hAnsi="Palatino Linotype"/>
          <w:bCs/>
          <w:i/>
          <w:sz w:val="20"/>
          <w:szCs w:val="20"/>
        </w:rPr>
        <w:t xml:space="preserve">Other analysis examined HCAHPS measure differences by race and ethnicity using </w:t>
      </w:r>
      <w:r w:rsidRPr="00A80791">
        <w:rPr>
          <w:rFonts w:ascii="Palatino Linotype" w:hAnsi="Palatino Linotype"/>
          <w:bCs/>
          <w:i/>
          <w:sz w:val="20"/>
          <w:szCs w:val="20"/>
        </w:rPr>
        <w:t>survey data collected from</w:t>
      </w:r>
      <w:r>
        <w:rPr>
          <w:rFonts w:ascii="Palatino Linotype" w:hAnsi="Palatino Linotype"/>
          <w:bCs/>
          <w:i/>
          <w:sz w:val="20"/>
          <w:szCs w:val="20"/>
        </w:rPr>
        <w:t xml:space="preserve"> 2,684 acute care hospitals for </w:t>
      </w:r>
      <w:r w:rsidRPr="00A80791">
        <w:rPr>
          <w:rFonts w:ascii="Palatino Linotype" w:hAnsi="Palatino Linotype"/>
          <w:bCs/>
          <w:i/>
          <w:sz w:val="20"/>
          <w:szCs w:val="20"/>
        </w:rPr>
        <w:t>inpatients discharged from October 2006 through June 200</w:t>
      </w:r>
      <w:r>
        <w:rPr>
          <w:rFonts w:ascii="Palatino Linotype" w:hAnsi="Palatino Linotype"/>
          <w:bCs/>
          <w:i/>
          <w:sz w:val="20"/>
          <w:szCs w:val="20"/>
        </w:rPr>
        <w:t xml:space="preserve">7. Analysis </w:t>
      </w:r>
      <w:r w:rsidRPr="00A80791">
        <w:rPr>
          <w:rFonts w:ascii="Palatino Linotype" w:hAnsi="Palatino Linotype"/>
          <w:bCs/>
          <w:i/>
          <w:sz w:val="20"/>
          <w:szCs w:val="20"/>
        </w:rPr>
        <w:t>compare</w:t>
      </w:r>
      <w:r>
        <w:rPr>
          <w:rFonts w:ascii="Palatino Linotype" w:hAnsi="Palatino Linotype"/>
          <w:bCs/>
          <w:i/>
          <w:sz w:val="20"/>
          <w:szCs w:val="20"/>
        </w:rPr>
        <w:t xml:space="preserve">d </w:t>
      </w:r>
      <w:r w:rsidRPr="00A80791">
        <w:rPr>
          <w:rFonts w:ascii="Palatino Linotype" w:hAnsi="Palatino Linotype"/>
          <w:bCs/>
          <w:i/>
          <w:sz w:val="20"/>
          <w:szCs w:val="20"/>
        </w:rPr>
        <w:t>the experiences of Hispanic, African American, Asian/Pacific Islander, American</w:t>
      </w:r>
      <w:r>
        <w:rPr>
          <w:rFonts w:ascii="Palatino Linotype" w:hAnsi="Palatino Linotype"/>
          <w:bCs/>
          <w:i/>
          <w:sz w:val="20"/>
          <w:szCs w:val="20"/>
        </w:rPr>
        <w:t xml:space="preserve"> </w:t>
      </w:r>
      <w:r w:rsidRPr="00A80791">
        <w:rPr>
          <w:rFonts w:ascii="Palatino Linotype" w:hAnsi="Palatino Linotype"/>
          <w:bCs/>
          <w:i/>
          <w:sz w:val="20"/>
          <w:szCs w:val="20"/>
        </w:rPr>
        <w:t>Indian/Alaska Native, and multiracial inpatients with those of non-Hispanic White inpatients</w:t>
      </w:r>
      <w:r>
        <w:rPr>
          <w:rFonts w:ascii="Palatino Linotype" w:hAnsi="Palatino Linotype"/>
          <w:bCs/>
          <w:i/>
          <w:sz w:val="20"/>
          <w:szCs w:val="20"/>
        </w:rPr>
        <w:t xml:space="preserve"> </w:t>
      </w:r>
      <w:r w:rsidRPr="00A80791">
        <w:rPr>
          <w:rFonts w:ascii="Palatino Linotype" w:hAnsi="Palatino Linotype"/>
          <w:bCs/>
          <w:i/>
          <w:sz w:val="20"/>
          <w:szCs w:val="20"/>
        </w:rPr>
        <w:t>to understand the roles of between- and within-hospital</w:t>
      </w:r>
      <w:r>
        <w:rPr>
          <w:rFonts w:ascii="Palatino Linotype" w:hAnsi="Palatino Linotype"/>
          <w:bCs/>
          <w:i/>
          <w:sz w:val="20"/>
          <w:szCs w:val="20"/>
        </w:rPr>
        <w:t xml:space="preserve"> </w:t>
      </w:r>
      <w:r w:rsidRPr="00A80791">
        <w:rPr>
          <w:rFonts w:ascii="Palatino Linotype" w:hAnsi="Palatino Linotype"/>
          <w:bCs/>
          <w:i/>
          <w:sz w:val="20"/>
          <w:szCs w:val="20"/>
        </w:rPr>
        <w:t>differences in patients’</w:t>
      </w:r>
      <w:r>
        <w:rPr>
          <w:rFonts w:ascii="Palatino Linotype" w:hAnsi="Palatino Linotype"/>
          <w:bCs/>
          <w:i/>
          <w:sz w:val="20"/>
          <w:szCs w:val="20"/>
        </w:rPr>
        <w:t xml:space="preserve"> </w:t>
      </w:r>
      <w:r w:rsidRPr="00A80791">
        <w:rPr>
          <w:rFonts w:ascii="Palatino Linotype" w:hAnsi="Palatino Linotype"/>
          <w:bCs/>
          <w:i/>
          <w:sz w:val="20"/>
          <w:szCs w:val="20"/>
        </w:rPr>
        <w:t>perspectives of hospital care. The study finds that, on average, non-Hispanic White</w:t>
      </w:r>
      <w:r>
        <w:rPr>
          <w:rFonts w:ascii="Palatino Linotype" w:hAnsi="Palatino Linotype"/>
          <w:bCs/>
          <w:i/>
          <w:sz w:val="20"/>
          <w:szCs w:val="20"/>
        </w:rPr>
        <w:t xml:space="preserve"> </w:t>
      </w:r>
      <w:r w:rsidRPr="00A80791">
        <w:rPr>
          <w:rFonts w:ascii="Palatino Linotype" w:hAnsi="Palatino Linotype"/>
          <w:bCs/>
          <w:i/>
          <w:sz w:val="20"/>
          <w:szCs w:val="20"/>
        </w:rPr>
        <w:t>inpatients</w:t>
      </w:r>
      <w:r>
        <w:rPr>
          <w:rFonts w:ascii="Palatino Linotype" w:hAnsi="Palatino Linotype"/>
          <w:bCs/>
          <w:i/>
          <w:sz w:val="20"/>
          <w:szCs w:val="20"/>
        </w:rPr>
        <w:t xml:space="preserve"> </w:t>
      </w:r>
      <w:r w:rsidRPr="00A80791">
        <w:rPr>
          <w:rFonts w:ascii="Palatino Linotype" w:hAnsi="Palatino Linotype"/>
          <w:bCs/>
          <w:i/>
          <w:sz w:val="20"/>
          <w:szCs w:val="20"/>
        </w:rPr>
        <w:t>receive care at hospitals that provide better experiences for all patients than the</w:t>
      </w:r>
      <w:r>
        <w:rPr>
          <w:rFonts w:ascii="Palatino Linotype" w:hAnsi="Palatino Linotype"/>
          <w:bCs/>
          <w:i/>
          <w:sz w:val="20"/>
          <w:szCs w:val="20"/>
        </w:rPr>
        <w:t xml:space="preserve"> </w:t>
      </w:r>
      <w:r w:rsidRPr="00A80791">
        <w:rPr>
          <w:rFonts w:ascii="Palatino Linotype" w:hAnsi="Palatino Linotype"/>
          <w:bCs/>
          <w:i/>
          <w:sz w:val="20"/>
          <w:szCs w:val="20"/>
        </w:rPr>
        <w:t>hospitals more often used by minority patients. Within hospitals, patient experiences are</w:t>
      </w:r>
      <w:r>
        <w:rPr>
          <w:rFonts w:ascii="Palatino Linotype" w:hAnsi="Palatino Linotype"/>
          <w:bCs/>
          <w:i/>
          <w:sz w:val="20"/>
          <w:szCs w:val="20"/>
        </w:rPr>
        <w:t xml:space="preserve"> </w:t>
      </w:r>
      <w:r w:rsidRPr="00A80791">
        <w:rPr>
          <w:rFonts w:ascii="Palatino Linotype" w:hAnsi="Palatino Linotype"/>
          <w:bCs/>
          <w:i/>
          <w:sz w:val="20"/>
          <w:szCs w:val="20"/>
        </w:rPr>
        <w:t>more similar by race/ethnicity, though some disparities do exist, especially for Asians.</w:t>
      </w:r>
      <w:r>
        <w:rPr>
          <w:rFonts w:ascii="Palatino Linotype" w:hAnsi="Palatino Linotype"/>
          <w:bCs/>
          <w:i/>
          <w:sz w:val="20"/>
          <w:szCs w:val="20"/>
        </w:rPr>
        <w:t xml:space="preserve"> </w:t>
      </w:r>
      <w:r w:rsidRPr="00A80791">
        <w:rPr>
          <w:rFonts w:ascii="Palatino Linotype" w:hAnsi="Palatino Linotype"/>
          <w:bCs/>
          <w:i/>
          <w:sz w:val="20"/>
          <w:szCs w:val="20"/>
        </w:rPr>
        <w:t>This research suggests that targeting hospitals that serve predominantly minority patients,</w:t>
      </w:r>
      <w:r>
        <w:rPr>
          <w:rFonts w:ascii="Palatino Linotype" w:hAnsi="Palatino Linotype"/>
          <w:bCs/>
          <w:i/>
          <w:sz w:val="20"/>
          <w:szCs w:val="20"/>
        </w:rPr>
        <w:t xml:space="preserve"> </w:t>
      </w:r>
      <w:r w:rsidRPr="00A80791">
        <w:rPr>
          <w:rFonts w:ascii="Palatino Linotype" w:hAnsi="Palatino Linotype"/>
          <w:bCs/>
          <w:i/>
          <w:sz w:val="20"/>
          <w:szCs w:val="20"/>
        </w:rPr>
        <w:t>improving the access of minority patients to better hospitals, and targ</w:t>
      </w:r>
      <w:r>
        <w:rPr>
          <w:rFonts w:ascii="Palatino Linotype" w:hAnsi="Palatino Linotype"/>
          <w:bCs/>
          <w:i/>
          <w:sz w:val="20"/>
          <w:szCs w:val="20"/>
        </w:rPr>
        <w:t xml:space="preserve">eting the experiences </w:t>
      </w:r>
      <w:r w:rsidRPr="00A80791">
        <w:rPr>
          <w:rFonts w:ascii="Palatino Linotype" w:hAnsi="Palatino Linotype"/>
          <w:bCs/>
          <w:i/>
          <w:sz w:val="20"/>
          <w:szCs w:val="20"/>
        </w:rPr>
        <w:t>of Asians within hospitals may be promising means of reducing disparities in</w:t>
      </w:r>
      <w:r>
        <w:rPr>
          <w:rFonts w:ascii="Palatino Linotype" w:hAnsi="Palatino Linotype"/>
          <w:bCs/>
          <w:i/>
          <w:sz w:val="20"/>
          <w:szCs w:val="20"/>
        </w:rPr>
        <w:t xml:space="preserve"> </w:t>
      </w:r>
      <w:r w:rsidRPr="00A80791">
        <w:rPr>
          <w:rFonts w:ascii="Palatino Linotype" w:hAnsi="Palatino Linotype"/>
          <w:bCs/>
          <w:i/>
          <w:sz w:val="20"/>
          <w:szCs w:val="20"/>
        </w:rPr>
        <w:t>patient experience.</w:t>
      </w:r>
    </w:p>
    <w:p w:rsidR="00BA32D9" w:rsidRDefault="00BA32D9" w:rsidP="00A80791">
      <w:pPr>
        <w:autoSpaceDE w:val="0"/>
        <w:autoSpaceDN w:val="0"/>
        <w:adjustRightInd w:val="0"/>
        <w:spacing w:after="0" w:line="240" w:lineRule="auto"/>
        <w:rPr>
          <w:rFonts w:ascii="Palatino Linotype" w:hAnsi="Palatino Linotype"/>
          <w:bCs/>
          <w:i/>
          <w:sz w:val="20"/>
          <w:szCs w:val="20"/>
        </w:rPr>
      </w:pPr>
    </w:p>
    <w:p w:rsidR="00BA32D9" w:rsidRDefault="00BA32D9" w:rsidP="00BA32D9">
      <w:pPr>
        <w:pStyle w:val="BodyText"/>
        <w:spacing w:line="240" w:lineRule="auto"/>
        <w:rPr>
          <w:rFonts w:ascii="Palatino Linotype" w:eastAsiaTheme="minorEastAsia" w:hAnsi="Palatino Linotype" w:cstheme="minorBidi"/>
          <w:b w:val="0"/>
          <w:i/>
          <w:sz w:val="20"/>
          <w:szCs w:val="20"/>
        </w:rPr>
      </w:pPr>
      <w:r w:rsidRPr="004F37C4">
        <w:rPr>
          <w:rFonts w:ascii="Palatino Linotype" w:eastAsiaTheme="minorEastAsia" w:hAnsi="Palatino Linotype" w:cstheme="minorBidi"/>
          <w:b w:val="0"/>
          <w:i/>
          <w:sz w:val="20"/>
          <w:szCs w:val="20"/>
        </w:rPr>
        <w:t>Racial/Ethnic Differences in Patients’ Perceptions of Inpatient Care Using the HCAHPS Survey.</w:t>
      </w:r>
      <w:r>
        <w:rPr>
          <w:rFonts w:ascii="Palatino Linotype" w:eastAsiaTheme="minorEastAsia" w:hAnsi="Palatino Linotype" w:cstheme="minorBidi"/>
          <w:b w:val="0"/>
          <w:i/>
          <w:sz w:val="20"/>
          <w:szCs w:val="20"/>
        </w:rPr>
        <w:t xml:space="preserve"> </w:t>
      </w:r>
    </w:p>
    <w:p w:rsidR="00BA32D9" w:rsidRDefault="00BA32D9" w:rsidP="00BA32D9">
      <w:pPr>
        <w:pStyle w:val="BodyText"/>
        <w:spacing w:line="240" w:lineRule="auto"/>
        <w:rPr>
          <w:rFonts w:ascii="Palatino Linotype" w:eastAsiaTheme="minorEastAsia" w:hAnsi="Palatino Linotype" w:cstheme="minorBidi"/>
          <w:b w:val="0"/>
          <w:i/>
          <w:sz w:val="20"/>
          <w:szCs w:val="20"/>
        </w:rPr>
      </w:pPr>
      <w:r w:rsidRPr="004F37C4">
        <w:rPr>
          <w:rFonts w:ascii="Palatino Linotype" w:eastAsiaTheme="minorEastAsia" w:hAnsi="Palatino Linotype" w:cstheme="minorBidi"/>
          <w:b w:val="0"/>
          <w:i/>
          <w:sz w:val="20"/>
          <w:szCs w:val="20"/>
        </w:rPr>
        <w:t xml:space="preserve">E. Goldstein, M.N. Elliott, W.G. Lehrman, K. Hambarsoomian and L.A. Giordano.  </w:t>
      </w:r>
    </w:p>
    <w:p w:rsidR="00BA32D9" w:rsidRPr="004F37C4" w:rsidRDefault="00BA32D9" w:rsidP="00BA32D9">
      <w:pPr>
        <w:pStyle w:val="BodyText"/>
        <w:spacing w:line="240" w:lineRule="auto"/>
        <w:rPr>
          <w:rFonts w:ascii="Palatino Linotype" w:eastAsiaTheme="minorEastAsia" w:hAnsi="Palatino Linotype" w:cstheme="minorBidi"/>
          <w:b w:val="0"/>
          <w:i/>
          <w:sz w:val="20"/>
          <w:szCs w:val="20"/>
        </w:rPr>
      </w:pPr>
      <w:r w:rsidRPr="004F37C4">
        <w:rPr>
          <w:rFonts w:ascii="Palatino Linotype" w:eastAsiaTheme="minorEastAsia" w:hAnsi="Palatino Linotype" w:cstheme="minorBidi"/>
          <w:b w:val="0"/>
          <w:i/>
          <w:sz w:val="20"/>
          <w:szCs w:val="20"/>
        </w:rPr>
        <w:t xml:space="preserve">Medical Care Research and Review, 67: 74-92.  2010.  </w:t>
      </w:r>
    </w:p>
    <w:p w:rsidR="00BA32D9" w:rsidRPr="004F37C4" w:rsidRDefault="00BA32D9" w:rsidP="00BA32D9">
      <w:pPr>
        <w:pStyle w:val="BodyText"/>
        <w:spacing w:line="240" w:lineRule="auto"/>
        <w:rPr>
          <w:rFonts w:ascii="Palatino Linotype" w:eastAsiaTheme="minorEastAsia" w:hAnsi="Palatino Linotype" w:cstheme="minorBidi"/>
          <w:b w:val="0"/>
          <w:i/>
          <w:sz w:val="20"/>
          <w:szCs w:val="20"/>
        </w:rPr>
      </w:pPr>
      <w:r w:rsidRPr="004F37C4">
        <w:rPr>
          <w:rFonts w:ascii="Palatino Linotype" w:eastAsiaTheme="minorEastAsia" w:hAnsi="Palatino Linotype" w:cstheme="minorBidi"/>
          <w:b w:val="0"/>
          <w:i/>
          <w:sz w:val="20"/>
          <w:szCs w:val="20"/>
        </w:rPr>
        <w:t>(First published August 3, 2009. Medical Care Research and Review 2009, doi:10.1177/1077558709341066)</w:t>
      </w:r>
    </w:p>
    <w:p w:rsidR="004F37C4" w:rsidRDefault="004F37C4" w:rsidP="007A4C18">
      <w:pPr>
        <w:pStyle w:val="NoSpacing"/>
        <w:rPr>
          <w:rFonts w:ascii="Palatino Linotype" w:eastAsiaTheme="minorEastAsia" w:hAnsi="Palatino Linotype" w:cstheme="minorBidi"/>
          <w:bCs/>
          <w:i/>
          <w:sz w:val="20"/>
          <w:szCs w:val="20"/>
        </w:rPr>
      </w:pPr>
    </w:p>
    <w:p w:rsidR="004F37C4" w:rsidRDefault="004F37C4" w:rsidP="007A4C18">
      <w:pPr>
        <w:pStyle w:val="NoSpacing"/>
        <w:rPr>
          <w:rFonts w:ascii="Palatino Linotype" w:eastAsiaTheme="minorEastAsia" w:hAnsi="Palatino Linotype" w:cstheme="minorBidi"/>
          <w:bCs/>
          <w:i/>
          <w:sz w:val="20"/>
          <w:szCs w:val="20"/>
        </w:rPr>
      </w:pPr>
      <w:r>
        <w:rPr>
          <w:rFonts w:ascii="Palatino Linotype" w:eastAsiaTheme="minorEastAsia" w:hAnsi="Palatino Linotype" w:cstheme="minorBidi"/>
          <w:bCs/>
          <w:i/>
          <w:sz w:val="20"/>
          <w:szCs w:val="20"/>
        </w:rPr>
        <w:t>Excerpt from Quigley paper (followed by citation):</w:t>
      </w:r>
    </w:p>
    <w:p w:rsidR="004F37C4" w:rsidRDefault="004F37C4" w:rsidP="004F37C4">
      <w:pPr>
        <w:pStyle w:val="NoSpacing"/>
        <w:rPr>
          <w:rFonts w:ascii="Palatino Linotype" w:eastAsiaTheme="minorEastAsia" w:hAnsi="Palatino Linotype" w:cstheme="minorBidi"/>
          <w:bCs/>
          <w:i/>
          <w:sz w:val="20"/>
          <w:szCs w:val="20"/>
        </w:rPr>
      </w:pPr>
      <w:r w:rsidRPr="004F37C4">
        <w:rPr>
          <w:rFonts w:ascii="Palatino Linotype" w:eastAsiaTheme="minorEastAsia" w:hAnsi="Palatino Linotype" w:cstheme="minorBidi"/>
          <w:bCs/>
          <w:i/>
          <w:sz w:val="20"/>
          <w:szCs w:val="20"/>
        </w:rPr>
        <w:t>We used 2014-2015 HCAHPS data to investigate differences in inpatient experiences by preferred language within racial/ethnic groups. HCAHPS is a survey of recently-discharged patients’ experiences of hospital care in the United States and includes information on self-reported language preference and race/ethnicity that permits this analysis.</w:t>
      </w:r>
      <w:r w:rsidRPr="004F37C4">
        <w:rPr>
          <w:rFonts w:ascii="Palatino Linotype" w:eastAsiaTheme="minorEastAsia" w:hAnsi="Palatino Linotype" w:cstheme="minorBidi"/>
          <w:bCs/>
          <w:i/>
          <w:sz w:val="20"/>
          <w:szCs w:val="20"/>
        </w:rPr>
        <w:fldChar w:fldCharType="begin"/>
      </w:r>
      <w:r w:rsidRPr="004F37C4">
        <w:rPr>
          <w:rFonts w:ascii="Palatino Linotype" w:eastAsiaTheme="minorEastAsia" w:hAnsi="Palatino Linotype" w:cstheme="minorBidi"/>
          <w:bCs/>
          <w:i/>
          <w:sz w:val="20"/>
          <w:szCs w:val="20"/>
        </w:rPr>
        <w:instrText xml:space="preserve"> ADDIN EN.CITE &lt;EndNote&gt;&lt;Cite&gt;&lt;Author&gt;Giordano&lt;/Author&gt;&lt;Year&gt;2010&lt;/Year&gt;&lt;RecNum&gt;34&lt;/RecNum&gt;&lt;DisplayText&gt;&lt;style face="superscript"&gt;32&lt;/style&gt;&lt;/DisplayText&gt;&lt;record&gt;&lt;rec-number&gt;34&lt;/rec-number&gt;&lt;foreign-keys&gt;&lt;key app="EN" db-id="5s5tsss50dxffze0p0uvera69z0dztz99dp2" timestamp="1516039275"&gt;34&lt;/key&gt;&lt;/foreign-keys&gt;&lt;ref-type name="Journal Article"&gt;17&lt;/ref-type&gt;&lt;contributors&gt;&lt;authors&gt;&lt;author&gt;Giordano, L. A.&lt;/author&gt;&lt;author&gt;Elliott, M. N.&lt;/author&gt;&lt;author&gt;Goldstein, E.&lt;/author&gt;&lt;author&gt;Lehrman, W. G.&lt;/author&gt;&lt;author&gt;Spencer, P. A.&lt;/author&gt;&lt;/authors&gt;&lt;/contributors&gt;&lt;auth-address&gt;Health Services Advisory Group, Phoenix, Arizona.&lt;/auth-address&gt;&lt;titles&gt;&lt;title&gt;Development, implementation, and public reporting of the HCAHPS survey&lt;/title&gt;&lt;secondary-title&gt;Med Care Res Rev&lt;/secondary-title&gt;&lt;alt-title&gt;Medical care research and review : MCRR&lt;/alt-title&gt;&lt;/titles&gt;&lt;periodical&gt;&lt;full-title&gt;Med Care Res Rev&lt;/full-title&gt;&lt;abbr-1&gt;Medical care research and review : MCRR&lt;/abbr-1&gt;&lt;/periodical&gt;&lt;alt-periodical&gt;&lt;full-title&gt;Med Care Res Rev&lt;/full-title&gt;&lt;abbr-1&gt;Medical care research and review : MCRR&lt;/abbr-1&gt;&lt;/alt-periodical&gt;&lt;pages&gt;27-37&lt;/pages&gt;&lt;volume&gt;67&lt;/volume&gt;&lt;number&gt;1&lt;/number&gt;&lt;edition&gt;2009/07/30&lt;/edition&gt;&lt;keywords&gt;&lt;keyword&gt;Health Care Surveys/*instrumentation&lt;/keyword&gt;&lt;keyword&gt;Hospitals/*standards&lt;/keyword&gt;&lt;keyword&gt;*Information Dissemination&lt;/keyword&gt;&lt;keyword&gt;Patient Satisfaction&lt;/keyword&gt;&lt;keyword&gt;*Program Development&lt;/keyword&gt;&lt;keyword&gt;Public Policy&lt;/keyword&gt;&lt;keyword&gt;Quality of Health Care&lt;/keyword&gt;&lt;keyword&gt;United States&lt;/keyword&gt;&lt;/keywords&gt;&lt;dates&gt;&lt;year&gt;2010&lt;/year&gt;&lt;pub-dates&gt;&lt;date&gt;Feb&lt;/date&gt;&lt;/pub-dates&gt;&lt;/dates&gt;&lt;isbn&gt;1077-5587&lt;/isbn&gt;&lt;accession-num&gt;19638641&lt;/accession-num&gt;&lt;urls&gt;&lt;/urls&gt;&lt;electronic-resource-num&gt;10.1177/1077558709341065&lt;/electronic-resource-num&gt;&lt;remote-database-provider&gt;NLM&lt;/remote-database-provider&gt;&lt;language&gt;eng&lt;/language&gt;&lt;/record&gt;&lt;/Cite&gt;&lt;/EndNote&gt;</w:instrText>
      </w:r>
      <w:r w:rsidRPr="004F37C4">
        <w:rPr>
          <w:rFonts w:ascii="Palatino Linotype" w:eastAsiaTheme="minorEastAsia" w:hAnsi="Palatino Linotype" w:cstheme="minorBidi"/>
          <w:bCs/>
          <w:i/>
          <w:sz w:val="20"/>
          <w:szCs w:val="20"/>
        </w:rPr>
        <w:fldChar w:fldCharType="separate"/>
      </w:r>
      <w:r w:rsidRPr="004F37C4">
        <w:rPr>
          <w:rFonts w:ascii="Palatino Linotype" w:eastAsiaTheme="minorEastAsia" w:hAnsi="Palatino Linotype" w:cstheme="minorBidi"/>
          <w:bCs/>
          <w:i/>
          <w:sz w:val="20"/>
          <w:szCs w:val="20"/>
        </w:rPr>
        <w:t>32</w:t>
      </w:r>
      <w:r w:rsidRPr="004F37C4">
        <w:rPr>
          <w:rFonts w:ascii="Palatino Linotype" w:eastAsiaTheme="minorEastAsia" w:hAnsi="Palatino Linotype" w:cstheme="minorBidi"/>
          <w:bCs/>
          <w:i/>
          <w:sz w:val="20"/>
          <w:szCs w:val="20"/>
        </w:rPr>
        <w:fldChar w:fldCharType="end"/>
      </w:r>
      <w:r w:rsidRPr="004F37C4">
        <w:rPr>
          <w:rFonts w:ascii="Palatino Linotype" w:eastAsiaTheme="minorEastAsia" w:hAnsi="Palatino Linotype" w:cstheme="minorBidi"/>
          <w:bCs/>
          <w:i/>
          <w:sz w:val="20"/>
          <w:szCs w:val="20"/>
        </w:rPr>
        <w:t xml:space="preserve"> Specifically, the HCAHPS survey asks which of seven languages the patient primarily speaks at home. Sample sizes used were sufficient to examine all preferred-language groups for which HCAHPS provides translations. As such, this dataset allows one to examine preferred language within racial/ethnic groups among even smaller groups, such as Portuguese-preferring Hispanics and Vietnamese-preferring Asian/Pacific Islanders (API).</w:t>
      </w:r>
    </w:p>
    <w:p w:rsidR="004F37C4" w:rsidRPr="004F37C4" w:rsidRDefault="004F37C4" w:rsidP="004F37C4">
      <w:pPr>
        <w:pStyle w:val="NoSpacing"/>
        <w:rPr>
          <w:rFonts w:ascii="Palatino Linotype" w:eastAsiaTheme="minorEastAsia" w:hAnsi="Palatino Linotype" w:cstheme="minorBidi"/>
          <w:bCs/>
          <w:i/>
          <w:sz w:val="20"/>
          <w:szCs w:val="20"/>
        </w:rPr>
      </w:pPr>
    </w:p>
    <w:p w:rsidR="004F37C4" w:rsidRDefault="004F37C4" w:rsidP="004F37C4">
      <w:pPr>
        <w:pStyle w:val="NoSpacing"/>
        <w:rPr>
          <w:rFonts w:ascii="Palatino Linotype" w:eastAsiaTheme="minorEastAsia" w:hAnsi="Palatino Linotype" w:cstheme="minorBidi"/>
          <w:bCs/>
          <w:i/>
          <w:sz w:val="20"/>
          <w:szCs w:val="20"/>
        </w:rPr>
      </w:pPr>
      <w:r w:rsidRPr="004F37C4">
        <w:rPr>
          <w:rFonts w:ascii="Palatino Linotype" w:eastAsiaTheme="minorEastAsia" w:hAnsi="Palatino Linotype" w:cstheme="minorBidi"/>
          <w:bCs/>
          <w:i/>
          <w:sz w:val="20"/>
          <w:szCs w:val="20"/>
        </w:rPr>
        <w:t>HCAHPS measures experiences of inpatients of all payer types (Medicaid, Medicare, and all others) who are 18 years or older at admission, stay overnight in the hospital with a principal diagnosis for medical, surgical or maternity care, and are discharged alive.</w:t>
      </w:r>
      <w:r w:rsidRPr="004F37C4">
        <w:rPr>
          <w:rFonts w:ascii="Palatino Linotype" w:eastAsiaTheme="minorEastAsia" w:hAnsi="Palatino Linotype" w:cstheme="minorBidi"/>
          <w:bCs/>
          <w:i/>
          <w:sz w:val="20"/>
          <w:szCs w:val="20"/>
        </w:rPr>
        <w:fldChar w:fldCharType="begin"/>
      </w:r>
      <w:r w:rsidRPr="004F37C4">
        <w:rPr>
          <w:rFonts w:ascii="Palatino Linotype" w:eastAsiaTheme="minorEastAsia" w:hAnsi="Palatino Linotype" w:cstheme="minorBidi"/>
          <w:bCs/>
          <w:i/>
          <w:sz w:val="20"/>
          <w:szCs w:val="20"/>
        </w:rPr>
        <w:instrText xml:space="preserve"> ADDIN EN.CITE &lt;EndNote&gt;&lt;Cite&gt;&lt;Author&gt;Health Services Advisory Group&lt;/Author&gt;&lt;Year&gt;2017&lt;/Year&gt;&lt;RecNum&gt;56&lt;/RecNum&gt;&lt;DisplayText&gt;&lt;style face="superscript"&gt;34&lt;/style&gt;&lt;/DisplayText&gt;&lt;record&gt;&lt;rec-number&gt;56&lt;/rec-number&gt;&lt;foreign-keys&gt;&lt;key app="EN" db-id="5s5tsss50dxffze0p0uvera69z0dztz99dp2" timestamp="1517418870"&gt;56&lt;/key&gt;&lt;/foreign-keys&gt;&lt;ref-type name="Web Page"&gt;12&lt;/ref-type&gt;&lt;contributors&gt;&lt;authors&gt;&lt;author&gt;Health Services Advisory Group,&lt;/author&gt;&lt;/authors&gt;&lt;/contributors&gt;&lt;titles&gt;&lt;title&gt;Facts&lt;/title&gt;&lt;secondary-title&gt;Hospital Consumer Assessment of Healthcare Providers and Systems&lt;/secondary-title&gt;&lt;/titles&gt;&lt;dates&gt;&lt;year&gt;2017&lt;/year&gt;&lt;/dates&gt;&lt;publisher&gt;Centers for Medicare &amp;amp; Medicaid Services&lt;/publisher&gt;&lt;urls&gt;&lt;related-urls&gt;&lt;url&gt;http://www.hcahpsonline.org/en/facts/&lt;/url&gt;&lt;/related-urls&gt;&lt;/urls&gt;&lt;/record&gt;&lt;/Cite&gt;&lt;/EndNote&gt;</w:instrText>
      </w:r>
      <w:r w:rsidRPr="004F37C4">
        <w:rPr>
          <w:rFonts w:ascii="Palatino Linotype" w:eastAsiaTheme="minorEastAsia" w:hAnsi="Palatino Linotype" w:cstheme="minorBidi"/>
          <w:bCs/>
          <w:i/>
          <w:sz w:val="20"/>
          <w:szCs w:val="20"/>
        </w:rPr>
        <w:fldChar w:fldCharType="separate"/>
      </w:r>
      <w:r w:rsidRPr="004F37C4">
        <w:rPr>
          <w:rFonts w:ascii="Palatino Linotype" w:eastAsiaTheme="minorEastAsia" w:hAnsi="Palatino Linotype" w:cstheme="minorBidi"/>
          <w:bCs/>
          <w:i/>
          <w:sz w:val="20"/>
          <w:szCs w:val="20"/>
        </w:rPr>
        <w:t>34</w:t>
      </w:r>
      <w:r w:rsidRPr="004F37C4">
        <w:rPr>
          <w:rFonts w:ascii="Palatino Linotype" w:eastAsiaTheme="minorEastAsia" w:hAnsi="Palatino Linotype" w:cstheme="minorBidi"/>
          <w:bCs/>
          <w:i/>
          <w:sz w:val="20"/>
          <w:szCs w:val="20"/>
        </w:rPr>
        <w:fldChar w:fldCharType="end"/>
      </w:r>
      <w:r w:rsidRPr="004F37C4">
        <w:rPr>
          <w:rFonts w:ascii="Palatino Linotype" w:eastAsiaTheme="minorEastAsia" w:hAnsi="Palatino Linotype" w:cstheme="minorBidi"/>
          <w:bCs/>
          <w:i/>
          <w:sz w:val="20"/>
          <w:szCs w:val="20"/>
        </w:rPr>
        <w:t xml:space="preserve"> Our analysis included the 5,480,308 completed surveys from all 4,517 hospitals in the 50 states and DC that submitted HCAHPS data to the Centers for Medicare &amp; Medicaid Services (CMS) during the eight quarters of calendar years 2014-2015. </w:t>
      </w:r>
    </w:p>
    <w:p w:rsidR="004F37C4" w:rsidRPr="004F37C4" w:rsidRDefault="004F37C4" w:rsidP="004F37C4">
      <w:pPr>
        <w:pStyle w:val="NoSpacing"/>
        <w:rPr>
          <w:rFonts w:ascii="Palatino Linotype" w:eastAsiaTheme="minorEastAsia" w:hAnsi="Palatino Linotype" w:cstheme="minorBidi"/>
          <w:bCs/>
          <w:i/>
          <w:sz w:val="20"/>
          <w:szCs w:val="20"/>
        </w:rPr>
      </w:pPr>
    </w:p>
    <w:p w:rsidR="004F37C4" w:rsidRDefault="004F37C4" w:rsidP="004F37C4">
      <w:pPr>
        <w:pStyle w:val="NoSpacing"/>
        <w:rPr>
          <w:rFonts w:ascii="Palatino Linotype" w:eastAsiaTheme="minorEastAsia" w:hAnsi="Palatino Linotype" w:cstheme="minorBidi"/>
          <w:bCs/>
          <w:i/>
          <w:sz w:val="20"/>
          <w:szCs w:val="20"/>
        </w:rPr>
      </w:pPr>
      <w:r w:rsidRPr="004F37C4">
        <w:rPr>
          <w:rFonts w:ascii="Palatino Linotype" w:eastAsiaTheme="minorEastAsia" w:hAnsi="Palatino Linotype" w:cstheme="minorBidi"/>
          <w:bCs/>
          <w:i/>
          <w:sz w:val="20"/>
          <w:szCs w:val="20"/>
        </w:rPr>
        <w:t xml:space="preserve">We examined six HCAHPS composite measures: Communication with Doctors, Communication with Nurses, Responsiveness of Hospital Staff, Communication about Medication, Discharge Information, and Care Coordination. Three measures were excluded because they do not rely on conversing in a shared language (Quietness, Cleanliness) or are no longer used for incentive payments (Pain Management). Two global measures (Ratings of Hospital and Recommendation of Hospital) were excluded because prior research suggests that such items may elicit different evaluations of the same care from different racial/ethnic and language groups. The survey items comprising five of the six retained composite measures (all but Discharge Information items, which employ yes/no responses) use a standard set of response options: never, sometimes, </w:t>
      </w:r>
      <w:r>
        <w:rPr>
          <w:rFonts w:ascii="Palatino Linotype" w:eastAsiaTheme="minorEastAsia" w:hAnsi="Palatino Linotype" w:cstheme="minorBidi"/>
          <w:bCs/>
          <w:i/>
          <w:sz w:val="20"/>
          <w:szCs w:val="20"/>
        </w:rPr>
        <w:t>e</w:t>
      </w:r>
      <w:r w:rsidRPr="004F37C4">
        <w:rPr>
          <w:rFonts w:ascii="Palatino Linotype" w:eastAsiaTheme="minorEastAsia" w:hAnsi="Palatino Linotype" w:cstheme="minorBidi"/>
          <w:bCs/>
          <w:i/>
          <w:sz w:val="20"/>
          <w:szCs w:val="20"/>
        </w:rPr>
        <w:t>, and always. A description of the composite measures is included in the Appendix in Table A.1.</w:t>
      </w:r>
    </w:p>
    <w:p w:rsidR="004F37C4" w:rsidRPr="004F37C4" w:rsidRDefault="004F37C4" w:rsidP="004F37C4">
      <w:pPr>
        <w:pStyle w:val="NoSpacing"/>
        <w:rPr>
          <w:rFonts w:ascii="Palatino Linotype" w:eastAsiaTheme="minorEastAsia" w:hAnsi="Palatino Linotype" w:cstheme="minorBidi"/>
          <w:bCs/>
          <w:i/>
          <w:sz w:val="20"/>
          <w:szCs w:val="20"/>
        </w:rPr>
      </w:pPr>
    </w:p>
    <w:p w:rsidR="004F37C4" w:rsidRDefault="004F37C4" w:rsidP="004F37C4">
      <w:pPr>
        <w:pStyle w:val="NoSpacing"/>
        <w:rPr>
          <w:rFonts w:ascii="Palatino Linotype" w:eastAsiaTheme="minorEastAsia" w:hAnsi="Palatino Linotype" w:cstheme="minorBidi"/>
          <w:bCs/>
          <w:i/>
          <w:sz w:val="20"/>
          <w:szCs w:val="20"/>
        </w:rPr>
      </w:pPr>
      <w:r w:rsidRPr="004F37C4">
        <w:rPr>
          <w:rFonts w:ascii="Palatino Linotype" w:eastAsiaTheme="minorEastAsia" w:hAnsi="Palatino Linotype" w:cstheme="minorBidi"/>
          <w:bCs/>
          <w:i/>
          <w:sz w:val="20"/>
          <w:szCs w:val="20"/>
        </w:rPr>
        <w:t>HCAHPS respondents are asked to self-report whether they are of Spanish, Hispanic or Latino origin or descent. They are then asked to select at least one race, with response options of White, Black or African American, American Indian or Alaska Native (AI/AN), Asian, Native Hawaiian or other Pacific Islander, and some other race. Six mutually-exclusive racial/ethnic categories were created using these two items: (1) Hispanic; and non-Hispanic (2) White, (3) Black, (4) API, (5) AI/AN, and (6) multiracial. Following the Office of Management and Budget approach, we classified any patient as Hispanic who endorsed Hispanic ethnicity. Non-Hispanic patients who endorsed exactly one race were classified as that race; those who endorsed Asian plus Native Hawaiian or other Pacific Islander were classified as API; the remaining non-Hispanic patients who endorsed two or more races were classified as multiracial. Our analysis excluded data from multiracial patients (3%), a heterogeneous and difficult-to-interpret group, and patients who did not answer the race item</w:t>
      </w:r>
      <w:r w:rsidRPr="004F37C4" w:rsidDel="0087180F">
        <w:rPr>
          <w:rFonts w:ascii="Palatino Linotype" w:eastAsiaTheme="minorEastAsia" w:hAnsi="Palatino Linotype" w:cstheme="minorBidi"/>
          <w:bCs/>
          <w:i/>
          <w:sz w:val="20"/>
          <w:szCs w:val="20"/>
        </w:rPr>
        <w:t xml:space="preserve"> </w:t>
      </w:r>
      <w:r w:rsidRPr="004F37C4">
        <w:rPr>
          <w:rFonts w:ascii="Palatino Linotype" w:eastAsiaTheme="minorEastAsia" w:hAnsi="Palatino Linotype" w:cstheme="minorBidi"/>
          <w:bCs/>
          <w:i/>
          <w:sz w:val="20"/>
          <w:szCs w:val="20"/>
        </w:rPr>
        <w:t xml:space="preserve">(7%). </w:t>
      </w:r>
    </w:p>
    <w:p w:rsidR="004F37C4" w:rsidRPr="004F37C4" w:rsidRDefault="004F37C4" w:rsidP="004F37C4">
      <w:pPr>
        <w:pStyle w:val="NoSpacing"/>
        <w:rPr>
          <w:rFonts w:ascii="Palatino Linotype" w:eastAsiaTheme="minorEastAsia" w:hAnsi="Palatino Linotype" w:cstheme="minorBidi"/>
          <w:bCs/>
          <w:i/>
          <w:sz w:val="20"/>
          <w:szCs w:val="20"/>
        </w:rPr>
      </w:pPr>
    </w:p>
    <w:p w:rsidR="004F37C4" w:rsidRDefault="004F37C4" w:rsidP="004F37C4">
      <w:pPr>
        <w:pStyle w:val="NoSpacing"/>
        <w:rPr>
          <w:rFonts w:ascii="Palatino Linotype" w:eastAsiaTheme="minorEastAsia" w:hAnsi="Palatino Linotype" w:cstheme="minorBidi"/>
          <w:bCs/>
          <w:i/>
          <w:sz w:val="20"/>
          <w:szCs w:val="20"/>
        </w:rPr>
      </w:pPr>
      <w:r w:rsidRPr="004F37C4">
        <w:rPr>
          <w:rFonts w:ascii="Palatino Linotype" w:eastAsiaTheme="minorEastAsia" w:hAnsi="Palatino Linotype" w:cstheme="minorBidi"/>
          <w:bCs/>
          <w:i/>
          <w:sz w:val="20"/>
          <w:szCs w:val="20"/>
        </w:rPr>
        <w:t xml:space="preserve">Because several languages measured by the survey are associated almost exclusively with a single racial/ethnic group, language was considered </w:t>
      </w:r>
      <w:r w:rsidRPr="00972674">
        <w:rPr>
          <w:rFonts w:ascii="Palatino Linotype" w:eastAsiaTheme="minorEastAsia" w:hAnsi="Palatino Linotype" w:cstheme="minorBidi"/>
          <w:bCs/>
          <w:i/>
          <w:sz w:val="20"/>
          <w:szCs w:val="20"/>
        </w:rPr>
        <w:t xml:space="preserve">within racial/ethnic categories. The HCAHPS survey asks, “What language do you mainly speak at home?” with response options of English, Spanish, Chinese, Russian, Vietnamese, Portuguese, and “some other language.” We included all combinations of preferred language (that is, language spoken at home) and race/ethnicity among our seven languages and five racial/ethnic groups for which at least 400 completed surveys were available nationally: Hispanics (languages included Spanish, English, Portuguese, Other), API (English, Chinese, Vietnamese, Other), Blacks (English, Spanish, Other), AI/AN (English, Other), and Whites (English, Russian, Spanish, Portuguese, Other). </w:t>
      </w:r>
    </w:p>
    <w:p w:rsidR="00BA32D9" w:rsidRPr="00BA32D9" w:rsidRDefault="00BA32D9" w:rsidP="004F37C4">
      <w:pPr>
        <w:pStyle w:val="NoSpacing"/>
        <w:rPr>
          <w:rFonts w:ascii="Palatino Linotype" w:eastAsiaTheme="minorEastAsia" w:hAnsi="Palatino Linotype" w:cstheme="minorBidi"/>
          <w:bCs/>
          <w:i/>
          <w:sz w:val="20"/>
          <w:szCs w:val="20"/>
        </w:rPr>
      </w:pPr>
    </w:p>
    <w:p w:rsidR="004F37C4" w:rsidRPr="004F37C4" w:rsidRDefault="004F37C4" w:rsidP="00BA32D9">
      <w:pPr>
        <w:pStyle w:val="NoSpacing"/>
        <w:rPr>
          <w:rFonts w:ascii="Palatino Linotype" w:eastAsiaTheme="minorEastAsia" w:hAnsi="Palatino Linotype" w:cstheme="minorBidi"/>
          <w:bCs/>
          <w:i/>
          <w:sz w:val="20"/>
          <w:szCs w:val="20"/>
        </w:rPr>
      </w:pPr>
      <w:r w:rsidRPr="00BA32D9">
        <w:rPr>
          <w:rFonts w:ascii="Palatino Linotype" w:eastAsiaTheme="minorEastAsia" w:hAnsi="Palatino Linotype" w:cstheme="minorBidi"/>
          <w:bCs/>
          <w:i/>
          <w:sz w:val="20"/>
          <w:szCs w:val="20"/>
        </w:rPr>
        <w:t>To analyze the types of hospitals utilized by language-within-race/ethnicity groups, we examined key hospital characteristics of bed size (200 or more beds), rural location, profit status (for profit, not-for profit, governmental status), and service line composition (percent medical, surgical, maternity). We also calculated by preferred language within racial/ethnic groups: the average hospital-level proportion of non-English language-preferring patients, the average hospital-level proportion of the matching racial/ethnic group, and the average hospital-level proportion of their same racial/ethnic and language group. Linear regression compared overall, within-hospital and between-hospital patient experiences by preferred language within racial/ethnic groups using standard patient-mix adjustors. Following the CMS approach</w:t>
      </w:r>
      <w:r w:rsidR="00BA32D9">
        <w:rPr>
          <w:rFonts w:ascii="Palatino Linotype" w:eastAsiaTheme="minorEastAsia" w:hAnsi="Palatino Linotype" w:cstheme="minorBidi"/>
          <w:bCs/>
          <w:i/>
          <w:sz w:val="20"/>
          <w:szCs w:val="20"/>
        </w:rPr>
        <w:t>,</w:t>
      </w:r>
      <w:r w:rsidRPr="00BA32D9">
        <w:rPr>
          <w:rFonts w:ascii="Palatino Linotype" w:eastAsiaTheme="minorEastAsia" w:hAnsi="Palatino Linotype" w:cstheme="minorBidi"/>
          <w:bCs/>
          <w:i/>
          <w:sz w:val="20"/>
          <w:szCs w:val="20"/>
        </w:rPr>
        <w:t xml:space="preserve"> we used patient-mix adjusted top-box-scored measures for all composite measures, scoring the most positive response option as 100 and all other responses as 0 prior to averaging non-missing items to create composite scores. The top-box response is “always” for four HCAHPS composites (</w:t>
      </w:r>
      <w:r w:rsidRPr="004F37C4">
        <w:rPr>
          <w:rFonts w:ascii="Palatino Linotype" w:eastAsiaTheme="minorEastAsia" w:hAnsi="Palatino Linotype" w:cstheme="minorBidi"/>
          <w:bCs/>
          <w:i/>
          <w:sz w:val="20"/>
          <w:szCs w:val="20"/>
        </w:rPr>
        <w:t>Communication with Nurses, Communication with Doctors, Responsiveness of Hospital Staff, and Communication about Medication), “yes” for the Discharge Information composite, and “strongly agree” for the Care Coordination composite. To illustrate, the score for a respondent who answered “always,” “always,” “never,” and “sometimes” to four items within a composite would be (100+100+0+0=200)/4 = 50.  “Patient mix” refers to patient characteristics not under the control of the hospital that may affect scores of patient experience measures. Patient-mix adjustment accounts for between-hospital differences in the patient population to estimate the scores each hospital would have received if all had treated the same patients. Standard HCAHPS patient-mix adjustors are patient age; service line (maternity, surgical, and medical [reference category]); self-reported education; self-reported overall patient health; response percentile (a rank-based measure of the latency between discharge date and survey completion that addresses the tendency of  later responders to indicate worse care experiences); interactions of maternity and surgical service line with linearly-scored patient age; and preferred language spoken at home. Here, preferred language spoken at home was treated as the primary independent variable, rather than as a patient-mix adjustor.</w:t>
      </w:r>
    </w:p>
    <w:p w:rsidR="007A4C18" w:rsidRPr="007A4C18" w:rsidRDefault="007A4C18" w:rsidP="007A4C18">
      <w:pPr>
        <w:pStyle w:val="NoSpacing"/>
        <w:rPr>
          <w:rFonts w:ascii="Palatino Linotype" w:eastAsiaTheme="minorEastAsia" w:hAnsi="Palatino Linotype" w:cstheme="minorBidi"/>
          <w:bCs/>
          <w:i/>
          <w:sz w:val="20"/>
          <w:szCs w:val="20"/>
        </w:rPr>
      </w:pPr>
      <w:r w:rsidRPr="007A4C18">
        <w:rPr>
          <w:rFonts w:ascii="Palatino Linotype" w:eastAsiaTheme="minorEastAsia" w:hAnsi="Palatino Linotype" w:cstheme="minorBidi"/>
          <w:bCs/>
          <w:i/>
          <w:sz w:val="20"/>
          <w:szCs w:val="20"/>
        </w:rPr>
        <w:t xml:space="preserve">   </w:t>
      </w:r>
    </w:p>
    <w:p w:rsidR="00BA32D9" w:rsidRDefault="00BA32D9" w:rsidP="00BA32D9">
      <w:pPr>
        <w:pStyle w:val="NoSpacing"/>
        <w:rPr>
          <w:rFonts w:ascii="Palatino Linotype" w:eastAsiaTheme="minorEastAsia" w:hAnsi="Palatino Linotype" w:cstheme="minorBidi"/>
          <w:bCs/>
          <w:i/>
          <w:sz w:val="20"/>
          <w:szCs w:val="20"/>
        </w:rPr>
      </w:pPr>
      <w:r w:rsidRPr="00BA32D9">
        <w:rPr>
          <w:rFonts w:ascii="Palatino Linotype" w:eastAsiaTheme="minorEastAsia" w:hAnsi="Palatino Linotype" w:cstheme="minorBidi"/>
          <w:bCs/>
          <w:i/>
          <w:sz w:val="20"/>
          <w:szCs w:val="20"/>
        </w:rPr>
        <w:t>In Table 3, differences in patient experiences for six HCAHPS measures are shown by language within racial/ethnic group. Generally, non-English-preferring Black, Hispanic, API and AI/AN patients reported worse experiences than their English-preferring counterparts, except for Russian-preferring White patients. Differences between English and non-English preferring patients within the same racial/ethnic group were largest and most consistent (i.e., the findings were both statistically significant and had the same sign) for Care Coordination and smallest and least consistent for Discharge Information and Communication about Medication.</w:t>
      </w:r>
    </w:p>
    <w:p w:rsidR="00BA32D9" w:rsidRPr="00BA32D9" w:rsidRDefault="00BA32D9" w:rsidP="00BA32D9">
      <w:pPr>
        <w:pStyle w:val="NoSpacing"/>
        <w:rPr>
          <w:rFonts w:ascii="Palatino Linotype" w:eastAsiaTheme="minorEastAsia" w:hAnsi="Palatino Linotype" w:cstheme="minorBidi"/>
          <w:bCs/>
          <w:i/>
          <w:sz w:val="20"/>
          <w:szCs w:val="20"/>
        </w:rPr>
      </w:pPr>
    </w:p>
    <w:p w:rsidR="00BA32D9" w:rsidRPr="00BA32D9" w:rsidRDefault="00BA32D9" w:rsidP="00BA32D9">
      <w:pPr>
        <w:pStyle w:val="NoSpacing"/>
        <w:rPr>
          <w:rFonts w:ascii="Palatino Linotype" w:eastAsiaTheme="minorEastAsia" w:hAnsi="Palatino Linotype" w:cstheme="minorBidi"/>
          <w:bCs/>
          <w:i/>
          <w:sz w:val="20"/>
          <w:szCs w:val="20"/>
        </w:rPr>
      </w:pPr>
      <w:r w:rsidRPr="00BA32D9">
        <w:rPr>
          <w:rFonts w:ascii="Palatino Linotype" w:eastAsiaTheme="minorEastAsia" w:hAnsi="Palatino Linotype" w:cstheme="minorBidi"/>
          <w:bCs/>
          <w:i/>
          <w:sz w:val="20"/>
          <w:szCs w:val="20"/>
        </w:rPr>
        <w:t xml:space="preserve">The experiences of White patients were not consistent across measures and language preference. Spanish-preferring and other-language-preferring Whites reported less positive experiences than English-preferring Whites, except for Doctor Communication where experiences were similar for English-preferring and other other-language-preferring Whites. Russian-preferring Whites reported the best experiences among Whites, except for Care Coordination. </w:t>
      </w:r>
    </w:p>
    <w:p w:rsidR="00BA32D9" w:rsidRDefault="00BA32D9" w:rsidP="00BA32D9">
      <w:pPr>
        <w:pStyle w:val="NoSpacing"/>
        <w:rPr>
          <w:rFonts w:ascii="Palatino Linotype" w:eastAsiaTheme="minorEastAsia" w:hAnsi="Palatino Linotype" w:cstheme="minorBidi"/>
          <w:bCs/>
          <w:i/>
          <w:sz w:val="20"/>
          <w:szCs w:val="20"/>
        </w:rPr>
      </w:pPr>
      <w:r w:rsidRPr="00BA32D9">
        <w:rPr>
          <w:rFonts w:ascii="Palatino Linotype" w:eastAsiaTheme="minorEastAsia" w:hAnsi="Palatino Linotype" w:cstheme="minorBidi"/>
          <w:bCs/>
          <w:i/>
          <w:sz w:val="20"/>
          <w:szCs w:val="20"/>
        </w:rPr>
        <w:t>Non-English-preferring Black patients reported consistently worse experiences than their English-preferring counterparts, with all differences at least moderate in magnitude (3+ points).</w:t>
      </w:r>
    </w:p>
    <w:p w:rsidR="00BA32D9" w:rsidRPr="00BA32D9" w:rsidRDefault="00BA32D9" w:rsidP="00BA32D9">
      <w:pPr>
        <w:pStyle w:val="NoSpacing"/>
        <w:rPr>
          <w:rFonts w:ascii="Palatino Linotype" w:eastAsiaTheme="minorEastAsia" w:hAnsi="Palatino Linotype" w:cstheme="minorBidi"/>
          <w:bCs/>
          <w:i/>
          <w:sz w:val="20"/>
          <w:szCs w:val="20"/>
        </w:rPr>
      </w:pPr>
    </w:p>
    <w:p w:rsidR="00BA32D9" w:rsidRDefault="00BA32D9" w:rsidP="00BA32D9">
      <w:pPr>
        <w:pStyle w:val="NoSpacing"/>
        <w:rPr>
          <w:rFonts w:ascii="Palatino Linotype" w:eastAsiaTheme="minorEastAsia" w:hAnsi="Palatino Linotype" w:cstheme="minorBidi"/>
          <w:bCs/>
          <w:i/>
          <w:sz w:val="20"/>
          <w:szCs w:val="20"/>
        </w:rPr>
      </w:pPr>
      <w:r w:rsidRPr="00BA32D9">
        <w:rPr>
          <w:rFonts w:ascii="Palatino Linotype" w:eastAsiaTheme="minorEastAsia" w:hAnsi="Palatino Linotype" w:cstheme="minorBidi"/>
          <w:bCs/>
          <w:i/>
          <w:sz w:val="20"/>
          <w:szCs w:val="20"/>
        </w:rPr>
        <w:t>Among Hispanics, Spanish-preferring and other-language-preferring patients reported worse experiences than English-preferring Hispanics except for similar experiences for Communication about Medication for English-preferring and other-language-preferring patients. Portuguese-preferring Hispanics reported worse experiences for only Doctor Communication and Care Coordination. Generally, differences between English-preferring and non-English preferring Hispanics were small (&lt;3 points), except for Care Coordination.</w:t>
      </w:r>
    </w:p>
    <w:p w:rsidR="00BA32D9" w:rsidRPr="00BA32D9" w:rsidRDefault="00BA32D9" w:rsidP="00BA32D9">
      <w:pPr>
        <w:pStyle w:val="NoSpacing"/>
        <w:rPr>
          <w:rFonts w:ascii="Palatino Linotype" w:eastAsiaTheme="minorEastAsia" w:hAnsi="Palatino Linotype" w:cstheme="minorBidi"/>
          <w:bCs/>
          <w:i/>
          <w:sz w:val="20"/>
          <w:szCs w:val="20"/>
        </w:rPr>
      </w:pPr>
    </w:p>
    <w:p w:rsidR="00BA32D9" w:rsidRPr="00BA32D9" w:rsidRDefault="00BA32D9" w:rsidP="00BA32D9">
      <w:pPr>
        <w:pStyle w:val="NoSpacing"/>
        <w:rPr>
          <w:rFonts w:ascii="Palatino Linotype" w:eastAsiaTheme="minorEastAsia" w:hAnsi="Palatino Linotype" w:cstheme="minorBidi"/>
          <w:bCs/>
          <w:i/>
          <w:sz w:val="20"/>
          <w:szCs w:val="20"/>
        </w:rPr>
      </w:pPr>
      <w:r w:rsidRPr="00BA32D9">
        <w:rPr>
          <w:rFonts w:ascii="Palatino Linotype" w:eastAsiaTheme="minorEastAsia" w:hAnsi="Palatino Linotype" w:cstheme="minorBidi"/>
          <w:bCs/>
          <w:i/>
          <w:sz w:val="20"/>
          <w:szCs w:val="20"/>
        </w:rPr>
        <w:t xml:space="preserve">Among API patients, each non-English-preferring group (Chinese-, Vietnamese-, and other-language-preferring) reported worse experiences than English-preferring API, except for Discharge Information. Within API, negative differences compared to English-preferring API tended to be largest for Chinese-preferring API. </w:t>
      </w:r>
    </w:p>
    <w:p w:rsidR="00BA32D9" w:rsidRPr="00BA32D9" w:rsidRDefault="00BA32D9" w:rsidP="00BA32D9">
      <w:pPr>
        <w:pStyle w:val="NoSpacing"/>
        <w:rPr>
          <w:rFonts w:ascii="Palatino Linotype" w:eastAsiaTheme="minorEastAsia" w:hAnsi="Palatino Linotype" w:cstheme="minorBidi"/>
          <w:bCs/>
          <w:i/>
          <w:sz w:val="20"/>
          <w:szCs w:val="20"/>
        </w:rPr>
      </w:pPr>
      <w:r w:rsidRPr="00BA32D9">
        <w:rPr>
          <w:rFonts w:ascii="Palatino Linotype" w:eastAsiaTheme="minorEastAsia" w:hAnsi="Palatino Linotype" w:cstheme="minorBidi"/>
          <w:bCs/>
          <w:i/>
          <w:sz w:val="20"/>
          <w:szCs w:val="20"/>
        </w:rPr>
        <w:t xml:space="preserve">Within AI/AN, other-language-preferring AI/AN reported worse care experiences than English-preferring AI/AN; differences were moderate or larger, except for Communication About Medicines. </w:t>
      </w:r>
    </w:p>
    <w:p w:rsidR="00D2101E" w:rsidRDefault="00D2101E"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E43C45" w:rsidRDefault="00E43C45" w:rsidP="00BA32D9">
      <w:pPr>
        <w:pStyle w:val="NoSpacing"/>
      </w:pPr>
    </w:p>
    <w:p w:rsidR="00BA5A5C" w:rsidRDefault="00BA5A5C" w:rsidP="00BA32D9">
      <w:pPr>
        <w:pStyle w:val="NoSpacing"/>
      </w:pPr>
    </w:p>
    <w:p w:rsidR="00BA5A5C" w:rsidRDefault="00BA5A5C" w:rsidP="00BA32D9">
      <w:pPr>
        <w:pStyle w:val="NoSpacing"/>
      </w:pPr>
      <w:r w:rsidRPr="002705E6">
        <w:rPr>
          <w:rFonts w:eastAsia="Times New Roman"/>
          <w:bCs/>
          <w:color w:val="000000"/>
          <w:sz w:val="18"/>
          <w:szCs w:val="18"/>
        </w:rPr>
        <w:t>Table 3 Differences in HCAHPS top-box scored composite measures by preferred language within racial/ethnic group, adjusted for patient-mix and survey year (N = 5 480 308)</w:t>
      </w:r>
    </w:p>
    <w:p w:rsidR="00E43C45" w:rsidRDefault="00E43C45" w:rsidP="00BA32D9">
      <w:pPr>
        <w:pStyle w:val="NoSpacing"/>
      </w:pPr>
    </w:p>
    <w:tbl>
      <w:tblPr>
        <w:tblW w:w="9750" w:type="dxa"/>
        <w:tblInd w:w="93" w:type="dxa"/>
        <w:tblLook w:val="04A0" w:firstRow="1" w:lastRow="0" w:firstColumn="1" w:lastColumn="0" w:noHBand="0" w:noVBand="1"/>
        <w:tblCaption w:val="Table with Differences in HCAHPS top-box scored composite measures"/>
        <w:tblDescription w:val="Differences in HCAHPS top-box scored composite measures by preferred language within racial/ethnic group, adjusted for patient-mix and survey year (N = 5 480 308)"/>
      </w:tblPr>
      <w:tblGrid>
        <w:gridCol w:w="837"/>
        <w:gridCol w:w="1054"/>
        <w:gridCol w:w="696"/>
        <w:gridCol w:w="695"/>
        <w:gridCol w:w="695"/>
        <w:gridCol w:w="696"/>
        <w:gridCol w:w="682"/>
        <w:gridCol w:w="682"/>
        <w:gridCol w:w="705"/>
        <w:gridCol w:w="705"/>
        <w:gridCol w:w="537"/>
        <w:gridCol w:w="582"/>
        <w:gridCol w:w="622"/>
        <w:gridCol w:w="562"/>
      </w:tblGrid>
      <w:tr w:rsidR="00E43C45" w:rsidRPr="00DD7969" w:rsidTr="00BA5A5C">
        <w:trPr>
          <w:trHeight w:val="391"/>
        </w:trPr>
        <w:tc>
          <w:tcPr>
            <w:tcW w:w="837" w:type="dxa"/>
            <w:shd w:val="clear" w:color="000000" w:fill="BFBFBF"/>
            <w:vAlign w:val="bottom"/>
            <w:hideMark/>
          </w:tcPr>
          <w:p w:rsidR="00E43C45" w:rsidRPr="00DD7969" w:rsidRDefault="00E43C45" w:rsidP="00E43C45">
            <w:pPr>
              <w:spacing w:after="0" w:line="240" w:lineRule="auto"/>
              <w:rPr>
                <w:rFonts w:ascii="Calibri" w:eastAsia="Times New Roman" w:hAnsi="Calibri" w:cs="Times New Roman"/>
                <w:b/>
                <w:bCs/>
                <w:color w:val="000000"/>
                <w:sz w:val="18"/>
                <w:szCs w:val="18"/>
              </w:rPr>
            </w:pPr>
            <w:r w:rsidRPr="00DD7969">
              <w:rPr>
                <w:rFonts w:ascii="Calibri" w:eastAsia="Times New Roman" w:hAnsi="Calibri" w:cs="Times New Roman"/>
                <w:b/>
                <w:bCs/>
                <w:color w:val="000000"/>
                <w:sz w:val="18"/>
                <w:szCs w:val="18"/>
              </w:rPr>
              <w:t> </w:t>
            </w:r>
          </w:p>
        </w:tc>
        <w:tc>
          <w:tcPr>
            <w:tcW w:w="1054" w:type="dxa"/>
            <w:shd w:val="clear" w:color="000000" w:fill="BFBFBF"/>
            <w:vAlign w:val="bottom"/>
            <w:hideMark/>
          </w:tcPr>
          <w:p w:rsidR="00E43C45" w:rsidRPr="00DD7969" w:rsidRDefault="00E43C45" w:rsidP="00E43C45">
            <w:pPr>
              <w:spacing w:after="0" w:line="240" w:lineRule="auto"/>
              <w:rPr>
                <w:rFonts w:ascii="Calibri" w:eastAsia="Times New Roman" w:hAnsi="Calibri" w:cs="Times New Roman"/>
                <w:b/>
                <w:bCs/>
                <w:color w:val="000000"/>
                <w:sz w:val="18"/>
                <w:szCs w:val="18"/>
              </w:rPr>
            </w:pPr>
            <w:r w:rsidRPr="00DD7969">
              <w:rPr>
                <w:rFonts w:ascii="Calibri" w:eastAsia="Times New Roman" w:hAnsi="Calibri" w:cs="Times New Roman"/>
                <w:b/>
                <w:bCs/>
                <w:color w:val="000000"/>
                <w:sz w:val="18"/>
                <w:szCs w:val="18"/>
              </w:rPr>
              <w:t> </w:t>
            </w:r>
          </w:p>
        </w:tc>
        <w:tc>
          <w:tcPr>
            <w:tcW w:w="1391" w:type="dxa"/>
            <w:gridSpan w:val="2"/>
            <w:shd w:val="clear" w:color="000000" w:fill="BFBFBF"/>
            <w:vAlign w:val="bottom"/>
            <w:hideMark/>
          </w:tcPr>
          <w:p w:rsidR="00E43C45" w:rsidRPr="00DD7969" w:rsidRDefault="00E43C45" w:rsidP="00E43C45">
            <w:pPr>
              <w:spacing w:after="0" w:line="240" w:lineRule="auto"/>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Nurse communication</w:t>
            </w:r>
          </w:p>
        </w:tc>
        <w:tc>
          <w:tcPr>
            <w:tcW w:w="1391" w:type="dxa"/>
            <w:gridSpan w:val="2"/>
            <w:shd w:val="clear" w:color="000000" w:fill="BFBFBF"/>
            <w:vAlign w:val="bottom"/>
            <w:hideMark/>
          </w:tcPr>
          <w:p w:rsidR="00E43C45" w:rsidRPr="00DD7969" w:rsidRDefault="00E43C45" w:rsidP="00E43C45">
            <w:pPr>
              <w:spacing w:after="0" w:line="240" w:lineRule="auto"/>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Doctor communication</w:t>
            </w:r>
          </w:p>
        </w:tc>
        <w:tc>
          <w:tcPr>
            <w:tcW w:w="1364" w:type="dxa"/>
            <w:gridSpan w:val="2"/>
            <w:shd w:val="clear" w:color="000000" w:fill="BFBFBF"/>
            <w:vAlign w:val="bottom"/>
            <w:hideMark/>
          </w:tcPr>
          <w:p w:rsidR="00E43C45" w:rsidRPr="00DD7969" w:rsidRDefault="00E43C45" w:rsidP="00E43C45">
            <w:pPr>
              <w:spacing w:after="0" w:line="240" w:lineRule="auto"/>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Hospital staff responsiveness</w:t>
            </w:r>
          </w:p>
        </w:tc>
        <w:tc>
          <w:tcPr>
            <w:tcW w:w="1410" w:type="dxa"/>
            <w:gridSpan w:val="2"/>
            <w:shd w:val="clear" w:color="000000" w:fill="BFBFBF"/>
            <w:vAlign w:val="bottom"/>
            <w:hideMark/>
          </w:tcPr>
          <w:p w:rsidR="00E43C45" w:rsidRPr="00DD7969" w:rsidRDefault="00E43C45" w:rsidP="00E43C45">
            <w:pPr>
              <w:spacing w:after="0" w:line="240" w:lineRule="auto"/>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 xml:space="preserve">Communication about </w:t>
            </w:r>
            <w:r w:rsidRPr="00DD7969">
              <w:rPr>
                <w:rFonts w:ascii="Calibri" w:eastAsia="Times New Roman" w:hAnsi="Calibri" w:cs="Times New Roman"/>
                <w:b/>
                <w:bCs/>
                <w:color w:val="000000"/>
                <w:sz w:val="18"/>
                <w:szCs w:val="18"/>
                <w:u w:val="single"/>
              </w:rPr>
              <w:br/>
              <w:t>medication</w:t>
            </w:r>
          </w:p>
        </w:tc>
        <w:tc>
          <w:tcPr>
            <w:tcW w:w="1119" w:type="dxa"/>
            <w:gridSpan w:val="2"/>
            <w:shd w:val="clear" w:color="000000" w:fill="BFBFBF"/>
            <w:vAlign w:val="bottom"/>
            <w:hideMark/>
          </w:tcPr>
          <w:p w:rsidR="00E43C45" w:rsidRPr="00DD7969" w:rsidRDefault="00E43C45" w:rsidP="00E43C45">
            <w:pPr>
              <w:spacing w:after="0" w:line="240" w:lineRule="auto"/>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Discharge information</w:t>
            </w:r>
          </w:p>
        </w:tc>
        <w:tc>
          <w:tcPr>
            <w:tcW w:w="1184" w:type="dxa"/>
            <w:gridSpan w:val="2"/>
            <w:shd w:val="clear" w:color="000000" w:fill="BFBFBF"/>
            <w:vAlign w:val="bottom"/>
            <w:hideMark/>
          </w:tcPr>
          <w:p w:rsidR="00E43C45" w:rsidRPr="00DD7969" w:rsidRDefault="00E43C45" w:rsidP="00E43C45">
            <w:pPr>
              <w:spacing w:after="0" w:line="240" w:lineRule="auto"/>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 xml:space="preserve">Care </w:t>
            </w:r>
            <w:r w:rsidRPr="00DD7969">
              <w:rPr>
                <w:rFonts w:ascii="Calibri" w:eastAsia="Times New Roman" w:hAnsi="Calibri" w:cs="Times New Roman"/>
                <w:b/>
                <w:bCs/>
                <w:color w:val="000000"/>
                <w:sz w:val="18"/>
                <w:szCs w:val="18"/>
                <w:u w:val="single"/>
              </w:rPr>
              <w:br/>
              <w:t xml:space="preserve">coordination </w:t>
            </w:r>
          </w:p>
        </w:tc>
      </w:tr>
      <w:tr w:rsidR="00E43C45" w:rsidRPr="00DD7969" w:rsidTr="00E43C45">
        <w:trPr>
          <w:trHeight w:val="239"/>
        </w:trPr>
        <w:tc>
          <w:tcPr>
            <w:tcW w:w="837" w:type="dxa"/>
            <w:tcBorders>
              <w:top w:val="nil"/>
            </w:tcBorders>
            <w:shd w:val="clear" w:color="000000" w:fill="BFBFBF"/>
            <w:vAlign w:val="bottom"/>
            <w:hideMark/>
          </w:tcPr>
          <w:p w:rsidR="00E43C45" w:rsidRPr="00DD7969" w:rsidRDefault="00E43C45" w:rsidP="00E43C45">
            <w:pPr>
              <w:spacing w:after="0" w:line="240" w:lineRule="auto"/>
              <w:rPr>
                <w:rFonts w:ascii="Calibri" w:eastAsia="Times New Roman" w:hAnsi="Calibri" w:cs="Times New Roman"/>
                <w:b/>
                <w:bCs/>
                <w:color w:val="000000"/>
                <w:sz w:val="18"/>
                <w:szCs w:val="18"/>
              </w:rPr>
            </w:pPr>
            <w:r w:rsidRPr="00DD7969">
              <w:rPr>
                <w:rFonts w:ascii="Calibri" w:eastAsia="Times New Roman" w:hAnsi="Calibri" w:cs="Times New Roman"/>
                <w:b/>
                <w:bCs/>
                <w:color w:val="000000"/>
                <w:sz w:val="18"/>
                <w:szCs w:val="18"/>
              </w:rPr>
              <w:t>Racial/ Ethnic group</w:t>
            </w:r>
          </w:p>
        </w:tc>
        <w:tc>
          <w:tcPr>
            <w:tcW w:w="1054" w:type="dxa"/>
            <w:tcBorders>
              <w:top w:val="nil"/>
            </w:tcBorders>
            <w:shd w:val="clear" w:color="000000" w:fill="BFBFBF"/>
            <w:vAlign w:val="bottom"/>
            <w:hideMark/>
          </w:tcPr>
          <w:p w:rsidR="00E43C45" w:rsidRPr="00DD7969" w:rsidRDefault="00E43C45" w:rsidP="00E43C45">
            <w:pPr>
              <w:spacing w:after="0" w:line="240" w:lineRule="auto"/>
              <w:rPr>
                <w:rFonts w:ascii="Calibri" w:eastAsia="Times New Roman" w:hAnsi="Calibri" w:cs="Times New Roman"/>
                <w:b/>
                <w:bCs/>
                <w:color w:val="000000"/>
                <w:sz w:val="18"/>
                <w:szCs w:val="18"/>
              </w:rPr>
            </w:pPr>
            <w:r w:rsidRPr="00DD7969">
              <w:rPr>
                <w:rFonts w:ascii="Calibri" w:eastAsia="Times New Roman" w:hAnsi="Calibri" w:cs="Times New Roman"/>
                <w:b/>
                <w:bCs/>
                <w:color w:val="000000"/>
                <w:sz w:val="18"/>
                <w:szCs w:val="18"/>
              </w:rPr>
              <w:t>Preferred language</w:t>
            </w:r>
          </w:p>
        </w:tc>
        <w:tc>
          <w:tcPr>
            <w:tcW w:w="696" w:type="dxa"/>
            <w:tcBorders>
              <w:top w:val="nil"/>
            </w:tcBorders>
            <w:shd w:val="clear" w:color="000000" w:fill="BFBFBF"/>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rPr>
            </w:pPr>
            <w:r w:rsidRPr="00DD7969">
              <w:rPr>
                <w:rFonts w:ascii="Calibri" w:eastAsia="Times New Roman" w:hAnsi="Calibri" w:cs="Times New Roman"/>
                <w:b/>
                <w:bCs/>
                <w:color w:val="000000"/>
                <w:sz w:val="18"/>
                <w:szCs w:val="18"/>
              </w:rPr>
              <w:t>Est</w:t>
            </w:r>
          </w:p>
        </w:tc>
        <w:tc>
          <w:tcPr>
            <w:tcW w:w="695" w:type="dxa"/>
            <w:tcBorders>
              <w:top w:val="nil"/>
            </w:tcBorders>
            <w:shd w:val="clear" w:color="000000" w:fill="BFBFBF"/>
            <w:vAlign w:val="bottom"/>
            <w:hideMark/>
          </w:tcPr>
          <w:p w:rsidR="00E43C45" w:rsidRPr="00DD7969" w:rsidRDefault="00E43C45" w:rsidP="00E43C45">
            <w:pPr>
              <w:spacing w:after="0" w:line="240" w:lineRule="auto"/>
              <w:jc w:val="center"/>
              <w:rPr>
                <w:rFonts w:ascii="Calibri" w:eastAsia="Times New Roman" w:hAnsi="Calibri" w:cs="Times New Roman"/>
                <w:b/>
                <w:bCs/>
                <w:i/>
                <w:iCs/>
                <w:color w:val="000000"/>
                <w:sz w:val="18"/>
                <w:szCs w:val="18"/>
              </w:rPr>
            </w:pPr>
            <w:r w:rsidRPr="00DD7969">
              <w:rPr>
                <w:rFonts w:ascii="Calibri" w:eastAsia="Times New Roman" w:hAnsi="Calibri" w:cs="Times New Roman"/>
                <w:b/>
                <w:bCs/>
                <w:i/>
                <w:iCs/>
                <w:color w:val="000000"/>
                <w:sz w:val="18"/>
                <w:szCs w:val="18"/>
              </w:rPr>
              <w:t>P</w:t>
            </w:r>
          </w:p>
        </w:tc>
        <w:tc>
          <w:tcPr>
            <w:tcW w:w="695" w:type="dxa"/>
            <w:tcBorders>
              <w:top w:val="nil"/>
            </w:tcBorders>
            <w:shd w:val="clear" w:color="000000" w:fill="BFBFBF"/>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rPr>
            </w:pPr>
            <w:r w:rsidRPr="00DD7969">
              <w:rPr>
                <w:rFonts w:ascii="Calibri" w:eastAsia="Times New Roman" w:hAnsi="Calibri" w:cs="Times New Roman"/>
                <w:b/>
                <w:bCs/>
                <w:color w:val="000000"/>
                <w:sz w:val="18"/>
                <w:szCs w:val="18"/>
              </w:rPr>
              <w:t>Est</w:t>
            </w:r>
          </w:p>
        </w:tc>
        <w:tc>
          <w:tcPr>
            <w:tcW w:w="696" w:type="dxa"/>
            <w:tcBorders>
              <w:top w:val="nil"/>
            </w:tcBorders>
            <w:shd w:val="clear" w:color="000000" w:fill="BFBFBF"/>
            <w:vAlign w:val="bottom"/>
            <w:hideMark/>
          </w:tcPr>
          <w:p w:rsidR="00E43C45" w:rsidRPr="00DD7969" w:rsidRDefault="00E43C45" w:rsidP="00E43C45">
            <w:pPr>
              <w:spacing w:after="0" w:line="240" w:lineRule="auto"/>
              <w:jc w:val="center"/>
              <w:rPr>
                <w:rFonts w:ascii="Calibri" w:eastAsia="Times New Roman" w:hAnsi="Calibri" w:cs="Times New Roman"/>
                <w:b/>
                <w:bCs/>
                <w:i/>
                <w:iCs/>
                <w:color w:val="000000"/>
                <w:sz w:val="18"/>
                <w:szCs w:val="18"/>
              </w:rPr>
            </w:pPr>
            <w:r w:rsidRPr="00DD7969">
              <w:rPr>
                <w:rFonts w:ascii="Calibri" w:eastAsia="Times New Roman" w:hAnsi="Calibri" w:cs="Times New Roman"/>
                <w:b/>
                <w:bCs/>
                <w:i/>
                <w:iCs/>
                <w:color w:val="000000"/>
                <w:sz w:val="18"/>
                <w:szCs w:val="18"/>
              </w:rPr>
              <w:t>P</w:t>
            </w:r>
          </w:p>
        </w:tc>
        <w:tc>
          <w:tcPr>
            <w:tcW w:w="682" w:type="dxa"/>
            <w:tcBorders>
              <w:top w:val="nil"/>
            </w:tcBorders>
            <w:shd w:val="clear" w:color="000000" w:fill="BFBFBF"/>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rPr>
            </w:pPr>
            <w:r w:rsidRPr="00DD7969">
              <w:rPr>
                <w:rFonts w:ascii="Calibri" w:eastAsia="Times New Roman" w:hAnsi="Calibri" w:cs="Times New Roman"/>
                <w:b/>
                <w:bCs/>
                <w:color w:val="000000"/>
                <w:sz w:val="18"/>
                <w:szCs w:val="18"/>
              </w:rPr>
              <w:t>Est</w:t>
            </w:r>
          </w:p>
        </w:tc>
        <w:tc>
          <w:tcPr>
            <w:tcW w:w="682" w:type="dxa"/>
            <w:tcBorders>
              <w:top w:val="nil"/>
            </w:tcBorders>
            <w:shd w:val="clear" w:color="000000" w:fill="BFBFBF"/>
            <w:vAlign w:val="bottom"/>
            <w:hideMark/>
          </w:tcPr>
          <w:p w:rsidR="00E43C45" w:rsidRPr="00DD7969" w:rsidRDefault="00E43C45" w:rsidP="00E43C45">
            <w:pPr>
              <w:spacing w:after="0" w:line="240" w:lineRule="auto"/>
              <w:jc w:val="center"/>
              <w:rPr>
                <w:rFonts w:ascii="Calibri" w:eastAsia="Times New Roman" w:hAnsi="Calibri" w:cs="Times New Roman"/>
                <w:b/>
                <w:bCs/>
                <w:i/>
                <w:iCs/>
                <w:color w:val="000000"/>
                <w:sz w:val="18"/>
                <w:szCs w:val="18"/>
              </w:rPr>
            </w:pPr>
            <w:r w:rsidRPr="00DD7969">
              <w:rPr>
                <w:rFonts w:ascii="Calibri" w:eastAsia="Times New Roman" w:hAnsi="Calibri" w:cs="Times New Roman"/>
                <w:b/>
                <w:bCs/>
                <w:i/>
                <w:iCs/>
                <w:color w:val="000000"/>
                <w:sz w:val="18"/>
                <w:szCs w:val="18"/>
              </w:rPr>
              <w:t>P</w:t>
            </w:r>
          </w:p>
        </w:tc>
        <w:tc>
          <w:tcPr>
            <w:tcW w:w="705" w:type="dxa"/>
            <w:tcBorders>
              <w:top w:val="nil"/>
            </w:tcBorders>
            <w:shd w:val="clear" w:color="000000" w:fill="BFBFBF"/>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rPr>
            </w:pPr>
            <w:r w:rsidRPr="00DD7969">
              <w:rPr>
                <w:rFonts w:ascii="Calibri" w:eastAsia="Times New Roman" w:hAnsi="Calibri" w:cs="Times New Roman"/>
                <w:b/>
                <w:bCs/>
                <w:color w:val="000000"/>
                <w:sz w:val="18"/>
                <w:szCs w:val="18"/>
              </w:rPr>
              <w:t>Est</w:t>
            </w:r>
          </w:p>
        </w:tc>
        <w:tc>
          <w:tcPr>
            <w:tcW w:w="705" w:type="dxa"/>
            <w:tcBorders>
              <w:top w:val="nil"/>
            </w:tcBorders>
            <w:shd w:val="clear" w:color="000000" w:fill="BFBFBF"/>
            <w:vAlign w:val="bottom"/>
            <w:hideMark/>
          </w:tcPr>
          <w:p w:rsidR="00E43C45" w:rsidRPr="00DD7969" w:rsidRDefault="00E43C45" w:rsidP="00E43C45">
            <w:pPr>
              <w:spacing w:after="0" w:line="240" w:lineRule="auto"/>
              <w:jc w:val="center"/>
              <w:rPr>
                <w:rFonts w:ascii="Calibri" w:eastAsia="Times New Roman" w:hAnsi="Calibri" w:cs="Times New Roman"/>
                <w:b/>
                <w:bCs/>
                <w:i/>
                <w:iCs/>
                <w:color w:val="000000"/>
                <w:sz w:val="18"/>
                <w:szCs w:val="18"/>
              </w:rPr>
            </w:pPr>
            <w:r w:rsidRPr="00DD7969">
              <w:rPr>
                <w:rFonts w:ascii="Calibri" w:eastAsia="Times New Roman" w:hAnsi="Calibri" w:cs="Times New Roman"/>
                <w:b/>
                <w:bCs/>
                <w:i/>
                <w:iCs/>
                <w:color w:val="000000"/>
                <w:sz w:val="18"/>
                <w:szCs w:val="18"/>
              </w:rPr>
              <w:t>P</w:t>
            </w:r>
          </w:p>
        </w:tc>
        <w:tc>
          <w:tcPr>
            <w:tcW w:w="537" w:type="dxa"/>
            <w:tcBorders>
              <w:top w:val="nil"/>
            </w:tcBorders>
            <w:shd w:val="clear" w:color="000000" w:fill="BFBFBF"/>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rPr>
            </w:pPr>
            <w:r w:rsidRPr="00DD7969">
              <w:rPr>
                <w:rFonts w:ascii="Calibri" w:eastAsia="Times New Roman" w:hAnsi="Calibri" w:cs="Times New Roman"/>
                <w:b/>
                <w:bCs/>
                <w:color w:val="000000"/>
                <w:sz w:val="18"/>
                <w:szCs w:val="18"/>
              </w:rPr>
              <w:t>Est</w:t>
            </w:r>
          </w:p>
        </w:tc>
        <w:tc>
          <w:tcPr>
            <w:tcW w:w="582" w:type="dxa"/>
            <w:tcBorders>
              <w:top w:val="nil"/>
            </w:tcBorders>
            <w:shd w:val="clear" w:color="000000" w:fill="BFBFBF"/>
            <w:vAlign w:val="bottom"/>
            <w:hideMark/>
          </w:tcPr>
          <w:p w:rsidR="00E43C45" w:rsidRPr="00DD7969" w:rsidRDefault="00E43C45" w:rsidP="00E43C45">
            <w:pPr>
              <w:spacing w:after="0" w:line="240" w:lineRule="auto"/>
              <w:jc w:val="center"/>
              <w:rPr>
                <w:rFonts w:ascii="Calibri" w:eastAsia="Times New Roman" w:hAnsi="Calibri" w:cs="Times New Roman"/>
                <w:b/>
                <w:bCs/>
                <w:i/>
                <w:iCs/>
                <w:color w:val="000000"/>
                <w:sz w:val="18"/>
                <w:szCs w:val="18"/>
              </w:rPr>
            </w:pPr>
            <w:r w:rsidRPr="00DD7969">
              <w:rPr>
                <w:rFonts w:ascii="Calibri" w:eastAsia="Times New Roman" w:hAnsi="Calibri" w:cs="Times New Roman"/>
                <w:b/>
                <w:bCs/>
                <w:i/>
                <w:iCs/>
                <w:color w:val="000000"/>
                <w:sz w:val="18"/>
                <w:szCs w:val="18"/>
              </w:rPr>
              <w:t>P</w:t>
            </w:r>
          </w:p>
        </w:tc>
        <w:tc>
          <w:tcPr>
            <w:tcW w:w="622" w:type="dxa"/>
            <w:tcBorders>
              <w:top w:val="nil"/>
            </w:tcBorders>
            <w:shd w:val="clear" w:color="000000" w:fill="BFBFBF"/>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rPr>
            </w:pPr>
            <w:r w:rsidRPr="00DD7969">
              <w:rPr>
                <w:rFonts w:ascii="Calibri" w:eastAsia="Times New Roman" w:hAnsi="Calibri" w:cs="Times New Roman"/>
                <w:b/>
                <w:bCs/>
                <w:color w:val="000000"/>
                <w:sz w:val="18"/>
                <w:szCs w:val="18"/>
              </w:rPr>
              <w:t>Est</w:t>
            </w:r>
          </w:p>
        </w:tc>
        <w:tc>
          <w:tcPr>
            <w:tcW w:w="562" w:type="dxa"/>
            <w:tcBorders>
              <w:top w:val="nil"/>
            </w:tcBorders>
            <w:shd w:val="clear" w:color="000000" w:fill="BFBFBF"/>
            <w:vAlign w:val="bottom"/>
            <w:hideMark/>
          </w:tcPr>
          <w:p w:rsidR="00E43C45" w:rsidRPr="00DD7969" w:rsidRDefault="00E43C45" w:rsidP="00E43C45">
            <w:pPr>
              <w:spacing w:after="0" w:line="240" w:lineRule="auto"/>
              <w:jc w:val="center"/>
              <w:rPr>
                <w:rFonts w:ascii="Calibri" w:eastAsia="Times New Roman" w:hAnsi="Calibri" w:cs="Times New Roman"/>
                <w:b/>
                <w:bCs/>
                <w:i/>
                <w:iCs/>
                <w:color w:val="000000"/>
                <w:sz w:val="18"/>
                <w:szCs w:val="18"/>
              </w:rPr>
            </w:pPr>
            <w:r w:rsidRPr="00DD7969">
              <w:rPr>
                <w:rFonts w:ascii="Calibri" w:eastAsia="Times New Roman" w:hAnsi="Calibri" w:cs="Times New Roman"/>
                <w:b/>
                <w:bCs/>
                <w:i/>
                <w:iCs/>
                <w:color w:val="000000"/>
                <w:sz w:val="18"/>
                <w:szCs w:val="18"/>
              </w:rPr>
              <w:t>P</w:t>
            </w:r>
          </w:p>
        </w:tc>
      </w:tr>
      <w:tr w:rsidR="00E43C45" w:rsidRPr="00DD7969" w:rsidTr="00E43C45">
        <w:trPr>
          <w:trHeight w:val="98"/>
        </w:trPr>
        <w:tc>
          <w:tcPr>
            <w:tcW w:w="837"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White</w:t>
            </w:r>
          </w:p>
        </w:tc>
        <w:tc>
          <w:tcPr>
            <w:tcW w:w="1054"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English</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537"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5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2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56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r>
      <w:tr w:rsidR="00E43C45" w:rsidRPr="00DD7969" w:rsidTr="00E43C45">
        <w:trPr>
          <w:trHeight w:val="98"/>
        </w:trPr>
        <w:tc>
          <w:tcPr>
            <w:tcW w:w="837" w:type="dxa"/>
            <w:tcBorders>
              <w:top w:val="nil"/>
            </w:tcBorders>
            <w:shd w:val="clear" w:color="000000" w:fill="D9D9D9"/>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White</w:t>
            </w:r>
          </w:p>
        </w:tc>
        <w:tc>
          <w:tcPr>
            <w:tcW w:w="1054" w:type="dxa"/>
            <w:tcBorders>
              <w:top w:val="nil"/>
            </w:tcBorders>
            <w:shd w:val="clear" w:color="000000" w:fill="D9D9D9"/>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Spanish</w:t>
            </w:r>
          </w:p>
        </w:tc>
        <w:tc>
          <w:tcPr>
            <w:tcW w:w="696"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-3.2</w:t>
            </w:r>
          </w:p>
        </w:tc>
        <w:tc>
          <w:tcPr>
            <w:tcW w:w="69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9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-1.5</w:t>
            </w:r>
          </w:p>
        </w:tc>
        <w:tc>
          <w:tcPr>
            <w:tcW w:w="696"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-2.4</w:t>
            </w:r>
          </w:p>
        </w:tc>
        <w:tc>
          <w:tcPr>
            <w:tcW w:w="6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70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-1.7</w:t>
            </w:r>
          </w:p>
        </w:tc>
        <w:tc>
          <w:tcPr>
            <w:tcW w:w="70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537"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-3.3</w:t>
            </w:r>
          </w:p>
        </w:tc>
        <w:tc>
          <w:tcPr>
            <w:tcW w:w="5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2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-5.9</w:t>
            </w:r>
          </w:p>
        </w:tc>
        <w:tc>
          <w:tcPr>
            <w:tcW w:w="56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r>
      <w:tr w:rsidR="00E43C45" w:rsidRPr="00DD7969" w:rsidTr="00E43C45">
        <w:trPr>
          <w:trHeight w:val="98"/>
        </w:trPr>
        <w:tc>
          <w:tcPr>
            <w:tcW w:w="837"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White</w:t>
            </w:r>
          </w:p>
        </w:tc>
        <w:tc>
          <w:tcPr>
            <w:tcW w:w="1054"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Russian</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i/>
                <w:iCs/>
                <w:color w:val="000000"/>
                <w:sz w:val="18"/>
                <w:szCs w:val="18"/>
              </w:rPr>
            </w:pPr>
            <w:r w:rsidRPr="00DD7969">
              <w:rPr>
                <w:rFonts w:ascii="Calibri" w:eastAsia="Times New Roman" w:hAnsi="Calibri" w:cs="Times New Roman"/>
                <w:i/>
                <w:iCs/>
                <w:color w:val="000000"/>
                <w:sz w:val="18"/>
                <w:szCs w:val="18"/>
              </w:rPr>
              <w:t>2.0</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rPr>
            </w:pPr>
            <w:r w:rsidRPr="00DD7969">
              <w:rPr>
                <w:rFonts w:ascii="Calibri" w:eastAsia="Times New Roman" w:hAnsi="Calibri" w:cs="Times New Roman"/>
                <w:b/>
                <w:bCs/>
                <w:color w:val="000000"/>
                <w:sz w:val="18"/>
                <w:szCs w:val="18"/>
              </w:rPr>
              <w:t>4.8</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rPr>
            </w:pPr>
            <w:r w:rsidRPr="00DD7969">
              <w:rPr>
                <w:rFonts w:ascii="Calibri" w:eastAsia="Times New Roman" w:hAnsi="Calibri" w:cs="Times New Roman"/>
                <w:b/>
                <w:bCs/>
                <w:color w:val="000000"/>
                <w:sz w:val="18"/>
                <w:szCs w:val="18"/>
              </w:rPr>
              <w:t>5.6</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i/>
                <w:iCs/>
                <w:color w:val="000000"/>
                <w:sz w:val="18"/>
                <w:szCs w:val="18"/>
              </w:rPr>
            </w:pPr>
            <w:r w:rsidRPr="00DD7969">
              <w:rPr>
                <w:rFonts w:ascii="Calibri" w:eastAsia="Times New Roman" w:hAnsi="Calibri" w:cs="Times New Roman"/>
                <w:i/>
                <w:iCs/>
                <w:color w:val="000000"/>
                <w:sz w:val="18"/>
                <w:szCs w:val="18"/>
              </w:rPr>
              <w:t>2.4</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537"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i/>
                <w:iCs/>
                <w:color w:val="000000"/>
                <w:sz w:val="18"/>
                <w:szCs w:val="18"/>
              </w:rPr>
            </w:pPr>
            <w:r w:rsidRPr="00DD7969">
              <w:rPr>
                <w:rFonts w:ascii="Calibri" w:eastAsia="Times New Roman" w:hAnsi="Calibri" w:cs="Times New Roman"/>
                <w:i/>
                <w:iCs/>
                <w:color w:val="000000"/>
                <w:sz w:val="18"/>
                <w:szCs w:val="18"/>
              </w:rPr>
              <w:t>0.9</w:t>
            </w:r>
          </w:p>
        </w:tc>
        <w:tc>
          <w:tcPr>
            <w:tcW w:w="5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2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-5.8</w:t>
            </w:r>
          </w:p>
        </w:tc>
        <w:tc>
          <w:tcPr>
            <w:tcW w:w="56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r>
      <w:tr w:rsidR="00E43C45" w:rsidRPr="00DD7969" w:rsidTr="00E43C45">
        <w:trPr>
          <w:trHeight w:val="98"/>
        </w:trPr>
        <w:tc>
          <w:tcPr>
            <w:tcW w:w="837" w:type="dxa"/>
            <w:tcBorders>
              <w:top w:val="nil"/>
            </w:tcBorders>
            <w:shd w:val="clear" w:color="000000" w:fill="D9D9D9"/>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White</w:t>
            </w:r>
          </w:p>
        </w:tc>
        <w:tc>
          <w:tcPr>
            <w:tcW w:w="1054" w:type="dxa"/>
            <w:tcBorders>
              <w:top w:val="nil"/>
            </w:tcBorders>
            <w:shd w:val="clear" w:color="000000" w:fill="D9D9D9"/>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Portuguese</w:t>
            </w:r>
          </w:p>
        </w:tc>
        <w:tc>
          <w:tcPr>
            <w:tcW w:w="696"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-0.4</w:t>
            </w:r>
          </w:p>
        </w:tc>
        <w:tc>
          <w:tcPr>
            <w:tcW w:w="69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69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i/>
                <w:iCs/>
                <w:color w:val="000000"/>
                <w:sz w:val="18"/>
                <w:szCs w:val="18"/>
              </w:rPr>
            </w:pPr>
            <w:r w:rsidRPr="00DD7969">
              <w:rPr>
                <w:rFonts w:ascii="Calibri" w:eastAsia="Times New Roman" w:hAnsi="Calibri" w:cs="Times New Roman"/>
                <w:i/>
                <w:iCs/>
                <w:color w:val="000000"/>
                <w:sz w:val="18"/>
                <w:szCs w:val="18"/>
              </w:rPr>
              <w:t>2.1</w:t>
            </w:r>
          </w:p>
        </w:tc>
        <w:tc>
          <w:tcPr>
            <w:tcW w:w="696"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-1.7</w:t>
            </w:r>
          </w:p>
        </w:tc>
        <w:tc>
          <w:tcPr>
            <w:tcW w:w="6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70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1.0</w:t>
            </w:r>
          </w:p>
        </w:tc>
        <w:tc>
          <w:tcPr>
            <w:tcW w:w="70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537"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0.8</w:t>
            </w:r>
          </w:p>
        </w:tc>
        <w:tc>
          <w:tcPr>
            <w:tcW w:w="5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62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-2.1</w:t>
            </w:r>
          </w:p>
        </w:tc>
        <w:tc>
          <w:tcPr>
            <w:tcW w:w="56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r>
      <w:tr w:rsidR="00E43C45" w:rsidRPr="00DD7969" w:rsidTr="00E43C45">
        <w:trPr>
          <w:trHeight w:val="98"/>
        </w:trPr>
        <w:tc>
          <w:tcPr>
            <w:tcW w:w="837"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White</w:t>
            </w:r>
          </w:p>
        </w:tc>
        <w:tc>
          <w:tcPr>
            <w:tcW w:w="1054"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Other language</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-0.6</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-0.2</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-0.9</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-1.7</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537"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-1.2</w:t>
            </w:r>
          </w:p>
        </w:tc>
        <w:tc>
          <w:tcPr>
            <w:tcW w:w="5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2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-7.1</w:t>
            </w:r>
          </w:p>
        </w:tc>
        <w:tc>
          <w:tcPr>
            <w:tcW w:w="56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r>
      <w:tr w:rsidR="00E43C45" w:rsidRPr="00DD7969" w:rsidTr="00BA5A5C">
        <w:trPr>
          <w:trHeight w:val="204"/>
        </w:trPr>
        <w:tc>
          <w:tcPr>
            <w:tcW w:w="1891" w:type="dxa"/>
            <w:gridSpan w:val="2"/>
            <w:shd w:val="clear" w:color="000000" w:fill="D9D9D9"/>
            <w:vAlign w:val="bottom"/>
            <w:hideMark/>
          </w:tcPr>
          <w:p w:rsidR="00E43C45" w:rsidRPr="00DD7969" w:rsidRDefault="00E43C45" w:rsidP="00E43C45">
            <w:pPr>
              <w:spacing w:after="0" w:line="240" w:lineRule="auto"/>
              <w:rPr>
                <w:rFonts w:ascii="Calibri" w:eastAsia="Times New Roman" w:hAnsi="Calibri" w:cs="Times New Roman"/>
                <w:i/>
                <w:iCs/>
                <w:color w:val="000000"/>
                <w:sz w:val="18"/>
                <w:szCs w:val="18"/>
              </w:rPr>
            </w:pPr>
            <w:r w:rsidRPr="00DD7969">
              <w:rPr>
                <w:rFonts w:ascii="Calibri" w:eastAsia="Times New Roman" w:hAnsi="Calibri" w:cs="Times New Roman"/>
                <w:i/>
                <w:iCs/>
                <w:color w:val="000000"/>
                <w:sz w:val="18"/>
                <w:szCs w:val="18"/>
              </w:rPr>
              <w:t>Joint test of language within r/e group</w:t>
            </w:r>
          </w:p>
        </w:tc>
        <w:tc>
          <w:tcPr>
            <w:tcW w:w="696"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95"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95"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696"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82"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682"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705"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705"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537"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582"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22"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562"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r>
      <w:tr w:rsidR="00E43C45" w:rsidRPr="00DD7969" w:rsidTr="00E43C45">
        <w:trPr>
          <w:trHeight w:val="98"/>
        </w:trPr>
        <w:tc>
          <w:tcPr>
            <w:tcW w:w="837"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Black</w:t>
            </w:r>
          </w:p>
        </w:tc>
        <w:tc>
          <w:tcPr>
            <w:tcW w:w="1054"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English</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537"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5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2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56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r>
      <w:tr w:rsidR="00E43C45" w:rsidRPr="00DD7969" w:rsidTr="00E43C45">
        <w:trPr>
          <w:trHeight w:val="98"/>
        </w:trPr>
        <w:tc>
          <w:tcPr>
            <w:tcW w:w="837" w:type="dxa"/>
            <w:tcBorders>
              <w:top w:val="nil"/>
            </w:tcBorders>
            <w:shd w:val="clear" w:color="000000" w:fill="D9D9D9"/>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Black</w:t>
            </w:r>
          </w:p>
        </w:tc>
        <w:tc>
          <w:tcPr>
            <w:tcW w:w="1054" w:type="dxa"/>
            <w:tcBorders>
              <w:top w:val="nil"/>
            </w:tcBorders>
            <w:shd w:val="clear" w:color="000000" w:fill="D9D9D9"/>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Spanish</w:t>
            </w:r>
          </w:p>
        </w:tc>
        <w:tc>
          <w:tcPr>
            <w:tcW w:w="696"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-5.4</w:t>
            </w:r>
          </w:p>
        </w:tc>
        <w:tc>
          <w:tcPr>
            <w:tcW w:w="69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9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-5.1</w:t>
            </w:r>
          </w:p>
        </w:tc>
        <w:tc>
          <w:tcPr>
            <w:tcW w:w="696"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-6.6</w:t>
            </w:r>
          </w:p>
        </w:tc>
        <w:tc>
          <w:tcPr>
            <w:tcW w:w="6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70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-10.1</w:t>
            </w:r>
          </w:p>
        </w:tc>
        <w:tc>
          <w:tcPr>
            <w:tcW w:w="70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537"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-3.9</w:t>
            </w:r>
          </w:p>
        </w:tc>
        <w:tc>
          <w:tcPr>
            <w:tcW w:w="5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2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-8.2</w:t>
            </w:r>
          </w:p>
        </w:tc>
        <w:tc>
          <w:tcPr>
            <w:tcW w:w="56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r>
      <w:tr w:rsidR="00E43C45" w:rsidRPr="00DD7969" w:rsidTr="00E43C45">
        <w:trPr>
          <w:trHeight w:val="98"/>
        </w:trPr>
        <w:tc>
          <w:tcPr>
            <w:tcW w:w="837"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Black</w:t>
            </w:r>
          </w:p>
        </w:tc>
        <w:tc>
          <w:tcPr>
            <w:tcW w:w="1054"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Other language</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-4.1</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-4.2</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-4.0</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-4.2</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537"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-4.9</w:t>
            </w:r>
          </w:p>
        </w:tc>
        <w:tc>
          <w:tcPr>
            <w:tcW w:w="5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2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-6.8</w:t>
            </w:r>
          </w:p>
        </w:tc>
        <w:tc>
          <w:tcPr>
            <w:tcW w:w="56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r>
      <w:tr w:rsidR="00E43C45" w:rsidRPr="00DD7969" w:rsidTr="00BA5A5C">
        <w:trPr>
          <w:trHeight w:val="204"/>
        </w:trPr>
        <w:tc>
          <w:tcPr>
            <w:tcW w:w="1891" w:type="dxa"/>
            <w:gridSpan w:val="2"/>
            <w:shd w:val="clear" w:color="000000" w:fill="D9D9D9"/>
            <w:vAlign w:val="bottom"/>
            <w:hideMark/>
          </w:tcPr>
          <w:p w:rsidR="00E43C45" w:rsidRPr="00DD7969" w:rsidRDefault="00E43C45" w:rsidP="00E43C45">
            <w:pPr>
              <w:spacing w:after="0" w:line="240" w:lineRule="auto"/>
              <w:rPr>
                <w:rFonts w:ascii="Calibri" w:eastAsia="Times New Roman" w:hAnsi="Calibri" w:cs="Times New Roman"/>
                <w:i/>
                <w:iCs/>
                <w:color w:val="000000"/>
                <w:sz w:val="18"/>
                <w:szCs w:val="18"/>
              </w:rPr>
            </w:pPr>
            <w:r w:rsidRPr="00DD7969">
              <w:rPr>
                <w:rFonts w:ascii="Calibri" w:eastAsia="Times New Roman" w:hAnsi="Calibri" w:cs="Times New Roman"/>
                <w:i/>
                <w:iCs/>
                <w:color w:val="000000"/>
                <w:sz w:val="18"/>
                <w:szCs w:val="18"/>
              </w:rPr>
              <w:t>Joint test of language within r/e group</w:t>
            </w:r>
          </w:p>
        </w:tc>
        <w:tc>
          <w:tcPr>
            <w:tcW w:w="696"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95"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95"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696"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82"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682"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705"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705"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537"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582"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22"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562"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r>
      <w:tr w:rsidR="00E43C45" w:rsidRPr="00DD7969" w:rsidTr="00E43C45">
        <w:trPr>
          <w:trHeight w:val="98"/>
        </w:trPr>
        <w:tc>
          <w:tcPr>
            <w:tcW w:w="837"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Hispanic</w:t>
            </w:r>
          </w:p>
        </w:tc>
        <w:tc>
          <w:tcPr>
            <w:tcW w:w="1054"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English</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537"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5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2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56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r>
      <w:tr w:rsidR="00E43C45" w:rsidRPr="00DD7969" w:rsidTr="00E43C45">
        <w:trPr>
          <w:trHeight w:val="98"/>
        </w:trPr>
        <w:tc>
          <w:tcPr>
            <w:tcW w:w="837" w:type="dxa"/>
            <w:tcBorders>
              <w:top w:val="nil"/>
            </w:tcBorders>
            <w:shd w:val="clear" w:color="000000" w:fill="D9D9D9"/>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Hispanic</w:t>
            </w:r>
          </w:p>
        </w:tc>
        <w:tc>
          <w:tcPr>
            <w:tcW w:w="1054" w:type="dxa"/>
            <w:tcBorders>
              <w:top w:val="nil"/>
            </w:tcBorders>
            <w:shd w:val="clear" w:color="000000" w:fill="D9D9D9"/>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Spanish</w:t>
            </w:r>
          </w:p>
        </w:tc>
        <w:tc>
          <w:tcPr>
            <w:tcW w:w="696"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-2.2</w:t>
            </w:r>
          </w:p>
        </w:tc>
        <w:tc>
          <w:tcPr>
            <w:tcW w:w="69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9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-0.4</w:t>
            </w:r>
          </w:p>
        </w:tc>
        <w:tc>
          <w:tcPr>
            <w:tcW w:w="696"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-1.1</w:t>
            </w:r>
          </w:p>
        </w:tc>
        <w:tc>
          <w:tcPr>
            <w:tcW w:w="6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70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-0.9</w:t>
            </w:r>
          </w:p>
        </w:tc>
        <w:tc>
          <w:tcPr>
            <w:tcW w:w="70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537"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-0.5</w:t>
            </w:r>
          </w:p>
        </w:tc>
        <w:tc>
          <w:tcPr>
            <w:tcW w:w="5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2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-3.7</w:t>
            </w:r>
          </w:p>
        </w:tc>
        <w:tc>
          <w:tcPr>
            <w:tcW w:w="56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r>
      <w:tr w:rsidR="00E43C45" w:rsidRPr="00DD7969" w:rsidTr="00E43C45">
        <w:trPr>
          <w:trHeight w:val="98"/>
        </w:trPr>
        <w:tc>
          <w:tcPr>
            <w:tcW w:w="837"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Hispanic</w:t>
            </w:r>
          </w:p>
        </w:tc>
        <w:tc>
          <w:tcPr>
            <w:tcW w:w="1054"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Portuguese</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0.5</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-1.8</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-0.3</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-2.4</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537"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0.1</w:t>
            </w:r>
          </w:p>
        </w:tc>
        <w:tc>
          <w:tcPr>
            <w:tcW w:w="5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62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-4.6</w:t>
            </w:r>
          </w:p>
        </w:tc>
        <w:tc>
          <w:tcPr>
            <w:tcW w:w="56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r>
      <w:tr w:rsidR="00E43C45" w:rsidRPr="00DD7969" w:rsidTr="00E43C45">
        <w:trPr>
          <w:trHeight w:val="98"/>
        </w:trPr>
        <w:tc>
          <w:tcPr>
            <w:tcW w:w="837" w:type="dxa"/>
            <w:tcBorders>
              <w:top w:val="nil"/>
            </w:tcBorders>
            <w:shd w:val="clear" w:color="000000" w:fill="D9D9D9"/>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Hispanic</w:t>
            </w:r>
          </w:p>
        </w:tc>
        <w:tc>
          <w:tcPr>
            <w:tcW w:w="1054" w:type="dxa"/>
            <w:tcBorders>
              <w:top w:val="nil"/>
            </w:tcBorders>
            <w:shd w:val="clear" w:color="000000" w:fill="D9D9D9"/>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Other language</w:t>
            </w:r>
          </w:p>
        </w:tc>
        <w:tc>
          <w:tcPr>
            <w:tcW w:w="696"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-1.4</w:t>
            </w:r>
          </w:p>
        </w:tc>
        <w:tc>
          <w:tcPr>
            <w:tcW w:w="69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9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-1.5</w:t>
            </w:r>
          </w:p>
        </w:tc>
        <w:tc>
          <w:tcPr>
            <w:tcW w:w="696"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-2.9</w:t>
            </w:r>
          </w:p>
        </w:tc>
        <w:tc>
          <w:tcPr>
            <w:tcW w:w="6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70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-0.2</w:t>
            </w:r>
          </w:p>
        </w:tc>
        <w:tc>
          <w:tcPr>
            <w:tcW w:w="70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537"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-0.8</w:t>
            </w:r>
          </w:p>
        </w:tc>
        <w:tc>
          <w:tcPr>
            <w:tcW w:w="5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2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-8.4</w:t>
            </w:r>
          </w:p>
        </w:tc>
        <w:tc>
          <w:tcPr>
            <w:tcW w:w="56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r>
      <w:tr w:rsidR="00E43C45" w:rsidRPr="00DD7969" w:rsidTr="00BA5A5C">
        <w:trPr>
          <w:trHeight w:val="204"/>
        </w:trPr>
        <w:tc>
          <w:tcPr>
            <w:tcW w:w="1891" w:type="dxa"/>
            <w:gridSpan w:val="2"/>
            <w:shd w:val="clear" w:color="auto" w:fill="auto"/>
            <w:vAlign w:val="bottom"/>
            <w:hideMark/>
          </w:tcPr>
          <w:p w:rsidR="00E43C45" w:rsidRPr="00DD7969" w:rsidRDefault="00E43C45" w:rsidP="00E43C45">
            <w:pPr>
              <w:spacing w:after="0" w:line="240" w:lineRule="auto"/>
              <w:rPr>
                <w:rFonts w:ascii="Calibri" w:eastAsia="Times New Roman" w:hAnsi="Calibri" w:cs="Times New Roman"/>
                <w:i/>
                <w:iCs/>
                <w:color w:val="000000"/>
                <w:sz w:val="18"/>
                <w:szCs w:val="18"/>
              </w:rPr>
            </w:pPr>
            <w:r w:rsidRPr="00DD7969">
              <w:rPr>
                <w:rFonts w:ascii="Calibri" w:eastAsia="Times New Roman" w:hAnsi="Calibri" w:cs="Times New Roman"/>
                <w:i/>
                <w:iCs/>
                <w:color w:val="000000"/>
                <w:sz w:val="18"/>
                <w:szCs w:val="18"/>
              </w:rPr>
              <w:t>Joint test of language within r/e group</w:t>
            </w:r>
          </w:p>
        </w:tc>
        <w:tc>
          <w:tcPr>
            <w:tcW w:w="696" w:type="dxa"/>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95" w:type="dxa"/>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95" w:type="dxa"/>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696" w:type="dxa"/>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82" w:type="dxa"/>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682" w:type="dxa"/>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705" w:type="dxa"/>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705" w:type="dxa"/>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537" w:type="dxa"/>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582" w:type="dxa"/>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22" w:type="dxa"/>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562" w:type="dxa"/>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r>
      <w:tr w:rsidR="00E43C45" w:rsidRPr="00DD7969" w:rsidTr="00E43C45">
        <w:trPr>
          <w:trHeight w:val="98"/>
        </w:trPr>
        <w:tc>
          <w:tcPr>
            <w:tcW w:w="837" w:type="dxa"/>
            <w:tcBorders>
              <w:top w:val="nil"/>
            </w:tcBorders>
            <w:shd w:val="clear" w:color="000000" w:fill="D9D9D9"/>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API</w:t>
            </w:r>
          </w:p>
        </w:tc>
        <w:tc>
          <w:tcPr>
            <w:tcW w:w="1054" w:type="dxa"/>
            <w:tcBorders>
              <w:top w:val="nil"/>
            </w:tcBorders>
            <w:shd w:val="clear" w:color="000000" w:fill="D9D9D9"/>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English</w:t>
            </w:r>
          </w:p>
        </w:tc>
        <w:tc>
          <w:tcPr>
            <w:tcW w:w="696"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69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9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696"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6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70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70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537"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5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2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56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r>
      <w:tr w:rsidR="00E43C45" w:rsidRPr="00DD7969" w:rsidTr="00E43C45">
        <w:trPr>
          <w:trHeight w:val="98"/>
        </w:trPr>
        <w:tc>
          <w:tcPr>
            <w:tcW w:w="837"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API</w:t>
            </w:r>
          </w:p>
        </w:tc>
        <w:tc>
          <w:tcPr>
            <w:tcW w:w="1054"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Chinese</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-8.8</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-7.6</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-7.6</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-6.0</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537"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rPr>
            </w:pPr>
            <w:r w:rsidRPr="00DD7969">
              <w:rPr>
                <w:rFonts w:ascii="Calibri" w:eastAsia="Times New Roman" w:hAnsi="Calibri" w:cs="Times New Roman"/>
                <w:b/>
                <w:bCs/>
                <w:color w:val="000000"/>
                <w:sz w:val="18"/>
                <w:szCs w:val="18"/>
              </w:rPr>
              <w:t>3.2</w:t>
            </w:r>
          </w:p>
        </w:tc>
        <w:tc>
          <w:tcPr>
            <w:tcW w:w="5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2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-10.6</w:t>
            </w:r>
          </w:p>
        </w:tc>
        <w:tc>
          <w:tcPr>
            <w:tcW w:w="56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r>
      <w:tr w:rsidR="00E43C45" w:rsidRPr="00DD7969" w:rsidTr="00E43C45">
        <w:trPr>
          <w:trHeight w:val="98"/>
        </w:trPr>
        <w:tc>
          <w:tcPr>
            <w:tcW w:w="837" w:type="dxa"/>
            <w:tcBorders>
              <w:top w:val="nil"/>
            </w:tcBorders>
            <w:shd w:val="clear" w:color="000000" w:fill="D9D9D9"/>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API</w:t>
            </w:r>
          </w:p>
        </w:tc>
        <w:tc>
          <w:tcPr>
            <w:tcW w:w="1054" w:type="dxa"/>
            <w:tcBorders>
              <w:top w:val="nil"/>
            </w:tcBorders>
            <w:shd w:val="clear" w:color="000000" w:fill="D9D9D9"/>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Portuguese</w:t>
            </w:r>
          </w:p>
        </w:tc>
        <w:tc>
          <w:tcPr>
            <w:tcW w:w="696"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-5.9</w:t>
            </w:r>
          </w:p>
        </w:tc>
        <w:tc>
          <w:tcPr>
            <w:tcW w:w="69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9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-5.7</w:t>
            </w:r>
          </w:p>
        </w:tc>
        <w:tc>
          <w:tcPr>
            <w:tcW w:w="696"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-4.4</w:t>
            </w:r>
          </w:p>
        </w:tc>
        <w:tc>
          <w:tcPr>
            <w:tcW w:w="6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70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-1.5</w:t>
            </w:r>
          </w:p>
        </w:tc>
        <w:tc>
          <w:tcPr>
            <w:tcW w:w="70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537"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rPr>
            </w:pPr>
            <w:r w:rsidRPr="00DD7969">
              <w:rPr>
                <w:rFonts w:ascii="Calibri" w:eastAsia="Times New Roman" w:hAnsi="Calibri" w:cs="Times New Roman"/>
                <w:b/>
                <w:bCs/>
                <w:color w:val="000000"/>
                <w:sz w:val="18"/>
                <w:szCs w:val="18"/>
              </w:rPr>
              <w:t>3.3</w:t>
            </w:r>
          </w:p>
        </w:tc>
        <w:tc>
          <w:tcPr>
            <w:tcW w:w="5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2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-2.8</w:t>
            </w:r>
          </w:p>
        </w:tc>
        <w:tc>
          <w:tcPr>
            <w:tcW w:w="56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r>
      <w:tr w:rsidR="00E43C45" w:rsidRPr="00DD7969" w:rsidTr="00E43C45">
        <w:trPr>
          <w:trHeight w:val="98"/>
        </w:trPr>
        <w:tc>
          <w:tcPr>
            <w:tcW w:w="837"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API</w:t>
            </w:r>
          </w:p>
        </w:tc>
        <w:tc>
          <w:tcPr>
            <w:tcW w:w="1054"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Other language</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-1.5</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-1.6</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-3.1</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u w:val="single"/>
              </w:rPr>
            </w:pPr>
            <w:r w:rsidRPr="00DD7969">
              <w:rPr>
                <w:rFonts w:ascii="Calibri" w:eastAsia="Times New Roman" w:hAnsi="Calibri" w:cs="Times New Roman"/>
                <w:color w:val="000000"/>
                <w:sz w:val="18"/>
                <w:szCs w:val="18"/>
                <w:u w:val="single"/>
              </w:rPr>
              <w:t>-1.1</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537"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i/>
                <w:iCs/>
                <w:color w:val="000000"/>
                <w:sz w:val="18"/>
                <w:szCs w:val="18"/>
              </w:rPr>
            </w:pPr>
            <w:r w:rsidRPr="00DD7969">
              <w:rPr>
                <w:rFonts w:ascii="Calibri" w:eastAsia="Times New Roman" w:hAnsi="Calibri" w:cs="Times New Roman"/>
                <w:i/>
                <w:iCs/>
                <w:color w:val="000000"/>
                <w:sz w:val="18"/>
                <w:szCs w:val="18"/>
              </w:rPr>
              <w:t>1.6</w:t>
            </w:r>
          </w:p>
        </w:tc>
        <w:tc>
          <w:tcPr>
            <w:tcW w:w="5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2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-4.6</w:t>
            </w:r>
          </w:p>
        </w:tc>
        <w:tc>
          <w:tcPr>
            <w:tcW w:w="56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r>
      <w:tr w:rsidR="00E43C45" w:rsidRPr="00DD7969" w:rsidTr="00BA5A5C">
        <w:trPr>
          <w:trHeight w:val="204"/>
        </w:trPr>
        <w:tc>
          <w:tcPr>
            <w:tcW w:w="1891" w:type="dxa"/>
            <w:gridSpan w:val="2"/>
            <w:shd w:val="clear" w:color="000000" w:fill="D9D9D9"/>
            <w:vAlign w:val="bottom"/>
            <w:hideMark/>
          </w:tcPr>
          <w:p w:rsidR="00E43C45" w:rsidRPr="00DD7969" w:rsidRDefault="00E43C45" w:rsidP="00E43C45">
            <w:pPr>
              <w:spacing w:after="0" w:line="240" w:lineRule="auto"/>
              <w:rPr>
                <w:rFonts w:ascii="Calibri" w:eastAsia="Times New Roman" w:hAnsi="Calibri" w:cs="Times New Roman"/>
                <w:i/>
                <w:iCs/>
                <w:color w:val="000000"/>
                <w:sz w:val="18"/>
                <w:szCs w:val="18"/>
              </w:rPr>
            </w:pPr>
            <w:r w:rsidRPr="00DD7969">
              <w:rPr>
                <w:rFonts w:ascii="Calibri" w:eastAsia="Times New Roman" w:hAnsi="Calibri" w:cs="Times New Roman"/>
                <w:i/>
                <w:iCs/>
                <w:color w:val="000000"/>
                <w:sz w:val="18"/>
                <w:szCs w:val="18"/>
              </w:rPr>
              <w:t>Joint test of language within r/e group</w:t>
            </w:r>
          </w:p>
        </w:tc>
        <w:tc>
          <w:tcPr>
            <w:tcW w:w="696"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95"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95"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696"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82"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682"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705"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705"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537"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582"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22"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562" w:type="dxa"/>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r>
      <w:tr w:rsidR="00E43C45" w:rsidRPr="00DD7969" w:rsidTr="00E43C45">
        <w:trPr>
          <w:trHeight w:val="98"/>
        </w:trPr>
        <w:tc>
          <w:tcPr>
            <w:tcW w:w="837"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AI/AN</w:t>
            </w:r>
          </w:p>
        </w:tc>
        <w:tc>
          <w:tcPr>
            <w:tcW w:w="1054" w:type="dxa"/>
            <w:tcBorders>
              <w:top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English</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9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696"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6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705"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537"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58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c>
          <w:tcPr>
            <w:tcW w:w="62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0.0</w:t>
            </w:r>
          </w:p>
        </w:tc>
        <w:tc>
          <w:tcPr>
            <w:tcW w:w="562" w:type="dxa"/>
            <w:tcBorders>
              <w:top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NA</w:t>
            </w:r>
          </w:p>
        </w:tc>
      </w:tr>
      <w:tr w:rsidR="00E43C45" w:rsidRPr="00DD7969" w:rsidTr="00E43C45">
        <w:trPr>
          <w:trHeight w:val="98"/>
        </w:trPr>
        <w:tc>
          <w:tcPr>
            <w:tcW w:w="837" w:type="dxa"/>
            <w:tcBorders>
              <w:top w:val="nil"/>
            </w:tcBorders>
            <w:shd w:val="clear" w:color="000000" w:fill="D9D9D9"/>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AI/AN</w:t>
            </w:r>
          </w:p>
        </w:tc>
        <w:tc>
          <w:tcPr>
            <w:tcW w:w="1054" w:type="dxa"/>
            <w:tcBorders>
              <w:top w:val="nil"/>
            </w:tcBorders>
            <w:shd w:val="clear" w:color="000000" w:fill="D9D9D9"/>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Other language</w:t>
            </w:r>
          </w:p>
        </w:tc>
        <w:tc>
          <w:tcPr>
            <w:tcW w:w="696"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-6.0</w:t>
            </w:r>
          </w:p>
        </w:tc>
        <w:tc>
          <w:tcPr>
            <w:tcW w:w="69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9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-5.6</w:t>
            </w:r>
          </w:p>
        </w:tc>
        <w:tc>
          <w:tcPr>
            <w:tcW w:w="696"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-4.2</w:t>
            </w:r>
          </w:p>
        </w:tc>
        <w:tc>
          <w:tcPr>
            <w:tcW w:w="6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70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-2.3</w:t>
            </w:r>
          </w:p>
        </w:tc>
        <w:tc>
          <w:tcPr>
            <w:tcW w:w="705"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 </w:t>
            </w:r>
          </w:p>
        </w:tc>
        <w:tc>
          <w:tcPr>
            <w:tcW w:w="537"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-3.9</w:t>
            </w:r>
          </w:p>
        </w:tc>
        <w:tc>
          <w:tcPr>
            <w:tcW w:w="58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c>
          <w:tcPr>
            <w:tcW w:w="62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b/>
                <w:bCs/>
                <w:color w:val="000000"/>
                <w:sz w:val="18"/>
                <w:szCs w:val="18"/>
                <w:u w:val="single"/>
              </w:rPr>
            </w:pPr>
            <w:r w:rsidRPr="00DD7969">
              <w:rPr>
                <w:rFonts w:ascii="Calibri" w:eastAsia="Times New Roman" w:hAnsi="Calibri" w:cs="Times New Roman"/>
                <w:b/>
                <w:bCs/>
                <w:color w:val="000000"/>
                <w:sz w:val="18"/>
                <w:szCs w:val="18"/>
                <w:u w:val="single"/>
              </w:rPr>
              <w:t>-6.8</w:t>
            </w:r>
          </w:p>
        </w:tc>
        <w:tc>
          <w:tcPr>
            <w:tcW w:w="562" w:type="dxa"/>
            <w:tcBorders>
              <w:top w:val="nil"/>
            </w:tcBorders>
            <w:shd w:val="clear" w:color="000000" w:fill="D9D9D9"/>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p>
        </w:tc>
      </w:tr>
      <w:tr w:rsidR="00E43C45" w:rsidRPr="00DD7969" w:rsidTr="00BA5A5C">
        <w:trPr>
          <w:trHeight w:val="98"/>
        </w:trPr>
        <w:tc>
          <w:tcPr>
            <w:tcW w:w="9188" w:type="dxa"/>
            <w:gridSpan w:val="13"/>
            <w:vMerge w:val="restart"/>
            <w:tcBorders>
              <w:left w:val="nil"/>
              <w:bottom w:val="nil"/>
              <w:right w:val="nil"/>
            </w:tcBorders>
            <w:shd w:val="clear" w:color="auto" w:fill="auto"/>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i/>
                <w:iCs/>
                <w:color w:val="000000"/>
                <w:sz w:val="18"/>
                <w:szCs w:val="18"/>
              </w:rPr>
              <w:t>Notes:</w:t>
            </w:r>
            <w:r w:rsidRPr="00DD7969">
              <w:rPr>
                <w:rFonts w:ascii="Calibri" w:eastAsia="Times New Roman" w:hAnsi="Calibri" w:cs="Times New Roman"/>
                <w:color w:val="000000"/>
                <w:sz w:val="18"/>
                <w:szCs w:val="18"/>
              </w:rPr>
              <w:t xml:space="preserve"> Bold font is used to highlight statistically significant positive coefficients greater than 3. </w:t>
            </w:r>
            <w:r w:rsidRPr="00DD7969">
              <w:rPr>
                <w:rFonts w:ascii="Calibri" w:eastAsia="Times New Roman" w:hAnsi="Calibri" w:cs="Times New Roman"/>
                <w:i/>
                <w:iCs/>
                <w:color w:val="000000"/>
                <w:sz w:val="18"/>
                <w:szCs w:val="18"/>
              </w:rPr>
              <w:t xml:space="preserve">Italics </w:t>
            </w:r>
            <w:r w:rsidRPr="00DD7969">
              <w:rPr>
                <w:rFonts w:ascii="Calibri" w:eastAsia="Times New Roman" w:hAnsi="Calibri" w:cs="Times New Roman"/>
                <w:color w:val="000000"/>
                <w:sz w:val="18"/>
                <w:szCs w:val="18"/>
              </w:rPr>
              <w:t>is used to highlight statistically significant positive coefficients less than 3. Underlining is used to highlight statistically significant negative coefficients less than 3. Bold font and underlining is used to highlight statistically significant coefficients greater than 3.</w:t>
            </w:r>
          </w:p>
        </w:tc>
        <w:tc>
          <w:tcPr>
            <w:tcW w:w="562" w:type="dxa"/>
            <w:tcBorders>
              <w:left w:val="nil"/>
              <w:bottom w:val="nil"/>
              <w:right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p>
        </w:tc>
      </w:tr>
      <w:tr w:rsidR="00E43C45" w:rsidRPr="00DD7969" w:rsidTr="00BA5A5C">
        <w:trPr>
          <w:trHeight w:val="98"/>
        </w:trPr>
        <w:tc>
          <w:tcPr>
            <w:tcW w:w="9188" w:type="dxa"/>
            <w:gridSpan w:val="13"/>
            <w:vMerge/>
            <w:tcBorders>
              <w:top w:val="nil"/>
              <w:left w:val="nil"/>
              <w:bottom w:val="nil"/>
              <w:right w:val="nil"/>
            </w:tcBorders>
            <w:vAlign w:val="center"/>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562"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jc w:val="center"/>
              <w:rPr>
                <w:rFonts w:ascii="Calibri" w:eastAsia="Times New Roman" w:hAnsi="Calibri" w:cs="Times New Roman"/>
                <w:color w:val="000000"/>
                <w:sz w:val="18"/>
                <w:szCs w:val="18"/>
              </w:rPr>
            </w:pPr>
          </w:p>
        </w:tc>
      </w:tr>
      <w:tr w:rsidR="00E43C45" w:rsidRPr="00DD7969" w:rsidTr="00BA5A5C">
        <w:trPr>
          <w:trHeight w:val="98"/>
        </w:trPr>
        <w:tc>
          <w:tcPr>
            <w:tcW w:w="9188" w:type="dxa"/>
            <w:gridSpan w:val="13"/>
            <w:vMerge/>
            <w:tcBorders>
              <w:top w:val="nil"/>
              <w:left w:val="nil"/>
              <w:bottom w:val="nil"/>
              <w:right w:val="nil"/>
            </w:tcBorders>
            <w:vAlign w:val="center"/>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562"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r>
      <w:tr w:rsidR="00E43C45" w:rsidRPr="00DD7969" w:rsidTr="00BA5A5C">
        <w:trPr>
          <w:trHeight w:val="98"/>
        </w:trPr>
        <w:tc>
          <w:tcPr>
            <w:tcW w:w="1891" w:type="dxa"/>
            <w:gridSpan w:val="2"/>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Est, estimate.</w:t>
            </w:r>
          </w:p>
        </w:tc>
        <w:tc>
          <w:tcPr>
            <w:tcW w:w="696"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695"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695"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696"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682"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682"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705"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705"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537"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582"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622"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562"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r>
      <w:tr w:rsidR="00E43C45" w:rsidRPr="00DD7969" w:rsidTr="00BA5A5C">
        <w:trPr>
          <w:trHeight w:val="98"/>
        </w:trPr>
        <w:tc>
          <w:tcPr>
            <w:tcW w:w="2587" w:type="dxa"/>
            <w:gridSpan w:val="3"/>
            <w:tcBorders>
              <w:top w:val="nil"/>
              <w:left w:val="nil"/>
              <w:bottom w:val="nil"/>
              <w:right w:val="nil"/>
            </w:tcBorders>
            <w:shd w:val="clear" w:color="auto" w:fill="auto"/>
            <w:noWrap/>
            <w:vAlign w:val="bottom"/>
            <w:hideMark/>
          </w:tcPr>
          <w:p w:rsidR="00E43C45"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r w:rsidRPr="00DD7969">
              <w:rPr>
                <w:rFonts w:ascii="Calibri" w:eastAsia="Times New Roman" w:hAnsi="Calibri" w:cs="Times New Roman"/>
                <w:i/>
                <w:iCs/>
                <w:color w:val="000000"/>
                <w:sz w:val="18"/>
                <w:szCs w:val="18"/>
              </w:rPr>
              <w:t>P</w:t>
            </w:r>
            <w:r w:rsidRPr="00DD7969">
              <w:rPr>
                <w:rFonts w:ascii="Calibri" w:eastAsia="Times New Roman" w:hAnsi="Calibri" w:cs="Times New Roman"/>
                <w:color w:val="000000"/>
                <w:sz w:val="18"/>
                <w:szCs w:val="18"/>
              </w:rPr>
              <w:t xml:space="preserve"> &lt; 0.5. </w:t>
            </w:r>
            <w:r>
              <w:rPr>
                <w:rFonts w:ascii="Calibri" w:eastAsia="Times New Roman" w:hAnsi="Calibri" w:cs="Times New Roman"/>
                <w:color w:val="000000"/>
                <w:sz w:val="18"/>
                <w:szCs w:val="18"/>
              </w:rPr>
              <w:t xml:space="preserve"> </w:t>
            </w:r>
          </w:p>
          <w:p w:rsidR="00E43C45"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r w:rsidRPr="00DD7969">
              <w:rPr>
                <w:rFonts w:ascii="Calibri" w:eastAsia="Times New Roman" w:hAnsi="Calibri" w:cs="Times New Roman"/>
                <w:i/>
                <w:iCs/>
                <w:color w:val="000000"/>
                <w:sz w:val="18"/>
                <w:szCs w:val="18"/>
              </w:rPr>
              <w:t>P</w:t>
            </w:r>
            <w:r w:rsidRPr="00DD7969">
              <w:rPr>
                <w:rFonts w:ascii="Calibri" w:eastAsia="Times New Roman" w:hAnsi="Calibri" w:cs="Times New Roman"/>
                <w:color w:val="000000"/>
                <w:sz w:val="18"/>
                <w:szCs w:val="18"/>
              </w:rPr>
              <w:t xml:space="preserve"> &lt; 0.01. </w:t>
            </w:r>
          </w:p>
          <w:p w:rsidR="00E43C45" w:rsidRPr="00DD7969" w:rsidRDefault="00E43C45" w:rsidP="00E43C45">
            <w:pPr>
              <w:spacing w:after="0" w:line="240" w:lineRule="auto"/>
              <w:rPr>
                <w:rFonts w:ascii="Calibri" w:eastAsia="Times New Roman" w:hAnsi="Calibri" w:cs="Times New Roman"/>
                <w:color w:val="000000"/>
                <w:sz w:val="18"/>
                <w:szCs w:val="18"/>
              </w:rPr>
            </w:pPr>
            <w:r w:rsidRPr="00DD7969">
              <w:rPr>
                <w:rFonts w:ascii="Calibri" w:eastAsia="Times New Roman" w:hAnsi="Calibri" w:cs="Times New Roman"/>
                <w:color w:val="000000"/>
                <w:sz w:val="18"/>
                <w:szCs w:val="18"/>
              </w:rPr>
              <w:t>***</w:t>
            </w:r>
            <w:r w:rsidRPr="00DD7969">
              <w:rPr>
                <w:rFonts w:ascii="Calibri" w:eastAsia="Times New Roman" w:hAnsi="Calibri" w:cs="Times New Roman"/>
                <w:i/>
                <w:iCs/>
                <w:color w:val="000000"/>
                <w:sz w:val="18"/>
                <w:szCs w:val="18"/>
              </w:rPr>
              <w:t>P</w:t>
            </w:r>
            <w:r>
              <w:rPr>
                <w:rFonts w:ascii="Calibri" w:eastAsia="Times New Roman" w:hAnsi="Calibri" w:cs="Times New Roman"/>
                <w:color w:val="000000"/>
                <w:sz w:val="18"/>
                <w:szCs w:val="18"/>
              </w:rPr>
              <w:t>&lt;</w:t>
            </w:r>
            <w:r w:rsidRPr="00DD7969">
              <w:rPr>
                <w:rFonts w:ascii="Calibri" w:eastAsia="Times New Roman" w:hAnsi="Calibri" w:cs="Times New Roman"/>
                <w:color w:val="000000"/>
                <w:sz w:val="18"/>
                <w:szCs w:val="18"/>
              </w:rPr>
              <w:t>0.0001.</w:t>
            </w:r>
          </w:p>
        </w:tc>
        <w:tc>
          <w:tcPr>
            <w:tcW w:w="695"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695"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696"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682"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682"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705"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705"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537"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582"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622"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c>
          <w:tcPr>
            <w:tcW w:w="562" w:type="dxa"/>
            <w:tcBorders>
              <w:top w:val="nil"/>
              <w:left w:val="nil"/>
              <w:bottom w:val="nil"/>
              <w:right w:val="nil"/>
            </w:tcBorders>
            <w:shd w:val="clear" w:color="auto" w:fill="auto"/>
            <w:noWrap/>
            <w:vAlign w:val="bottom"/>
            <w:hideMark/>
          </w:tcPr>
          <w:p w:rsidR="00E43C45" w:rsidRPr="00DD7969" w:rsidRDefault="00E43C45" w:rsidP="00E43C45">
            <w:pPr>
              <w:spacing w:after="0" w:line="240" w:lineRule="auto"/>
              <w:rPr>
                <w:rFonts w:ascii="Calibri" w:eastAsia="Times New Roman" w:hAnsi="Calibri" w:cs="Times New Roman"/>
                <w:color w:val="000000"/>
                <w:sz w:val="18"/>
                <w:szCs w:val="18"/>
              </w:rPr>
            </w:pPr>
          </w:p>
        </w:tc>
      </w:tr>
    </w:tbl>
    <w:p w:rsidR="00BA32D9" w:rsidRDefault="00BA32D9" w:rsidP="00BA32D9">
      <w:pPr>
        <w:pStyle w:val="NoSpacing"/>
      </w:pPr>
    </w:p>
    <w:p w:rsidR="004F37C4" w:rsidRDefault="004F37C4" w:rsidP="00EE5899">
      <w:pPr>
        <w:pStyle w:val="NoSpacing"/>
      </w:pPr>
    </w:p>
    <w:p w:rsidR="00EE5899" w:rsidRPr="00EE5899" w:rsidRDefault="00EE5899" w:rsidP="00EE5899">
      <w:pPr>
        <w:autoSpaceDE w:val="0"/>
        <w:autoSpaceDN w:val="0"/>
        <w:adjustRightInd w:val="0"/>
        <w:spacing w:after="0" w:line="240" w:lineRule="auto"/>
        <w:rPr>
          <w:rFonts w:ascii="Palatino Linotype" w:hAnsi="Palatino Linotype"/>
          <w:bCs/>
          <w:i/>
          <w:sz w:val="20"/>
          <w:szCs w:val="20"/>
        </w:rPr>
      </w:pPr>
      <w:r w:rsidRPr="00EE5899">
        <w:rPr>
          <w:rFonts w:ascii="Palatino Linotype" w:hAnsi="Palatino Linotype"/>
          <w:bCs/>
          <w:i/>
          <w:sz w:val="20"/>
          <w:szCs w:val="20"/>
        </w:rPr>
        <w:t>Quigley DD, Elliott MN,</w:t>
      </w:r>
      <w:r>
        <w:rPr>
          <w:rFonts w:ascii="Palatino Linotype" w:hAnsi="Palatino Linotype"/>
          <w:bCs/>
          <w:i/>
          <w:sz w:val="20"/>
          <w:szCs w:val="20"/>
        </w:rPr>
        <w:t xml:space="preserve"> </w:t>
      </w:r>
      <w:r w:rsidRPr="00EE5899">
        <w:rPr>
          <w:rFonts w:ascii="Palatino Linotype" w:hAnsi="Palatino Linotype"/>
          <w:bCs/>
          <w:i/>
          <w:sz w:val="20"/>
          <w:szCs w:val="20"/>
        </w:rPr>
        <w:t>Hambarsoomian K, et al. Inpatient care experiences differ by</w:t>
      </w:r>
      <w:r>
        <w:rPr>
          <w:rFonts w:ascii="Palatino Linotype" w:hAnsi="Palatino Linotype"/>
          <w:bCs/>
          <w:i/>
          <w:sz w:val="20"/>
          <w:szCs w:val="20"/>
        </w:rPr>
        <w:t xml:space="preserve"> </w:t>
      </w:r>
      <w:r w:rsidRPr="00EE5899">
        <w:rPr>
          <w:rFonts w:ascii="Palatino Linotype" w:hAnsi="Palatino Linotype"/>
          <w:bCs/>
          <w:i/>
          <w:sz w:val="20"/>
          <w:szCs w:val="20"/>
        </w:rPr>
        <w:t>preferred language within racial/ethnic groups. Health Serv</w:t>
      </w:r>
      <w:r>
        <w:rPr>
          <w:rFonts w:ascii="Palatino Linotype" w:hAnsi="Palatino Linotype"/>
          <w:bCs/>
          <w:i/>
          <w:sz w:val="20"/>
          <w:szCs w:val="20"/>
        </w:rPr>
        <w:t xml:space="preserve"> </w:t>
      </w:r>
      <w:r w:rsidRPr="00EE5899">
        <w:rPr>
          <w:rFonts w:ascii="Palatino Linotype" w:hAnsi="Palatino Linotype"/>
          <w:bCs/>
          <w:i/>
          <w:sz w:val="20"/>
          <w:szCs w:val="20"/>
        </w:rPr>
        <w:t>Res. 2019;00:1–12. https://doi.org/10.1111/1475-6773.13105</w:t>
      </w:r>
    </w:p>
    <w:bookmarkEnd w:id="13"/>
    <w:p w:rsidR="008A0649" w:rsidRDefault="008A0649" w:rsidP="00001D73">
      <w:pPr>
        <w:autoSpaceDE w:val="0"/>
        <w:autoSpaceDN w:val="0"/>
        <w:adjustRightInd w:val="0"/>
        <w:spacing w:after="0" w:line="240" w:lineRule="auto"/>
        <w:rPr>
          <w:rFonts w:cstheme="minorHAnsi"/>
          <w:b/>
          <w:bCs/>
        </w:rPr>
      </w:pPr>
    </w:p>
    <w:p w:rsidR="00E43C45" w:rsidRDefault="00E43C45" w:rsidP="00001D73">
      <w:pPr>
        <w:autoSpaceDE w:val="0"/>
        <w:autoSpaceDN w:val="0"/>
        <w:adjustRightInd w:val="0"/>
        <w:spacing w:after="0" w:line="240" w:lineRule="auto"/>
        <w:rPr>
          <w:rFonts w:cstheme="minorHAnsi"/>
          <w:b/>
          <w:bCs/>
        </w:rPr>
      </w:pPr>
    </w:p>
    <w:p w:rsidR="00E43C45" w:rsidRDefault="00E43C45" w:rsidP="00001D73">
      <w:pPr>
        <w:autoSpaceDE w:val="0"/>
        <w:autoSpaceDN w:val="0"/>
        <w:adjustRightInd w:val="0"/>
        <w:spacing w:after="0" w:line="240" w:lineRule="auto"/>
        <w:rPr>
          <w:rFonts w:cstheme="minorHAnsi"/>
          <w:b/>
          <w:bCs/>
        </w:rPr>
      </w:pPr>
    </w:p>
    <w:p w:rsidR="00E43C45" w:rsidRDefault="00E43C45" w:rsidP="00001D73">
      <w:pPr>
        <w:autoSpaceDE w:val="0"/>
        <w:autoSpaceDN w:val="0"/>
        <w:adjustRightInd w:val="0"/>
        <w:spacing w:after="0" w:line="240" w:lineRule="auto"/>
        <w:rPr>
          <w:rFonts w:cstheme="minorHAnsi"/>
          <w:b/>
          <w:bCs/>
        </w:rPr>
      </w:pPr>
    </w:p>
    <w:p w:rsidR="00E43C45" w:rsidRDefault="00E43C45" w:rsidP="00001D73">
      <w:pPr>
        <w:autoSpaceDE w:val="0"/>
        <w:autoSpaceDN w:val="0"/>
        <w:adjustRightInd w:val="0"/>
        <w:spacing w:after="0" w:line="240" w:lineRule="auto"/>
        <w:rPr>
          <w:rFonts w:cstheme="minorHAnsi"/>
          <w:b/>
          <w:bCs/>
        </w:rPr>
      </w:pPr>
    </w:p>
    <w:p w:rsidR="00001D73"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402FBE">
        <w:rPr>
          <w:rFonts w:cstheme="minorHAnsi"/>
          <w:b/>
          <w:bCs/>
        </w:rPr>
        <w:t>Also describe the</w:t>
      </w:r>
      <w:r w:rsidR="00AF2D68" w:rsidRPr="00402FBE">
        <w:rPr>
          <w:rFonts w:cstheme="minorHAnsi"/>
          <w:b/>
          <w:bCs/>
        </w:rPr>
        <w:t xml:space="preserve"> impact of adjusting for social risk (or not) on providers</w:t>
      </w:r>
      <w:r w:rsidR="00CE284E" w:rsidRPr="00402FBE">
        <w:rPr>
          <w:rFonts w:cstheme="minorHAnsi"/>
          <w:b/>
          <w:bCs/>
        </w:rPr>
        <w:t xml:space="preserve"> at high or low extremes of risk.</w:t>
      </w:r>
    </w:p>
    <w:p w:rsidR="008A0649" w:rsidRDefault="008A0649" w:rsidP="00AE060B">
      <w:pPr>
        <w:autoSpaceDE w:val="0"/>
        <w:autoSpaceDN w:val="0"/>
        <w:rPr>
          <w:rFonts w:ascii="Palatino Linotype" w:hAnsi="Palatino Linotype"/>
          <w:bCs/>
          <w:i/>
          <w:iCs/>
          <w:sz w:val="20"/>
          <w:szCs w:val="20"/>
        </w:rPr>
      </w:pPr>
    </w:p>
    <w:p w:rsidR="002F5FAD" w:rsidRPr="008C4D75" w:rsidRDefault="002F5FAD" w:rsidP="00AE060B">
      <w:pPr>
        <w:autoSpaceDE w:val="0"/>
        <w:autoSpaceDN w:val="0"/>
        <w:rPr>
          <w:rFonts w:ascii="Palatino Linotype" w:hAnsi="Palatino Linotype" w:cstheme="minorHAnsi"/>
          <w:bCs/>
          <w:i/>
          <w:sz w:val="20"/>
          <w:szCs w:val="20"/>
        </w:rPr>
      </w:pPr>
      <w:r w:rsidRPr="008C4D75">
        <w:rPr>
          <w:rFonts w:ascii="Palatino Linotype" w:hAnsi="Palatino Linotype"/>
          <w:bCs/>
          <w:i/>
          <w:iCs/>
          <w:sz w:val="20"/>
          <w:szCs w:val="20"/>
        </w:rPr>
        <w:t>We followed the CAHPS approach for case-mix adjustment (which we refer to as patient-mix adjustment in the HCAHPS program). The selection of factors in the HCAHPS patient-mix adjustment model is based on evidence that these factors met CAHPS case-mix adjustment criteria: exogeneity, significant variation between hospitals, significant association with CAHPS outcomes within hospitals.  All patient-mix adjustment factors, including the social risk factors, are measured at the patient level, are exogenous and not caused by the hospital; varied to a substantial and statistically significant extent within hospitals; and are associated with patient experience of care outcomes after controlling for other factors in the patient-mix adjustment model. Providers who were at the extremes of social risk factors that were associated with less positive response tendency (e.g. hospitals with high proportions of patients whose preferred language is Chinese) received substantial positive adjustments.</w:t>
      </w:r>
    </w:p>
    <w:p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rsidR="00E1508F" w:rsidRDefault="00001D73" w:rsidP="00092566">
      <w:pPr>
        <w:autoSpaceDE w:val="0"/>
        <w:autoSpaceDN w:val="0"/>
        <w:adjustRightInd w:val="0"/>
        <w:spacing w:after="0" w:line="240" w:lineRule="auto"/>
        <w:rPr>
          <w:rStyle w:val="Hyperlink"/>
          <w:rFonts w:cstheme="minorHAnsi"/>
          <w:b/>
          <w:bCs/>
          <w:i/>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rsidR="00C75DFA" w:rsidRPr="00310F1D" w:rsidRDefault="00C75DFA" w:rsidP="00092566">
      <w:pPr>
        <w:autoSpaceDE w:val="0"/>
        <w:autoSpaceDN w:val="0"/>
        <w:adjustRightInd w:val="0"/>
        <w:spacing w:after="0" w:line="240" w:lineRule="auto"/>
        <w:rPr>
          <w:rStyle w:val="Hyperlink"/>
          <w:rFonts w:cstheme="minorHAnsi"/>
          <w:b/>
          <w:bCs/>
          <w:i/>
        </w:rPr>
      </w:pPr>
    </w:p>
    <w:p w:rsidR="00C75DFA" w:rsidRPr="008C4D75" w:rsidRDefault="00C75DFA" w:rsidP="00C75DFA">
      <w:pPr>
        <w:autoSpaceDE w:val="0"/>
        <w:autoSpaceDN w:val="0"/>
        <w:adjustRightInd w:val="0"/>
        <w:spacing w:after="0" w:line="240" w:lineRule="auto"/>
        <w:rPr>
          <w:rFonts w:ascii="Palatino Linotype" w:hAnsi="Palatino Linotype" w:cs="Times New Roman"/>
          <w:bCs/>
          <w:i/>
          <w:sz w:val="20"/>
          <w:szCs w:val="20"/>
        </w:rPr>
      </w:pPr>
      <w:r w:rsidRPr="008C4D75">
        <w:rPr>
          <w:rFonts w:ascii="Palatino Linotype" w:hAnsi="Palatino Linotype" w:cs="Times New Roman"/>
          <w:bCs/>
          <w:i/>
          <w:sz w:val="20"/>
          <w:szCs w:val="20"/>
        </w:rPr>
        <w:t>For a description of the development and testing of the patient-mix adjustment and survey mode adjustment of the HCAHPS Survey, please see</w:t>
      </w:r>
      <w:r w:rsidR="001F4150" w:rsidRPr="008C4D75">
        <w:rPr>
          <w:rFonts w:ascii="Palatino Linotype" w:hAnsi="Palatino Linotype" w:cs="Times New Roman"/>
          <w:bCs/>
          <w:i/>
          <w:sz w:val="20"/>
          <w:szCs w:val="20"/>
        </w:rPr>
        <w:t>:</w:t>
      </w:r>
    </w:p>
    <w:p w:rsidR="00C75DFA" w:rsidRPr="008C4D75" w:rsidRDefault="00C75DFA" w:rsidP="00C75DFA">
      <w:pPr>
        <w:autoSpaceDE w:val="0"/>
        <w:autoSpaceDN w:val="0"/>
        <w:adjustRightInd w:val="0"/>
        <w:spacing w:after="0" w:line="240" w:lineRule="auto"/>
        <w:rPr>
          <w:rFonts w:ascii="Palatino Linotype" w:hAnsi="Palatino Linotype" w:cs="Times New Roman"/>
          <w:bCs/>
          <w:i/>
          <w:color w:val="000000"/>
          <w:sz w:val="20"/>
          <w:szCs w:val="20"/>
        </w:rPr>
      </w:pPr>
      <w:r w:rsidRPr="008C4D75">
        <w:rPr>
          <w:rFonts w:ascii="Palatino Linotype" w:hAnsi="Palatino Linotype" w:cs="Times New Roman"/>
          <w:bCs/>
          <w:i/>
          <w:color w:val="000000"/>
          <w:sz w:val="20"/>
          <w:szCs w:val="20"/>
        </w:rPr>
        <w:t>Mode and Patient-mix Adjustment of the CAHPS</w:t>
      </w:r>
      <w:r w:rsidRPr="008C4D75">
        <w:rPr>
          <w:rFonts w:ascii="Palatino Linotype" w:hAnsi="Palatino Linotype" w:cs="Times New Roman"/>
          <w:bCs/>
          <w:i/>
          <w:color w:val="000000"/>
          <w:position w:val="10"/>
          <w:sz w:val="20"/>
          <w:szCs w:val="20"/>
          <w:vertAlign w:val="superscript"/>
        </w:rPr>
        <w:t xml:space="preserve">® </w:t>
      </w:r>
      <w:r w:rsidRPr="008C4D75">
        <w:rPr>
          <w:rFonts w:ascii="Palatino Linotype" w:hAnsi="Palatino Linotype" w:cs="Times New Roman"/>
          <w:bCs/>
          <w:i/>
          <w:color w:val="000000"/>
          <w:sz w:val="20"/>
          <w:szCs w:val="20"/>
        </w:rPr>
        <w:t>Hospital Survey (HCAHPS)</w:t>
      </w:r>
    </w:p>
    <w:p w:rsidR="00C75DFA" w:rsidRPr="008C4D75" w:rsidRDefault="00244A95" w:rsidP="00C75DFA">
      <w:pPr>
        <w:autoSpaceDE w:val="0"/>
        <w:autoSpaceDN w:val="0"/>
        <w:adjustRightInd w:val="0"/>
        <w:spacing w:after="0" w:line="240" w:lineRule="auto"/>
        <w:rPr>
          <w:rFonts w:ascii="Palatino Linotype" w:hAnsi="Palatino Linotype" w:cs="Times New Roman"/>
          <w:bCs/>
          <w:i/>
          <w:color w:val="000000"/>
          <w:sz w:val="20"/>
          <w:szCs w:val="20"/>
        </w:rPr>
      </w:pPr>
      <w:hyperlink r:id="rId20" w:history="1">
        <w:r w:rsidR="00C75DFA" w:rsidRPr="008C4D75">
          <w:rPr>
            <w:rStyle w:val="Hyperlink"/>
            <w:rFonts w:ascii="Palatino Linotype" w:hAnsi="Palatino Linotype" w:cs="Times New Roman"/>
            <w:bCs/>
            <w:i/>
            <w:sz w:val="20"/>
            <w:szCs w:val="20"/>
          </w:rPr>
          <w:t>http://www.hcahpsonline.org/globalassets/hcahps/mode-patient-mix-adjustment/final-draft-description-of-hcahps-mode-and-pma-with-bottom-box-modedoc-april-30-2008.pdf</w:t>
        </w:r>
      </w:hyperlink>
      <w:r w:rsidR="00C75DFA" w:rsidRPr="008C4D75">
        <w:rPr>
          <w:rFonts w:ascii="Palatino Linotype" w:hAnsi="Palatino Linotype" w:cs="Times New Roman"/>
          <w:bCs/>
          <w:i/>
          <w:color w:val="000000"/>
          <w:sz w:val="20"/>
          <w:szCs w:val="20"/>
        </w:rPr>
        <w:t xml:space="preserve"> </w:t>
      </w:r>
    </w:p>
    <w:p w:rsidR="00C75DFA" w:rsidRPr="008C4D75" w:rsidRDefault="00C75DFA" w:rsidP="00C75DFA">
      <w:pPr>
        <w:autoSpaceDE w:val="0"/>
        <w:autoSpaceDN w:val="0"/>
        <w:adjustRightInd w:val="0"/>
        <w:spacing w:after="0" w:line="240" w:lineRule="auto"/>
        <w:rPr>
          <w:rFonts w:ascii="Palatino Linotype" w:hAnsi="Palatino Linotype" w:cs="Times New Roman"/>
          <w:bCs/>
          <w:i/>
          <w:color w:val="000000"/>
          <w:sz w:val="20"/>
          <w:szCs w:val="20"/>
        </w:rPr>
      </w:pPr>
    </w:p>
    <w:p w:rsidR="00C75DFA" w:rsidRPr="008C4D75" w:rsidRDefault="009F457D" w:rsidP="001F4150">
      <w:pPr>
        <w:autoSpaceDE w:val="0"/>
        <w:autoSpaceDN w:val="0"/>
        <w:adjustRightInd w:val="0"/>
        <w:spacing w:after="0" w:line="240" w:lineRule="auto"/>
        <w:rPr>
          <w:rFonts w:ascii="Palatino Linotype" w:hAnsi="Palatino Linotype"/>
          <w:bCs/>
          <w:i/>
          <w:sz w:val="20"/>
          <w:szCs w:val="20"/>
        </w:rPr>
      </w:pPr>
      <w:r w:rsidRPr="008C4D75">
        <w:rPr>
          <w:rFonts w:ascii="Palatino Linotype" w:hAnsi="Palatino Linotype" w:cs="Times New Roman"/>
          <w:bCs/>
          <w:i/>
          <w:color w:val="000000"/>
          <w:sz w:val="20"/>
          <w:szCs w:val="20"/>
        </w:rPr>
        <w:t>A</w:t>
      </w:r>
      <w:r w:rsidR="00C75DFA" w:rsidRPr="008C4D75">
        <w:rPr>
          <w:rFonts w:ascii="Palatino Linotype" w:hAnsi="Palatino Linotype" w:cs="Times New Roman"/>
          <w:bCs/>
          <w:i/>
          <w:color w:val="000000"/>
          <w:sz w:val="20"/>
          <w:szCs w:val="20"/>
        </w:rPr>
        <w:t>lso:</w:t>
      </w:r>
      <w:r w:rsidR="00C75DFA" w:rsidRPr="008C4D75">
        <w:rPr>
          <w:rFonts w:ascii="Palatino Linotype" w:hAnsi="Palatino Linotype"/>
          <w:bCs/>
          <w:i/>
          <w:sz w:val="20"/>
          <w:szCs w:val="20"/>
        </w:rPr>
        <w:t xml:space="preserve">  “Effects of Survey Mode, Patient Mix, and Nonresponse on CAHPS</w:t>
      </w:r>
      <w:r w:rsidR="00C75DFA" w:rsidRPr="008C4D75">
        <w:rPr>
          <w:rFonts w:ascii="Palatino Linotype" w:hAnsi="Palatino Linotype"/>
          <w:bCs/>
          <w:i/>
          <w:sz w:val="20"/>
          <w:szCs w:val="20"/>
          <w:vertAlign w:val="superscript"/>
        </w:rPr>
        <w:t>®</w:t>
      </w:r>
      <w:r w:rsidR="00C75DFA" w:rsidRPr="008C4D75">
        <w:rPr>
          <w:rFonts w:ascii="Palatino Linotype" w:hAnsi="Palatino Linotype"/>
          <w:bCs/>
          <w:i/>
          <w:sz w:val="20"/>
          <w:szCs w:val="20"/>
        </w:rPr>
        <w:t xml:space="preserve"> Hospital Survey Scores.” M.N. Elliott, A.M. Zaslavsky, E. Goldstein, W. Lehrman, K. Hambarsoomian, M.K. Beckett and L. Giordano.  </w:t>
      </w:r>
      <w:r w:rsidR="00C75DFA" w:rsidRPr="008C4D75">
        <w:rPr>
          <w:rFonts w:ascii="Palatino Linotype" w:hAnsi="Palatino Linotype"/>
          <w:bCs/>
          <w:i/>
          <w:sz w:val="20"/>
          <w:szCs w:val="20"/>
          <w:u w:val="single"/>
        </w:rPr>
        <w:t>Health Services Research</w:t>
      </w:r>
      <w:r w:rsidR="00C75DFA" w:rsidRPr="008C4D75">
        <w:rPr>
          <w:rFonts w:ascii="Palatino Linotype" w:hAnsi="Palatino Linotype"/>
          <w:bCs/>
          <w:i/>
          <w:sz w:val="20"/>
          <w:szCs w:val="20"/>
        </w:rPr>
        <w:t xml:space="preserve">, 44 (2): 501-518.  2009. </w:t>
      </w:r>
    </w:p>
    <w:p w:rsidR="001F4150" w:rsidRPr="008C4D75" w:rsidRDefault="001F4150" w:rsidP="001F4150">
      <w:pPr>
        <w:autoSpaceDE w:val="0"/>
        <w:autoSpaceDN w:val="0"/>
        <w:adjustRightInd w:val="0"/>
        <w:spacing w:after="0" w:line="240" w:lineRule="auto"/>
        <w:rPr>
          <w:rFonts w:ascii="Palatino Linotype" w:hAnsi="Palatino Linotype"/>
          <w:bCs/>
          <w:i/>
          <w:sz w:val="20"/>
          <w:szCs w:val="20"/>
        </w:rPr>
      </w:pPr>
    </w:p>
    <w:p w:rsidR="00E43C45" w:rsidRDefault="00E43C45" w:rsidP="00092566">
      <w:pPr>
        <w:autoSpaceDE w:val="0"/>
        <w:autoSpaceDN w:val="0"/>
        <w:adjustRightInd w:val="0"/>
        <w:spacing w:after="0" w:line="240" w:lineRule="auto"/>
        <w:rPr>
          <w:rFonts w:ascii="Palatino Linotype" w:hAnsi="Palatino Linotype" w:cstheme="minorHAnsi"/>
          <w:bCs/>
          <w:i/>
          <w:sz w:val="20"/>
          <w:szCs w:val="20"/>
        </w:rPr>
      </w:pPr>
    </w:p>
    <w:p w:rsidR="00E43C45" w:rsidRDefault="00E43C45" w:rsidP="00092566">
      <w:pPr>
        <w:autoSpaceDE w:val="0"/>
        <w:autoSpaceDN w:val="0"/>
        <w:adjustRightInd w:val="0"/>
        <w:spacing w:after="0" w:line="240" w:lineRule="auto"/>
        <w:rPr>
          <w:rFonts w:ascii="Palatino Linotype" w:hAnsi="Palatino Linotype" w:cstheme="minorHAnsi"/>
          <w:bCs/>
          <w:i/>
          <w:sz w:val="20"/>
          <w:szCs w:val="20"/>
        </w:rPr>
      </w:pPr>
    </w:p>
    <w:p w:rsidR="00E43C45" w:rsidRDefault="00E43C45" w:rsidP="00092566">
      <w:pPr>
        <w:autoSpaceDE w:val="0"/>
        <w:autoSpaceDN w:val="0"/>
        <w:adjustRightInd w:val="0"/>
        <w:spacing w:after="0" w:line="240" w:lineRule="auto"/>
        <w:rPr>
          <w:rFonts w:ascii="Palatino Linotype" w:hAnsi="Palatino Linotype" w:cstheme="minorHAnsi"/>
          <w:bCs/>
          <w:i/>
          <w:sz w:val="20"/>
          <w:szCs w:val="20"/>
        </w:rPr>
      </w:pPr>
    </w:p>
    <w:p w:rsidR="00E43C45" w:rsidRDefault="00E43C45" w:rsidP="00092566">
      <w:pPr>
        <w:autoSpaceDE w:val="0"/>
        <w:autoSpaceDN w:val="0"/>
        <w:adjustRightInd w:val="0"/>
        <w:spacing w:after="0" w:line="240" w:lineRule="auto"/>
        <w:rPr>
          <w:rFonts w:ascii="Palatino Linotype" w:hAnsi="Palatino Linotype" w:cstheme="minorHAnsi"/>
          <w:bCs/>
          <w:i/>
          <w:sz w:val="20"/>
          <w:szCs w:val="20"/>
        </w:rPr>
      </w:pPr>
    </w:p>
    <w:p w:rsidR="00E43C45" w:rsidRDefault="00E43C45" w:rsidP="00092566">
      <w:pPr>
        <w:autoSpaceDE w:val="0"/>
        <w:autoSpaceDN w:val="0"/>
        <w:adjustRightInd w:val="0"/>
        <w:spacing w:after="0" w:line="240" w:lineRule="auto"/>
        <w:rPr>
          <w:rFonts w:ascii="Palatino Linotype" w:hAnsi="Palatino Linotype" w:cstheme="minorHAnsi"/>
          <w:bCs/>
          <w:i/>
          <w:sz w:val="20"/>
          <w:szCs w:val="20"/>
        </w:rPr>
      </w:pPr>
    </w:p>
    <w:p w:rsidR="00E43C45" w:rsidRDefault="00E43C45" w:rsidP="00092566">
      <w:pPr>
        <w:autoSpaceDE w:val="0"/>
        <w:autoSpaceDN w:val="0"/>
        <w:adjustRightInd w:val="0"/>
        <w:spacing w:after="0" w:line="240" w:lineRule="auto"/>
        <w:rPr>
          <w:rFonts w:ascii="Palatino Linotype" w:hAnsi="Palatino Linotype" w:cstheme="minorHAnsi"/>
          <w:bCs/>
          <w:i/>
          <w:sz w:val="20"/>
          <w:szCs w:val="20"/>
        </w:rPr>
      </w:pPr>
    </w:p>
    <w:p w:rsidR="00E43C45" w:rsidRDefault="00E43C45" w:rsidP="00092566">
      <w:pPr>
        <w:autoSpaceDE w:val="0"/>
        <w:autoSpaceDN w:val="0"/>
        <w:adjustRightInd w:val="0"/>
        <w:spacing w:after="0" w:line="240" w:lineRule="auto"/>
        <w:rPr>
          <w:rFonts w:ascii="Palatino Linotype" w:hAnsi="Palatino Linotype" w:cstheme="minorHAnsi"/>
          <w:bCs/>
          <w:i/>
          <w:sz w:val="20"/>
          <w:szCs w:val="20"/>
        </w:rPr>
      </w:pPr>
    </w:p>
    <w:p w:rsidR="00E43C45" w:rsidRDefault="00E43C45" w:rsidP="00092566">
      <w:pPr>
        <w:autoSpaceDE w:val="0"/>
        <w:autoSpaceDN w:val="0"/>
        <w:adjustRightInd w:val="0"/>
        <w:spacing w:after="0" w:line="240" w:lineRule="auto"/>
        <w:rPr>
          <w:rFonts w:ascii="Palatino Linotype" w:hAnsi="Palatino Linotype" w:cstheme="minorHAnsi"/>
          <w:bCs/>
          <w:i/>
          <w:sz w:val="20"/>
          <w:szCs w:val="20"/>
        </w:rPr>
      </w:pPr>
    </w:p>
    <w:p w:rsidR="00E43C45" w:rsidRDefault="00E43C45" w:rsidP="00092566">
      <w:pPr>
        <w:autoSpaceDE w:val="0"/>
        <w:autoSpaceDN w:val="0"/>
        <w:adjustRightInd w:val="0"/>
        <w:spacing w:after="0" w:line="240" w:lineRule="auto"/>
        <w:rPr>
          <w:rFonts w:ascii="Palatino Linotype" w:hAnsi="Palatino Linotype" w:cstheme="minorHAnsi"/>
          <w:bCs/>
          <w:i/>
          <w:sz w:val="20"/>
          <w:szCs w:val="20"/>
        </w:rPr>
      </w:pPr>
    </w:p>
    <w:p w:rsidR="00E43C45" w:rsidRDefault="00E43C45" w:rsidP="00092566">
      <w:pPr>
        <w:autoSpaceDE w:val="0"/>
        <w:autoSpaceDN w:val="0"/>
        <w:adjustRightInd w:val="0"/>
        <w:spacing w:after="0" w:line="240" w:lineRule="auto"/>
        <w:rPr>
          <w:rFonts w:ascii="Palatino Linotype" w:hAnsi="Palatino Linotype" w:cstheme="minorHAnsi"/>
          <w:bCs/>
          <w:i/>
          <w:sz w:val="20"/>
          <w:szCs w:val="20"/>
        </w:rPr>
      </w:pPr>
    </w:p>
    <w:p w:rsidR="00E43C45" w:rsidRDefault="00E43C45" w:rsidP="00092566">
      <w:pPr>
        <w:autoSpaceDE w:val="0"/>
        <w:autoSpaceDN w:val="0"/>
        <w:adjustRightInd w:val="0"/>
        <w:spacing w:after="0" w:line="240" w:lineRule="auto"/>
        <w:rPr>
          <w:rFonts w:ascii="Palatino Linotype" w:hAnsi="Palatino Linotype" w:cstheme="minorHAnsi"/>
          <w:bCs/>
          <w:i/>
          <w:sz w:val="20"/>
          <w:szCs w:val="20"/>
        </w:rPr>
      </w:pPr>
    </w:p>
    <w:p w:rsidR="00C75DFA" w:rsidRPr="008C4D75" w:rsidRDefault="009F457D" w:rsidP="00092566">
      <w:pPr>
        <w:autoSpaceDE w:val="0"/>
        <w:autoSpaceDN w:val="0"/>
        <w:adjustRightInd w:val="0"/>
        <w:spacing w:after="0" w:line="240" w:lineRule="auto"/>
        <w:rPr>
          <w:rFonts w:ascii="Palatino Linotype" w:hAnsi="Palatino Linotype" w:cstheme="minorHAnsi"/>
          <w:bCs/>
          <w:i/>
          <w:sz w:val="20"/>
          <w:szCs w:val="20"/>
        </w:rPr>
      </w:pPr>
      <w:r w:rsidRPr="008C4D75">
        <w:rPr>
          <w:rFonts w:ascii="Palatino Linotype" w:hAnsi="Palatino Linotype" w:cstheme="minorHAnsi"/>
          <w:bCs/>
          <w:i/>
          <w:sz w:val="20"/>
          <w:szCs w:val="20"/>
        </w:rPr>
        <w:t>Current survey mode adjustments can be found at:</w:t>
      </w:r>
    </w:p>
    <w:p w:rsidR="00E43C45" w:rsidRPr="008C4D75" w:rsidRDefault="00244A95" w:rsidP="00092566">
      <w:pPr>
        <w:autoSpaceDE w:val="0"/>
        <w:autoSpaceDN w:val="0"/>
        <w:adjustRightInd w:val="0"/>
        <w:spacing w:after="0" w:line="240" w:lineRule="auto"/>
        <w:rPr>
          <w:rFonts w:ascii="Palatino Linotype" w:hAnsi="Palatino Linotype" w:cstheme="minorHAnsi"/>
          <w:bCs/>
          <w:i/>
          <w:sz w:val="20"/>
          <w:szCs w:val="20"/>
        </w:rPr>
      </w:pPr>
      <w:hyperlink r:id="rId21" w:history="1">
        <w:r w:rsidR="009F457D" w:rsidRPr="008C4D75">
          <w:rPr>
            <w:rStyle w:val="Hyperlink"/>
            <w:rFonts w:ascii="Palatino Linotype" w:hAnsi="Palatino Linotype" w:cstheme="minorHAnsi"/>
            <w:bCs/>
            <w:i/>
            <w:sz w:val="20"/>
            <w:szCs w:val="20"/>
          </w:rPr>
          <w:t>http://www.hcahpsonline.org/globalassets/hcahps/mode-patient-mix-adjustment/april_2017_mode_patient-mix_adjustment_hcahps_survey_mode_adjustment.pdf</w:t>
        </w:r>
      </w:hyperlink>
    </w:p>
    <w:tbl>
      <w:tblPr>
        <w:tblW w:w="9491" w:type="dxa"/>
        <w:tblInd w:w="93" w:type="dxa"/>
        <w:tblLook w:val="04A0" w:firstRow="1" w:lastRow="0" w:firstColumn="1" w:lastColumn="0" w:noHBand="0" w:noVBand="1"/>
        <w:tblCaption w:val="Table with HCAHPS Survey Mode Adjustments of Top Box and Bottom Box Percentages "/>
        <w:tblDescription w:val="HCAHPS Survey Mode Adjustments of Top Box and Bottom Box Percentages "/>
      </w:tblPr>
      <w:tblGrid>
        <w:gridCol w:w="3953"/>
        <w:gridCol w:w="1102"/>
        <w:gridCol w:w="189"/>
        <w:gridCol w:w="621"/>
        <w:gridCol w:w="95"/>
        <w:gridCol w:w="650"/>
        <w:gridCol w:w="1145"/>
        <w:gridCol w:w="146"/>
        <w:gridCol w:w="574"/>
        <w:gridCol w:w="144"/>
        <w:gridCol w:w="650"/>
        <w:gridCol w:w="222"/>
      </w:tblGrid>
      <w:tr w:rsidR="00E43C45" w:rsidRPr="003271D9" w:rsidTr="00E43C45">
        <w:trPr>
          <w:trHeight w:val="224"/>
        </w:trPr>
        <w:tc>
          <w:tcPr>
            <w:tcW w:w="9491" w:type="dxa"/>
            <w:gridSpan w:val="12"/>
            <w:tcBorders>
              <w:top w:val="nil"/>
              <w:left w:val="nil"/>
              <w:bottom w:val="nil"/>
              <w:right w:val="nil"/>
            </w:tcBorders>
            <w:shd w:val="clear" w:color="auto" w:fill="auto"/>
            <w:noWrap/>
            <w:vAlign w:val="bottom"/>
            <w:hideMark/>
          </w:tcPr>
          <w:p w:rsidR="00E43C45" w:rsidRPr="00E43C45" w:rsidRDefault="00E43C45" w:rsidP="00E43C45">
            <w:pPr>
              <w:spacing w:after="0" w:line="240" w:lineRule="auto"/>
              <w:rPr>
                <w:rFonts w:ascii="Calibri" w:eastAsia="Times New Roman" w:hAnsi="Calibri" w:cs="Times New Roman"/>
                <w:b/>
                <w:bCs/>
                <w:color w:val="000000"/>
                <w:sz w:val="18"/>
                <w:szCs w:val="18"/>
              </w:rPr>
            </w:pPr>
          </w:p>
          <w:p w:rsidR="00E43C45" w:rsidRPr="00E43C45" w:rsidRDefault="00E43C45" w:rsidP="00E43C45">
            <w:pPr>
              <w:spacing w:after="0" w:line="240" w:lineRule="auto"/>
              <w:rPr>
                <w:rFonts w:ascii="Calibri" w:eastAsia="Times New Roman" w:hAnsi="Calibri" w:cs="Times New Roman"/>
                <w:b/>
                <w:bCs/>
                <w:color w:val="000000"/>
                <w:sz w:val="18"/>
                <w:szCs w:val="18"/>
              </w:rPr>
            </w:pPr>
            <w:r w:rsidRPr="00E43C45">
              <w:rPr>
                <w:rFonts w:ascii="Calibri" w:eastAsia="Times New Roman" w:hAnsi="Calibri" w:cs="Times New Roman"/>
                <w:b/>
                <w:bCs/>
                <w:color w:val="000000"/>
                <w:sz w:val="18"/>
                <w:szCs w:val="18"/>
              </w:rPr>
              <w:t>HCAHPS Survey Mode Adjustments of Top Box and Bottom Box Percentages (after PMA) to Adjust Other Modes to a Reference of Mail</w:t>
            </w:r>
          </w:p>
        </w:tc>
      </w:tr>
      <w:tr w:rsidR="00E43C45" w:rsidRPr="00E56BFD" w:rsidTr="00E43C45">
        <w:trPr>
          <w:trHeight w:val="224"/>
        </w:trPr>
        <w:tc>
          <w:tcPr>
            <w:tcW w:w="8619" w:type="dxa"/>
            <w:gridSpan w:val="10"/>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 xml:space="preserve">Derived from 2016 Mode Experiment; </w:t>
            </w:r>
            <w:r w:rsidRPr="00E56BFD">
              <w:rPr>
                <w:rFonts w:ascii="Calibri" w:eastAsia="Times New Roman" w:hAnsi="Calibri" w:cs="Times New Roman"/>
                <w:color w:val="000000"/>
                <w:sz w:val="18"/>
                <w:szCs w:val="18"/>
                <w:u w:val="single"/>
              </w:rPr>
              <w:t>for HCAHPS score adjustments beginning with April 2017 discharges</w:t>
            </w:r>
          </w:p>
        </w:tc>
        <w:tc>
          <w:tcPr>
            <w:tcW w:w="650"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c>
          <w:tcPr>
            <w:tcW w:w="222"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r>
      <w:tr w:rsidR="00E43C45" w:rsidRPr="00E56BFD" w:rsidTr="00E43C45">
        <w:trPr>
          <w:trHeight w:val="224"/>
        </w:trPr>
        <w:tc>
          <w:tcPr>
            <w:tcW w:w="3953"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c>
          <w:tcPr>
            <w:tcW w:w="1291" w:type="dxa"/>
            <w:gridSpan w:val="2"/>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c>
          <w:tcPr>
            <w:tcW w:w="716" w:type="dxa"/>
            <w:gridSpan w:val="2"/>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c>
          <w:tcPr>
            <w:tcW w:w="650"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c>
          <w:tcPr>
            <w:tcW w:w="1291" w:type="dxa"/>
            <w:gridSpan w:val="2"/>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c>
          <w:tcPr>
            <w:tcW w:w="718" w:type="dxa"/>
            <w:gridSpan w:val="2"/>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c>
          <w:tcPr>
            <w:tcW w:w="650"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c>
          <w:tcPr>
            <w:tcW w:w="222"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r>
      <w:tr w:rsidR="00E43C45" w:rsidRPr="00E56BFD" w:rsidTr="00E43C45">
        <w:trPr>
          <w:trHeight w:val="224"/>
        </w:trPr>
        <w:tc>
          <w:tcPr>
            <w:tcW w:w="3953"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c>
          <w:tcPr>
            <w:tcW w:w="265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Bottom Box</w:t>
            </w:r>
          </w:p>
        </w:tc>
        <w:tc>
          <w:tcPr>
            <w:tcW w:w="2659" w:type="dxa"/>
            <w:gridSpan w:val="5"/>
            <w:tcBorders>
              <w:top w:val="single" w:sz="4" w:space="0" w:color="auto"/>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Top Box</w:t>
            </w:r>
          </w:p>
        </w:tc>
        <w:tc>
          <w:tcPr>
            <w:tcW w:w="222"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r>
      <w:tr w:rsidR="00E43C45" w:rsidRPr="00E56BFD" w:rsidTr="00E43C45">
        <w:trPr>
          <w:trHeight w:val="224"/>
        </w:trPr>
        <w:tc>
          <w:tcPr>
            <w:tcW w:w="3953"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c>
          <w:tcPr>
            <w:tcW w:w="1102" w:type="dxa"/>
            <w:tcBorders>
              <w:top w:val="nil"/>
              <w:left w:val="single" w:sz="4" w:space="0" w:color="auto"/>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Phone Only</w:t>
            </w:r>
          </w:p>
        </w:tc>
        <w:tc>
          <w:tcPr>
            <w:tcW w:w="81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Mixed</w:t>
            </w:r>
          </w:p>
        </w:tc>
        <w:tc>
          <w:tcPr>
            <w:tcW w:w="745"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IVR</w:t>
            </w:r>
          </w:p>
        </w:tc>
        <w:tc>
          <w:tcPr>
            <w:tcW w:w="1145"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Phone Only</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Mixed</w:t>
            </w:r>
          </w:p>
        </w:tc>
        <w:tc>
          <w:tcPr>
            <w:tcW w:w="794"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IVR</w:t>
            </w:r>
          </w:p>
        </w:tc>
        <w:tc>
          <w:tcPr>
            <w:tcW w:w="222"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r>
      <w:tr w:rsidR="00E43C45" w:rsidRPr="00E56BFD" w:rsidTr="00E43C45">
        <w:trPr>
          <w:trHeight w:val="224"/>
        </w:trPr>
        <w:tc>
          <w:tcPr>
            <w:tcW w:w="9269" w:type="dxa"/>
            <w:gridSpan w:val="11"/>
            <w:tcBorders>
              <w:top w:val="single" w:sz="4" w:space="0" w:color="auto"/>
              <w:left w:val="single" w:sz="4" w:space="0" w:color="auto"/>
              <w:bottom w:val="single" w:sz="4" w:space="0" w:color="auto"/>
              <w:right w:val="single" w:sz="4" w:space="0" w:color="000000"/>
            </w:tcBorders>
            <w:shd w:val="clear" w:color="000000" w:fill="D9D9D9"/>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HCAHPS Composite Measures</w:t>
            </w:r>
          </w:p>
        </w:tc>
        <w:tc>
          <w:tcPr>
            <w:tcW w:w="222"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r>
      <w:tr w:rsidR="00E43C45" w:rsidRPr="00E56BFD" w:rsidTr="00E43C45">
        <w:trPr>
          <w:trHeight w:val="224"/>
        </w:trPr>
        <w:tc>
          <w:tcPr>
            <w:tcW w:w="3953" w:type="dxa"/>
            <w:tcBorders>
              <w:top w:val="nil"/>
              <w:left w:val="single" w:sz="4" w:space="0" w:color="auto"/>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right"/>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Communication with Nurses</w:t>
            </w:r>
          </w:p>
        </w:tc>
        <w:tc>
          <w:tcPr>
            <w:tcW w:w="1102"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0.1%</w:t>
            </w:r>
          </w:p>
        </w:tc>
        <w:tc>
          <w:tcPr>
            <w:tcW w:w="81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1.3%</w:t>
            </w:r>
          </w:p>
        </w:tc>
        <w:tc>
          <w:tcPr>
            <w:tcW w:w="745"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-1.8%</w:t>
            </w:r>
          </w:p>
        </w:tc>
        <w:tc>
          <w:tcPr>
            <w:tcW w:w="1145"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-4.2%</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-3.6%</w:t>
            </w:r>
          </w:p>
        </w:tc>
        <w:tc>
          <w:tcPr>
            <w:tcW w:w="794"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-2.3%</w:t>
            </w:r>
          </w:p>
        </w:tc>
        <w:tc>
          <w:tcPr>
            <w:tcW w:w="222"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r>
      <w:tr w:rsidR="00E43C45" w:rsidRPr="00E56BFD" w:rsidTr="00E43C45">
        <w:trPr>
          <w:trHeight w:val="224"/>
        </w:trPr>
        <w:tc>
          <w:tcPr>
            <w:tcW w:w="3953" w:type="dxa"/>
            <w:tcBorders>
              <w:top w:val="nil"/>
              <w:left w:val="single" w:sz="4" w:space="0" w:color="auto"/>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right"/>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Communication with Doctors</w:t>
            </w:r>
          </w:p>
        </w:tc>
        <w:tc>
          <w:tcPr>
            <w:tcW w:w="1102"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-0.6%</w:t>
            </w:r>
          </w:p>
        </w:tc>
        <w:tc>
          <w:tcPr>
            <w:tcW w:w="81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-0.9%</w:t>
            </w:r>
          </w:p>
        </w:tc>
        <w:tc>
          <w:tcPr>
            <w:tcW w:w="745"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-2.2%</w:t>
            </w:r>
          </w:p>
        </w:tc>
        <w:tc>
          <w:tcPr>
            <w:tcW w:w="1145"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-2.8%</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-1.8%</w:t>
            </w:r>
          </w:p>
        </w:tc>
        <w:tc>
          <w:tcPr>
            <w:tcW w:w="794"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0.3%</w:t>
            </w:r>
          </w:p>
        </w:tc>
        <w:tc>
          <w:tcPr>
            <w:tcW w:w="222"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r>
      <w:tr w:rsidR="00E43C45" w:rsidRPr="00E56BFD" w:rsidTr="00E43C45">
        <w:trPr>
          <w:trHeight w:val="224"/>
        </w:trPr>
        <w:tc>
          <w:tcPr>
            <w:tcW w:w="3953" w:type="dxa"/>
            <w:tcBorders>
              <w:top w:val="nil"/>
              <w:left w:val="single" w:sz="4" w:space="0" w:color="auto"/>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right"/>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Responsiveness of Hospital Staff</w:t>
            </w:r>
          </w:p>
        </w:tc>
        <w:tc>
          <w:tcPr>
            <w:tcW w:w="1102"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0.5%</w:t>
            </w:r>
          </w:p>
        </w:tc>
        <w:tc>
          <w:tcPr>
            <w:tcW w:w="81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1.9%</w:t>
            </w:r>
          </w:p>
        </w:tc>
        <w:tc>
          <w:tcPr>
            <w:tcW w:w="745"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-0.9%</w:t>
            </w:r>
          </w:p>
        </w:tc>
        <w:tc>
          <w:tcPr>
            <w:tcW w:w="1145"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-0.8%</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-3.4%</w:t>
            </w:r>
          </w:p>
        </w:tc>
        <w:tc>
          <w:tcPr>
            <w:tcW w:w="794"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2.0%</w:t>
            </w:r>
          </w:p>
        </w:tc>
        <w:tc>
          <w:tcPr>
            <w:tcW w:w="222"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r>
      <w:tr w:rsidR="00E43C45" w:rsidRPr="00E56BFD" w:rsidTr="00E43C45">
        <w:trPr>
          <w:trHeight w:val="224"/>
        </w:trPr>
        <w:tc>
          <w:tcPr>
            <w:tcW w:w="3953" w:type="dxa"/>
            <w:tcBorders>
              <w:top w:val="nil"/>
              <w:left w:val="single" w:sz="4" w:space="0" w:color="auto"/>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right"/>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Communication about Medicines</w:t>
            </w:r>
          </w:p>
        </w:tc>
        <w:tc>
          <w:tcPr>
            <w:tcW w:w="1102"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-1.5%</w:t>
            </w:r>
          </w:p>
        </w:tc>
        <w:tc>
          <w:tcPr>
            <w:tcW w:w="81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-1.1%</w:t>
            </w:r>
          </w:p>
        </w:tc>
        <w:tc>
          <w:tcPr>
            <w:tcW w:w="745"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-2.3%</w:t>
            </w:r>
          </w:p>
        </w:tc>
        <w:tc>
          <w:tcPr>
            <w:tcW w:w="1145"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-1.7%</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-0.9%</w:t>
            </w:r>
          </w:p>
        </w:tc>
        <w:tc>
          <w:tcPr>
            <w:tcW w:w="794"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-0.1%</w:t>
            </w:r>
          </w:p>
        </w:tc>
        <w:tc>
          <w:tcPr>
            <w:tcW w:w="222"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r>
      <w:tr w:rsidR="00E43C45" w:rsidRPr="00E56BFD" w:rsidTr="00E43C45">
        <w:trPr>
          <w:trHeight w:val="224"/>
        </w:trPr>
        <w:tc>
          <w:tcPr>
            <w:tcW w:w="3953" w:type="dxa"/>
            <w:tcBorders>
              <w:top w:val="nil"/>
              <w:left w:val="single" w:sz="4" w:space="0" w:color="auto"/>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right"/>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Discharge Information</w:t>
            </w:r>
          </w:p>
        </w:tc>
        <w:tc>
          <w:tcPr>
            <w:tcW w:w="1102"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1.7%</w:t>
            </w:r>
          </w:p>
        </w:tc>
        <w:tc>
          <w:tcPr>
            <w:tcW w:w="81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1.2%</w:t>
            </w:r>
          </w:p>
        </w:tc>
        <w:tc>
          <w:tcPr>
            <w:tcW w:w="745"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1.6%</w:t>
            </w:r>
          </w:p>
        </w:tc>
        <w:tc>
          <w:tcPr>
            <w:tcW w:w="1145"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-1.7%</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-1.2%</w:t>
            </w:r>
          </w:p>
        </w:tc>
        <w:tc>
          <w:tcPr>
            <w:tcW w:w="794"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-1.6%</w:t>
            </w:r>
          </w:p>
        </w:tc>
        <w:tc>
          <w:tcPr>
            <w:tcW w:w="222"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r>
      <w:tr w:rsidR="00E43C45" w:rsidRPr="00E56BFD" w:rsidTr="00E43C45">
        <w:trPr>
          <w:trHeight w:val="224"/>
        </w:trPr>
        <w:tc>
          <w:tcPr>
            <w:tcW w:w="3953" w:type="dxa"/>
            <w:tcBorders>
              <w:top w:val="nil"/>
              <w:left w:val="single" w:sz="4" w:space="0" w:color="auto"/>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right"/>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Care Transition</w:t>
            </w:r>
          </w:p>
        </w:tc>
        <w:tc>
          <w:tcPr>
            <w:tcW w:w="1102"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1.4%</w:t>
            </w:r>
          </w:p>
        </w:tc>
        <w:tc>
          <w:tcPr>
            <w:tcW w:w="81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0.9%</w:t>
            </w:r>
          </w:p>
        </w:tc>
        <w:tc>
          <w:tcPr>
            <w:tcW w:w="745"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-0.5%</w:t>
            </w:r>
          </w:p>
        </w:tc>
        <w:tc>
          <w:tcPr>
            <w:tcW w:w="1145"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-0.6%</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-1.3%</w:t>
            </w:r>
          </w:p>
        </w:tc>
        <w:tc>
          <w:tcPr>
            <w:tcW w:w="794"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-0.1%</w:t>
            </w:r>
          </w:p>
        </w:tc>
        <w:tc>
          <w:tcPr>
            <w:tcW w:w="222"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r>
      <w:tr w:rsidR="00E43C45" w:rsidRPr="00E56BFD" w:rsidTr="00E43C45">
        <w:trPr>
          <w:trHeight w:val="224"/>
        </w:trPr>
        <w:tc>
          <w:tcPr>
            <w:tcW w:w="9269" w:type="dxa"/>
            <w:gridSpan w:val="11"/>
            <w:tcBorders>
              <w:top w:val="single" w:sz="4" w:space="0" w:color="auto"/>
              <w:left w:val="single" w:sz="4" w:space="0" w:color="auto"/>
              <w:bottom w:val="single" w:sz="4" w:space="0" w:color="auto"/>
              <w:right w:val="single" w:sz="4" w:space="0" w:color="000000"/>
            </w:tcBorders>
            <w:shd w:val="clear" w:color="000000" w:fill="D9D9D9"/>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HCAHPS Individual items</w:t>
            </w:r>
          </w:p>
        </w:tc>
        <w:tc>
          <w:tcPr>
            <w:tcW w:w="222"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r>
      <w:tr w:rsidR="00E43C45" w:rsidRPr="00E56BFD" w:rsidTr="00E43C45">
        <w:trPr>
          <w:trHeight w:val="224"/>
        </w:trPr>
        <w:tc>
          <w:tcPr>
            <w:tcW w:w="3953" w:type="dxa"/>
            <w:tcBorders>
              <w:top w:val="nil"/>
              <w:left w:val="single" w:sz="4" w:space="0" w:color="auto"/>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right"/>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Cleanliness of Hospital Environment</w:t>
            </w:r>
          </w:p>
        </w:tc>
        <w:tc>
          <w:tcPr>
            <w:tcW w:w="1102"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-0.8%</w:t>
            </w:r>
          </w:p>
        </w:tc>
        <w:tc>
          <w:tcPr>
            <w:tcW w:w="81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0.6%</w:t>
            </w:r>
          </w:p>
        </w:tc>
        <w:tc>
          <w:tcPr>
            <w:tcW w:w="745"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-1.9%</w:t>
            </w:r>
          </w:p>
        </w:tc>
        <w:tc>
          <w:tcPr>
            <w:tcW w:w="1145"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-2.8%</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-3.8%</w:t>
            </w:r>
          </w:p>
        </w:tc>
        <w:tc>
          <w:tcPr>
            <w:tcW w:w="794"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-0.5%</w:t>
            </w:r>
          </w:p>
        </w:tc>
        <w:tc>
          <w:tcPr>
            <w:tcW w:w="222"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r>
      <w:tr w:rsidR="00E43C45" w:rsidRPr="00E56BFD" w:rsidTr="00E43C45">
        <w:trPr>
          <w:trHeight w:val="224"/>
        </w:trPr>
        <w:tc>
          <w:tcPr>
            <w:tcW w:w="3953" w:type="dxa"/>
            <w:tcBorders>
              <w:top w:val="nil"/>
              <w:left w:val="single" w:sz="4" w:space="0" w:color="auto"/>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right"/>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Quietness of Hospital Environment</w:t>
            </w:r>
          </w:p>
        </w:tc>
        <w:tc>
          <w:tcPr>
            <w:tcW w:w="1102"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1.6%</w:t>
            </w:r>
          </w:p>
        </w:tc>
        <w:tc>
          <w:tcPr>
            <w:tcW w:w="81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2.5%</w:t>
            </w:r>
          </w:p>
        </w:tc>
        <w:tc>
          <w:tcPr>
            <w:tcW w:w="745"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-0.1%</w:t>
            </w:r>
          </w:p>
        </w:tc>
        <w:tc>
          <w:tcPr>
            <w:tcW w:w="1145"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-8.6%</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-5.6%</w:t>
            </w:r>
          </w:p>
        </w:tc>
        <w:tc>
          <w:tcPr>
            <w:tcW w:w="794"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-6.4%</w:t>
            </w:r>
          </w:p>
        </w:tc>
        <w:tc>
          <w:tcPr>
            <w:tcW w:w="222"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r>
      <w:tr w:rsidR="00E43C45" w:rsidRPr="00E56BFD" w:rsidTr="00E43C45">
        <w:trPr>
          <w:trHeight w:val="224"/>
        </w:trPr>
        <w:tc>
          <w:tcPr>
            <w:tcW w:w="9269" w:type="dxa"/>
            <w:gridSpan w:val="11"/>
            <w:tcBorders>
              <w:top w:val="single" w:sz="4" w:space="0" w:color="auto"/>
              <w:left w:val="single" w:sz="4" w:space="0" w:color="auto"/>
              <w:bottom w:val="single" w:sz="4" w:space="0" w:color="auto"/>
              <w:right w:val="single" w:sz="4" w:space="0" w:color="000000"/>
            </w:tcBorders>
            <w:shd w:val="clear" w:color="000000" w:fill="D9D9D9"/>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HCAHPS Global Items</w:t>
            </w:r>
          </w:p>
        </w:tc>
        <w:tc>
          <w:tcPr>
            <w:tcW w:w="222"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r>
      <w:tr w:rsidR="00E43C45" w:rsidRPr="00E56BFD" w:rsidTr="00E43C45">
        <w:trPr>
          <w:trHeight w:val="224"/>
        </w:trPr>
        <w:tc>
          <w:tcPr>
            <w:tcW w:w="3953" w:type="dxa"/>
            <w:tcBorders>
              <w:top w:val="nil"/>
              <w:left w:val="single" w:sz="4" w:space="0" w:color="auto"/>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right"/>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Overall Hospital Rating</w:t>
            </w:r>
          </w:p>
        </w:tc>
        <w:tc>
          <w:tcPr>
            <w:tcW w:w="1102"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1.6%</w:t>
            </w:r>
          </w:p>
        </w:tc>
        <w:tc>
          <w:tcPr>
            <w:tcW w:w="81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1.3%</w:t>
            </w:r>
          </w:p>
        </w:tc>
        <w:tc>
          <w:tcPr>
            <w:tcW w:w="745"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-0.5%</w:t>
            </w:r>
          </w:p>
        </w:tc>
        <w:tc>
          <w:tcPr>
            <w:tcW w:w="1145"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-2.0%</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-3.0%</w:t>
            </w:r>
          </w:p>
        </w:tc>
        <w:tc>
          <w:tcPr>
            <w:tcW w:w="794"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4.0%</w:t>
            </w:r>
          </w:p>
        </w:tc>
        <w:tc>
          <w:tcPr>
            <w:tcW w:w="222"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r>
      <w:tr w:rsidR="00E43C45" w:rsidRPr="00E56BFD" w:rsidTr="00E43C45">
        <w:trPr>
          <w:trHeight w:val="224"/>
        </w:trPr>
        <w:tc>
          <w:tcPr>
            <w:tcW w:w="3953" w:type="dxa"/>
            <w:tcBorders>
              <w:top w:val="nil"/>
              <w:left w:val="single" w:sz="4" w:space="0" w:color="auto"/>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right"/>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Recommend the Hospital</w:t>
            </w:r>
          </w:p>
        </w:tc>
        <w:tc>
          <w:tcPr>
            <w:tcW w:w="1102"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0.6%</w:t>
            </w:r>
          </w:p>
        </w:tc>
        <w:tc>
          <w:tcPr>
            <w:tcW w:w="81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0.9%</w:t>
            </w:r>
          </w:p>
        </w:tc>
        <w:tc>
          <w:tcPr>
            <w:tcW w:w="745"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-1.8%</w:t>
            </w:r>
          </w:p>
        </w:tc>
        <w:tc>
          <w:tcPr>
            <w:tcW w:w="1145" w:type="dxa"/>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-3.5%</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-2.1%</w:t>
            </w:r>
          </w:p>
        </w:tc>
        <w:tc>
          <w:tcPr>
            <w:tcW w:w="794" w:type="dxa"/>
            <w:gridSpan w:val="2"/>
            <w:tcBorders>
              <w:top w:val="nil"/>
              <w:left w:val="nil"/>
              <w:bottom w:val="single" w:sz="4" w:space="0" w:color="auto"/>
              <w:right w:val="single" w:sz="4" w:space="0" w:color="auto"/>
            </w:tcBorders>
            <w:shd w:val="clear" w:color="auto" w:fill="auto"/>
            <w:noWrap/>
            <w:vAlign w:val="bottom"/>
            <w:hideMark/>
          </w:tcPr>
          <w:p w:rsidR="00E43C45" w:rsidRPr="00E56BFD" w:rsidRDefault="00E43C45" w:rsidP="00E43C45">
            <w:pPr>
              <w:spacing w:after="0" w:line="240" w:lineRule="auto"/>
              <w:jc w:val="center"/>
              <w:rPr>
                <w:rFonts w:ascii="Calibri" w:eastAsia="Times New Roman" w:hAnsi="Calibri" w:cs="Times New Roman"/>
                <w:color w:val="000000"/>
                <w:sz w:val="18"/>
                <w:szCs w:val="18"/>
              </w:rPr>
            </w:pPr>
            <w:r w:rsidRPr="00E56BFD">
              <w:rPr>
                <w:rFonts w:ascii="Calibri" w:eastAsia="Times New Roman" w:hAnsi="Calibri" w:cs="Times New Roman"/>
                <w:color w:val="000000"/>
                <w:sz w:val="18"/>
                <w:szCs w:val="18"/>
              </w:rPr>
              <w:t>0.1%</w:t>
            </w:r>
          </w:p>
        </w:tc>
        <w:tc>
          <w:tcPr>
            <w:tcW w:w="222" w:type="dxa"/>
            <w:tcBorders>
              <w:top w:val="nil"/>
              <w:left w:val="nil"/>
              <w:bottom w:val="nil"/>
              <w:right w:val="nil"/>
            </w:tcBorders>
            <w:shd w:val="clear" w:color="auto" w:fill="auto"/>
            <w:noWrap/>
            <w:vAlign w:val="bottom"/>
            <w:hideMark/>
          </w:tcPr>
          <w:p w:rsidR="00E43C45" w:rsidRPr="00E56BFD" w:rsidRDefault="00E43C45" w:rsidP="00E43C45">
            <w:pPr>
              <w:spacing w:after="0" w:line="240" w:lineRule="auto"/>
              <w:rPr>
                <w:rFonts w:ascii="Calibri" w:eastAsia="Times New Roman" w:hAnsi="Calibri" w:cs="Times New Roman"/>
                <w:color w:val="000000"/>
                <w:sz w:val="18"/>
                <w:szCs w:val="18"/>
              </w:rPr>
            </w:pPr>
          </w:p>
        </w:tc>
      </w:tr>
    </w:tbl>
    <w:p w:rsidR="009F457D" w:rsidRPr="008C4D75" w:rsidRDefault="009F457D" w:rsidP="00092566">
      <w:pPr>
        <w:autoSpaceDE w:val="0"/>
        <w:autoSpaceDN w:val="0"/>
        <w:adjustRightInd w:val="0"/>
        <w:spacing w:after="0" w:line="240" w:lineRule="auto"/>
        <w:rPr>
          <w:rFonts w:ascii="Palatino Linotype" w:hAnsi="Palatino Linotype" w:cstheme="minorHAnsi"/>
          <w:bCs/>
          <w:i/>
          <w:sz w:val="20"/>
          <w:szCs w:val="20"/>
        </w:rPr>
      </w:pPr>
    </w:p>
    <w:p w:rsidR="007A754F" w:rsidRDefault="009F457D" w:rsidP="00092566">
      <w:pPr>
        <w:autoSpaceDE w:val="0"/>
        <w:autoSpaceDN w:val="0"/>
        <w:adjustRightInd w:val="0"/>
        <w:spacing w:after="0" w:line="240" w:lineRule="auto"/>
        <w:rPr>
          <w:rFonts w:ascii="Palatino Linotype" w:hAnsi="Palatino Linotype" w:cstheme="minorHAnsi"/>
          <w:bCs/>
          <w:i/>
          <w:sz w:val="20"/>
          <w:szCs w:val="20"/>
        </w:rPr>
      </w:pPr>
      <w:r w:rsidRPr="008C4D75">
        <w:rPr>
          <w:rFonts w:ascii="Palatino Linotype" w:hAnsi="Palatino Linotype" w:cstheme="minorHAnsi"/>
          <w:bCs/>
          <w:i/>
          <w:sz w:val="20"/>
          <w:szCs w:val="20"/>
        </w:rPr>
        <w:t xml:space="preserve">Current patient-mix adjustments </w:t>
      </w:r>
      <w:r w:rsidR="00E43C45">
        <w:rPr>
          <w:rFonts w:ascii="Palatino Linotype" w:hAnsi="Palatino Linotype" w:cstheme="minorHAnsi"/>
          <w:bCs/>
          <w:i/>
          <w:sz w:val="20"/>
          <w:szCs w:val="20"/>
        </w:rPr>
        <w:t>shown on page 31 (</w:t>
      </w:r>
      <w:r w:rsidR="00E82EB8">
        <w:rPr>
          <w:rFonts w:ascii="Palatino Linotype" w:hAnsi="Palatino Linotype" w:cstheme="minorHAnsi"/>
          <w:bCs/>
          <w:i/>
          <w:sz w:val="20"/>
          <w:szCs w:val="20"/>
        </w:rPr>
        <w:t>“</w:t>
      </w:r>
      <w:r w:rsidR="00E82EB8" w:rsidRPr="00E82EB8">
        <w:rPr>
          <w:rFonts w:ascii="Palatino Linotype" w:hAnsi="Palatino Linotype" w:cstheme="minorHAnsi"/>
          <w:bCs/>
          <w:i/>
          <w:sz w:val="20"/>
          <w:szCs w:val="20"/>
        </w:rPr>
        <w:t>Table 1: HCAHPS Patient-Mix Adjustments of Top-Box</w:t>
      </w:r>
      <w:r w:rsidR="00E82EB8">
        <w:rPr>
          <w:rFonts w:ascii="Palatino Linotype" w:hAnsi="Palatino Linotype" w:cstheme="minorHAnsi"/>
          <w:bCs/>
          <w:i/>
          <w:sz w:val="20"/>
          <w:szCs w:val="20"/>
        </w:rPr>
        <w:t>”)</w:t>
      </w:r>
      <w:r w:rsidR="00E82EB8" w:rsidRPr="001515A2">
        <w:t xml:space="preserve"> </w:t>
      </w:r>
      <w:r w:rsidRPr="008C4D75">
        <w:rPr>
          <w:rFonts w:ascii="Palatino Linotype" w:hAnsi="Palatino Linotype" w:cstheme="minorHAnsi"/>
          <w:bCs/>
          <w:i/>
          <w:sz w:val="20"/>
          <w:szCs w:val="20"/>
        </w:rPr>
        <w:t>can be found at</w:t>
      </w:r>
      <w:r w:rsidR="00E82EB8">
        <w:rPr>
          <w:rFonts w:ascii="Palatino Linotype" w:hAnsi="Palatino Linotype" w:cstheme="minorHAnsi"/>
          <w:bCs/>
          <w:i/>
          <w:sz w:val="20"/>
          <w:szCs w:val="20"/>
        </w:rPr>
        <w:t>:</w:t>
      </w:r>
    </w:p>
    <w:p w:rsidR="00CB40F1" w:rsidRDefault="00244A95" w:rsidP="00092566">
      <w:pPr>
        <w:autoSpaceDE w:val="0"/>
        <w:autoSpaceDN w:val="0"/>
        <w:adjustRightInd w:val="0"/>
        <w:spacing w:after="0" w:line="240" w:lineRule="auto"/>
        <w:rPr>
          <w:rFonts w:ascii="Palatino Linotype" w:hAnsi="Palatino Linotype" w:cstheme="minorHAnsi"/>
          <w:bCs/>
          <w:i/>
          <w:sz w:val="20"/>
          <w:szCs w:val="20"/>
        </w:rPr>
      </w:pPr>
      <w:hyperlink r:id="rId22" w:history="1">
        <w:r w:rsidR="00FA3F3B" w:rsidRPr="00BA6E58">
          <w:rPr>
            <w:rStyle w:val="Hyperlink"/>
            <w:rFonts w:ascii="Palatino Linotype" w:hAnsi="Palatino Linotype" w:cstheme="minorHAnsi"/>
            <w:bCs/>
            <w:i/>
            <w:sz w:val="20"/>
            <w:szCs w:val="20"/>
          </w:rPr>
          <w:t>https://www.hcahpsonline.org/globalassets/hcahps/mode-patient-mix-adjustment/january_2019_-mode--patient-mix-adj_pma.pdf</w:t>
        </w:r>
      </w:hyperlink>
    </w:p>
    <w:p w:rsidR="00FA3F3B" w:rsidRPr="008C4D75" w:rsidRDefault="00FA3F3B" w:rsidP="00092566">
      <w:pPr>
        <w:autoSpaceDE w:val="0"/>
        <w:autoSpaceDN w:val="0"/>
        <w:adjustRightInd w:val="0"/>
        <w:spacing w:after="0" w:line="240" w:lineRule="auto"/>
        <w:rPr>
          <w:rFonts w:ascii="Palatino Linotype" w:hAnsi="Palatino Linotype" w:cstheme="minorHAnsi"/>
          <w:bCs/>
          <w:i/>
          <w:sz w:val="20"/>
          <w:szCs w:val="20"/>
        </w:rPr>
      </w:pPr>
    </w:p>
    <w:p w:rsidR="009F457D" w:rsidRPr="008C4D75" w:rsidRDefault="009F457D" w:rsidP="00092566">
      <w:pPr>
        <w:autoSpaceDE w:val="0"/>
        <w:autoSpaceDN w:val="0"/>
        <w:adjustRightInd w:val="0"/>
        <w:spacing w:after="0" w:line="240" w:lineRule="auto"/>
        <w:rPr>
          <w:rFonts w:cstheme="minorHAnsi"/>
          <w:b/>
          <w:bCs/>
          <w:i/>
          <w:sz w:val="20"/>
          <w:szCs w:val="20"/>
        </w:rPr>
      </w:pPr>
    </w:p>
    <w:p w:rsidR="001F4150" w:rsidRPr="008C4D75" w:rsidRDefault="00743E46" w:rsidP="001F4150">
      <w:pPr>
        <w:autoSpaceDE w:val="0"/>
        <w:autoSpaceDN w:val="0"/>
        <w:adjustRightInd w:val="0"/>
        <w:spacing w:after="0" w:line="240" w:lineRule="auto"/>
        <w:rPr>
          <w:rFonts w:ascii="Palatino Linotype" w:hAnsi="Palatino Linotype" w:cs="Times New Roman"/>
          <w:bCs/>
          <w:i/>
          <w:color w:val="000000"/>
          <w:sz w:val="20"/>
          <w:szCs w:val="20"/>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1F4150">
        <w:rPr>
          <w:rFonts w:cstheme="minorHAnsi"/>
          <w:b/>
          <w:bCs/>
        </w:rPr>
        <w:br/>
      </w:r>
      <w:r w:rsidR="001F4150" w:rsidRPr="008C4D75">
        <w:rPr>
          <w:rFonts w:ascii="Palatino Linotype" w:hAnsi="Palatino Linotype" w:cs="Times New Roman"/>
          <w:bCs/>
          <w:i/>
          <w:sz w:val="20"/>
          <w:szCs w:val="20"/>
        </w:rPr>
        <w:t>Please see:</w:t>
      </w:r>
      <w:r w:rsidR="006C2A23">
        <w:rPr>
          <w:rFonts w:ascii="Palatino Linotype" w:hAnsi="Palatino Linotype" w:cs="Times New Roman"/>
          <w:bCs/>
          <w:i/>
          <w:sz w:val="20"/>
          <w:szCs w:val="20"/>
        </w:rPr>
        <w:t xml:space="preserve">  </w:t>
      </w:r>
      <w:r w:rsidR="001F4150" w:rsidRPr="008C4D75">
        <w:rPr>
          <w:rFonts w:ascii="Palatino Linotype" w:hAnsi="Palatino Linotype" w:cs="Times New Roman"/>
          <w:bCs/>
          <w:i/>
          <w:color w:val="000000"/>
          <w:sz w:val="20"/>
          <w:szCs w:val="20"/>
        </w:rPr>
        <w:t>Mode and Patient-mix Adjustment of the CAHPS</w:t>
      </w:r>
      <w:r w:rsidR="001F4150" w:rsidRPr="008C4D75">
        <w:rPr>
          <w:rFonts w:ascii="Palatino Linotype" w:hAnsi="Palatino Linotype" w:cs="Times New Roman"/>
          <w:bCs/>
          <w:i/>
          <w:color w:val="000000"/>
          <w:position w:val="10"/>
          <w:sz w:val="20"/>
          <w:szCs w:val="20"/>
          <w:vertAlign w:val="superscript"/>
        </w:rPr>
        <w:t xml:space="preserve">® </w:t>
      </w:r>
      <w:r w:rsidR="001F4150" w:rsidRPr="008C4D75">
        <w:rPr>
          <w:rFonts w:ascii="Palatino Linotype" w:hAnsi="Palatino Linotype" w:cs="Times New Roman"/>
          <w:bCs/>
          <w:i/>
          <w:color w:val="000000"/>
          <w:sz w:val="20"/>
          <w:szCs w:val="20"/>
        </w:rPr>
        <w:t>Hospital Survey (HCAHPS)</w:t>
      </w:r>
    </w:p>
    <w:p w:rsidR="001F4150" w:rsidRDefault="00244A95" w:rsidP="001F4150">
      <w:pPr>
        <w:autoSpaceDE w:val="0"/>
        <w:autoSpaceDN w:val="0"/>
        <w:adjustRightInd w:val="0"/>
        <w:spacing w:after="0" w:line="240" w:lineRule="auto"/>
        <w:rPr>
          <w:rFonts w:ascii="Palatino Linotype" w:hAnsi="Palatino Linotype" w:cs="Times New Roman"/>
          <w:bCs/>
          <w:i/>
          <w:color w:val="000000"/>
          <w:sz w:val="20"/>
          <w:szCs w:val="20"/>
        </w:rPr>
      </w:pPr>
      <w:hyperlink r:id="rId23" w:history="1">
        <w:r w:rsidR="001F4150" w:rsidRPr="008C4D75">
          <w:rPr>
            <w:rStyle w:val="Hyperlink"/>
            <w:rFonts w:ascii="Palatino Linotype" w:hAnsi="Palatino Linotype" w:cs="Times New Roman"/>
            <w:bCs/>
            <w:i/>
            <w:sz w:val="20"/>
            <w:szCs w:val="20"/>
          </w:rPr>
          <w:t>http://www.hcahpsonline.org/globalassets/hcahps/mode-patient-mix-adjustment/final-draft-description-of-hcahps-mode-and-pma-with-bottom-box-modedoc-april-30-2008.pdf</w:t>
        </w:r>
      </w:hyperlink>
      <w:r w:rsidR="001F4150" w:rsidRPr="008C4D75">
        <w:rPr>
          <w:rFonts w:ascii="Palatino Linotype" w:hAnsi="Palatino Linotype" w:cs="Times New Roman"/>
          <w:bCs/>
          <w:i/>
          <w:color w:val="000000"/>
          <w:sz w:val="20"/>
          <w:szCs w:val="20"/>
        </w:rPr>
        <w:t xml:space="preserve"> </w:t>
      </w:r>
    </w:p>
    <w:p w:rsidR="00141E14" w:rsidRDefault="00141E14" w:rsidP="001F4150">
      <w:pPr>
        <w:autoSpaceDE w:val="0"/>
        <w:autoSpaceDN w:val="0"/>
        <w:adjustRightInd w:val="0"/>
        <w:spacing w:after="0" w:line="240" w:lineRule="auto"/>
        <w:rPr>
          <w:rFonts w:ascii="Palatino Linotype" w:hAnsi="Palatino Linotype" w:cs="Times New Roman"/>
          <w:bCs/>
          <w:i/>
          <w:color w:val="000000"/>
          <w:sz w:val="20"/>
          <w:szCs w:val="20"/>
        </w:rPr>
      </w:pPr>
    </w:p>
    <w:p w:rsidR="00F4543E" w:rsidRDefault="00696C17" w:rsidP="00696C17">
      <w:pPr>
        <w:autoSpaceDE w:val="0"/>
        <w:autoSpaceDN w:val="0"/>
        <w:adjustRightInd w:val="0"/>
        <w:spacing w:after="0" w:line="240" w:lineRule="auto"/>
        <w:rPr>
          <w:rFonts w:ascii="Palatino Linotype" w:hAnsi="Palatino Linotype" w:cs="Times New Roman"/>
          <w:bCs/>
          <w:i/>
          <w:color w:val="000000"/>
          <w:sz w:val="20"/>
          <w:szCs w:val="20"/>
        </w:rPr>
      </w:pPr>
      <w:r>
        <w:rPr>
          <w:rFonts w:ascii="Palatino Linotype" w:hAnsi="Palatino Linotype" w:cs="Times New Roman"/>
          <w:bCs/>
          <w:i/>
          <w:color w:val="000000"/>
          <w:sz w:val="20"/>
          <w:szCs w:val="20"/>
        </w:rPr>
        <w:t>From cited publication below:</w:t>
      </w:r>
    </w:p>
    <w:p w:rsidR="00696C17" w:rsidRPr="00215758" w:rsidRDefault="00696C17" w:rsidP="00696C17">
      <w:pPr>
        <w:autoSpaceDE w:val="0"/>
        <w:autoSpaceDN w:val="0"/>
        <w:adjustRightInd w:val="0"/>
        <w:spacing w:after="0" w:line="240" w:lineRule="auto"/>
        <w:rPr>
          <w:rFonts w:ascii="Palatino Linotype" w:hAnsi="Palatino Linotype" w:cs="Times New Roman"/>
          <w:bCs/>
          <w:i/>
          <w:color w:val="000000"/>
          <w:sz w:val="20"/>
          <w:szCs w:val="20"/>
        </w:rPr>
      </w:pPr>
      <w:r w:rsidRPr="00215758">
        <w:rPr>
          <w:rFonts w:ascii="Palatino Linotype" w:hAnsi="Palatino Linotype" w:cs="Times New Roman"/>
          <w:bCs/>
          <w:i/>
          <w:color w:val="000000"/>
          <w:sz w:val="20"/>
          <w:szCs w:val="20"/>
        </w:rPr>
        <w:t>We use linear rather than logistic regression models because they are almost</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identical when sample sizes are large and outcomes are predominantly between</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20 and 80 percent (as is the case here) and because linear regression</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supports simple linear adjustments and va</w:t>
      </w:r>
      <w:r>
        <w:rPr>
          <w:rFonts w:ascii="Palatino Linotype" w:hAnsi="Palatino Linotype" w:cs="Times New Roman"/>
          <w:bCs/>
          <w:i/>
          <w:color w:val="000000"/>
          <w:sz w:val="20"/>
          <w:szCs w:val="20"/>
        </w:rPr>
        <w:t xml:space="preserve">riance decompositions. For composite </w:t>
      </w:r>
      <w:r w:rsidRPr="00215758">
        <w:rPr>
          <w:rFonts w:ascii="Palatino Linotype" w:hAnsi="Palatino Linotype" w:cs="Times New Roman"/>
          <w:bCs/>
          <w:i/>
          <w:color w:val="000000"/>
          <w:sz w:val="20"/>
          <w:szCs w:val="20"/>
        </w:rPr>
        <w:t>scores, we report the average of the coefficient</w:t>
      </w:r>
      <w:r>
        <w:rPr>
          <w:rFonts w:ascii="Palatino Linotype" w:hAnsi="Palatino Linotype" w:cs="Times New Roman"/>
          <w:bCs/>
          <w:i/>
          <w:color w:val="000000"/>
          <w:sz w:val="20"/>
          <w:szCs w:val="20"/>
        </w:rPr>
        <w:t xml:space="preserve">s in models for the constituent </w:t>
      </w:r>
      <w:r w:rsidRPr="00215758">
        <w:rPr>
          <w:rFonts w:ascii="Palatino Linotype" w:hAnsi="Palatino Linotype" w:cs="Times New Roman"/>
          <w:bCs/>
          <w:i/>
          <w:color w:val="000000"/>
          <w:sz w:val="20"/>
          <w:szCs w:val="20"/>
        </w:rPr>
        <w:t xml:space="preserve">report items, which is consistent with the method </w:t>
      </w:r>
      <w:r>
        <w:rPr>
          <w:rFonts w:ascii="Palatino Linotype" w:hAnsi="Palatino Linotype" w:cs="Times New Roman"/>
          <w:bCs/>
          <w:i/>
          <w:color w:val="000000"/>
          <w:sz w:val="20"/>
          <w:szCs w:val="20"/>
        </w:rPr>
        <w:t xml:space="preserve">used to adjust these composites </w:t>
      </w:r>
      <w:r w:rsidRPr="00215758">
        <w:rPr>
          <w:rFonts w:ascii="Palatino Linotype" w:hAnsi="Palatino Linotype" w:cs="Times New Roman"/>
          <w:bCs/>
          <w:i/>
          <w:color w:val="000000"/>
          <w:sz w:val="20"/>
          <w:szCs w:val="20"/>
        </w:rPr>
        <w:t>for public reporting. To characte</w:t>
      </w:r>
      <w:r>
        <w:rPr>
          <w:rFonts w:ascii="Palatino Linotype" w:hAnsi="Palatino Linotype" w:cs="Times New Roman"/>
          <w:bCs/>
          <w:i/>
          <w:color w:val="000000"/>
          <w:sz w:val="20"/>
          <w:szCs w:val="20"/>
        </w:rPr>
        <w:t xml:space="preserve">rize the importance of </w:t>
      </w:r>
      <w:r w:rsidRPr="00215758">
        <w:rPr>
          <w:rFonts w:ascii="Palatino Linotype" w:hAnsi="Palatino Linotype" w:cs="Times New Roman"/>
          <w:bCs/>
          <w:i/>
          <w:color w:val="000000"/>
          <w:sz w:val="20"/>
          <w:szCs w:val="20"/>
        </w:rPr>
        <w:t>patient characteristic adjustments, we standardi</w:t>
      </w:r>
      <w:r>
        <w:rPr>
          <w:rFonts w:ascii="Palatino Linotype" w:hAnsi="Palatino Linotype" w:cs="Times New Roman"/>
          <w:bCs/>
          <w:i/>
          <w:color w:val="000000"/>
          <w:sz w:val="20"/>
          <w:szCs w:val="20"/>
        </w:rPr>
        <w:t xml:space="preserve">ze the coefficients in units of </w:t>
      </w:r>
      <w:r w:rsidRPr="00215758">
        <w:rPr>
          <w:rFonts w:ascii="Palatino Linotype" w:hAnsi="Palatino Linotype" w:cs="Times New Roman"/>
          <w:bCs/>
          <w:i/>
          <w:color w:val="000000"/>
          <w:sz w:val="20"/>
          <w:szCs w:val="20"/>
        </w:rPr>
        <w:t xml:space="preserve">hospital-level SDs for each outcome. Thus, these </w:t>
      </w:r>
      <w:r>
        <w:rPr>
          <w:rFonts w:ascii="Palatino Linotype" w:hAnsi="Palatino Linotype" w:cs="Times New Roman"/>
          <w:bCs/>
          <w:i/>
          <w:color w:val="000000"/>
          <w:sz w:val="20"/>
          <w:szCs w:val="20"/>
        </w:rPr>
        <w:t xml:space="preserve">coefficients can be interpreted </w:t>
      </w:r>
      <w:r w:rsidRPr="00215758">
        <w:rPr>
          <w:rFonts w:ascii="Palatino Linotype" w:hAnsi="Palatino Linotype" w:cs="Times New Roman"/>
          <w:bCs/>
          <w:i/>
          <w:color w:val="000000"/>
          <w:sz w:val="20"/>
          <w:szCs w:val="20"/>
        </w:rPr>
        <w:t xml:space="preserve">as the change in hospital ranking (in SD) </w:t>
      </w:r>
      <w:r>
        <w:rPr>
          <w:rFonts w:ascii="Palatino Linotype" w:hAnsi="Palatino Linotype" w:cs="Times New Roman"/>
          <w:bCs/>
          <w:i/>
          <w:color w:val="000000"/>
          <w:sz w:val="20"/>
          <w:szCs w:val="20"/>
        </w:rPr>
        <w:t>on a given outcome attributable to</w:t>
      </w:r>
      <w:r w:rsidRPr="00215758">
        <w:rPr>
          <w:rFonts w:ascii="Palatino Linotype" w:hAnsi="Palatino Linotype" w:cs="Times New Roman"/>
          <w:bCs/>
          <w:i/>
          <w:color w:val="000000"/>
          <w:sz w:val="20"/>
          <w:szCs w:val="20"/>
        </w:rPr>
        <w:t xml:space="preserve"> the change in hos</w:t>
      </w:r>
      <w:r>
        <w:rPr>
          <w:rFonts w:ascii="Palatino Linotype" w:hAnsi="Palatino Linotype" w:cs="Times New Roman"/>
          <w:bCs/>
          <w:i/>
          <w:color w:val="000000"/>
          <w:sz w:val="20"/>
          <w:szCs w:val="20"/>
        </w:rPr>
        <w:t xml:space="preserve">pital ranking associated with a </w:t>
      </w:r>
      <w:r w:rsidRPr="00215758">
        <w:rPr>
          <w:rFonts w:ascii="Palatino Linotype" w:hAnsi="Palatino Linotype" w:cs="Times New Roman"/>
          <w:bCs/>
          <w:i/>
          <w:color w:val="000000"/>
          <w:sz w:val="20"/>
          <w:szCs w:val="20"/>
        </w:rPr>
        <w:t>one-unit deviation from the overall hospital mean in a single hospital’</w:t>
      </w:r>
      <w:r>
        <w:rPr>
          <w:rFonts w:ascii="Palatino Linotype" w:hAnsi="Palatino Linotype" w:cs="Times New Roman"/>
          <w:bCs/>
          <w:i/>
          <w:color w:val="000000"/>
          <w:sz w:val="20"/>
          <w:szCs w:val="20"/>
        </w:rPr>
        <w:t xml:space="preserve">s mean </w:t>
      </w:r>
      <w:r w:rsidRPr="00215758">
        <w:rPr>
          <w:rFonts w:ascii="Palatino Linotype" w:hAnsi="Palatino Linotype" w:cs="Times New Roman"/>
          <w:bCs/>
          <w:i/>
          <w:color w:val="000000"/>
          <w:sz w:val="20"/>
          <w:szCs w:val="20"/>
        </w:rPr>
        <w:t xml:space="preserve">value for a patient-mix variable, holding other </w:t>
      </w:r>
      <w:r>
        <w:rPr>
          <w:rFonts w:ascii="Palatino Linotype" w:hAnsi="Palatino Linotype" w:cs="Times New Roman"/>
          <w:bCs/>
          <w:i/>
          <w:color w:val="000000"/>
          <w:sz w:val="20"/>
          <w:szCs w:val="20"/>
        </w:rPr>
        <w:t xml:space="preserve">patient-mix variables constant. </w:t>
      </w:r>
      <w:r w:rsidRPr="00215758">
        <w:rPr>
          <w:rFonts w:ascii="Palatino Linotype" w:hAnsi="Palatino Linotype" w:cs="Times New Roman"/>
          <w:bCs/>
          <w:i/>
          <w:color w:val="000000"/>
          <w:sz w:val="20"/>
          <w:szCs w:val="20"/>
        </w:rPr>
        <w:t>Explanatory power (Zaslavsky 1998) was used to</w:t>
      </w:r>
      <w:r>
        <w:rPr>
          <w:rFonts w:ascii="Palatino Linotype" w:hAnsi="Palatino Linotype" w:cs="Times New Roman"/>
          <w:bCs/>
          <w:i/>
          <w:color w:val="000000"/>
          <w:sz w:val="20"/>
          <w:szCs w:val="20"/>
        </w:rPr>
        <w:t xml:space="preserve"> assess the relative importance </w:t>
      </w:r>
      <w:r w:rsidRPr="00215758">
        <w:rPr>
          <w:rFonts w:ascii="Palatino Linotype" w:hAnsi="Palatino Linotype" w:cs="Times New Roman"/>
          <w:bCs/>
          <w:i/>
          <w:color w:val="000000"/>
          <w:sz w:val="20"/>
          <w:szCs w:val="20"/>
        </w:rPr>
        <w:t>of individual PMA variables to hospita</w:t>
      </w:r>
      <w:r>
        <w:rPr>
          <w:rFonts w:ascii="Palatino Linotype" w:hAnsi="Palatino Linotype" w:cs="Times New Roman"/>
          <w:bCs/>
          <w:i/>
          <w:color w:val="000000"/>
          <w:sz w:val="20"/>
          <w:szCs w:val="20"/>
        </w:rPr>
        <w:t xml:space="preserve">l-level adjustment. Explanatory </w:t>
      </w:r>
      <w:r w:rsidRPr="00215758">
        <w:rPr>
          <w:rFonts w:ascii="Palatino Linotype" w:hAnsi="Palatino Linotype" w:cs="Times New Roman"/>
          <w:bCs/>
          <w:i/>
          <w:color w:val="000000"/>
          <w:sz w:val="20"/>
          <w:szCs w:val="20"/>
        </w:rPr>
        <w:t>power is the product of two components</w:t>
      </w:r>
      <w:r>
        <w:rPr>
          <w:rFonts w:ascii="Palatino Linotype" w:hAnsi="Palatino Linotype" w:cs="Times New Roman"/>
          <w:bCs/>
          <w:i/>
          <w:color w:val="000000"/>
          <w:sz w:val="20"/>
          <w:szCs w:val="20"/>
        </w:rPr>
        <w:t xml:space="preserve">: (1) the individual predictive </w:t>
      </w:r>
      <w:r w:rsidRPr="00215758">
        <w:rPr>
          <w:rFonts w:ascii="Palatino Linotype" w:hAnsi="Palatino Linotype" w:cs="Times New Roman"/>
          <w:bCs/>
          <w:i/>
          <w:color w:val="000000"/>
          <w:sz w:val="20"/>
          <w:szCs w:val="20"/>
        </w:rPr>
        <w:t>power of a PMA variable (as measured by the improvement in R2 attributable</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to a candidate predictor) and (2) the hospital-level heterogeneity of a PMA</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variable.</w:t>
      </w:r>
    </w:p>
    <w:p w:rsidR="00696C17" w:rsidRDefault="00696C17" w:rsidP="00696C17">
      <w:pPr>
        <w:autoSpaceDE w:val="0"/>
        <w:autoSpaceDN w:val="0"/>
        <w:adjustRightInd w:val="0"/>
        <w:spacing w:after="0" w:line="240" w:lineRule="auto"/>
        <w:rPr>
          <w:rFonts w:ascii="Palatino Linotype" w:hAnsi="Palatino Linotype" w:cs="Times New Roman"/>
          <w:bCs/>
          <w:i/>
          <w:color w:val="000000"/>
          <w:sz w:val="20"/>
          <w:szCs w:val="20"/>
        </w:rPr>
      </w:pPr>
    </w:p>
    <w:p w:rsidR="00696C17" w:rsidRDefault="00696C17" w:rsidP="00696C17">
      <w:pPr>
        <w:autoSpaceDE w:val="0"/>
        <w:autoSpaceDN w:val="0"/>
        <w:adjustRightInd w:val="0"/>
        <w:spacing w:after="0" w:line="240" w:lineRule="auto"/>
        <w:rPr>
          <w:rFonts w:ascii="Palatino Linotype" w:hAnsi="Palatino Linotype" w:cs="Times New Roman"/>
          <w:bCs/>
          <w:i/>
          <w:color w:val="000000"/>
          <w:sz w:val="20"/>
          <w:szCs w:val="20"/>
        </w:rPr>
      </w:pPr>
      <w:r w:rsidRPr="00215758">
        <w:rPr>
          <w:rFonts w:ascii="Palatino Linotype" w:hAnsi="Palatino Linotype" w:cs="Times New Roman"/>
          <w:bCs/>
          <w:i/>
          <w:color w:val="000000"/>
          <w:sz w:val="20"/>
          <w:szCs w:val="20"/>
        </w:rPr>
        <w:t>Explanatory power was greatest for self-reported health status, followed</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by education, service line, age, emergency room admission, and response</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 xml:space="preserve">order percentile (results not shown). </w:t>
      </w:r>
      <w:r>
        <w:rPr>
          <w:rFonts w:ascii="Palatino Linotype" w:hAnsi="Palatino Linotype" w:cs="Times New Roman"/>
          <w:bCs/>
          <w:i/>
          <w:color w:val="000000"/>
          <w:sz w:val="20"/>
          <w:szCs w:val="20"/>
        </w:rPr>
        <w:t>T</w:t>
      </w:r>
      <w:r w:rsidRPr="00215758">
        <w:rPr>
          <w:rFonts w:ascii="Palatino Linotype" w:hAnsi="Palatino Linotype" w:cs="Times New Roman"/>
          <w:bCs/>
          <w:i/>
          <w:color w:val="000000"/>
          <w:sz w:val="20"/>
          <w:szCs w:val="20"/>
        </w:rPr>
        <w:t>he SD of total</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adjustment from</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PMA</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in terms of hospital-level SDs</w:t>
      </w:r>
      <w:r w:rsidR="0016277B">
        <w:rPr>
          <w:rFonts w:ascii="Palatino Linotype" w:hAnsi="Palatino Linotype" w:cs="Times New Roman"/>
          <w:bCs/>
          <w:i/>
          <w:color w:val="000000"/>
          <w:sz w:val="20"/>
          <w:szCs w:val="20"/>
        </w:rPr>
        <w:t xml:space="preserve"> </w:t>
      </w:r>
      <w:r>
        <w:rPr>
          <w:rFonts w:ascii="Palatino Linotype" w:hAnsi="Palatino Linotype" w:cs="Times New Roman"/>
          <w:bCs/>
          <w:i/>
          <w:color w:val="000000"/>
          <w:sz w:val="20"/>
          <w:szCs w:val="20"/>
        </w:rPr>
        <w:t>calculated</w:t>
      </w:r>
      <w:r w:rsidRPr="00215758">
        <w:rPr>
          <w:rFonts w:ascii="Palatino Linotype" w:hAnsi="Palatino Linotype" w:cs="Times New Roman"/>
          <w:bCs/>
          <w:i/>
          <w:color w:val="000000"/>
          <w:sz w:val="20"/>
          <w:szCs w:val="20"/>
        </w:rPr>
        <w:t>. These range from</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0.19 to</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0.50, indicating small to moderate typical adjustments.</w:t>
      </w:r>
    </w:p>
    <w:p w:rsidR="00696C17" w:rsidRDefault="00696C17" w:rsidP="00696C17">
      <w:pPr>
        <w:pStyle w:val="NoSpacing"/>
      </w:pPr>
      <w:r>
        <w:t xml:space="preserve"> </w:t>
      </w:r>
    </w:p>
    <w:p w:rsidR="00141E14" w:rsidRDefault="00696C17" w:rsidP="00696C17">
      <w:pPr>
        <w:autoSpaceDE w:val="0"/>
        <w:autoSpaceDN w:val="0"/>
        <w:adjustRightInd w:val="0"/>
        <w:spacing w:after="0" w:line="240" w:lineRule="auto"/>
        <w:rPr>
          <w:rFonts w:ascii="Palatino Linotype" w:hAnsi="Palatino Linotype"/>
          <w:bCs/>
          <w:i/>
          <w:sz w:val="20"/>
          <w:szCs w:val="20"/>
        </w:rPr>
      </w:pPr>
      <w:r w:rsidRPr="008C4D75">
        <w:rPr>
          <w:rFonts w:ascii="Palatino Linotype" w:hAnsi="Palatino Linotype"/>
          <w:bCs/>
          <w:i/>
          <w:sz w:val="20"/>
          <w:szCs w:val="20"/>
        </w:rPr>
        <w:t>“Effects of Survey Mode, Patient Mix, and Nonresponse on CAHPS</w:t>
      </w:r>
      <w:r w:rsidRPr="008C4D75">
        <w:rPr>
          <w:rFonts w:ascii="Palatino Linotype" w:hAnsi="Palatino Linotype"/>
          <w:bCs/>
          <w:i/>
          <w:sz w:val="20"/>
          <w:szCs w:val="20"/>
          <w:vertAlign w:val="superscript"/>
        </w:rPr>
        <w:t>®</w:t>
      </w:r>
      <w:r w:rsidRPr="008C4D75">
        <w:rPr>
          <w:rFonts w:ascii="Palatino Linotype" w:hAnsi="Palatino Linotype"/>
          <w:bCs/>
          <w:i/>
          <w:sz w:val="20"/>
          <w:szCs w:val="20"/>
        </w:rPr>
        <w:t xml:space="preserve"> Hospital Survey Scores.” M.N. Elliott, A.M. Zaslavsky, E. Goldstein, W. Lehrman, K. Hambarsoomian, M.K. Beckett and L. Giordano.  </w:t>
      </w:r>
      <w:r w:rsidRPr="008C4D75">
        <w:rPr>
          <w:rFonts w:ascii="Palatino Linotype" w:hAnsi="Palatino Linotype"/>
          <w:bCs/>
          <w:i/>
          <w:sz w:val="20"/>
          <w:szCs w:val="20"/>
          <w:u w:val="single"/>
        </w:rPr>
        <w:t>Health Services Research</w:t>
      </w:r>
      <w:r w:rsidRPr="008C4D75">
        <w:rPr>
          <w:rFonts w:ascii="Palatino Linotype" w:hAnsi="Palatino Linotype"/>
          <w:bCs/>
          <w:i/>
          <w:sz w:val="20"/>
          <w:szCs w:val="20"/>
        </w:rPr>
        <w:t>, 44 (2): 501-518.  2009.</w:t>
      </w:r>
    </w:p>
    <w:p w:rsidR="00141E14" w:rsidRPr="008C4D75" w:rsidRDefault="00141E14" w:rsidP="00141E14">
      <w:pPr>
        <w:autoSpaceDE w:val="0"/>
        <w:autoSpaceDN w:val="0"/>
        <w:adjustRightInd w:val="0"/>
        <w:spacing w:after="0" w:line="240" w:lineRule="auto"/>
        <w:rPr>
          <w:rFonts w:ascii="Palatino Linotype" w:hAnsi="Palatino Linotype" w:cs="Times New Roman"/>
          <w:bCs/>
          <w:i/>
          <w:color w:val="000000"/>
          <w:sz w:val="20"/>
          <w:szCs w:val="20"/>
        </w:rPr>
      </w:pPr>
    </w:p>
    <w:p w:rsidR="001F4150" w:rsidRDefault="00092566" w:rsidP="00092566">
      <w:pPr>
        <w:autoSpaceDE w:val="0"/>
        <w:autoSpaceDN w:val="0"/>
        <w:adjustRightInd w:val="0"/>
        <w:spacing w:after="0" w:line="240" w:lineRule="auto"/>
        <w:rPr>
          <w:rFonts w:cstheme="minorHAnsi"/>
          <w:bCs/>
        </w:rPr>
      </w:pPr>
      <w:r w:rsidRPr="008C4D75">
        <w:rPr>
          <w:rFonts w:cstheme="minorHAnsi"/>
          <w:b/>
          <w:sz w:val="20"/>
          <w:szCs w:val="20"/>
        </w:rPr>
        <w:br/>
      </w:r>
      <w:r w:rsidR="009C7513">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Pr="00A25024">
        <w:rPr>
          <w:rFonts w:cstheme="minorHAnsi"/>
          <w:bCs/>
        </w:rPr>
        <w:t xml:space="preserve">:  </w:t>
      </w:r>
    </w:p>
    <w:p w:rsidR="001F4150" w:rsidRPr="008C4D75" w:rsidRDefault="001F4150" w:rsidP="001F4150">
      <w:pPr>
        <w:autoSpaceDE w:val="0"/>
        <w:autoSpaceDN w:val="0"/>
        <w:adjustRightInd w:val="0"/>
        <w:spacing w:after="0" w:line="240" w:lineRule="auto"/>
        <w:rPr>
          <w:rFonts w:ascii="Palatino Linotype" w:hAnsi="Palatino Linotype" w:cs="Times New Roman"/>
          <w:bCs/>
          <w:i/>
          <w:color w:val="000000"/>
          <w:sz w:val="20"/>
          <w:szCs w:val="20"/>
        </w:rPr>
      </w:pPr>
      <w:r w:rsidRPr="008C4D75">
        <w:rPr>
          <w:rFonts w:ascii="Palatino Linotype" w:hAnsi="Palatino Linotype" w:cs="Times New Roman"/>
          <w:bCs/>
          <w:i/>
          <w:sz w:val="20"/>
          <w:szCs w:val="20"/>
        </w:rPr>
        <w:t>Please see:</w:t>
      </w:r>
      <w:r w:rsidR="006C2A23">
        <w:rPr>
          <w:rFonts w:ascii="Palatino Linotype" w:hAnsi="Palatino Linotype" w:cs="Times New Roman"/>
          <w:bCs/>
          <w:i/>
          <w:sz w:val="20"/>
          <w:szCs w:val="20"/>
        </w:rPr>
        <w:t xml:space="preserve">  </w:t>
      </w:r>
      <w:r w:rsidRPr="008C4D75">
        <w:rPr>
          <w:rFonts w:ascii="Palatino Linotype" w:hAnsi="Palatino Linotype" w:cs="Times New Roman"/>
          <w:bCs/>
          <w:i/>
          <w:color w:val="000000"/>
          <w:sz w:val="20"/>
          <w:szCs w:val="20"/>
        </w:rPr>
        <w:t>Mode and Patient-mix Adjustment of the CAHPS</w:t>
      </w:r>
      <w:r w:rsidRPr="008C4D75">
        <w:rPr>
          <w:rFonts w:ascii="Palatino Linotype" w:hAnsi="Palatino Linotype" w:cs="Times New Roman"/>
          <w:bCs/>
          <w:i/>
          <w:color w:val="000000"/>
          <w:position w:val="10"/>
          <w:sz w:val="20"/>
          <w:szCs w:val="20"/>
          <w:vertAlign w:val="superscript"/>
        </w:rPr>
        <w:t xml:space="preserve">® </w:t>
      </w:r>
      <w:r w:rsidRPr="008C4D75">
        <w:rPr>
          <w:rFonts w:ascii="Palatino Linotype" w:hAnsi="Palatino Linotype" w:cs="Times New Roman"/>
          <w:bCs/>
          <w:i/>
          <w:color w:val="000000"/>
          <w:sz w:val="20"/>
          <w:szCs w:val="20"/>
        </w:rPr>
        <w:t>Hospital Survey (HCAHPS)</w:t>
      </w:r>
    </w:p>
    <w:p w:rsidR="001F4150" w:rsidRDefault="00244A95" w:rsidP="001F4150">
      <w:pPr>
        <w:autoSpaceDE w:val="0"/>
        <w:autoSpaceDN w:val="0"/>
        <w:adjustRightInd w:val="0"/>
        <w:spacing w:after="0" w:line="240" w:lineRule="auto"/>
        <w:rPr>
          <w:rFonts w:ascii="Palatino Linotype" w:hAnsi="Palatino Linotype" w:cs="Times New Roman"/>
          <w:bCs/>
          <w:i/>
          <w:color w:val="000000"/>
          <w:sz w:val="20"/>
          <w:szCs w:val="20"/>
        </w:rPr>
      </w:pPr>
      <w:hyperlink r:id="rId24" w:history="1">
        <w:r w:rsidR="001F4150" w:rsidRPr="008C4D75">
          <w:rPr>
            <w:rStyle w:val="Hyperlink"/>
            <w:rFonts w:ascii="Palatino Linotype" w:hAnsi="Palatino Linotype" w:cs="Times New Roman"/>
            <w:bCs/>
            <w:i/>
            <w:sz w:val="20"/>
            <w:szCs w:val="20"/>
          </w:rPr>
          <w:t>http://www.hcahpsonline.org/globalassets/hcahps/mode-patient-mix-adjustment/final-draft-description-of-hcahps-mode-and-pma-with-bottom-box-modedoc-april-30-2008.pdf</w:t>
        </w:r>
      </w:hyperlink>
      <w:r w:rsidR="001F4150" w:rsidRPr="008C4D75">
        <w:rPr>
          <w:rFonts w:ascii="Palatino Linotype" w:hAnsi="Palatino Linotype" w:cs="Times New Roman"/>
          <w:bCs/>
          <w:i/>
          <w:color w:val="000000"/>
          <w:sz w:val="20"/>
          <w:szCs w:val="20"/>
        </w:rPr>
        <w:t xml:space="preserve"> </w:t>
      </w:r>
    </w:p>
    <w:p w:rsidR="00BA4AAF" w:rsidRDefault="00BA4AAF" w:rsidP="001F4150">
      <w:pPr>
        <w:autoSpaceDE w:val="0"/>
        <w:autoSpaceDN w:val="0"/>
        <w:adjustRightInd w:val="0"/>
        <w:spacing w:after="0" w:line="240" w:lineRule="auto"/>
        <w:rPr>
          <w:rFonts w:ascii="Palatino Linotype" w:hAnsi="Palatino Linotype" w:cs="Times New Roman"/>
          <w:bCs/>
          <w:i/>
          <w:color w:val="000000"/>
          <w:sz w:val="20"/>
          <w:szCs w:val="20"/>
        </w:rPr>
      </w:pPr>
    </w:p>
    <w:p w:rsidR="00BA4AAF" w:rsidRPr="008C4D75" w:rsidRDefault="00BA4AAF" w:rsidP="001F4150">
      <w:pPr>
        <w:autoSpaceDE w:val="0"/>
        <w:autoSpaceDN w:val="0"/>
        <w:adjustRightInd w:val="0"/>
        <w:spacing w:after="0" w:line="240" w:lineRule="auto"/>
        <w:rPr>
          <w:rFonts w:ascii="Palatino Linotype" w:hAnsi="Palatino Linotype" w:cs="Times New Roman"/>
          <w:bCs/>
          <w:i/>
          <w:color w:val="000000"/>
          <w:sz w:val="20"/>
          <w:szCs w:val="20"/>
        </w:rPr>
      </w:pPr>
      <w:r>
        <w:rPr>
          <w:rFonts w:ascii="Palatino Linotype" w:hAnsi="Palatino Linotype" w:cs="Times New Roman"/>
          <w:bCs/>
          <w:i/>
          <w:color w:val="000000"/>
          <w:sz w:val="20"/>
          <w:szCs w:val="20"/>
        </w:rPr>
        <w:t>Please note: For continuous survey-based measures these calibration statistics are not applicable.</w:t>
      </w:r>
    </w:p>
    <w:p w:rsidR="001F4150" w:rsidRPr="008C4D75" w:rsidRDefault="001F4150" w:rsidP="00092566">
      <w:pPr>
        <w:autoSpaceDE w:val="0"/>
        <w:autoSpaceDN w:val="0"/>
        <w:adjustRightInd w:val="0"/>
        <w:spacing w:after="0" w:line="240" w:lineRule="auto"/>
        <w:rPr>
          <w:rFonts w:cstheme="minorHAnsi"/>
          <w:bCs/>
          <w:sz w:val="20"/>
          <w:szCs w:val="20"/>
        </w:rPr>
      </w:pPr>
    </w:p>
    <w:p w:rsidR="001F4150"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p>
    <w:p w:rsidR="001F4150" w:rsidRPr="008C4D75" w:rsidRDefault="001F4150" w:rsidP="001F4150">
      <w:pPr>
        <w:autoSpaceDE w:val="0"/>
        <w:autoSpaceDN w:val="0"/>
        <w:adjustRightInd w:val="0"/>
        <w:spacing w:after="0" w:line="240" w:lineRule="auto"/>
        <w:rPr>
          <w:rFonts w:ascii="Palatino Linotype" w:hAnsi="Palatino Linotype" w:cs="Times New Roman"/>
          <w:bCs/>
          <w:i/>
          <w:color w:val="000000"/>
          <w:sz w:val="20"/>
          <w:szCs w:val="20"/>
        </w:rPr>
      </w:pPr>
      <w:r w:rsidRPr="008C4D75">
        <w:rPr>
          <w:rFonts w:ascii="Palatino Linotype" w:hAnsi="Palatino Linotype" w:cs="Times New Roman"/>
          <w:bCs/>
          <w:i/>
          <w:sz w:val="20"/>
          <w:szCs w:val="20"/>
        </w:rPr>
        <w:t>Please see:</w:t>
      </w:r>
      <w:r w:rsidR="006C2A23">
        <w:rPr>
          <w:rFonts w:ascii="Palatino Linotype" w:hAnsi="Palatino Linotype" w:cs="Times New Roman"/>
          <w:bCs/>
          <w:i/>
          <w:sz w:val="20"/>
          <w:szCs w:val="20"/>
        </w:rPr>
        <w:t xml:space="preserve">  </w:t>
      </w:r>
      <w:r w:rsidRPr="008C4D75">
        <w:rPr>
          <w:rFonts w:ascii="Palatino Linotype" w:hAnsi="Palatino Linotype" w:cs="Times New Roman"/>
          <w:bCs/>
          <w:i/>
          <w:color w:val="000000"/>
          <w:sz w:val="20"/>
          <w:szCs w:val="20"/>
        </w:rPr>
        <w:t>Mode and Patient-mix Adjustment of the CAHPS</w:t>
      </w:r>
      <w:r w:rsidRPr="008C4D75">
        <w:rPr>
          <w:rFonts w:ascii="Palatino Linotype" w:hAnsi="Palatino Linotype" w:cs="Times New Roman"/>
          <w:bCs/>
          <w:i/>
          <w:color w:val="000000"/>
          <w:position w:val="10"/>
          <w:sz w:val="20"/>
          <w:szCs w:val="20"/>
          <w:vertAlign w:val="superscript"/>
        </w:rPr>
        <w:t xml:space="preserve">® </w:t>
      </w:r>
      <w:r w:rsidRPr="008C4D75">
        <w:rPr>
          <w:rFonts w:ascii="Palatino Linotype" w:hAnsi="Palatino Linotype" w:cs="Times New Roman"/>
          <w:bCs/>
          <w:i/>
          <w:color w:val="000000"/>
          <w:sz w:val="20"/>
          <w:szCs w:val="20"/>
        </w:rPr>
        <w:t>Hospital Survey (HCAHPS)</w:t>
      </w:r>
    </w:p>
    <w:p w:rsidR="001F4150" w:rsidRDefault="00244A95" w:rsidP="001F4150">
      <w:pPr>
        <w:autoSpaceDE w:val="0"/>
        <w:autoSpaceDN w:val="0"/>
        <w:adjustRightInd w:val="0"/>
        <w:spacing w:after="0" w:line="240" w:lineRule="auto"/>
        <w:rPr>
          <w:rFonts w:ascii="Times New Roman" w:hAnsi="Times New Roman" w:cs="Times New Roman"/>
          <w:b/>
          <w:bCs/>
          <w:i/>
          <w:color w:val="000000"/>
          <w:sz w:val="20"/>
          <w:szCs w:val="20"/>
        </w:rPr>
      </w:pPr>
      <w:hyperlink r:id="rId25" w:history="1">
        <w:r w:rsidR="001F4150" w:rsidRPr="008C4D75">
          <w:rPr>
            <w:rStyle w:val="Hyperlink"/>
            <w:rFonts w:ascii="Palatino Linotype" w:hAnsi="Palatino Linotype" w:cs="Times New Roman"/>
            <w:bCs/>
            <w:i/>
            <w:sz w:val="20"/>
            <w:szCs w:val="20"/>
          </w:rPr>
          <w:t>http://www.hcahpsonline.org/globalassets/hcahps/mode-patient-mix-adjustment/final-draft-description-of-hcahps-mode-and-pma-with-bottom-box-modedoc-april-30-2008.pdf</w:t>
        </w:r>
      </w:hyperlink>
      <w:r w:rsidR="001F4150" w:rsidRPr="008C4D75">
        <w:rPr>
          <w:rFonts w:ascii="Times New Roman" w:hAnsi="Times New Roman" w:cs="Times New Roman"/>
          <w:b/>
          <w:bCs/>
          <w:i/>
          <w:color w:val="000000"/>
          <w:sz w:val="20"/>
          <w:szCs w:val="20"/>
        </w:rPr>
        <w:t xml:space="preserve"> </w:t>
      </w:r>
    </w:p>
    <w:p w:rsidR="00BA4AAF" w:rsidRDefault="00BA4AAF" w:rsidP="001F4150">
      <w:pPr>
        <w:autoSpaceDE w:val="0"/>
        <w:autoSpaceDN w:val="0"/>
        <w:adjustRightInd w:val="0"/>
        <w:spacing w:after="0" w:line="240" w:lineRule="auto"/>
        <w:rPr>
          <w:rFonts w:ascii="Times New Roman" w:hAnsi="Times New Roman" w:cs="Times New Roman"/>
          <w:b/>
          <w:bCs/>
          <w:i/>
          <w:color w:val="000000"/>
          <w:sz w:val="20"/>
          <w:szCs w:val="20"/>
        </w:rPr>
      </w:pPr>
    </w:p>
    <w:p w:rsidR="00BA4AAF" w:rsidRPr="008C4D75" w:rsidRDefault="00BA4AAF" w:rsidP="001F4150">
      <w:pPr>
        <w:autoSpaceDE w:val="0"/>
        <w:autoSpaceDN w:val="0"/>
        <w:adjustRightInd w:val="0"/>
        <w:spacing w:after="0" w:line="240" w:lineRule="auto"/>
        <w:rPr>
          <w:rFonts w:ascii="Times New Roman" w:hAnsi="Times New Roman" w:cs="Times New Roman"/>
          <w:b/>
          <w:bCs/>
          <w:i/>
          <w:color w:val="000000"/>
          <w:sz w:val="20"/>
          <w:szCs w:val="20"/>
        </w:rPr>
      </w:pPr>
      <w:r>
        <w:rPr>
          <w:rFonts w:ascii="Palatino Linotype" w:hAnsi="Palatino Linotype" w:cs="Times New Roman"/>
          <w:bCs/>
          <w:i/>
          <w:color w:val="000000"/>
          <w:sz w:val="20"/>
          <w:szCs w:val="20"/>
        </w:rPr>
        <w:t>Please note: For continuous survey-based measures these calibration statistics are not applicable.</w:t>
      </w:r>
    </w:p>
    <w:p w:rsidR="00092566" w:rsidRDefault="00092566" w:rsidP="00092566">
      <w:pPr>
        <w:autoSpaceDE w:val="0"/>
        <w:autoSpaceDN w:val="0"/>
        <w:adjustRightInd w:val="0"/>
        <w:spacing w:after="0" w:line="240" w:lineRule="auto"/>
        <w:rPr>
          <w:rFonts w:cstheme="minorHAnsi"/>
          <w:bCs/>
        </w:rPr>
      </w:pPr>
      <w:r w:rsidRPr="008C4D75">
        <w:rPr>
          <w:rFonts w:cstheme="minorHAnsi"/>
          <w:bCs/>
          <w:sz w:val="20"/>
          <w:szCs w:val="20"/>
        </w:rPr>
        <w:br/>
      </w:r>
      <w:bookmarkStart w:id="14" w:name="question2b49"/>
      <w:bookmarkEnd w:id="14"/>
      <w:r w:rsidR="009C7513">
        <w:rPr>
          <w:rFonts w:cstheme="minorHAnsi"/>
          <w:b/>
        </w:rPr>
        <w:t>2b3</w:t>
      </w:r>
      <w:r w:rsidR="00743E46">
        <w:rPr>
          <w:rFonts w:cstheme="minorHAnsi"/>
          <w:b/>
        </w:rPr>
        <w:t>.9</w:t>
      </w:r>
      <w:r w:rsidR="00001D73">
        <w:rPr>
          <w:rFonts w:cstheme="minorHAnsi"/>
          <w:b/>
        </w:rPr>
        <w:t xml:space="preserve">. Results of </w:t>
      </w:r>
      <w:r w:rsidRPr="00A25024">
        <w:rPr>
          <w:rFonts w:cstheme="minorHAnsi"/>
          <w:b/>
        </w:rPr>
        <w:t>Risk Stratification Analysis</w:t>
      </w:r>
      <w:r w:rsidRPr="00A25024">
        <w:rPr>
          <w:rFonts w:cstheme="minorHAnsi"/>
        </w:rPr>
        <w:t xml:space="preserve">: </w:t>
      </w:r>
      <w:r w:rsidRPr="00A25024">
        <w:rPr>
          <w:rFonts w:cstheme="minorHAnsi"/>
          <w:bCs/>
        </w:rPr>
        <w:t xml:space="preserve"> </w:t>
      </w:r>
    </w:p>
    <w:p w:rsidR="001F4150" w:rsidRDefault="001F4150" w:rsidP="00092566">
      <w:pPr>
        <w:autoSpaceDE w:val="0"/>
        <w:autoSpaceDN w:val="0"/>
        <w:adjustRightInd w:val="0"/>
        <w:spacing w:after="0" w:line="240" w:lineRule="auto"/>
        <w:rPr>
          <w:rFonts w:cstheme="minorHAnsi"/>
          <w:bCs/>
        </w:rPr>
      </w:pPr>
    </w:p>
    <w:p w:rsidR="006C2A23" w:rsidRDefault="00BA4AAF" w:rsidP="00092566">
      <w:pPr>
        <w:autoSpaceDE w:val="0"/>
        <w:autoSpaceDN w:val="0"/>
        <w:adjustRightInd w:val="0"/>
        <w:spacing w:after="0" w:line="240" w:lineRule="auto"/>
        <w:rPr>
          <w:rFonts w:cstheme="minorHAnsi"/>
          <w:b/>
          <w:bCs/>
        </w:rPr>
      </w:pPr>
      <w:r>
        <w:rPr>
          <w:rFonts w:ascii="Palatino Linotype" w:hAnsi="Palatino Linotype" w:cs="Times New Roman"/>
          <w:bCs/>
          <w:i/>
          <w:color w:val="000000"/>
          <w:sz w:val="20"/>
          <w:szCs w:val="20"/>
        </w:rPr>
        <w:t>Please note: For continuous survey-based measures these calibration statistics are not applicable.</w:t>
      </w:r>
    </w:p>
    <w:p w:rsidR="00BA4AAF" w:rsidRPr="00696C17" w:rsidRDefault="009C7513" w:rsidP="00653B2B">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653B2B">
        <w:rPr>
          <w:rFonts w:cstheme="minorHAnsi"/>
          <w:bCs/>
        </w:rPr>
        <w:t xml:space="preserve"> </w:t>
      </w:r>
      <w:r w:rsidR="00BA4AAF">
        <w:t xml:space="preserve">  </w:t>
      </w:r>
    </w:p>
    <w:p w:rsidR="00696C17" w:rsidRDefault="00BA4AAF" w:rsidP="00696C17">
      <w:pPr>
        <w:autoSpaceDE w:val="0"/>
        <w:autoSpaceDN w:val="0"/>
        <w:adjustRightInd w:val="0"/>
        <w:spacing w:after="0" w:line="240" w:lineRule="auto"/>
        <w:rPr>
          <w:rFonts w:ascii="AdvBasBE-R" w:hAnsi="AdvBasBE-R" w:cs="AdvBasBE-R"/>
          <w:sz w:val="20"/>
          <w:szCs w:val="20"/>
        </w:rPr>
      </w:pPr>
      <w:r>
        <w:rPr>
          <w:rFonts w:ascii="Palatino Linotype" w:hAnsi="Palatino Linotype" w:cs="Times New Roman"/>
          <w:bCs/>
          <w:i/>
          <w:color w:val="000000"/>
          <w:sz w:val="20"/>
          <w:szCs w:val="20"/>
        </w:rPr>
        <w:t xml:space="preserve">        </w:t>
      </w:r>
    </w:p>
    <w:p w:rsidR="0016277B" w:rsidRDefault="0016277B" w:rsidP="0016277B">
      <w:pPr>
        <w:autoSpaceDE w:val="0"/>
        <w:autoSpaceDN w:val="0"/>
        <w:adjustRightInd w:val="0"/>
        <w:spacing w:after="0" w:line="240" w:lineRule="auto"/>
        <w:rPr>
          <w:rFonts w:ascii="Palatino Linotype" w:hAnsi="Palatino Linotype" w:cs="Times New Roman"/>
          <w:bCs/>
          <w:i/>
          <w:color w:val="000000"/>
          <w:sz w:val="20"/>
          <w:szCs w:val="20"/>
        </w:rPr>
      </w:pPr>
      <w:r w:rsidRPr="00152FF1">
        <w:rPr>
          <w:rFonts w:ascii="Palatino Linotype" w:hAnsi="Palatino Linotype" w:cs="Times New Roman"/>
          <w:bCs/>
          <w:i/>
          <w:color w:val="000000"/>
          <w:sz w:val="20"/>
          <w:szCs w:val="20"/>
        </w:rPr>
        <w:t xml:space="preserve">The </w:t>
      </w:r>
      <w:r>
        <w:rPr>
          <w:rFonts w:ascii="Palatino Linotype" w:hAnsi="Palatino Linotype"/>
          <w:bCs/>
          <w:i/>
          <w:color w:val="000000"/>
          <w:sz w:val="20"/>
          <w:szCs w:val="20"/>
        </w:rPr>
        <w:t>PMA employed for HCAHPS result in</w:t>
      </w:r>
      <w:r>
        <w:rPr>
          <w:rFonts w:ascii="Palatino Linotype" w:hAnsi="Palatino Linotype" w:cs="Times New Roman"/>
          <w:bCs/>
          <w:i/>
          <w:color w:val="000000"/>
          <w:sz w:val="20"/>
          <w:szCs w:val="20"/>
        </w:rPr>
        <w:t xml:space="preserve"> </w:t>
      </w:r>
      <w:r w:rsidRPr="00152FF1">
        <w:rPr>
          <w:rFonts w:ascii="Palatino Linotype" w:hAnsi="Palatino Linotype" w:cs="Times New Roman"/>
          <w:bCs/>
          <w:i/>
          <w:color w:val="000000"/>
          <w:sz w:val="20"/>
          <w:szCs w:val="20"/>
        </w:rPr>
        <w:t>data that are more useful to all concerned with improving hospital quality,</w:t>
      </w:r>
      <w:r>
        <w:rPr>
          <w:rFonts w:ascii="Palatino Linotype" w:hAnsi="Palatino Linotype" w:cs="Times New Roman"/>
          <w:bCs/>
          <w:i/>
          <w:color w:val="000000"/>
          <w:sz w:val="20"/>
          <w:szCs w:val="20"/>
        </w:rPr>
        <w:t xml:space="preserve"> </w:t>
      </w:r>
      <w:r w:rsidRPr="00152FF1">
        <w:rPr>
          <w:rFonts w:ascii="Palatino Linotype" w:hAnsi="Palatino Linotype" w:cs="Times New Roman"/>
          <w:bCs/>
          <w:i/>
          <w:color w:val="000000"/>
          <w:sz w:val="20"/>
          <w:szCs w:val="20"/>
        </w:rPr>
        <w:t>including the hospitals themselves because changes in survey vendors, survey</w:t>
      </w:r>
      <w:r>
        <w:rPr>
          <w:rFonts w:ascii="Palatino Linotype" w:hAnsi="Palatino Linotype" w:cs="Times New Roman"/>
          <w:bCs/>
          <w:i/>
          <w:color w:val="000000"/>
          <w:sz w:val="20"/>
          <w:szCs w:val="20"/>
        </w:rPr>
        <w:t xml:space="preserve"> </w:t>
      </w:r>
      <w:r w:rsidRPr="00152FF1">
        <w:rPr>
          <w:rFonts w:ascii="Palatino Linotype" w:hAnsi="Palatino Linotype" w:cs="Times New Roman"/>
          <w:bCs/>
          <w:i/>
          <w:color w:val="000000"/>
          <w:sz w:val="20"/>
          <w:szCs w:val="20"/>
        </w:rPr>
        <w:t>modes, or patient populations will not disrupt or distort the continuity of valid,</w:t>
      </w:r>
      <w:r>
        <w:rPr>
          <w:rFonts w:ascii="Palatino Linotype" w:hAnsi="Palatino Linotype" w:cs="Times New Roman"/>
          <w:bCs/>
          <w:i/>
          <w:color w:val="000000"/>
          <w:sz w:val="20"/>
          <w:szCs w:val="20"/>
        </w:rPr>
        <w:t xml:space="preserve"> </w:t>
      </w:r>
      <w:r>
        <w:rPr>
          <w:rFonts w:ascii="Palatino Linotype" w:hAnsi="Palatino Linotype"/>
          <w:bCs/>
          <w:i/>
          <w:color w:val="000000"/>
          <w:sz w:val="20"/>
          <w:szCs w:val="20"/>
        </w:rPr>
        <w:t xml:space="preserve">comparable scores over time. As previously discussed, </w:t>
      </w:r>
      <w:r>
        <w:rPr>
          <w:rFonts w:ascii="Palatino Linotype" w:hAnsi="Palatino Linotype" w:cs="Times New Roman"/>
          <w:bCs/>
          <w:i/>
          <w:color w:val="000000"/>
          <w:sz w:val="20"/>
          <w:szCs w:val="20"/>
        </w:rPr>
        <w:t>e</w:t>
      </w:r>
      <w:r w:rsidRPr="00215758">
        <w:rPr>
          <w:rFonts w:ascii="Palatino Linotype" w:hAnsi="Palatino Linotype" w:cs="Times New Roman"/>
          <w:bCs/>
          <w:i/>
          <w:color w:val="000000"/>
          <w:sz w:val="20"/>
          <w:szCs w:val="20"/>
        </w:rPr>
        <w:t>xplanatory power was greatest for self-reported health status, followed</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by education, service line, age, emergency room admission, and response</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 xml:space="preserve">order percentile (results not shown). </w:t>
      </w:r>
      <w:r>
        <w:rPr>
          <w:rFonts w:ascii="Palatino Linotype" w:hAnsi="Palatino Linotype" w:cs="Times New Roman"/>
          <w:bCs/>
          <w:i/>
          <w:color w:val="000000"/>
          <w:sz w:val="20"/>
          <w:szCs w:val="20"/>
        </w:rPr>
        <w:t>T</w:t>
      </w:r>
      <w:r w:rsidRPr="00215758">
        <w:rPr>
          <w:rFonts w:ascii="Palatino Linotype" w:hAnsi="Palatino Linotype" w:cs="Times New Roman"/>
          <w:bCs/>
          <w:i/>
          <w:color w:val="000000"/>
          <w:sz w:val="20"/>
          <w:szCs w:val="20"/>
        </w:rPr>
        <w:t>he SD of total</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adjustment from</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PMA</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in terms of hospital-level SDs</w:t>
      </w:r>
      <w:r>
        <w:rPr>
          <w:rFonts w:ascii="Palatino Linotype" w:hAnsi="Palatino Linotype" w:cs="Times New Roman"/>
          <w:bCs/>
          <w:i/>
          <w:color w:val="000000"/>
          <w:sz w:val="20"/>
          <w:szCs w:val="20"/>
        </w:rPr>
        <w:t xml:space="preserve"> calculated</w:t>
      </w:r>
      <w:r w:rsidRPr="00215758">
        <w:rPr>
          <w:rFonts w:ascii="Palatino Linotype" w:hAnsi="Palatino Linotype" w:cs="Times New Roman"/>
          <w:bCs/>
          <w:i/>
          <w:color w:val="000000"/>
          <w:sz w:val="20"/>
          <w:szCs w:val="20"/>
        </w:rPr>
        <w:t>. These range from</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0.19 to</w:t>
      </w:r>
      <w:r>
        <w:rPr>
          <w:rFonts w:ascii="Palatino Linotype" w:hAnsi="Palatino Linotype" w:cs="Times New Roman"/>
          <w:bCs/>
          <w:i/>
          <w:color w:val="000000"/>
          <w:sz w:val="20"/>
          <w:szCs w:val="20"/>
        </w:rPr>
        <w:t xml:space="preserve"> </w:t>
      </w:r>
      <w:r w:rsidRPr="00215758">
        <w:rPr>
          <w:rFonts w:ascii="Palatino Linotype" w:hAnsi="Palatino Linotype" w:cs="Times New Roman"/>
          <w:bCs/>
          <w:i/>
          <w:color w:val="000000"/>
          <w:sz w:val="20"/>
          <w:szCs w:val="20"/>
        </w:rPr>
        <w:t>0.50, indicating small to moderate typical adjustments.</w:t>
      </w:r>
    </w:p>
    <w:p w:rsidR="00670E3C" w:rsidRPr="008C4D75" w:rsidRDefault="00670E3C" w:rsidP="00696C17">
      <w:pPr>
        <w:pStyle w:val="NoSpacing"/>
      </w:pPr>
    </w:p>
    <w:p w:rsidR="002E4F6C" w:rsidRDefault="002E4F6C" w:rsidP="009B1A15">
      <w:pPr>
        <w:spacing w:after="0" w:line="240" w:lineRule="auto"/>
        <w:rPr>
          <w:rFonts w:cstheme="minorHAnsi"/>
          <w:b/>
          <w:highlight w:val="green"/>
        </w:rPr>
      </w:pPr>
    </w:p>
    <w:p w:rsidR="00021170"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rsidR="00670E3C" w:rsidRPr="00075093" w:rsidRDefault="00670E3C" w:rsidP="009B1A15">
      <w:pPr>
        <w:spacing w:after="0" w:line="240" w:lineRule="auto"/>
        <w:rPr>
          <w:rFonts w:ascii="Palatino Linotype" w:hAnsi="Palatino Linotype" w:cstheme="minorHAnsi"/>
        </w:rPr>
      </w:pPr>
    </w:p>
    <w:p w:rsidR="00670E3C" w:rsidRPr="008C4D75" w:rsidRDefault="00670E3C" w:rsidP="00670E3C">
      <w:pPr>
        <w:autoSpaceDE w:val="0"/>
        <w:autoSpaceDN w:val="0"/>
        <w:adjustRightInd w:val="0"/>
        <w:spacing w:after="0" w:line="240" w:lineRule="auto"/>
        <w:rPr>
          <w:rFonts w:ascii="Palatino Linotype" w:hAnsi="Palatino Linotype" w:cs="Times New Roman"/>
          <w:bCs/>
          <w:i/>
          <w:color w:val="000000"/>
          <w:sz w:val="20"/>
          <w:szCs w:val="20"/>
        </w:rPr>
      </w:pPr>
      <w:r w:rsidRPr="008C4D75">
        <w:rPr>
          <w:rFonts w:ascii="Palatino Linotype" w:hAnsi="Palatino Linotype" w:cs="Times New Roman"/>
          <w:bCs/>
          <w:i/>
          <w:sz w:val="20"/>
          <w:szCs w:val="20"/>
        </w:rPr>
        <w:t>For a description of the development and testing of the patient-mix adjustment and survey mode adjustment of the HCAHPS Survey, please see:</w:t>
      </w:r>
      <w:r w:rsidR="002E4F6C">
        <w:rPr>
          <w:rFonts w:ascii="Palatino Linotype" w:hAnsi="Palatino Linotype" w:cs="Times New Roman"/>
          <w:bCs/>
          <w:i/>
          <w:sz w:val="20"/>
          <w:szCs w:val="20"/>
        </w:rPr>
        <w:t xml:space="preserve">  </w:t>
      </w:r>
      <w:r w:rsidRPr="008C4D75">
        <w:rPr>
          <w:rFonts w:ascii="Palatino Linotype" w:hAnsi="Palatino Linotype" w:cs="Times New Roman"/>
          <w:bCs/>
          <w:i/>
          <w:color w:val="000000"/>
          <w:sz w:val="20"/>
          <w:szCs w:val="20"/>
        </w:rPr>
        <w:t>Mode and Patient-mix Adjustment of the CAHPS</w:t>
      </w:r>
      <w:r w:rsidRPr="008C4D75">
        <w:rPr>
          <w:rFonts w:ascii="Palatino Linotype" w:hAnsi="Palatino Linotype" w:cs="Times New Roman"/>
          <w:bCs/>
          <w:i/>
          <w:color w:val="000000"/>
          <w:position w:val="10"/>
          <w:sz w:val="20"/>
          <w:szCs w:val="20"/>
          <w:vertAlign w:val="superscript"/>
        </w:rPr>
        <w:t xml:space="preserve">® </w:t>
      </w:r>
      <w:r w:rsidRPr="008C4D75">
        <w:rPr>
          <w:rFonts w:ascii="Palatino Linotype" w:hAnsi="Palatino Linotype" w:cs="Times New Roman"/>
          <w:bCs/>
          <w:i/>
          <w:color w:val="000000"/>
          <w:sz w:val="20"/>
          <w:szCs w:val="20"/>
        </w:rPr>
        <w:t>Hospital Survey (HCAHPS)</w:t>
      </w:r>
    </w:p>
    <w:p w:rsidR="00670E3C" w:rsidRPr="008C4D75" w:rsidRDefault="00244A95" w:rsidP="00670E3C">
      <w:pPr>
        <w:autoSpaceDE w:val="0"/>
        <w:autoSpaceDN w:val="0"/>
        <w:adjustRightInd w:val="0"/>
        <w:spacing w:after="0" w:line="240" w:lineRule="auto"/>
        <w:rPr>
          <w:rFonts w:ascii="Palatino Linotype" w:hAnsi="Palatino Linotype" w:cs="Times New Roman"/>
          <w:bCs/>
          <w:i/>
          <w:color w:val="000000"/>
          <w:sz w:val="20"/>
          <w:szCs w:val="20"/>
        </w:rPr>
      </w:pPr>
      <w:hyperlink r:id="rId26" w:history="1">
        <w:r w:rsidR="00670E3C" w:rsidRPr="008C4D75">
          <w:rPr>
            <w:rStyle w:val="Hyperlink"/>
            <w:rFonts w:ascii="Palatino Linotype" w:hAnsi="Palatino Linotype" w:cs="Times New Roman"/>
            <w:bCs/>
            <w:i/>
            <w:sz w:val="20"/>
            <w:szCs w:val="20"/>
          </w:rPr>
          <w:t>http://www.hcahpsonline.org/globalassets/hcahps/mode-patient-mix-adjustment/final-draft-description-of-hcahps-mode-and-pma-with-bottom-box-modedoc-april-30-2008.pdf</w:t>
        </w:r>
      </w:hyperlink>
      <w:r w:rsidR="00670E3C" w:rsidRPr="008C4D75">
        <w:rPr>
          <w:rFonts w:ascii="Palatino Linotype" w:hAnsi="Palatino Linotype" w:cs="Times New Roman"/>
          <w:bCs/>
          <w:i/>
          <w:color w:val="000000"/>
          <w:sz w:val="20"/>
          <w:szCs w:val="20"/>
        </w:rPr>
        <w:t xml:space="preserve"> </w:t>
      </w:r>
    </w:p>
    <w:p w:rsidR="00670E3C" w:rsidRPr="008C4D75" w:rsidRDefault="00670E3C" w:rsidP="00670E3C">
      <w:pPr>
        <w:autoSpaceDE w:val="0"/>
        <w:autoSpaceDN w:val="0"/>
        <w:adjustRightInd w:val="0"/>
        <w:spacing w:after="0" w:line="240" w:lineRule="auto"/>
        <w:rPr>
          <w:rFonts w:ascii="Palatino Linotype" w:hAnsi="Palatino Linotype" w:cs="Times New Roman"/>
          <w:bCs/>
          <w:i/>
          <w:color w:val="000000"/>
          <w:sz w:val="20"/>
          <w:szCs w:val="20"/>
        </w:rPr>
      </w:pPr>
    </w:p>
    <w:p w:rsidR="00670E3C" w:rsidRPr="008C4D75" w:rsidRDefault="00670E3C" w:rsidP="00670E3C">
      <w:pPr>
        <w:autoSpaceDE w:val="0"/>
        <w:autoSpaceDN w:val="0"/>
        <w:adjustRightInd w:val="0"/>
        <w:spacing w:after="0" w:line="240" w:lineRule="auto"/>
        <w:rPr>
          <w:rFonts w:ascii="Palatino Linotype" w:hAnsi="Palatino Linotype"/>
          <w:bCs/>
          <w:i/>
          <w:sz w:val="20"/>
          <w:szCs w:val="20"/>
        </w:rPr>
      </w:pPr>
      <w:r w:rsidRPr="008C4D75">
        <w:rPr>
          <w:rFonts w:ascii="Palatino Linotype" w:hAnsi="Palatino Linotype" w:cs="Times New Roman"/>
          <w:bCs/>
          <w:i/>
          <w:color w:val="000000"/>
          <w:sz w:val="20"/>
          <w:szCs w:val="20"/>
        </w:rPr>
        <w:t>Also:</w:t>
      </w:r>
      <w:r w:rsidRPr="008C4D75">
        <w:rPr>
          <w:rFonts w:ascii="Palatino Linotype" w:hAnsi="Palatino Linotype"/>
          <w:bCs/>
          <w:i/>
          <w:sz w:val="20"/>
          <w:szCs w:val="20"/>
        </w:rPr>
        <w:t xml:space="preserve">  “Effects of Survey Mode, Patient Mix, and Nonresponse on CAHPS</w:t>
      </w:r>
      <w:r w:rsidRPr="008C4D75">
        <w:rPr>
          <w:rFonts w:ascii="Palatino Linotype" w:hAnsi="Palatino Linotype"/>
          <w:bCs/>
          <w:i/>
          <w:sz w:val="20"/>
          <w:szCs w:val="20"/>
          <w:vertAlign w:val="superscript"/>
        </w:rPr>
        <w:t>®</w:t>
      </w:r>
      <w:r w:rsidRPr="008C4D75">
        <w:rPr>
          <w:rFonts w:ascii="Palatino Linotype" w:hAnsi="Palatino Linotype"/>
          <w:bCs/>
          <w:i/>
          <w:sz w:val="20"/>
          <w:szCs w:val="20"/>
        </w:rPr>
        <w:t xml:space="preserve"> Hospital Survey Scores.” M.N. Elliott, A.M. Zaslavsky, E. Goldstein, W. Lehrman, K. Hambarsoomian, M.K. Beckett and L. Giordano.  </w:t>
      </w:r>
      <w:r w:rsidRPr="008C4D75">
        <w:rPr>
          <w:rFonts w:ascii="Palatino Linotype" w:hAnsi="Palatino Linotype"/>
          <w:bCs/>
          <w:i/>
          <w:sz w:val="20"/>
          <w:szCs w:val="20"/>
          <w:u w:val="single"/>
        </w:rPr>
        <w:t>Health Services Research</w:t>
      </w:r>
      <w:r w:rsidRPr="008C4D75">
        <w:rPr>
          <w:rFonts w:ascii="Palatino Linotype" w:hAnsi="Palatino Linotype"/>
          <w:bCs/>
          <w:i/>
          <w:sz w:val="20"/>
          <w:szCs w:val="20"/>
        </w:rPr>
        <w:t xml:space="preserve">, 44 (2): 501-518.  2009. </w:t>
      </w:r>
    </w:p>
    <w:p w:rsidR="00670E3C" w:rsidRPr="008C4D75" w:rsidRDefault="00670E3C" w:rsidP="00670E3C">
      <w:pPr>
        <w:autoSpaceDE w:val="0"/>
        <w:autoSpaceDN w:val="0"/>
        <w:adjustRightInd w:val="0"/>
        <w:spacing w:after="0" w:line="240" w:lineRule="auto"/>
        <w:rPr>
          <w:rFonts w:ascii="Palatino Linotype" w:hAnsi="Palatino Linotype"/>
          <w:bCs/>
          <w:i/>
          <w:sz w:val="20"/>
          <w:szCs w:val="20"/>
        </w:rPr>
      </w:pPr>
    </w:p>
    <w:p w:rsidR="00670E3C" w:rsidRPr="008C4D75" w:rsidRDefault="00670E3C" w:rsidP="00670E3C">
      <w:pPr>
        <w:autoSpaceDE w:val="0"/>
        <w:autoSpaceDN w:val="0"/>
        <w:adjustRightInd w:val="0"/>
        <w:spacing w:after="0" w:line="240" w:lineRule="auto"/>
        <w:rPr>
          <w:rFonts w:ascii="Palatino Linotype" w:hAnsi="Palatino Linotype" w:cstheme="minorHAnsi"/>
          <w:bCs/>
          <w:i/>
          <w:sz w:val="20"/>
          <w:szCs w:val="20"/>
        </w:rPr>
      </w:pPr>
      <w:r w:rsidRPr="008C4D75">
        <w:rPr>
          <w:rFonts w:ascii="Palatino Linotype" w:hAnsi="Palatino Linotype" w:cstheme="minorHAnsi"/>
          <w:bCs/>
          <w:i/>
          <w:sz w:val="20"/>
          <w:szCs w:val="20"/>
        </w:rPr>
        <w:t>Current survey mode adjustments can be found at:</w:t>
      </w:r>
    </w:p>
    <w:p w:rsidR="00670E3C" w:rsidRPr="008C4D75" w:rsidRDefault="00244A95" w:rsidP="00670E3C">
      <w:pPr>
        <w:autoSpaceDE w:val="0"/>
        <w:autoSpaceDN w:val="0"/>
        <w:adjustRightInd w:val="0"/>
        <w:spacing w:after="0" w:line="240" w:lineRule="auto"/>
        <w:rPr>
          <w:rFonts w:ascii="Palatino Linotype" w:hAnsi="Palatino Linotype" w:cstheme="minorHAnsi"/>
          <w:bCs/>
          <w:i/>
          <w:sz w:val="20"/>
          <w:szCs w:val="20"/>
        </w:rPr>
      </w:pPr>
      <w:hyperlink r:id="rId27" w:history="1">
        <w:r w:rsidR="00670E3C" w:rsidRPr="008C4D75">
          <w:rPr>
            <w:rStyle w:val="Hyperlink"/>
            <w:rFonts w:ascii="Palatino Linotype" w:hAnsi="Palatino Linotype" w:cstheme="minorHAnsi"/>
            <w:bCs/>
            <w:i/>
            <w:sz w:val="20"/>
            <w:szCs w:val="20"/>
          </w:rPr>
          <w:t>http://www.hcahpsonline.org/globalassets/hcahps/mode-patient-mix-adjustment/april_2017_mode_patient-mix_adjustment_hcahps_survey_mode_adjustment.pdf</w:t>
        </w:r>
      </w:hyperlink>
    </w:p>
    <w:p w:rsidR="00670E3C" w:rsidRPr="008C4D75" w:rsidRDefault="00670E3C" w:rsidP="00670E3C">
      <w:pPr>
        <w:autoSpaceDE w:val="0"/>
        <w:autoSpaceDN w:val="0"/>
        <w:adjustRightInd w:val="0"/>
        <w:spacing w:after="0" w:line="240" w:lineRule="auto"/>
        <w:rPr>
          <w:rFonts w:ascii="Palatino Linotype" w:hAnsi="Palatino Linotype" w:cstheme="minorHAnsi"/>
          <w:bCs/>
          <w:i/>
          <w:sz w:val="20"/>
          <w:szCs w:val="20"/>
        </w:rPr>
      </w:pPr>
    </w:p>
    <w:p w:rsidR="00670E3C" w:rsidRPr="008C4D75" w:rsidRDefault="00670E3C" w:rsidP="00670E3C">
      <w:pPr>
        <w:autoSpaceDE w:val="0"/>
        <w:autoSpaceDN w:val="0"/>
        <w:adjustRightInd w:val="0"/>
        <w:spacing w:after="0" w:line="240" w:lineRule="auto"/>
        <w:rPr>
          <w:rFonts w:ascii="Palatino Linotype" w:hAnsi="Palatino Linotype" w:cstheme="minorHAnsi"/>
          <w:bCs/>
          <w:i/>
          <w:sz w:val="20"/>
          <w:szCs w:val="20"/>
        </w:rPr>
      </w:pPr>
      <w:r w:rsidRPr="008C4D75">
        <w:rPr>
          <w:rFonts w:ascii="Palatino Linotype" w:hAnsi="Palatino Linotype" w:cstheme="minorHAnsi"/>
          <w:bCs/>
          <w:i/>
          <w:sz w:val="20"/>
          <w:szCs w:val="20"/>
        </w:rPr>
        <w:t>Current patient-mix adjustments can be found at:</w:t>
      </w:r>
    </w:p>
    <w:p w:rsidR="000D45B0" w:rsidRDefault="00244A95" w:rsidP="00670E3C">
      <w:pPr>
        <w:autoSpaceDE w:val="0"/>
        <w:autoSpaceDN w:val="0"/>
        <w:adjustRightInd w:val="0"/>
        <w:spacing w:after="0" w:line="240" w:lineRule="auto"/>
        <w:rPr>
          <w:rFonts w:ascii="Palatino Linotype" w:hAnsi="Palatino Linotype" w:cstheme="minorHAnsi"/>
          <w:bCs/>
          <w:i/>
          <w:sz w:val="20"/>
          <w:szCs w:val="20"/>
        </w:rPr>
      </w:pPr>
      <w:hyperlink r:id="rId28" w:history="1">
        <w:r w:rsidR="000D45B0" w:rsidRPr="008C4D75">
          <w:rPr>
            <w:rStyle w:val="Hyperlink"/>
            <w:rFonts w:ascii="Palatino Linotype" w:hAnsi="Palatino Linotype" w:cstheme="minorHAnsi"/>
            <w:bCs/>
            <w:i/>
            <w:sz w:val="20"/>
            <w:szCs w:val="20"/>
          </w:rPr>
          <w:t>http://www.hcahpsonline.org/globalassets/hcahps/mode-patient-mix-adjustment/2017-12_mode-patient-adj_pma.pdf</w:t>
        </w:r>
      </w:hyperlink>
      <w:r w:rsidR="000D45B0" w:rsidRPr="008C4D75">
        <w:rPr>
          <w:rFonts w:ascii="Palatino Linotype" w:hAnsi="Palatino Linotype" w:cstheme="minorHAnsi"/>
          <w:bCs/>
          <w:i/>
          <w:sz w:val="20"/>
          <w:szCs w:val="20"/>
        </w:rPr>
        <w:t xml:space="preserve"> </w:t>
      </w:r>
    </w:p>
    <w:p w:rsidR="003F44C1" w:rsidRPr="008C4D75" w:rsidRDefault="003F44C1" w:rsidP="00670E3C">
      <w:pPr>
        <w:autoSpaceDE w:val="0"/>
        <w:autoSpaceDN w:val="0"/>
        <w:adjustRightInd w:val="0"/>
        <w:spacing w:after="0" w:line="240" w:lineRule="auto"/>
        <w:rPr>
          <w:rFonts w:ascii="Palatino Linotype" w:hAnsi="Palatino Linotype" w:cstheme="minorHAnsi"/>
          <w:bCs/>
          <w:i/>
          <w:sz w:val="20"/>
          <w:szCs w:val="20"/>
        </w:rPr>
      </w:pP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9C7513" w:rsidP="00D61410">
      <w:pPr>
        <w:autoSpaceDE w:val="0"/>
        <w:autoSpaceDN w:val="0"/>
        <w:adjustRightInd w:val="0"/>
        <w:spacing w:after="0" w:line="240" w:lineRule="auto"/>
        <w:rPr>
          <w:rFonts w:cstheme="minorHAnsi"/>
          <w:b/>
          <w:bCs/>
        </w:rPr>
      </w:pPr>
      <w:bookmarkStart w:id="15" w:name="section2b5"/>
      <w:bookmarkEnd w:id="15"/>
      <w:r>
        <w:rPr>
          <w:rFonts w:cstheme="minorHAnsi"/>
          <w:b/>
          <w:bCs/>
        </w:rPr>
        <w:t>2b4</w:t>
      </w:r>
      <w:r w:rsidR="00D61410" w:rsidRPr="00A25024">
        <w:rPr>
          <w:rFonts w:cstheme="minorHAnsi"/>
          <w:b/>
          <w:bCs/>
        </w:rPr>
        <w:t>. IDENTIFICATION OF STATISTICALLY SIGNIFICANT &amp; MEANINGFUL DIFFERENCES IN PERFORMANCE</w:t>
      </w:r>
    </w:p>
    <w:p w:rsidR="00D61410" w:rsidRPr="00814FF0" w:rsidRDefault="009C7513" w:rsidP="00D61410">
      <w:pPr>
        <w:autoSpaceDE w:val="0"/>
        <w:autoSpaceDN w:val="0"/>
        <w:adjustRightInd w:val="0"/>
        <w:spacing w:after="0" w:line="240" w:lineRule="auto"/>
        <w:rPr>
          <w:rFonts w:ascii="Palatino Linotype" w:hAnsi="Palatino Linotype" w:cstheme="minorHAnsi"/>
          <w:bCs/>
          <w:sz w:val="20"/>
          <w:szCs w:val="20"/>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r w:rsidR="00D61410" w:rsidRPr="00814FF0">
        <w:rPr>
          <w:rFonts w:ascii="Palatino Linotype" w:hAnsi="Palatino Linotype" w:cstheme="minorHAnsi"/>
          <w:bCs/>
          <w:sz w:val="20"/>
          <w:szCs w:val="20"/>
        </w:rPr>
        <w:t xml:space="preserve"> </w:t>
      </w:r>
    </w:p>
    <w:p w:rsidR="00761DC3" w:rsidRPr="00814FF0" w:rsidRDefault="00761DC3" w:rsidP="00761DC3">
      <w:pPr>
        <w:pStyle w:val="CommentText"/>
        <w:rPr>
          <w:rFonts w:ascii="Palatino Linotype" w:hAnsi="Palatino Linotype"/>
          <w:i/>
        </w:rPr>
      </w:pPr>
      <w:r>
        <w:rPr>
          <w:rFonts w:ascii="Palatino Linotype" w:hAnsi="Palatino Linotype"/>
          <w:i/>
        </w:rPr>
        <w:t>T</w:t>
      </w:r>
      <w:r w:rsidRPr="00814FF0">
        <w:rPr>
          <w:rFonts w:ascii="Palatino Linotype" w:hAnsi="Palatino Linotype"/>
          <w:i/>
        </w:rPr>
        <w:t>here are heuristics for noting meaningful differences in CAHPS scores</w:t>
      </w:r>
      <w:r>
        <w:rPr>
          <w:rFonts w:ascii="Palatino Linotype" w:hAnsi="Palatino Linotype"/>
          <w:i/>
        </w:rPr>
        <w:t xml:space="preserve"> in general </w:t>
      </w:r>
      <w:r w:rsidRPr="00814FF0">
        <w:rPr>
          <w:rFonts w:ascii="Palatino Linotype" w:hAnsi="Palatino Linotype"/>
          <w:i/>
        </w:rPr>
        <w:t>(1=small, 3=medium. 5=large</w:t>
      </w:r>
      <w:r>
        <w:rPr>
          <w:rFonts w:ascii="Palatino Linotype" w:hAnsi="Palatino Linotype"/>
          <w:i/>
        </w:rPr>
        <w:t xml:space="preserve"> on a 0-100 scale</w:t>
      </w:r>
      <w:r w:rsidRPr="00814FF0">
        <w:rPr>
          <w:rFonts w:ascii="Palatino Linotype" w:hAnsi="Palatino Linotype"/>
          <w:i/>
        </w:rPr>
        <w:t xml:space="preserve">).  These can be used as an aid to the interpretation of HCAHPS scores.  </w:t>
      </w:r>
      <w:r>
        <w:rPr>
          <w:rFonts w:ascii="Palatino Linotype" w:hAnsi="Palatino Linotype"/>
          <w:i/>
        </w:rPr>
        <w:t>Statistical significance is based on the coefficients for hospital intercepts using a criterion of p&lt;0.05 from two-sided hypothesis tests of the hospital mean against the overall mean.</w:t>
      </w:r>
    </w:p>
    <w:p w:rsidR="00562385" w:rsidRPr="00814FF0" w:rsidRDefault="00562385" w:rsidP="00562385">
      <w:pPr>
        <w:autoSpaceDE w:val="0"/>
        <w:autoSpaceDN w:val="0"/>
        <w:adjustRightInd w:val="0"/>
        <w:spacing w:after="0" w:line="240" w:lineRule="auto"/>
        <w:rPr>
          <w:rFonts w:ascii="Palatino Linotype" w:hAnsi="Palatino Linotype"/>
          <w:bCs/>
          <w:i/>
          <w:sz w:val="20"/>
          <w:szCs w:val="20"/>
        </w:rPr>
      </w:pPr>
      <w:bookmarkStart w:id="16" w:name="_Hlk535927263"/>
      <w:r w:rsidRPr="00814FF0">
        <w:rPr>
          <w:rFonts w:ascii="Palatino Linotype" w:hAnsi="Palatino Linotype"/>
          <w:bCs/>
          <w:i/>
          <w:sz w:val="20"/>
          <w:szCs w:val="20"/>
        </w:rPr>
        <w:t>Quigley DD, Elliott MN, Setodji CM, Hays RD (2018) “Quantifying Magnitude of Differences in Patient Experiences with Healthcare Measures” Health Services Research 53(4): 3027-3051 DOI: 10.1111/1475-6773.12828</w:t>
      </w:r>
    </w:p>
    <w:bookmarkEnd w:id="16"/>
    <w:p w:rsidR="00562385" w:rsidRDefault="00562385" w:rsidP="00562385">
      <w:pPr>
        <w:autoSpaceDE w:val="0"/>
        <w:autoSpaceDN w:val="0"/>
        <w:adjustRightInd w:val="0"/>
        <w:spacing w:after="0" w:line="240" w:lineRule="auto"/>
        <w:rPr>
          <w:rFonts w:ascii="Palatino Linotype" w:hAnsi="Palatino Linotype" w:cs="Times New Roman"/>
          <w:bCs/>
          <w:i/>
          <w:sz w:val="20"/>
          <w:szCs w:val="20"/>
        </w:rPr>
      </w:pPr>
    </w:p>
    <w:p w:rsidR="00670E3C" w:rsidRPr="008C4D75" w:rsidRDefault="00670E3C" w:rsidP="00670E3C">
      <w:pPr>
        <w:autoSpaceDE w:val="0"/>
        <w:autoSpaceDN w:val="0"/>
        <w:adjustRightInd w:val="0"/>
        <w:spacing w:after="0" w:line="240" w:lineRule="auto"/>
        <w:rPr>
          <w:rFonts w:ascii="Palatino Linotype" w:hAnsi="Palatino Linotype" w:cs="Times New Roman"/>
          <w:bCs/>
          <w:i/>
          <w:sz w:val="20"/>
          <w:szCs w:val="20"/>
        </w:rPr>
      </w:pPr>
      <w:r w:rsidRPr="008C4D75">
        <w:rPr>
          <w:rFonts w:ascii="Palatino Linotype" w:hAnsi="Palatino Linotype" w:cs="Times New Roman"/>
          <w:bCs/>
          <w:i/>
          <w:sz w:val="20"/>
          <w:szCs w:val="20"/>
        </w:rPr>
        <w:t xml:space="preserve">When a new quarter of </w:t>
      </w:r>
      <w:r w:rsidR="00562385">
        <w:rPr>
          <w:rFonts w:ascii="Palatino Linotype" w:hAnsi="Palatino Linotype" w:cs="Times New Roman"/>
          <w:bCs/>
          <w:i/>
          <w:sz w:val="20"/>
          <w:szCs w:val="20"/>
        </w:rPr>
        <w:t xml:space="preserve">HCAHPS </w:t>
      </w:r>
      <w:r w:rsidRPr="008C4D75">
        <w:rPr>
          <w:rFonts w:ascii="Palatino Linotype" w:hAnsi="Palatino Linotype" w:cs="Times New Roman"/>
          <w:bCs/>
          <w:i/>
          <w:sz w:val="20"/>
          <w:szCs w:val="20"/>
        </w:rPr>
        <w:t xml:space="preserve">data is rolled into public reporting, which occurs four times per year, we publicly report the percentile distribution of top-box and bottom-box results for each HCAHPS measure on our official HCAHPS On-Line Web site, </w:t>
      </w:r>
      <w:hyperlink r:id="rId29" w:history="1">
        <w:r w:rsidRPr="008C4D75">
          <w:rPr>
            <w:rStyle w:val="Hyperlink"/>
            <w:rFonts w:ascii="Palatino Linotype" w:hAnsi="Palatino Linotype" w:cs="Times New Roman"/>
            <w:bCs/>
            <w:i/>
            <w:sz w:val="20"/>
            <w:szCs w:val="20"/>
          </w:rPr>
          <w:t>www.HCAHPSonline.org</w:t>
        </w:r>
      </w:hyperlink>
      <w:r w:rsidRPr="008C4D75">
        <w:rPr>
          <w:rFonts w:ascii="Palatino Linotype" w:hAnsi="Palatino Linotype" w:cs="Times New Roman"/>
          <w:bCs/>
          <w:i/>
          <w:sz w:val="20"/>
          <w:szCs w:val="20"/>
        </w:rPr>
        <w:t xml:space="preserve">.    </w:t>
      </w:r>
    </w:p>
    <w:p w:rsidR="00DE440C" w:rsidRDefault="00670E3C" w:rsidP="001C2C37">
      <w:pPr>
        <w:pStyle w:val="NormalWeb"/>
        <w:rPr>
          <w:rFonts w:ascii="Palatino Linotype" w:hAnsi="Palatino Linotype"/>
          <w:i/>
          <w:sz w:val="20"/>
          <w:szCs w:val="20"/>
        </w:rPr>
      </w:pPr>
      <w:r w:rsidRPr="008C4D75">
        <w:rPr>
          <w:rFonts w:ascii="Palatino Linotype" w:hAnsi="Palatino Linotype"/>
          <w:i/>
          <w:sz w:val="20"/>
          <w:szCs w:val="20"/>
        </w:rPr>
        <w:t xml:space="preserve">Key percentiles are displayed in the </w:t>
      </w:r>
      <w:r w:rsidRPr="008C4D75">
        <w:rPr>
          <w:rStyle w:val="Strong"/>
          <w:rFonts w:ascii="Palatino Linotype" w:hAnsi="Palatino Linotype"/>
          <w:i/>
          <w:sz w:val="20"/>
          <w:szCs w:val="20"/>
        </w:rPr>
        <w:t>HCAHPS Percentiles Table</w:t>
      </w:r>
      <w:r w:rsidRPr="008C4D75">
        <w:rPr>
          <w:rFonts w:ascii="Palatino Linotype" w:hAnsi="Palatino Linotype"/>
          <w:i/>
          <w:sz w:val="20"/>
          <w:szCs w:val="20"/>
        </w:rPr>
        <w:t xml:space="preserve"> for each of the ten publicly reported HCAHPS measures. Both “top box” (most positive) and “bottom box” (least positive) values are shown at the 5th, 10th, 25th, 50th, 75th, 90th, and 95th percentiles. Using the HCAHPS Percentiles Table, one can easily see where a hospital’s “top-box” and “bottom-box” score place it relative to other hospitals on each HCAHPS measure.</w:t>
      </w:r>
      <w:r w:rsidRPr="008C4D75">
        <w:rPr>
          <w:rFonts w:ascii="Palatino Linotype" w:hAnsi="Palatino Linotype"/>
          <w:i/>
          <w:sz w:val="20"/>
          <w:szCs w:val="20"/>
        </w:rPr>
        <w:br/>
      </w:r>
      <w:r w:rsidRPr="008C4D75">
        <w:rPr>
          <w:rFonts w:ascii="Palatino Linotype" w:hAnsi="Palatino Linotype"/>
          <w:i/>
          <w:sz w:val="20"/>
          <w:szCs w:val="20"/>
        </w:rPr>
        <w:br/>
        <w:t>The “top-box” score indicates how often patients selected the most positive response category when asked about their hospital experience. The higher a hospital’s “top-box” score, the higher it ranks among participating hospitals.</w:t>
      </w:r>
      <w:r w:rsidRPr="008C4D75">
        <w:rPr>
          <w:rFonts w:ascii="Palatino Linotype" w:hAnsi="Palatino Linotype"/>
          <w:i/>
          <w:sz w:val="20"/>
          <w:szCs w:val="20"/>
        </w:rPr>
        <w:br/>
      </w:r>
      <w:r w:rsidRPr="008C4D75">
        <w:rPr>
          <w:rFonts w:ascii="Palatino Linotype" w:hAnsi="Palatino Linotype"/>
          <w:i/>
          <w:sz w:val="20"/>
          <w:szCs w:val="20"/>
        </w:rPr>
        <w:br/>
        <w:t xml:space="preserve">The “bottom-box” score, on the other hand, reflects how frequently patients chose negative responses when asked about their hospital experience. Low “bottom-box” scores, and thus a low percentile rank, indicate that a relatively small percentage of a hospital’s patients responded negatively about their hospital experience. Conversely, a hospital with a high “bottom-box” score, and thus a high percentile rank, had a relatively large percentage of patients who were critical of their hospital experience. </w:t>
      </w:r>
      <w:r w:rsidRPr="008C4D75">
        <w:rPr>
          <w:rFonts w:ascii="Palatino Linotype" w:hAnsi="Palatino Linotype"/>
          <w:i/>
          <w:sz w:val="20"/>
          <w:szCs w:val="20"/>
        </w:rPr>
        <w:br/>
      </w:r>
      <w:r w:rsidRPr="008C4D75">
        <w:rPr>
          <w:rFonts w:ascii="Palatino Linotype" w:hAnsi="Palatino Linotype"/>
          <w:i/>
          <w:sz w:val="20"/>
          <w:szCs w:val="20"/>
        </w:rPr>
        <w:br/>
        <w:t xml:space="preserve">Please note that while a high “top-box” score is usually associated with a low “bottom-box” score, this is not always the case for a specific hospital. This is because for all HCAHPS measures except Discharge Information, there is also a “middle-box” category, such as </w:t>
      </w:r>
      <w:r w:rsidRPr="008C4D75">
        <w:rPr>
          <w:rStyle w:val="Emphasis"/>
          <w:rFonts w:ascii="Palatino Linotype" w:hAnsi="Palatino Linotype"/>
          <w:i w:val="0"/>
          <w:sz w:val="20"/>
          <w:szCs w:val="20"/>
        </w:rPr>
        <w:t>“Usually,”</w:t>
      </w:r>
      <w:r w:rsidRPr="008C4D75">
        <w:rPr>
          <w:rFonts w:ascii="Palatino Linotype" w:hAnsi="Palatino Linotype"/>
          <w:i/>
          <w:sz w:val="20"/>
          <w:szCs w:val="20"/>
        </w:rPr>
        <w:t xml:space="preserve"> that varies in size.</w:t>
      </w:r>
      <w:r w:rsidR="000D45B0" w:rsidRPr="008C4D75">
        <w:rPr>
          <w:rFonts w:ascii="Palatino Linotype" w:hAnsi="Palatino Linotype"/>
          <w:i/>
          <w:sz w:val="20"/>
          <w:szCs w:val="20"/>
        </w:rPr>
        <w:t xml:space="preserve">  More information about HCAHPS “box” scores can be found at </w:t>
      </w:r>
      <w:hyperlink r:id="rId30" w:history="1">
        <w:r w:rsidR="000D45B0" w:rsidRPr="008C4D75">
          <w:rPr>
            <w:rStyle w:val="Hyperlink"/>
            <w:rFonts w:ascii="Palatino Linotype" w:hAnsi="Palatino Linotype"/>
            <w:i/>
            <w:sz w:val="20"/>
            <w:szCs w:val="20"/>
          </w:rPr>
          <w:t>http://www.hcahpsonline.org/en/summary-analyses/</w:t>
        </w:r>
      </w:hyperlink>
      <w:r w:rsidR="000D45B0" w:rsidRPr="008C4D75">
        <w:rPr>
          <w:rFonts w:ascii="Palatino Linotype" w:hAnsi="Palatino Linotype"/>
          <w:i/>
          <w:sz w:val="20"/>
          <w:szCs w:val="20"/>
        </w:rPr>
        <w:t xml:space="preserve"> .</w:t>
      </w:r>
      <w:r w:rsidRPr="008C4D75">
        <w:rPr>
          <w:rFonts w:ascii="Palatino Linotype" w:hAnsi="Palatino Linotype"/>
          <w:i/>
          <w:sz w:val="20"/>
          <w:szCs w:val="20"/>
        </w:rPr>
        <w:br/>
      </w:r>
      <w:r w:rsidRPr="008C4D75">
        <w:rPr>
          <w:rFonts w:ascii="Palatino Linotype" w:hAnsi="Palatino Linotype"/>
          <w:i/>
          <w:sz w:val="20"/>
          <w:szCs w:val="20"/>
        </w:rPr>
        <w:br/>
        <w:t>In addition to the percentiles table for the current public reporting period, we provide an archive of results from each public reporting period, beginning with January-December 2008 discharges</w:t>
      </w:r>
      <w:r w:rsidR="004D128E">
        <w:rPr>
          <w:rFonts w:ascii="Palatino Linotype" w:hAnsi="Palatino Linotype"/>
          <w:i/>
          <w:sz w:val="20"/>
          <w:szCs w:val="20"/>
        </w:rPr>
        <w:t>,</w:t>
      </w:r>
      <w:r w:rsidRPr="008C4D75">
        <w:rPr>
          <w:rFonts w:ascii="Palatino Linotype" w:hAnsi="Palatino Linotype"/>
          <w:i/>
          <w:sz w:val="20"/>
          <w:szCs w:val="20"/>
        </w:rPr>
        <w:t xml:space="preserve"> at</w:t>
      </w:r>
      <w:r w:rsidR="00CA3311">
        <w:rPr>
          <w:rFonts w:ascii="Palatino Linotype" w:hAnsi="Palatino Linotype"/>
          <w:i/>
          <w:sz w:val="20"/>
          <w:szCs w:val="20"/>
        </w:rPr>
        <w:t xml:space="preserve"> </w:t>
      </w:r>
      <w:r w:rsidR="00CA3311" w:rsidRPr="00CA3311">
        <w:rPr>
          <w:rFonts w:ascii="Palatino Linotype" w:hAnsi="Palatino Linotype"/>
          <w:i/>
          <w:sz w:val="20"/>
          <w:szCs w:val="20"/>
        </w:rPr>
        <w:t>https://www.hcahpsonline.org/en/summary-analyses/</w:t>
      </w:r>
      <w:r w:rsidR="000D45B0" w:rsidRPr="008C4D75">
        <w:rPr>
          <w:rFonts w:ascii="Palatino Linotype" w:hAnsi="Palatino Linotype"/>
          <w:i/>
          <w:sz w:val="20"/>
          <w:szCs w:val="20"/>
        </w:rPr>
        <w:t>.</w:t>
      </w:r>
      <w:r w:rsidRPr="008C4D75">
        <w:rPr>
          <w:rFonts w:ascii="Palatino Linotype" w:hAnsi="Palatino Linotype"/>
          <w:i/>
          <w:sz w:val="20"/>
          <w:szCs w:val="20"/>
        </w:rPr>
        <w:t xml:space="preserve"> </w:t>
      </w:r>
    </w:p>
    <w:p w:rsidR="00FD03B7"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tbl>
      <w:tblPr>
        <w:tblpPr w:leftFromText="180" w:rightFromText="180" w:vertAnchor="text" w:horzAnchor="margin" w:tblpXSpec="center" w:tblpY="66"/>
        <w:tblW w:w="11738" w:type="dxa"/>
        <w:tblLook w:val="04A0" w:firstRow="1" w:lastRow="0" w:firstColumn="1" w:lastColumn="0" w:noHBand="0" w:noVBand="1"/>
        <w:tblCaption w:val="Table with Mean, Standard Deviation and Percentiles of HCAHPS Measures"/>
        <w:tblDescription w:val="Mean, Standard Deviation and Percentiles of HCAHPS Measures, 2016  &#10;(Data: 1Q16-4Q16 discharges, ~4,300 hospitals, ~3.1 million completed surveys)"/>
      </w:tblPr>
      <w:tblGrid>
        <w:gridCol w:w="2386"/>
        <w:gridCol w:w="779"/>
        <w:gridCol w:w="714"/>
        <w:gridCol w:w="633"/>
        <w:gridCol w:w="568"/>
        <w:gridCol w:w="493"/>
        <w:gridCol w:w="493"/>
        <w:gridCol w:w="493"/>
        <w:gridCol w:w="493"/>
        <w:gridCol w:w="493"/>
        <w:gridCol w:w="537"/>
        <w:gridCol w:w="83"/>
        <w:gridCol w:w="387"/>
        <w:gridCol w:w="233"/>
        <w:gridCol w:w="237"/>
        <w:gridCol w:w="412"/>
        <w:gridCol w:w="620"/>
        <w:gridCol w:w="69"/>
        <w:gridCol w:w="551"/>
        <w:gridCol w:w="620"/>
        <w:gridCol w:w="222"/>
        <w:gridCol w:w="222"/>
      </w:tblGrid>
      <w:tr w:rsidR="006D42B6" w:rsidRPr="00F02ED2" w:rsidTr="00957B32">
        <w:trPr>
          <w:trHeight w:val="305"/>
        </w:trPr>
        <w:tc>
          <w:tcPr>
            <w:tcW w:w="7545" w:type="dxa"/>
            <w:gridSpan w:val="10"/>
            <w:tcBorders>
              <w:top w:val="nil"/>
              <w:left w:val="nil"/>
              <w:bottom w:val="nil"/>
              <w:right w:val="nil"/>
            </w:tcBorders>
            <w:shd w:val="clear" w:color="auto" w:fill="auto"/>
            <w:noWrap/>
            <w:vAlign w:val="bottom"/>
            <w:hideMark/>
          </w:tcPr>
          <w:p w:rsidR="00613365" w:rsidRPr="00583F9E" w:rsidRDefault="00613365" w:rsidP="00613365">
            <w:pPr>
              <w:autoSpaceDE w:val="0"/>
              <w:autoSpaceDN w:val="0"/>
              <w:adjustRightInd w:val="0"/>
              <w:spacing w:after="0" w:line="240" w:lineRule="auto"/>
              <w:rPr>
                <w:rFonts w:cstheme="minorHAnsi"/>
                <w:bCs/>
              </w:rPr>
            </w:pPr>
          </w:p>
          <w:p w:rsidR="00613365" w:rsidRDefault="00613365" w:rsidP="00814FF0">
            <w:pPr>
              <w:autoSpaceDE w:val="0"/>
              <w:autoSpaceDN w:val="0"/>
              <w:adjustRightInd w:val="0"/>
              <w:spacing w:after="0" w:line="240" w:lineRule="auto"/>
              <w:rPr>
                <w:rFonts w:cstheme="minorHAnsi"/>
                <w:b/>
                <w:bCs/>
                <w:sz w:val="20"/>
                <w:szCs w:val="20"/>
              </w:rPr>
            </w:pPr>
            <w:r>
              <w:rPr>
                <w:rFonts w:cstheme="minorHAnsi"/>
                <w:b/>
                <w:bCs/>
                <w:sz w:val="20"/>
                <w:szCs w:val="20"/>
              </w:rPr>
              <w:t>Mean</w:t>
            </w:r>
            <w:r w:rsidR="004664B0">
              <w:rPr>
                <w:rFonts w:cstheme="minorHAnsi"/>
                <w:b/>
                <w:bCs/>
                <w:sz w:val="20"/>
                <w:szCs w:val="20"/>
              </w:rPr>
              <w:t>,</w:t>
            </w:r>
            <w:r>
              <w:rPr>
                <w:rFonts w:cstheme="minorHAnsi"/>
                <w:b/>
                <w:bCs/>
                <w:sz w:val="20"/>
                <w:szCs w:val="20"/>
              </w:rPr>
              <w:t xml:space="preserve"> Standard Deviation and Percentiles of HCAHPS Measures, 2016  </w:t>
            </w:r>
          </w:p>
          <w:p w:rsidR="006D42B6" w:rsidRDefault="00943C06" w:rsidP="00814FF0">
            <w:pPr>
              <w:autoSpaceDE w:val="0"/>
              <w:autoSpaceDN w:val="0"/>
              <w:adjustRightInd w:val="0"/>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w:t>
            </w:r>
            <w:r w:rsidR="006D42B6" w:rsidRPr="00280C1E">
              <w:rPr>
                <w:rFonts w:ascii="Calibri" w:eastAsia="Times New Roman" w:hAnsi="Calibri" w:cs="Times New Roman"/>
                <w:color w:val="000000"/>
                <w:sz w:val="20"/>
                <w:szCs w:val="20"/>
              </w:rPr>
              <w:t>Data: 1Q16-4Q16 discharges, ~4,300 hospitals, ~3.1 million completed surveys)</w:t>
            </w:r>
          </w:p>
          <w:p w:rsidR="00613365" w:rsidRPr="00280C1E" w:rsidRDefault="00613365" w:rsidP="00814FF0">
            <w:pPr>
              <w:autoSpaceDE w:val="0"/>
              <w:autoSpaceDN w:val="0"/>
              <w:adjustRightInd w:val="0"/>
              <w:spacing w:after="0" w:line="240" w:lineRule="auto"/>
              <w:rPr>
                <w:rFonts w:ascii="Calibri" w:eastAsia="Times New Roman" w:hAnsi="Calibri" w:cs="Times New Roman"/>
                <w:color w:val="000000"/>
                <w:sz w:val="20"/>
                <w:szCs w:val="20"/>
              </w:rPr>
            </w:pPr>
          </w:p>
        </w:tc>
        <w:tc>
          <w:tcPr>
            <w:tcW w:w="620" w:type="dxa"/>
            <w:gridSpan w:val="2"/>
            <w:tcBorders>
              <w:top w:val="nil"/>
              <w:left w:val="nil"/>
              <w:bottom w:val="nil"/>
              <w:right w:val="nil"/>
            </w:tcBorders>
            <w:shd w:val="clear" w:color="auto" w:fill="auto"/>
            <w:noWrap/>
            <w:vAlign w:val="bottom"/>
            <w:hideMark/>
          </w:tcPr>
          <w:p w:rsidR="006D42B6" w:rsidRPr="00280C1E" w:rsidRDefault="006D42B6" w:rsidP="006D42B6">
            <w:pPr>
              <w:spacing w:after="0" w:line="240" w:lineRule="auto"/>
              <w:rPr>
                <w:rFonts w:ascii="Calibri" w:eastAsia="Times New Roman" w:hAnsi="Calibri" w:cs="Times New Roman"/>
                <w:color w:val="000000"/>
                <w:sz w:val="20"/>
                <w:szCs w:val="20"/>
              </w:rPr>
            </w:pPr>
          </w:p>
          <w:p w:rsidR="006D42B6" w:rsidRPr="00280C1E" w:rsidRDefault="006D42B6" w:rsidP="006D42B6">
            <w:pPr>
              <w:spacing w:after="0" w:line="240" w:lineRule="auto"/>
              <w:rPr>
                <w:rFonts w:ascii="Calibri" w:eastAsia="Times New Roman" w:hAnsi="Calibri" w:cs="Times New Roman"/>
                <w:color w:val="000000"/>
                <w:sz w:val="20"/>
                <w:szCs w:val="20"/>
              </w:rPr>
            </w:pPr>
          </w:p>
          <w:p w:rsidR="006D42B6" w:rsidRPr="00280C1E" w:rsidRDefault="006D42B6" w:rsidP="006D42B6">
            <w:pPr>
              <w:spacing w:after="0" w:line="240" w:lineRule="auto"/>
              <w:rPr>
                <w:rFonts w:ascii="Calibri" w:eastAsia="Times New Roman" w:hAnsi="Calibri" w:cs="Times New Roman"/>
                <w:color w:val="000000"/>
                <w:sz w:val="20"/>
                <w:szCs w:val="20"/>
              </w:rPr>
            </w:pPr>
          </w:p>
          <w:p w:rsidR="006D42B6" w:rsidRPr="00280C1E" w:rsidRDefault="006D42B6" w:rsidP="006D42B6">
            <w:pPr>
              <w:spacing w:after="0" w:line="240" w:lineRule="auto"/>
              <w:rPr>
                <w:rFonts w:ascii="Calibri" w:eastAsia="Times New Roman" w:hAnsi="Calibri" w:cs="Times New Roman"/>
                <w:color w:val="000000"/>
                <w:sz w:val="20"/>
                <w:szCs w:val="20"/>
              </w:rPr>
            </w:pPr>
          </w:p>
        </w:tc>
        <w:tc>
          <w:tcPr>
            <w:tcW w:w="620" w:type="dxa"/>
            <w:gridSpan w:val="2"/>
            <w:tcBorders>
              <w:top w:val="nil"/>
              <w:left w:val="nil"/>
              <w:bottom w:val="nil"/>
              <w:right w:val="nil"/>
            </w:tcBorders>
            <w:shd w:val="clear" w:color="auto" w:fill="auto"/>
            <w:noWrap/>
            <w:vAlign w:val="bottom"/>
            <w:hideMark/>
          </w:tcPr>
          <w:p w:rsidR="006D42B6" w:rsidRPr="00F02ED2" w:rsidRDefault="006D42B6" w:rsidP="006D42B6">
            <w:pPr>
              <w:spacing w:after="0" w:line="240" w:lineRule="auto"/>
              <w:rPr>
                <w:rFonts w:ascii="Calibri" w:eastAsia="Times New Roman" w:hAnsi="Calibri" w:cs="Times New Roman"/>
                <w:color w:val="000000"/>
                <w:sz w:val="16"/>
                <w:szCs w:val="16"/>
              </w:rPr>
            </w:pPr>
          </w:p>
        </w:tc>
        <w:tc>
          <w:tcPr>
            <w:tcW w:w="649" w:type="dxa"/>
            <w:gridSpan w:val="2"/>
            <w:tcBorders>
              <w:top w:val="nil"/>
              <w:left w:val="nil"/>
              <w:bottom w:val="nil"/>
              <w:right w:val="nil"/>
            </w:tcBorders>
            <w:shd w:val="clear" w:color="auto" w:fill="auto"/>
            <w:noWrap/>
            <w:vAlign w:val="bottom"/>
            <w:hideMark/>
          </w:tcPr>
          <w:p w:rsidR="006D42B6" w:rsidRPr="00F02ED2" w:rsidRDefault="006D42B6" w:rsidP="006D42B6">
            <w:pPr>
              <w:spacing w:after="0" w:line="240" w:lineRule="auto"/>
              <w:rPr>
                <w:rFonts w:ascii="Calibri" w:eastAsia="Times New Roman" w:hAnsi="Calibri" w:cs="Times New Roman"/>
                <w:color w:val="000000"/>
                <w:sz w:val="16"/>
                <w:szCs w:val="16"/>
              </w:rPr>
            </w:pPr>
          </w:p>
        </w:tc>
        <w:tc>
          <w:tcPr>
            <w:tcW w:w="620" w:type="dxa"/>
            <w:tcBorders>
              <w:top w:val="nil"/>
              <w:left w:val="nil"/>
              <w:bottom w:val="nil"/>
              <w:right w:val="nil"/>
            </w:tcBorders>
            <w:shd w:val="clear" w:color="auto" w:fill="auto"/>
            <w:noWrap/>
            <w:vAlign w:val="bottom"/>
            <w:hideMark/>
          </w:tcPr>
          <w:p w:rsidR="006D42B6" w:rsidRPr="00F02ED2" w:rsidRDefault="006D42B6" w:rsidP="006D42B6">
            <w:pPr>
              <w:spacing w:after="0" w:line="240" w:lineRule="auto"/>
              <w:rPr>
                <w:rFonts w:ascii="Calibri" w:eastAsia="Times New Roman" w:hAnsi="Calibri" w:cs="Times New Roman"/>
                <w:color w:val="000000"/>
                <w:sz w:val="16"/>
                <w:szCs w:val="16"/>
              </w:rPr>
            </w:pPr>
          </w:p>
        </w:tc>
        <w:tc>
          <w:tcPr>
            <w:tcW w:w="620" w:type="dxa"/>
            <w:gridSpan w:val="2"/>
            <w:tcBorders>
              <w:top w:val="nil"/>
              <w:left w:val="nil"/>
              <w:bottom w:val="nil"/>
              <w:right w:val="nil"/>
            </w:tcBorders>
            <w:shd w:val="clear" w:color="auto" w:fill="auto"/>
            <w:noWrap/>
            <w:vAlign w:val="bottom"/>
            <w:hideMark/>
          </w:tcPr>
          <w:p w:rsidR="006D42B6" w:rsidRPr="00F02ED2" w:rsidRDefault="006D42B6" w:rsidP="006D42B6">
            <w:pPr>
              <w:spacing w:after="0" w:line="240" w:lineRule="auto"/>
              <w:rPr>
                <w:rFonts w:ascii="Calibri" w:eastAsia="Times New Roman" w:hAnsi="Calibri" w:cs="Times New Roman"/>
                <w:color w:val="000000"/>
                <w:sz w:val="16"/>
                <w:szCs w:val="16"/>
              </w:rPr>
            </w:pPr>
          </w:p>
        </w:tc>
        <w:tc>
          <w:tcPr>
            <w:tcW w:w="620" w:type="dxa"/>
            <w:tcBorders>
              <w:top w:val="nil"/>
              <w:left w:val="nil"/>
              <w:bottom w:val="nil"/>
              <w:right w:val="nil"/>
            </w:tcBorders>
            <w:shd w:val="clear" w:color="auto" w:fill="auto"/>
            <w:noWrap/>
            <w:vAlign w:val="bottom"/>
            <w:hideMark/>
          </w:tcPr>
          <w:p w:rsidR="006D42B6" w:rsidRPr="00F02ED2" w:rsidRDefault="006D42B6" w:rsidP="006D42B6">
            <w:pPr>
              <w:spacing w:after="0" w:line="240" w:lineRule="auto"/>
              <w:rPr>
                <w:rFonts w:ascii="Calibri" w:eastAsia="Times New Roman" w:hAnsi="Calibri" w:cs="Times New Roman"/>
                <w:color w:val="000000"/>
                <w:sz w:val="16"/>
                <w:szCs w:val="16"/>
              </w:rPr>
            </w:pPr>
          </w:p>
        </w:tc>
        <w:tc>
          <w:tcPr>
            <w:tcW w:w="222" w:type="dxa"/>
            <w:tcBorders>
              <w:top w:val="nil"/>
              <w:left w:val="nil"/>
              <w:bottom w:val="nil"/>
              <w:right w:val="nil"/>
            </w:tcBorders>
            <w:shd w:val="clear" w:color="auto" w:fill="auto"/>
            <w:noWrap/>
            <w:vAlign w:val="bottom"/>
            <w:hideMark/>
          </w:tcPr>
          <w:p w:rsidR="006D42B6" w:rsidRPr="00F02ED2" w:rsidRDefault="006D42B6" w:rsidP="006D42B6">
            <w:pPr>
              <w:spacing w:after="0" w:line="240" w:lineRule="auto"/>
              <w:rPr>
                <w:rFonts w:ascii="Calibri" w:eastAsia="Times New Roman" w:hAnsi="Calibri" w:cs="Times New Roman"/>
                <w:color w:val="000000"/>
                <w:sz w:val="16"/>
                <w:szCs w:val="16"/>
              </w:rPr>
            </w:pPr>
          </w:p>
        </w:tc>
        <w:tc>
          <w:tcPr>
            <w:tcW w:w="222" w:type="dxa"/>
            <w:tcBorders>
              <w:top w:val="nil"/>
              <w:left w:val="nil"/>
              <w:bottom w:val="nil"/>
              <w:right w:val="nil"/>
            </w:tcBorders>
            <w:shd w:val="clear" w:color="auto" w:fill="auto"/>
            <w:noWrap/>
            <w:vAlign w:val="bottom"/>
            <w:hideMark/>
          </w:tcPr>
          <w:p w:rsidR="006D42B6" w:rsidRPr="00F02ED2" w:rsidRDefault="006D42B6" w:rsidP="006D42B6">
            <w:pPr>
              <w:spacing w:after="0" w:line="240" w:lineRule="auto"/>
              <w:rPr>
                <w:rFonts w:ascii="Calibri" w:eastAsia="Times New Roman" w:hAnsi="Calibri" w:cs="Times New Roman"/>
                <w:color w:val="000000"/>
                <w:sz w:val="16"/>
                <w:szCs w:val="16"/>
              </w:rPr>
            </w:pPr>
          </w:p>
        </w:tc>
      </w:tr>
      <w:tr w:rsidR="00B83828" w:rsidRPr="00F02ED2" w:rsidTr="00957B32">
        <w:trPr>
          <w:gridAfter w:val="4"/>
          <w:wAfter w:w="1615" w:type="dxa"/>
          <w:trHeight w:val="293"/>
        </w:trPr>
        <w:tc>
          <w:tcPr>
            <w:tcW w:w="2386" w:type="dxa"/>
            <w:vMerge w:val="restart"/>
            <w:tcBorders>
              <w:top w:val="nil"/>
              <w:left w:val="nil"/>
              <w:bottom w:val="single" w:sz="8" w:space="0" w:color="000000"/>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 </w:t>
            </w:r>
          </w:p>
        </w:tc>
        <w:tc>
          <w:tcPr>
            <w:tcW w:w="779"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Mean</w:t>
            </w:r>
          </w:p>
        </w:tc>
        <w:tc>
          <w:tcPr>
            <w:tcW w:w="714"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Std Dev</w:t>
            </w:r>
          </w:p>
        </w:tc>
        <w:tc>
          <w:tcPr>
            <w:tcW w:w="5555" w:type="dxa"/>
            <w:gridSpan w:val="13"/>
            <w:tcBorders>
              <w:top w:val="single" w:sz="8" w:space="0" w:color="auto"/>
              <w:left w:val="nil"/>
              <w:bottom w:val="single" w:sz="4" w:space="0" w:color="auto"/>
              <w:right w:val="single" w:sz="8" w:space="0" w:color="000000"/>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Percentile</w:t>
            </w:r>
          </w:p>
        </w:tc>
        <w:tc>
          <w:tcPr>
            <w:tcW w:w="689"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Inter-Q Range</w:t>
            </w:r>
          </w:p>
        </w:tc>
      </w:tr>
      <w:tr w:rsidR="00B83828" w:rsidRPr="00F02ED2" w:rsidTr="00957B32">
        <w:trPr>
          <w:gridAfter w:val="4"/>
          <w:wAfter w:w="1615" w:type="dxa"/>
          <w:trHeight w:val="305"/>
        </w:trPr>
        <w:tc>
          <w:tcPr>
            <w:tcW w:w="2386" w:type="dxa"/>
            <w:vMerge/>
            <w:tcBorders>
              <w:top w:val="nil"/>
              <w:left w:val="nil"/>
              <w:bottom w:val="single" w:sz="8" w:space="0" w:color="000000"/>
              <w:right w:val="single" w:sz="8" w:space="0" w:color="auto"/>
            </w:tcBorders>
            <w:vAlign w:val="center"/>
            <w:hideMark/>
          </w:tcPr>
          <w:p w:rsidR="006D42B6" w:rsidRPr="00F02ED2" w:rsidRDefault="006D42B6" w:rsidP="006D42B6">
            <w:pPr>
              <w:spacing w:after="0" w:line="240" w:lineRule="auto"/>
              <w:rPr>
                <w:rFonts w:ascii="Calibri" w:eastAsia="Times New Roman" w:hAnsi="Calibri" w:cs="Times New Roman"/>
                <w:color w:val="000000"/>
                <w:sz w:val="16"/>
                <w:szCs w:val="16"/>
              </w:rPr>
            </w:pPr>
          </w:p>
        </w:tc>
        <w:tc>
          <w:tcPr>
            <w:tcW w:w="779" w:type="dxa"/>
            <w:vMerge/>
            <w:tcBorders>
              <w:top w:val="single" w:sz="8" w:space="0" w:color="auto"/>
              <w:left w:val="single" w:sz="8" w:space="0" w:color="auto"/>
              <w:bottom w:val="single" w:sz="8" w:space="0" w:color="000000"/>
              <w:right w:val="single" w:sz="4" w:space="0" w:color="auto"/>
            </w:tcBorders>
            <w:vAlign w:val="center"/>
            <w:hideMark/>
          </w:tcPr>
          <w:p w:rsidR="006D42B6" w:rsidRPr="00F02ED2" w:rsidRDefault="006D42B6" w:rsidP="006D42B6">
            <w:pPr>
              <w:spacing w:after="0" w:line="240" w:lineRule="auto"/>
              <w:rPr>
                <w:rFonts w:ascii="Calibri" w:eastAsia="Times New Roman" w:hAnsi="Calibri" w:cs="Times New Roman"/>
                <w:color w:val="000000"/>
                <w:sz w:val="16"/>
                <w:szCs w:val="16"/>
              </w:rPr>
            </w:pPr>
          </w:p>
        </w:tc>
        <w:tc>
          <w:tcPr>
            <w:tcW w:w="714" w:type="dxa"/>
            <w:vMerge/>
            <w:tcBorders>
              <w:top w:val="single" w:sz="8" w:space="0" w:color="auto"/>
              <w:left w:val="single" w:sz="4" w:space="0" w:color="auto"/>
              <w:bottom w:val="single" w:sz="8" w:space="0" w:color="000000"/>
              <w:right w:val="single" w:sz="8" w:space="0" w:color="auto"/>
            </w:tcBorders>
            <w:vAlign w:val="center"/>
            <w:hideMark/>
          </w:tcPr>
          <w:p w:rsidR="006D42B6" w:rsidRPr="00F02ED2" w:rsidRDefault="006D42B6" w:rsidP="006D42B6">
            <w:pPr>
              <w:spacing w:after="0" w:line="240" w:lineRule="auto"/>
              <w:rPr>
                <w:rFonts w:ascii="Calibri" w:eastAsia="Times New Roman" w:hAnsi="Calibri" w:cs="Times New Roman"/>
                <w:color w:val="000000"/>
                <w:sz w:val="16"/>
                <w:szCs w:val="16"/>
              </w:rPr>
            </w:pPr>
          </w:p>
        </w:tc>
        <w:tc>
          <w:tcPr>
            <w:tcW w:w="633" w:type="dxa"/>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100%</w:t>
            </w:r>
          </w:p>
        </w:tc>
        <w:tc>
          <w:tcPr>
            <w:tcW w:w="568" w:type="dxa"/>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99%</w:t>
            </w:r>
          </w:p>
        </w:tc>
        <w:tc>
          <w:tcPr>
            <w:tcW w:w="493" w:type="dxa"/>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95%</w:t>
            </w:r>
          </w:p>
        </w:tc>
        <w:tc>
          <w:tcPr>
            <w:tcW w:w="493" w:type="dxa"/>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90%</w:t>
            </w:r>
          </w:p>
        </w:tc>
        <w:tc>
          <w:tcPr>
            <w:tcW w:w="493" w:type="dxa"/>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75%</w:t>
            </w:r>
          </w:p>
        </w:tc>
        <w:tc>
          <w:tcPr>
            <w:tcW w:w="493" w:type="dxa"/>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50%</w:t>
            </w:r>
          </w:p>
        </w:tc>
        <w:tc>
          <w:tcPr>
            <w:tcW w:w="493" w:type="dxa"/>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25%</w:t>
            </w:r>
          </w:p>
        </w:tc>
        <w:tc>
          <w:tcPr>
            <w:tcW w:w="537" w:type="dxa"/>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10%</w:t>
            </w:r>
          </w:p>
        </w:tc>
        <w:tc>
          <w:tcPr>
            <w:tcW w:w="470" w:type="dxa"/>
            <w:gridSpan w:val="2"/>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5%</w:t>
            </w:r>
          </w:p>
        </w:tc>
        <w:tc>
          <w:tcPr>
            <w:tcW w:w="470" w:type="dxa"/>
            <w:gridSpan w:val="2"/>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w:t>
            </w:r>
          </w:p>
        </w:tc>
        <w:tc>
          <w:tcPr>
            <w:tcW w:w="412" w:type="dxa"/>
            <w:tcBorders>
              <w:top w:val="nil"/>
              <w:left w:val="nil"/>
              <w:bottom w:val="single" w:sz="8"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0%</w:t>
            </w:r>
          </w:p>
        </w:tc>
        <w:tc>
          <w:tcPr>
            <w:tcW w:w="689" w:type="dxa"/>
            <w:gridSpan w:val="2"/>
            <w:vMerge/>
            <w:tcBorders>
              <w:top w:val="single" w:sz="8" w:space="0" w:color="auto"/>
              <w:left w:val="single" w:sz="8" w:space="0" w:color="auto"/>
              <w:bottom w:val="single" w:sz="8" w:space="0" w:color="000000"/>
              <w:right w:val="single" w:sz="8" w:space="0" w:color="auto"/>
            </w:tcBorders>
            <w:vAlign w:val="center"/>
            <w:hideMark/>
          </w:tcPr>
          <w:p w:rsidR="006D42B6" w:rsidRPr="00F02ED2" w:rsidRDefault="006D42B6" w:rsidP="006D42B6">
            <w:pPr>
              <w:spacing w:after="0" w:line="240" w:lineRule="auto"/>
              <w:rPr>
                <w:rFonts w:ascii="Calibri" w:eastAsia="Times New Roman" w:hAnsi="Calibri" w:cs="Times New Roman"/>
                <w:color w:val="000000"/>
                <w:sz w:val="16"/>
                <w:szCs w:val="16"/>
              </w:rPr>
            </w:pPr>
          </w:p>
        </w:tc>
      </w:tr>
      <w:tr w:rsidR="00B83828" w:rsidRPr="00F02ED2" w:rsidTr="00957B32">
        <w:trPr>
          <w:gridAfter w:val="4"/>
          <w:wAfter w:w="1615" w:type="dxa"/>
          <w:trHeight w:val="293"/>
        </w:trPr>
        <w:tc>
          <w:tcPr>
            <w:tcW w:w="2386" w:type="dxa"/>
            <w:tcBorders>
              <w:top w:val="nil"/>
              <w:left w:val="single" w:sz="8" w:space="0" w:color="auto"/>
              <w:bottom w:val="single" w:sz="4" w:space="0" w:color="auto"/>
              <w:right w:val="nil"/>
            </w:tcBorders>
            <w:shd w:val="clear" w:color="auto" w:fill="auto"/>
            <w:noWrap/>
            <w:vAlign w:val="bottom"/>
            <w:hideMark/>
          </w:tcPr>
          <w:p w:rsidR="006D42B6" w:rsidRPr="00F02ED2" w:rsidRDefault="006D42B6" w:rsidP="006D42B6">
            <w:pPr>
              <w:spacing w:after="0" w:line="240" w:lineRule="auto"/>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Communication with Nurses</w:t>
            </w:r>
          </w:p>
        </w:tc>
        <w:tc>
          <w:tcPr>
            <w:tcW w:w="779" w:type="dxa"/>
            <w:tcBorders>
              <w:top w:val="nil"/>
              <w:left w:val="single" w:sz="8" w:space="0" w:color="auto"/>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80.34</w:t>
            </w:r>
          </w:p>
        </w:tc>
        <w:tc>
          <w:tcPr>
            <w:tcW w:w="714"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5.90</w:t>
            </w:r>
          </w:p>
        </w:tc>
        <w:tc>
          <w:tcPr>
            <w:tcW w:w="63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100</w:t>
            </w:r>
          </w:p>
        </w:tc>
        <w:tc>
          <w:tcPr>
            <w:tcW w:w="568"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96</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90</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88</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84</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80</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77</w:t>
            </w:r>
          </w:p>
        </w:tc>
        <w:tc>
          <w:tcPr>
            <w:tcW w:w="537"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74</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71</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65</w:t>
            </w:r>
          </w:p>
        </w:tc>
        <w:tc>
          <w:tcPr>
            <w:tcW w:w="412"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16</w:t>
            </w:r>
          </w:p>
        </w:tc>
        <w:tc>
          <w:tcPr>
            <w:tcW w:w="689" w:type="dxa"/>
            <w:gridSpan w:val="2"/>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w:t>
            </w:r>
          </w:p>
        </w:tc>
      </w:tr>
      <w:tr w:rsidR="00B83828" w:rsidRPr="00F02ED2" w:rsidTr="00957B32">
        <w:trPr>
          <w:gridAfter w:val="4"/>
          <w:wAfter w:w="1615" w:type="dxa"/>
          <w:trHeight w:val="293"/>
        </w:trPr>
        <w:tc>
          <w:tcPr>
            <w:tcW w:w="2386" w:type="dxa"/>
            <w:tcBorders>
              <w:top w:val="nil"/>
              <w:left w:val="single" w:sz="8" w:space="0" w:color="auto"/>
              <w:bottom w:val="single" w:sz="4" w:space="0" w:color="auto"/>
              <w:right w:val="nil"/>
            </w:tcBorders>
            <w:shd w:val="clear" w:color="auto" w:fill="auto"/>
            <w:noWrap/>
            <w:vAlign w:val="bottom"/>
            <w:hideMark/>
          </w:tcPr>
          <w:p w:rsidR="006D42B6" w:rsidRPr="00F02ED2" w:rsidRDefault="006D42B6" w:rsidP="006D42B6">
            <w:pPr>
              <w:spacing w:after="0" w:line="240" w:lineRule="auto"/>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Communication with Doctors</w:t>
            </w:r>
          </w:p>
        </w:tc>
        <w:tc>
          <w:tcPr>
            <w:tcW w:w="779" w:type="dxa"/>
            <w:tcBorders>
              <w:top w:val="nil"/>
              <w:left w:val="single" w:sz="8" w:space="0" w:color="auto"/>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82.05</w:t>
            </w:r>
          </w:p>
        </w:tc>
        <w:tc>
          <w:tcPr>
            <w:tcW w:w="714"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5.80</w:t>
            </w:r>
          </w:p>
        </w:tc>
        <w:tc>
          <w:tcPr>
            <w:tcW w:w="63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100</w:t>
            </w:r>
          </w:p>
        </w:tc>
        <w:tc>
          <w:tcPr>
            <w:tcW w:w="568"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98</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92</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90</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85</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82</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78</w:t>
            </w:r>
          </w:p>
        </w:tc>
        <w:tc>
          <w:tcPr>
            <w:tcW w:w="537"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76</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74</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69</w:t>
            </w:r>
          </w:p>
        </w:tc>
        <w:tc>
          <w:tcPr>
            <w:tcW w:w="412"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29</w:t>
            </w:r>
          </w:p>
        </w:tc>
        <w:tc>
          <w:tcPr>
            <w:tcW w:w="689" w:type="dxa"/>
            <w:gridSpan w:val="2"/>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w:t>
            </w:r>
          </w:p>
        </w:tc>
      </w:tr>
      <w:tr w:rsidR="00B83828" w:rsidRPr="00F02ED2" w:rsidTr="00957B32">
        <w:trPr>
          <w:gridAfter w:val="4"/>
          <w:wAfter w:w="1615" w:type="dxa"/>
          <w:trHeight w:val="293"/>
        </w:trPr>
        <w:tc>
          <w:tcPr>
            <w:tcW w:w="2386" w:type="dxa"/>
            <w:tcBorders>
              <w:top w:val="nil"/>
              <w:left w:val="single" w:sz="8" w:space="0" w:color="auto"/>
              <w:bottom w:val="single" w:sz="4" w:space="0" w:color="auto"/>
              <w:right w:val="nil"/>
            </w:tcBorders>
            <w:shd w:val="clear" w:color="auto" w:fill="auto"/>
            <w:noWrap/>
            <w:vAlign w:val="bottom"/>
            <w:hideMark/>
          </w:tcPr>
          <w:p w:rsidR="006D42B6" w:rsidRPr="00F02ED2" w:rsidRDefault="006D42B6" w:rsidP="006D42B6">
            <w:pPr>
              <w:spacing w:after="0" w:line="240" w:lineRule="auto"/>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Responsiveness of Hospital Staff</w:t>
            </w:r>
          </w:p>
        </w:tc>
        <w:tc>
          <w:tcPr>
            <w:tcW w:w="779" w:type="dxa"/>
            <w:tcBorders>
              <w:top w:val="nil"/>
              <w:left w:val="single" w:sz="8" w:space="0" w:color="auto"/>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68.82</w:t>
            </w:r>
          </w:p>
        </w:tc>
        <w:tc>
          <w:tcPr>
            <w:tcW w:w="714"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9.71</w:t>
            </w:r>
          </w:p>
        </w:tc>
        <w:tc>
          <w:tcPr>
            <w:tcW w:w="63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100</w:t>
            </w:r>
          </w:p>
        </w:tc>
        <w:tc>
          <w:tcPr>
            <w:tcW w:w="568"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95</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87</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82</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75</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68</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62</w:t>
            </w:r>
          </w:p>
        </w:tc>
        <w:tc>
          <w:tcPr>
            <w:tcW w:w="537"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58</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55</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49</w:t>
            </w:r>
          </w:p>
        </w:tc>
        <w:tc>
          <w:tcPr>
            <w:tcW w:w="412"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20</w:t>
            </w:r>
          </w:p>
        </w:tc>
        <w:tc>
          <w:tcPr>
            <w:tcW w:w="689" w:type="dxa"/>
            <w:gridSpan w:val="2"/>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13</w:t>
            </w:r>
          </w:p>
        </w:tc>
      </w:tr>
      <w:tr w:rsidR="00B83828" w:rsidRPr="00F02ED2" w:rsidTr="00957B32">
        <w:trPr>
          <w:gridAfter w:val="4"/>
          <w:wAfter w:w="1615" w:type="dxa"/>
          <w:trHeight w:val="293"/>
        </w:trPr>
        <w:tc>
          <w:tcPr>
            <w:tcW w:w="2386" w:type="dxa"/>
            <w:tcBorders>
              <w:top w:val="nil"/>
              <w:left w:val="single" w:sz="8" w:space="0" w:color="auto"/>
              <w:bottom w:val="single" w:sz="4" w:space="0" w:color="auto"/>
              <w:right w:val="nil"/>
            </w:tcBorders>
            <w:shd w:val="clear" w:color="auto" w:fill="auto"/>
            <w:noWrap/>
            <w:vAlign w:val="bottom"/>
            <w:hideMark/>
          </w:tcPr>
          <w:p w:rsidR="006D42B6" w:rsidRPr="00F02ED2" w:rsidRDefault="006D42B6" w:rsidP="006D42B6">
            <w:pPr>
              <w:spacing w:after="0" w:line="240" w:lineRule="auto"/>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Communication about Medicines</w:t>
            </w:r>
          </w:p>
        </w:tc>
        <w:tc>
          <w:tcPr>
            <w:tcW w:w="779" w:type="dxa"/>
            <w:tcBorders>
              <w:top w:val="nil"/>
              <w:left w:val="single" w:sz="8" w:space="0" w:color="auto"/>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65.32</w:t>
            </w:r>
          </w:p>
        </w:tc>
        <w:tc>
          <w:tcPr>
            <w:tcW w:w="714"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7.80</w:t>
            </w:r>
          </w:p>
        </w:tc>
        <w:tc>
          <w:tcPr>
            <w:tcW w:w="63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100</w:t>
            </w:r>
          </w:p>
        </w:tc>
        <w:tc>
          <w:tcPr>
            <w:tcW w:w="568"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90</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79</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75</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69</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64</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61</w:t>
            </w:r>
          </w:p>
        </w:tc>
        <w:tc>
          <w:tcPr>
            <w:tcW w:w="537"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58</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55</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48</w:t>
            </w:r>
          </w:p>
        </w:tc>
        <w:tc>
          <w:tcPr>
            <w:tcW w:w="412"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w:t>
            </w:r>
          </w:p>
        </w:tc>
        <w:tc>
          <w:tcPr>
            <w:tcW w:w="689" w:type="dxa"/>
            <w:gridSpan w:val="2"/>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w:t>
            </w:r>
          </w:p>
        </w:tc>
      </w:tr>
      <w:tr w:rsidR="00B83828" w:rsidRPr="00F02ED2" w:rsidTr="00957B32">
        <w:trPr>
          <w:gridAfter w:val="4"/>
          <w:wAfter w:w="1615" w:type="dxa"/>
          <w:trHeight w:val="293"/>
        </w:trPr>
        <w:tc>
          <w:tcPr>
            <w:tcW w:w="2386" w:type="dxa"/>
            <w:tcBorders>
              <w:top w:val="nil"/>
              <w:left w:val="single" w:sz="8" w:space="0" w:color="auto"/>
              <w:bottom w:val="single" w:sz="4" w:space="0" w:color="auto"/>
              <w:right w:val="nil"/>
            </w:tcBorders>
            <w:shd w:val="clear" w:color="auto" w:fill="auto"/>
            <w:noWrap/>
            <w:vAlign w:val="bottom"/>
            <w:hideMark/>
          </w:tcPr>
          <w:p w:rsidR="006D42B6" w:rsidRPr="00F02ED2" w:rsidRDefault="006D42B6" w:rsidP="006D42B6">
            <w:pPr>
              <w:spacing w:after="0" w:line="240" w:lineRule="auto"/>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Cleanliness</w:t>
            </w:r>
          </w:p>
        </w:tc>
        <w:tc>
          <w:tcPr>
            <w:tcW w:w="779" w:type="dxa"/>
            <w:tcBorders>
              <w:top w:val="nil"/>
              <w:left w:val="single" w:sz="8" w:space="0" w:color="auto"/>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74.50</w:t>
            </w:r>
          </w:p>
        </w:tc>
        <w:tc>
          <w:tcPr>
            <w:tcW w:w="714"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8.46</w:t>
            </w:r>
          </w:p>
        </w:tc>
        <w:tc>
          <w:tcPr>
            <w:tcW w:w="63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100</w:t>
            </w:r>
          </w:p>
        </w:tc>
        <w:tc>
          <w:tcPr>
            <w:tcW w:w="568"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96</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89</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85</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80</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74</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69</w:t>
            </w:r>
          </w:p>
        </w:tc>
        <w:tc>
          <w:tcPr>
            <w:tcW w:w="537"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65</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62</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56</w:t>
            </w:r>
          </w:p>
        </w:tc>
        <w:tc>
          <w:tcPr>
            <w:tcW w:w="412"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w:t>
            </w:r>
          </w:p>
        </w:tc>
        <w:tc>
          <w:tcPr>
            <w:tcW w:w="689" w:type="dxa"/>
            <w:gridSpan w:val="2"/>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11</w:t>
            </w:r>
          </w:p>
        </w:tc>
      </w:tr>
      <w:tr w:rsidR="00B83828" w:rsidRPr="00F02ED2" w:rsidTr="00957B32">
        <w:trPr>
          <w:gridAfter w:val="4"/>
          <w:wAfter w:w="1615" w:type="dxa"/>
          <w:trHeight w:val="293"/>
        </w:trPr>
        <w:tc>
          <w:tcPr>
            <w:tcW w:w="2386" w:type="dxa"/>
            <w:tcBorders>
              <w:top w:val="nil"/>
              <w:left w:val="single" w:sz="8" w:space="0" w:color="auto"/>
              <w:bottom w:val="single" w:sz="4" w:space="0" w:color="auto"/>
              <w:right w:val="nil"/>
            </w:tcBorders>
            <w:shd w:val="clear" w:color="auto" w:fill="auto"/>
            <w:noWrap/>
            <w:vAlign w:val="bottom"/>
            <w:hideMark/>
          </w:tcPr>
          <w:p w:rsidR="006D42B6" w:rsidRPr="00F02ED2" w:rsidRDefault="006D42B6" w:rsidP="006D42B6">
            <w:pPr>
              <w:spacing w:after="0" w:line="240" w:lineRule="auto"/>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Quietness</w:t>
            </w:r>
          </w:p>
        </w:tc>
        <w:tc>
          <w:tcPr>
            <w:tcW w:w="779" w:type="dxa"/>
            <w:tcBorders>
              <w:top w:val="nil"/>
              <w:left w:val="single" w:sz="8" w:space="0" w:color="auto"/>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62.79</w:t>
            </w:r>
          </w:p>
        </w:tc>
        <w:tc>
          <w:tcPr>
            <w:tcW w:w="714"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10.72</w:t>
            </w:r>
          </w:p>
        </w:tc>
        <w:tc>
          <w:tcPr>
            <w:tcW w:w="63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100</w:t>
            </w:r>
          </w:p>
        </w:tc>
        <w:tc>
          <w:tcPr>
            <w:tcW w:w="568"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90</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82</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77</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69</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62</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56</w:t>
            </w:r>
          </w:p>
        </w:tc>
        <w:tc>
          <w:tcPr>
            <w:tcW w:w="537"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50</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46</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41</w:t>
            </w:r>
          </w:p>
        </w:tc>
        <w:tc>
          <w:tcPr>
            <w:tcW w:w="412"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3</w:t>
            </w:r>
          </w:p>
        </w:tc>
        <w:tc>
          <w:tcPr>
            <w:tcW w:w="689" w:type="dxa"/>
            <w:gridSpan w:val="2"/>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13</w:t>
            </w:r>
          </w:p>
        </w:tc>
      </w:tr>
      <w:tr w:rsidR="00B83828" w:rsidRPr="00F02ED2" w:rsidTr="00957B32">
        <w:trPr>
          <w:gridAfter w:val="4"/>
          <w:wAfter w:w="1615" w:type="dxa"/>
          <w:trHeight w:val="293"/>
        </w:trPr>
        <w:tc>
          <w:tcPr>
            <w:tcW w:w="2386" w:type="dxa"/>
            <w:tcBorders>
              <w:top w:val="nil"/>
              <w:left w:val="single" w:sz="8" w:space="0" w:color="auto"/>
              <w:bottom w:val="single" w:sz="4" w:space="0" w:color="auto"/>
              <w:right w:val="nil"/>
            </w:tcBorders>
            <w:shd w:val="clear" w:color="auto" w:fill="auto"/>
            <w:noWrap/>
            <w:vAlign w:val="bottom"/>
            <w:hideMark/>
          </w:tcPr>
          <w:p w:rsidR="006D42B6" w:rsidRPr="00F02ED2" w:rsidRDefault="006D42B6" w:rsidP="006D42B6">
            <w:pPr>
              <w:spacing w:after="0" w:line="240" w:lineRule="auto"/>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Discharge Information</w:t>
            </w:r>
          </w:p>
        </w:tc>
        <w:tc>
          <w:tcPr>
            <w:tcW w:w="779" w:type="dxa"/>
            <w:tcBorders>
              <w:top w:val="nil"/>
              <w:left w:val="single" w:sz="8" w:space="0" w:color="auto"/>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87.25</w:t>
            </w:r>
          </w:p>
        </w:tc>
        <w:tc>
          <w:tcPr>
            <w:tcW w:w="714"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4.74</w:t>
            </w:r>
          </w:p>
        </w:tc>
        <w:tc>
          <w:tcPr>
            <w:tcW w:w="63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100</w:t>
            </w:r>
          </w:p>
        </w:tc>
        <w:tc>
          <w:tcPr>
            <w:tcW w:w="568"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97</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93</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92</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90</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88</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85</w:t>
            </w:r>
          </w:p>
        </w:tc>
        <w:tc>
          <w:tcPr>
            <w:tcW w:w="537"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82</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79</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72</w:t>
            </w:r>
          </w:p>
        </w:tc>
        <w:tc>
          <w:tcPr>
            <w:tcW w:w="412"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w:t>
            </w:r>
          </w:p>
        </w:tc>
        <w:tc>
          <w:tcPr>
            <w:tcW w:w="689" w:type="dxa"/>
            <w:gridSpan w:val="2"/>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5</w:t>
            </w:r>
          </w:p>
        </w:tc>
      </w:tr>
      <w:tr w:rsidR="00B83828" w:rsidRPr="00F02ED2" w:rsidTr="00957B32">
        <w:trPr>
          <w:gridAfter w:val="4"/>
          <w:wAfter w:w="1615" w:type="dxa"/>
          <w:trHeight w:val="293"/>
        </w:trPr>
        <w:tc>
          <w:tcPr>
            <w:tcW w:w="2386" w:type="dxa"/>
            <w:tcBorders>
              <w:top w:val="nil"/>
              <w:left w:val="single" w:sz="8" w:space="0" w:color="auto"/>
              <w:bottom w:val="single" w:sz="4" w:space="0" w:color="auto"/>
              <w:right w:val="nil"/>
            </w:tcBorders>
            <w:shd w:val="clear" w:color="auto" w:fill="auto"/>
            <w:noWrap/>
            <w:vAlign w:val="bottom"/>
            <w:hideMark/>
          </w:tcPr>
          <w:p w:rsidR="006D42B6" w:rsidRPr="00F02ED2" w:rsidRDefault="006D42B6" w:rsidP="006D42B6">
            <w:pPr>
              <w:spacing w:after="0" w:line="240" w:lineRule="auto"/>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Overall Rating</w:t>
            </w:r>
          </w:p>
        </w:tc>
        <w:tc>
          <w:tcPr>
            <w:tcW w:w="779" w:type="dxa"/>
            <w:tcBorders>
              <w:top w:val="nil"/>
              <w:left w:val="single" w:sz="8" w:space="0" w:color="auto"/>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72.77</w:t>
            </w:r>
          </w:p>
        </w:tc>
        <w:tc>
          <w:tcPr>
            <w:tcW w:w="714"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9.01</w:t>
            </w:r>
          </w:p>
        </w:tc>
        <w:tc>
          <w:tcPr>
            <w:tcW w:w="63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100</w:t>
            </w:r>
          </w:p>
        </w:tc>
        <w:tc>
          <w:tcPr>
            <w:tcW w:w="568"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93</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87</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84</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78</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73</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67</w:t>
            </w:r>
          </w:p>
        </w:tc>
        <w:tc>
          <w:tcPr>
            <w:tcW w:w="537"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62</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58</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49</w:t>
            </w:r>
          </w:p>
        </w:tc>
        <w:tc>
          <w:tcPr>
            <w:tcW w:w="412"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24</w:t>
            </w:r>
          </w:p>
        </w:tc>
        <w:tc>
          <w:tcPr>
            <w:tcW w:w="689" w:type="dxa"/>
            <w:gridSpan w:val="2"/>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11</w:t>
            </w:r>
          </w:p>
        </w:tc>
      </w:tr>
      <w:tr w:rsidR="00B83828" w:rsidRPr="00F02ED2" w:rsidTr="00957B32">
        <w:trPr>
          <w:gridAfter w:val="4"/>
          <w:wAfter w:w="1615" w:type="dxa"/>
          <w:trHeight w:val="293"/>
        </w:trPr>
        <w:tc>
          <w:tcPr>
            <w:tcW w:w="2386" w:type="dxa"/>
            <w:tcBorders>
              <w:top w:val="nil"/>
              <w:left w:val="single" w:sz="8" w:space="0" w:color="auto"/>
              <w:bottom w:val="single" w:sz="4" w:space="0" w:color="auto"/>
              <w:right w:val="nil"/>
            </w:tcBorders>
            <w:shd w:val="clear" w:color="auto" w:fill="auto"/>
            <w:noWrap/>
            <w:vAlign w:val="bottom"/>
            <w:hideMark/>
          </w:tcPr>
          <w:p w:rsidR="006D42B6" w:rsidRPr="00F02ED2" w:rsidRDefault="006D42B6" w:rsidP="006D42B6">
            <w:pPr>
              <w:spacing w:after="0" w:line="240" w:lineRule="auto"/>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Recommend Hospital</w:t>
            </w:r>
          </w:p>
        </w:tc>
        <w:tc>
          <w:tcPr>
            <w:tcW w:w="779" w:type="dxa"/>
            <w:tcBorders>
              <w:top w:val="nil"/>
              <w:left w:val="single" w:sz="8" w:space="0" w:color="auto"/>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72.14</w:t>
            </w:r>
          </w:p>
        </w:tc>
        <w:tc>
          <w:tcPr>
            <w:tcW w:w="714"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9.95</w:t>
            </w:r>
          </w:p>
        </w:tc>
        <w:tc>
          <w:tcPr>
            <w:tcW w:w="63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100</w:t>
            </w:r>
          </w:p>
        </w:tc>
        <w:tc>
          <w:tcPr>
            <w:tcW w:w="568"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94</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88</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84</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79</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73</w:t>
            </w:r>
          </w:p>
        </w:tc>
        <w:tc>
          <w:tcPr>
            <w:tcW w:w="493"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66</w:t>
            </w:r>
          </w:p>
        </w:tc>
        <w:tc>
          <w:tcPr>
            <w:tcW w:w="537" w:type="dxa"/>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60</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56</w:t>
            </w:r>
          </w:p>
        </w:tc>
        <w:tc>
          <w:tcPr>
            <w:tcW w:w="470" w:type="dxa"/>
            <w:gridSpan w:val="2"/>
            <w:tcBorders>
              <w:top w:val="nil"/>
              <w:left w:val="nil"/>
              <w:bottom w:val="single" w:sz="4"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48</w:t>
            </w:r>
          </w:p>
        </w:tc>
        <w:tc>
          <w:tcPr>
            <w:tcW w:w="412" w:type="dxa"/>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9</w:t>
            </w:r>
          </w:p>
        </w:tc>
        <w:tc>
          <w:tcPr>
            <w:tcW w:w="689" w:type="dxa"/>
            <w:gridSpan w:val="2"/>
            <w:tcBorders>
              <w:top w:val="nil"/>
              <w:left w:val="nil"/>
              <w:bottom w:val="single" w:sz="4"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13</w:t>
            </w:r>
          </w:p>
        </w:tc>
      </w:tr>
      <w:tr w:rsidR="00B83828" w:rsidRPr="00F02ED2" w:rsidTr="00957B32">
        <w:trPr>
          <w:gridAfter w:val="4"/>
          <w:wAfter w:w="1615" w:type="dxa"/>
          <w:trHeight w:val="305"/>
        </w:trPr>
        <w:tc>
          <w:tcPr>
            <w:tcW w:w="2386" w:type="dxa"/>
            <w:tcBorders>
              <w:top w:val="nil"/>
              <w:left w:val="single" w:sz="8" w:space="0" w:color="auto"/>
              <w:bottom w:val="single" w:sz="8" w:space="0" w:color="auto"/>
              <w:right w:val="nil"/>
            </w:tcBorders>
            <w:shd w:val="clear" w:color="auto" w:fill="auto"/>
            <w:noWrap/>
            <w:vAlign w:val="bottom"/>
            <w:hideMark/>
          </w:tcPr>
          <w:p w:rsidR="006D42B6" w:rsidRPr="00F02ED2" w:rsidRDefault="006D42B6" w:rsidP="006D42B6">
            <w:pPr>
              <w:spacing w:after="0" w:line="240" w:lineRule="auto"/>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Care Transition</w:t>
            </w:r>
          </w:p>
        </w:tc>
        <w:tc>
          <w:tcPr>
            <w:tcW w:w="779" w:type="dxa"/>
            <w:tcBorders>
              <w:top w:val="nil"/>
              <w:left w:val="single" w:sz="8" w:space="0" w:color="auto"/>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52.36</w:t>
            </w:r>
          </w:p>
        </w:tc>
        <w:tc>
          <w:tcPr>
            <w:tcW w:w="714" w:type="dxa"/>
            <w:tcBorders>
              <w:top w:val="nil"/>
              <w:left w:val="nil"/>
              <w:bottom w:val="single" w:sz="8"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7.79</w:t>
            </w:r>
          </w:p>
        </w:tc>
        <w:tc>
          <w:tcPr>
            <w:tcW w:w="633" w:type="dxa"/>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100</w:t>
            </w:r>
          </w:p>
        </w:tc>
        <w:tc>
          <w:tcPr>
            <w:tcW w:w="568" w:type="dxa"/>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74</w:t>
            </w:r>
          </w:p>
        </w:tc>
        <w:tc>
          <w:tcPr>
            <w:tcW w:w="493" w:type="dxa"/>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65</w:t>
            </w:r>
          </w:p>
        </w:tc>
        <w:tc>
          <w:tcPr>
            <w:tcW w:w="493" w:type="dxa"/>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62</w:t>
            </w:r>
          </w:p>
        </w:tc>
        <w:tc>
          <w:tcPr>
            <w:tcW w:w="493" w:type="dxa"/>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56</w:t>
            </w:r>
          </w:p>
        </w:tc>
        <w:tc>
          <w:tcPr>
            <w:tcW w:w="493" w:type="dxa"/>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52</w:t>
            </w:r>
          </w:p>
        </w:tc>
        <w:tc>
          <w:tcPr>
            <w:tcW w:w="493" w:type="dxa"/>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48</w:t>
            </w:r>
          </w:p>
        </w:tc>
        <w:tc>
          <w:tcPr>
            <w:tcW w:w="537" w:type="dxa"/>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44</w:t>
            </w:r>
          </w:p>
        </w:tc>
        <w:tc>
          <w:tcPr>
            <w:tcW w:w="470" w:type="dxa"/>
            <w:gridSpan w:val="2"/>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40</w:t>
            </w:r>
          </w:p>
        </w:tc>
        <w:tc>
          <w:tcPr>
            <w:tcW w:w="470" w:type="dxa"/>
            <w:gridSpan w:val="2"/>
            <w:tcBorders>
              <w:top w:val="nil"/>
              <w:left w:val="nil"/>
              <w:bottom w:val="single" w:sz="8" w:space="0" w:color="auto"/>
              <w:right w:val="single" w:sz="4"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34</w:t>
            </w:r>
          </w:p>
        </w:tc>
        <w:tc>
          <w:tcPr>
            <w:tcW w:w="412" w:type="dxa"/>
            <w:tcBorders>
              <w:top w:val="nil"/>
              <w:left w:val="nil"/>
              <w:bottom w:val="single" w:sz="8"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0</w:t>
            </w:r>
          </w:p>
        </w:tc>
        <w:tc>
          <w:tcPr>
            <w:tcW w:w="689" w:type="dxa"/>
            <w:gridSpan w:val="2"/>
            <w:tcBorders>
              <w:top w:val="nil"/>
              <w:left w:val="nil"/>
              <w:bottom w:val="single" w:sz="8" w:space="0" w:color="auto"/>
              <w:right w:val="single" w:sz="8" w:space="0" w:color="auto"/>
            </w:tcBorders>
            <w:shd w:val="clear" w:color="auto" w:fill="auto"/>
            <w:noWrap/>
            <w:vAlign w:val="bottom"/>
            <w:hideMark/>
          </w:tcPr>
          <w:p w:rsidR="006D42B6" w:rsidRPr="00F02ED2" w:rsidRDefault="006D42B6" w:rsidP="006D42B6">
            <w:pPr>
              <w:spacing w:after="0" w:line="240" w:lineRule="auto"/>
              <w:jc w:val="center"/>
              <w:rPr>
                <w:rFonts w:ascii="Calibri" w:eastAsia="Times New Roman" w:hAnsi="Calibri" w:cs="Times New Roman"/>
                <w:color w:val="000000"/>
                <w:sz w:val="16"/>
                <w:szCs w:val="16"/>
              </w:rPr>
            </w:pPr>
            <w:r w:rsidRPr="00F02ED2">
              <w:rPr>
                <w:rFonts w:ascii="Calibri" w:eastAsia="Times New Roman" w:hAnsi="Calibri" w:cs="Times New Roman"/>
                <w:color w:val="000000"/>
                <w:sz w:val="16"/>
                <w:szCs w:val="16"/>
              </w:rPr>
              <w:t>8</w:t>
            </w:r>
          </w:p>
        </w:tc>
      </w:tr>
    </w:tbl>
    <w:p w:rsidR="006D42B6" w:rsidRDefault="006D42B6" w:rsidP="00D61410">
      <w:pPr>
        <w:autoSpaceDE w:val="0"/>
        <w:autoSpaceDN w:val="0"/>
        <w:adjustRightInd w:val="0"/>
        <w:spacing w:after="0" w:line="240" w:lineRule="auto"/>
        <w:rPr>
          <w:rFonts w:cstheme="minorHAnsi"/>
          <w:bCs/>
        </w:rPr>
      </w:pPr>
    </w:p>
    <w:p w:rsidR="00B06749" w:rsidRPr="00814FF0" w:rsidRDefault="0062532B" w:rsidP="00D61410">
      <w:pPr>
        <w:autoSpaceDE w:val="0"/>
        <w:autoSpaceDN w:val="0"/>
        <w:adjustRightInd w:val="0"/>
        <w:spacing w:after="0" w:line="240" w:lineRule="auto"/>
        <w:rPr>
          <w:rFonts w:ascii="Palatino Linotype" w:hAnsi="Palatino Linotype" w:cstheme="minorHAnsi"/>
          <w:bCs/>
          <w:i/>
          <w:sz w:val="20"/>
          <w:szCs w:val="20"/>
        </w:rPr>
      </w:pPr>
      <w:r w:rsidRPr="00814FF0">
        <w:rPr>
          <w:rFonts w:ascii="Palatino Linotype" w:hAnsi="Palatino Linotype" w:cstheme="minorHAnsi"/>
          <w:bCs/>
          <w:i/>
          <w:sz w:val="20"/>
          <w:szCs w:val="20"/>
        </w:rPr>
        <w:t xml:space="preserve">Please note that </w:t>
      </w:r>
      <w:r w:rsidR="0031149C" w:rsidRPr="00814FF0">
        <w:rPr>
          <w:rFonts w:ascii="Palatino Linotype" w:hAnsi="Palatino Linotype" w:cstheme="minorHAnsi"/>
          <w:bCs/>
          <w:i/>
          <w:sz w:val="20"/>
          <w:szCs w:val="20"/>
        </w:rPr>
        <w:t>the high</w:t>
      </w:r>
      <w:r w:rsidR="00B06749" w:rsidRPr="00814FF0">
        <w:rPr>
          <w:rFonts w:ascii="Palatino Linotype" w:hAnsi="Palatino Linotype" w:cstheme="minorHAnsi"/>
          <w:bCs/>
          <w:i/>
          <w:sz w:val="20"/>
          <w:szCs w:val="20"/>
        </w:rPr>
        <w:t xml:space="preserve"> hospital-level HCAHPS reliabilities </w:t>
      </w:r>
      <w:r w:rsidRPr="00814FF0">
        <w:rPr>
          <w:rFonts w:ascii="Palatino Linotype" w:hAnsi="Palatino Linotype" w:cstheme="minorHAnsi"/>
          <w:bCs/>
          <w:i/>
          <w:sz w:val="20"/>
          <w:szCs w:val="20"/>
        </w:rPr>
        <w:t xml:space="preserve">(see section </w:t>
      </w:r>
      <w:r w:rsidR="00D51C9D" w:rsidRPr="00814FF0">
        <w:rPr>
          <w:rFonts w:ascii="Palatino Linotype" w:hAnsi="Palatino Linotype" w:cstheme="minorHAnsi"/>
          <w:bCs/>
          <w:i/>
          <w:sz w:val="20"/>
          <w:szCs w:val="20"/>
        </w:rPr>
        <w:t>2.a2.3</w:t>
      </w:r>
      <w:r w:rsidRPr="00814FF0">
        <w:rPr>
          <w:rFonts w:ascii="Palatino Linotype" w:hAnsi="Palatino Linotype" w:cstheme="minorHAnsi"/>
          <w:bCs/>
          <w:i/>
          <w:sz w:val="20"/>
          <w:szCs w:val="20"/>
        </w:rPr>
        <w:t xml:space="preserve"> </w:t>
      </w:r>
      <w:r w:rsidR="00B06749" w:rsidRPr="00814FF0">
        <w:rPr>
          <w:rFonts w:ascii="Palatino Linotype" w:hAnsi="Palatino Linotype" w:cstheme="minorHAnsi"/>
          <w:bCs/>
          <w:i/>
          <w:sz w:val="20"/>
          <w:szCs w:val="20"/>
        </w:rPr>
        <w:t>ensure very good ability to distinguish hospital performance</w:t>
      </w:r>
      <w:r w:rsidRPr="00814FF0">
        <w:rPr>
          <w:rFonts w:ascii="Palatino Linotype" w:hAnsi="Palatino Linotype" w:cstheme="minorHAnsi"/>
          <w:bCs/>
          <w:i/>
          <w:sz w:val="20"/>
          <w:szCs w:val="20"/>
        </w:rPr>
        <w:t xml:space="preserve">, including establishing differences from the overall </w:t>
      </w:r>
      <w:r w:rsidR="0031149C" w:rsidRPr="00814FF0">
        <w:rPr>
          <w:rFonts w:ascii="Palatino Linotype" w:hAnsi="Palatino Linotype" w:cstheme="minorHAnsi"/>
          <w:bCs/>
          <w:i/>
          <w:sz w:val="20"/>
          <w:szCs w:val="20"/>
        </w:rPr>
        <w:t>average.</w:t>
      </w:r>
    </w:p>
    <w:p w:rsidR="00613365" w:rsidRDefault="00613365" w:rsidP="00D61410">
      <w:pPr>
        <w:autoSpaceDE w:val="0"/>
        <w:autoSpaceDN w:val="0"/>
        <w:adjustRightInd w:val="0"/>
        <w:spacing w:after="0" w:line="240" w:lineRule="auto"/>
        <w:rPr>
          <w:rFonts w:cstheme="minorHAnsi"/>
          <w:bCs/>
        </w:rPr>
      </w:pPr>
    </w:p>
    <w:p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rsidR="00AE060B" w:rsidRDefault="00AE060B" w:rsidP="00D61410">
      <w:pPr>
        <w:autoSpaceDE w:val="0"/>
        <w:autoSpaceDN w:val="0"/>
        <w:adjustRightInd w:val="0"/>
        <w:spacing w:after="0" w:line="240" w:lineRule="auto"/>
        <w:rPr>
          <w:rFonts w:ascii="Palatino Linotype" w:hAnsi="Palatino Linotype" w:cs="Times New Roman"/>
          <w:bCs/>
          <w:i/>
          <w:sz w:val="20"/>
          <w:szCs w:val="20"/>
        </w:rPr>
      </w:pPr>
      <w:r w:rsidRPr="008C4D75">
        <w:rPr>
          <w:rFonts w:ascii="Palatino Linotype" w:hAnsi="Palatino Linotype" w:cs="Times New Roman"/>
          <w:bCs/>
          <w:i/>
          <w:sz w:val="20"/>
          <w:szCs w:val="20"/>
        </w:rPr>
        <w:t>There are statistically significant and meaningful differences among hospitals on each of the HCAHPS measures.</w:t>
      </w:r>
      <w:r w:rsidR="00775679">
        <w:rPr>
          <w:rFonts w:ascii="Palatino Linotype" w:hAnsi="Palatino Linotype" w:cs="Times New Roman"/>
          <w:bCs/>
          <w:i/>
          <w:sz w:val="20"/>
          <w:szCs w:val="20"/>
        </w:rPr>
        <w:t xml:space="preserve"> At the recommended sample size of 300 completed surveys, the reliability </w:t>
      </w:r>
      <w:r w:rsidR="004C770F">
        <w:rPr>
          <w:rFonts w:ascii="Palatino Linotype" w:hAnsi="Palatino Linotype" w:cs="Times New Roman"/>
          <w:bCs/>
          <w:i/>
          <w:sz w:val="20"/>
          <w:szCs w:val="20"/>
        </w:rPr>
        <w:t>of all HCAHPS measures is high, indicating good ability to distinguish the performance of a given hospital at the overall national mean. Additional research establishes differences of 5 points on a 0-100 scale as being large differences for HCAHPS. We observe a very large range of performance across all measures. Some hospitals get nearly perfect scores, median performance is generally between 52% and 88% of the maximum scores, with some hospitals scoring below 30% on each of the measures.</w:t>
      </w:r>
      <w:r w:rsidRPr="008C4D75">
        <w:rPr>
          <w:rFonts w:ascii="Palatino Linotype" w:hAnsi="Palatino Linotype" w:cs="Times New Roman"/>
          <w:bCs/>
          <w:i/>
          <w:sz w:val="20"/>
          <w:szCs w:val="20"/>
        </w:rPr>
        <w:t xml:space="preserve">  </w:t>
      </w:r>
    </w:p>
    <w:p w:rsidR="003F44C1" w:rsidRPr="008C4D75" w:rsidRDefault="003F44C1" w:rsidP="00D61410">
      <w:pPr>
        <w:autoSpaceDE w:val="0"/>
        <w:autoSpaceDN w:val="0"/>
        <w:adjustRightInd w:val="0"/>
        <w:spacing w:after="0" w:line="240" w:lineRule="auto"/>
        <w:rPr>
          <w:rFonts w:ascii="Palatino Linotype" w:hAnsi="Palatino Linotype" w:cstheme="minorHAnsi"/>
          <w:bCs/>
          <w:i/>
          <w:sz w:val="20"/>
          <w:szCs w:val="20"/>
        </w:rPr>
      </w:pP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Default="00567D12" w:rsidP="00567D12">
      <w:pPr>
        <w:spacing w:after="0" w:line="240" w:lineRule="auto"/>
        <w:rPr>
          <w:rFonts w:cstheme="minorHAnsi"/>
          <w:b/>
          <w:bCs/>
          <w:i/>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085420" w:rsidRDefault="00085420" w:rsidP="00567D12">
      <w:pPr>
        <w:spacing w:after="0" w:line="240" w:lineRule="auto"/>
        <w:rPr>
          <w:rFonts w:cstheme="minorHAnsi"/>
          <w:b/>
          <w:bCs/>
          <w:i/>
        </w:rPr>
      </w:pPr>
    </w:p>
    <w:p w:rsidR="00085420" w:rsidRPr="008C4D75" w:rsidRDefault="00085420" w:rsidP="00567D12">
      <w:pPr>
        <w:spacing w:after="0" w:line="240" w:lineRule="auto"/>
        <w:rPr>
          <w:rFonts w:ascii="Palatino Linotype" w:hAnsi="Palatino Linotype" w:cstheme="minorHAnsi"/>
          <w:bCs/>
          <w:sz w:val="20"/>
          <w:szCs w:val="20"/>
        </w:rPr>
      </w:pPr>
      <w:r w:rsidRPr="008C4D75">
        <w:rPr>
          <w:rFonts w:ascii="Palatino Linotype" w:hAnsi="Palatino Linotype" w:cstheme="minorHAnsi"/>
          <w:bCs/>
          <w:i/>
          <w:sz w:val="20"/>
          <w:szCs w:val="20"/>
        </w:rPr>
        <w:t xml:space="preserve">Not Applicable. </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0F06B5" w:rsidRPr="00A25024" w:rsidRDefault="009C7513" w:rsidP="00E46755">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rsidR="003F44C1" w:rsidRDefault="009C7513" w:rsidP="008539E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p>
    <w:p w:rsidR="008F7E67" w:rsidRDefault="00A35F8F" w:rsidP="008539E7">
      <w:pPr>
        <w:autoSpaceDE w:val="0"/>
        <w:autoSpaceDN w:val="0"/>
        <w:adjustRightInd w:val="0"/>
        <w:spacing w:after="0" w:line="240" w:lineRule="auto"/>
        <w:rPr>
          <w:rFonts w:cstheme="minorHAnsi"/>
          <w:b/>
          <w:bCs/>
        </w:rPr>
      </w:pPr>
      <w:r w:rsidRPr="00DB3627">
        <w:rPr>
          <w:rFonts w:cstheme="minorHAnsi"/>
          <w:bCs/>
        </w:rPr>
        <w:br/>
      </w:r>
      <w:r w:rsidR="008F7E67">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rsidR="00085420" w:rsidRDefault="00085420" w:rsidP="00085420">
      <w:pPr>
        <w:autoSpaceDE w:val="0"/>
        <w:autoSpaceDN w:val="0"/>
        <w:adjustRightInd w:val="0"/>
        <w:spacing w:after="0" w:line="240" w:lineRule="auto"/>
        <w:rPr>
          <w:rFonts w:ascii="Palatino Linotype" w:hAnsi="Palatino Linotype" w:cs="Times New Roman"/>
          <w:b/>
          <w:bCs/>
          <w:i/>
          <w:color w:val="000000"/>
          <w:sz w:val="20"/>
          <w:szCs w:val="20"/>
        </w:rPr>
      </w:pPr>
      <w:r w:rsidRPr="00280C1E">
        <w:rPr>
          <w:rFonts w:ascii="Palatino Linotype" w:hAnsi="Palatino Linotype" w:cs="Times New Roman"/>
          <w:b/>
          <w:bCs/>
          <w:i/>
          <w:color w:val="000000"/>
          <w:sz w:val="20"/>
          <w:szCs w:val="20"/>
        </w:rPr>
        <w:t xml:space="preserve">Nonresponse Findings </w:t>
      </w:r>
    </w:p>
    <w:p w:rsidR="004B31D6" w:rsidRDefault="004B31D6" w:rsidP="004B31D6">
      <w:pPr>
        <w:autoSpaceDE w:val="0"/>
        <w:autoSpaceDN w:val="0"/>
        <w:adjustRightInd w:val="0"/>
        <w:spacing w:after="0" w:line="240" w:lineRule="auto"/>
        <w:rPr>
          <w:rFonts w:ascii="Palatino Linotype" w:hAnsi="Palatino Linotype" w:cs="Times New Roman"/>
          <w:i/>
          <w:color w:val="000000"/>
          <w:sz w:val="20"/>
          <w:szCs w:val="20"/>
        </w:rPr>
      </w:pPr>
      <w:r w:rsidRPr="004B31D6">
        <w:rPr>
          <w:rFonts w:ascii="Palatino Linotype" w:hAnsi="Palatino Linotype" w:cs="Times New Roman"/>
          <w:i/>
          <w:color w:val="000000"/>
          <w:sz w:val="20"/>
          <w:szCs w:val="20"/>
        </w:rPr>
        <w:t>Logistic regression was used to model the probability of response by</w:t>
      </w:r>
      <w:r>
        <w:rPr>
          <w:rFonts w:ascii="Palatino Linotype" w:hAnsi="Palatino Linotype" w:cs="Times New Roman"/>
          <w:i/>
          <w:color w:val="000000"/>
          <w:sz w:val="20"/>
          <w:szCs w:val="20"/>
        </w:rPr>
        <w:t xml:space="preserve"> </w:t>
      </w:r>
      <w:r w:rsidRPr="004B31D6">
        <w:rPr>
          <w:rFonts w:ascii="Palatino Linotype" w:hAnsi="Palatino Linotype" w:cs="Times New Roman"/>
          <w:i/>
          <w:color w:val="000000"/>
          <w:sz w:val="20"/>
          <w:szCs w:val="20"/>
        </w:rPr>
        <w:t>eligible patients as a function of available</w:t>
      </w:r>
      <w:r>
        <w:rPr>
          <w:rFonts w:ascii="Palatino Linotype" w:hAnsi="Palatino Linotype" w:cs="Times New Roman"/>
          <w:i/>
          <w:color w:val="000000"/>
          <w:sz w:val="20"/>
          <w:szCs w:val="20"/>
        </w:rPr>
        <w:t xml:space="preserve"> </w:t>
      </w:r>
      <w:r w:rsidRPr="004B31D6">
        <w:rPr>
          <w:rFonts w:ascii="Palatino Linotype" w:hAnsi="Palatino Linotype" w:cs="Times New Roman"/>
          <w:i/>
          <w:color w:val="000000"/>
          <w:sz w:val="20"/>
          <w:szCs w:val="20"/>
        </w:rPr>
        <w:t>administrative variables (age, gender,</w:t>
      </w:r>
      <w:r>
        <w:rPr>
          <w:rFonts w:ascii="Palatino Linotype" w:hAnsi="Palatino Linotype" w:cs="Times New Roman"/>
          <w:i/>
          <w:color w:val="000000"/>
          <w:sz w:val="20"/>
          <w:szCs w:val="20"/>
        </w:rPr>
        <w:t xml:space="preserve"> </w:t>
      </w:r>
      <w:r w:rsidRPr="004B31D6">
        <w:rPr>
          <w:rFonts w:ascii="Palatino Linotype" w:hAnsi="Palatino Linotype" w:cs="Times New Roman"/>
          <w:i/>
          <w:color w:val="000000"/>
          <w:sz w:val="20"/>
          <w:szCs w:val="20"/>
        </w:rPr>
        <w:t>service line, emergency room admission, and disch</w:t>
      </w:r>
      <w:r>
        <w:rPr>
          <w:rFonts w:ascii="Palatino Linotype" w:hAnsi="Palatino Linotype" w:cs="Times New Roman"/>
          <w:i/>
          <w:color w:val="000000"/>
          <w:sz w:val="20"/>
          <w:szCs w:val="20"/>
        </w:rPr>
        <w:t>arge status)</w:t>
      </w:r>
      <w:r w:rsidRPr="004B31D6">
        <w:rPr>
          <w:rFonts w:ascii="Palatino Linotype" w:hAnsi="Palatino Linotype" w:cs="Times New Roman"/>
          <w:i/>
          <w:color w:val="000000"/>
          <w:sz w:val="20"/>
          <w:szCs w:val="20"/>
        </w:rPr>
        <w:t>. Predictors also included dummies for hospitals and</w:t>
      </w:r>
      <w:r>
        <w:rPr>
          <w:rFonts w:ascii="Palatino Linotype" w:hAnsi="Palatino Linotype" w:cs="Times New Roman"/>
          <w:i/>
          <w:color w:val="000000"/>
          <w:sz w:val="20"/>
          <w:szCs w:val="20"/>
        </w:rPr>
        <w:t xml:space="preserve"> </w:t>
      </w:r>
      <w:r w:rsidRPr="004B31D6">
        <w:rPr>
          <w:rFonts w:ascii="Palatino Linotype" w:hAnsi="Palatino Linotype" w:cs="Times New Roman"/>
          <w:i/>
          <w:color w:val="000000"/>
          <w:sz w:val="20"/>
          <w:szCs w:val="20"/>
        </w:rPr>
        <w:t>survey modes. A second model added interactions between survey mode and</w:t>
      </w:r>
      <w:r>
        <w:rPr>
          <w:rFonts w:ascii="Palatino Linotype" w:hAnsi="Palatino Linotype" w:cs="Times New Roman"/>
          <w:i/>
          <w:color w:val="000000"/>
          <w:sz w:val="20"/>
          <w:szCs w:val="20"/>
        </w:rPr>
        <w:t xml:space="preserve"> </w:t>
      </w:r>
      <w:r w:rsidRPr="004B31D6">
        <w:rPr>
          <w:rFonts w:ascii="Palatino Linotype" w:hAnsi="Palatino Linotype" w:cs="Times New Roman"/>
          <w:i/>
          <w:color w:val="000000"/>
          <w:sz w:val="20"/>
          <w:szCs w:val="20"/>
        </w:rPr>
        <w:t>other administrative predictors to test the possibility that patterns of nonresponse</w:t>
      </w:r>
      <w:r>
        <w:rPr>
          <w:rFonts w:ascii="Palatino Linotype" w:hAnsi="Palatino Linotype" w:cs="Times New Roman"/>
          <w:i/>
          <w:color w:val="000000"/>
          <w:sz w:val="20"/>
          <w:szCs w:val="20"/>
        </w:rPr>
        <w:t xml:space="preserve"> </w:t>
      </w:r>
      <w:r w:rsidRPr="004B31D6">
        <w:rPr>
          <w:rFonts w:ascii="Palatino Linotype" w:hAnsi="Palatino Linotype" w:cs="Times New Roman"/>
          <w:i/>
          <w:color w:val="000000"/>
          <w:sz w:val="20"/>
          <w:szCs w:val="20"/>
        </w:rPr>
        <w:t>differed by mode. Nonresponse weights were defined as the inverse</w:t>
      </w:r>
      <w:r>
        <w:rPr>
          <w:rFonts w:ascii="Palatino Linotype" w:hAnsi="Palatino Linotype" w:cs="Times New Roman"/>
          <w:i/>
          <w:color w:val="000000"/>
          <w:sz w:val="20"/>
          <w:szCs w:val="20"/>
        </w:rPr>
        <w:t xml:space="preserve"> </w:t>
      </w:r>
      <w:r w:rsidRPr="004B31D6">
        <w:rPr>
          <w:rFonts w:ascii="Palatino Linotype" w:hAnsi="Palatino Linotype" w:cs="Times New Roman"/>
          <w:i/>
          <w:color w:val="000000"/>
          <w:sz w:val="20"/>
          <w:szCs w:val="20"/>
        </w:rPr>
        <w:t>predicted probabilities of response under this model. In order to assess the</w:t>
      </w:r>
      <w:r>
        <w:rPr>
          <w:rFonts w:ascii="Palatino Linotype" w:hAnsi="Palatino Linotype" w:cs="Times New Roman"/>
          <w:i/>
          <w:color w:val="000000"/>
          <w:sz w:val="20"/>
          <w:szCs w:val="20"/>
        </w:rPr>
        <w:t xml:space="preserve"> </w:t>
      </w:r>
      <w:r w:rsidRPr="004B31D6">
        <w:rPr>
          <w:rFonts w:ascii="Palatino Linotype" w:hAnsi="Palatino Linotype" w:cs="Times New Roman"/>
          <w:i/>
          <w:color w:val="000000"/>
          <w:sz w:val="20"/>
          <w:szCs w:val="20"/>
        </w:rPr>
        <w:t>extent to which the nonresponse weights might correct bias in hospital-level</w:t>
      </w:r>
      <w:r>
        <w:rPr>
          <w:rFonts w:ascii="Palatino Linotype" w:hAnsi="Palatino Linotype" w:cs="Times New Roman"/>
          <w:i/>
          <w:color w:val="000000"/>
          <w:sz w:val="20"/>
          <w:szCs w:val="20"/>
        </w:rPr>
        <w:t xml:space="preserve"> </w:t>
      </w:r>
      <w:r w:rsidRPr="004B31D6">
        <w:rPr>
          <w:rFonts w:ascii="Palatino Linotype" w:hAnsi="Palatino Linotype" w:cs="Times New Roman"/>
          <w:i/>
          <w:color w:val="000000"/>
          <w:sz w:val="20"/>
          <w:szCs w:val="20"/>
        </w:rPr>
        <w:t>means, for each of the six composites and two global items we assessed the</w:t>
      </w:r>
      <w:r>
        <w:rPr>
          <w:rFonts w:ascii="Palatino Linotype" w:hAnsi="Palatino Linotype" w:cs="Times New Roman"/>
          <w:i/>
          <w:color w:val="000000"/>
          <w:sz w:val="20"/>
          <w:szCs w:val="20"/>
        </w:rPr>
        <w:t xml:space="preserve"> </w:t>
      </w:r>
      <w:r w:rsidRPr="004B31D6">
        <w:rPr>
          <w:rFonts w:ascii="Palatino Linotype" w:hAnsi="Palatino Linotype" w:cs="Times New Roman"/>
          <w:i/>
          <w:color w:val="000000"/>
          <w:sz w:val="20"/>
          <w:szCs w:val="20"/>
        </w:rPr>
        <w:t>correlation between nonresponse weights and patient-level residuals from the</w:t>
      </w:r>
      <w:r>
        <w:rPr>
          <w:rFonts w:ascii="Palatino Linotype" w:hAnsi="Palatino Linotype" w:cs="Times New Roman"/>
          <w:i/>
          <w:color w:val="000000"/>
          <w:sz w:val="20"/>
          <w:szCs w:val="20"/>
        </w:rPr>
        <w:t xml:space="preserve"> </w:t>
      </w:r>
      <w:r w:rsidRPr="004B31D6">
        <w:rPr>
          <w:rFonts w:ascii="Palatino Linotype" w:hAnsi="Palatino Linotype" w:cs="Times New Roman"/>
          <w:i/>
          <w:color w:val="000000"/>
          <w:sz w:val="20"/>
          <w:szCs w:val="20"/>
        </w:rPr>
        <w:t>two primary sets of outcome models (with and without PMA).</w:t>
      </w:r>
    </w:p>
    <w:p w:rsidR="004B31D6" w:rsidRDefault="004B31D6" w:rsidP="004B31D6">
      <w:pPr>
        <w:autoSpaceDE w:val="0"/>
        <w:autoSpaceDN w:val="0"/>
        <w:adjustRightInd w:val="0"/>
        <w:spacing w:after="0" w:line="240" w:lineRule="auto"/>
        <w:rPr>
          <w:rFonts w:ascii="Palatino Linotype" w:hAnsi="Palatino Linotype" w:cs="Times New Roman"/>
          <w:i/>
          <w:color w:val="000000"/>
          <w:sz w:val="20"/>
          <w:szCs w:val="20"/>
        </w:rPr>
      </w:pPr>
    </w:p>
    <w:p w:rsidR="008155C2" w:rsidRDefault="004B31D6" w:rsidP="008155C2">
      <w:pPr>
        <w:autoSpaceDE w:val="0"/>
        <w:autoSpaceDN w:val="0"/>
        <w:adjustRightInd w:val="0"/>
        <w:spacing w:after="0" w:line="240" w:lineRule="auto"/>
        <w:rPr>
          <w:rFonts w:ascii="Palatino Linotype" w:hAnsi="Palatino Linotype" w:cs="Times New Roman"/>
          <w:i/>
          <w:color w:val="000000"/>
          <w:sz w:val="20"/>
          <w:szCs w:val="20"/>
        </w:rPr>
      </w:pPr>
      <w:r w:rsidRPr="008155C2">
        <w:rPr>
          <w:rFonts w:ascii="Palatino Linotype" w:hAnsi="Palatino Linotype" w:cs="Times New Roman"/>
          <w:i/>
          <w:color w:val="000000"/>
          <w:sz w:val="20"/>
          <w:szCs w:val="20"/>
        </w:rPr>
        <w:t>Nonresponse patterns are summarized in T</w:t>
      </w:r>
      <w:r w:rsidR="008155C2" w:rsidRPr="008155C2">
        <w:rPr>
          <w:rFonts w:ascii="Palatino Linotype" w:hAnsi="Palatino Linotype" w:cs="Times New Roman"/>
          <w:i/>
          <w:color w:val="000000"/>
          <w:sz w:val="20"/>
          <w:szCs w:val="20"/>
        </w:rPr>
        <w:t>able 1 and are similar to those</w:t>
      </w:r>
      <w:r w:rsidR="008155C2">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observed</w:t>
      </w:r>
      <w:r w:rsidR="008155C2" w:rsidRPr="008155C2">
        <w:rPr>
          <w:rFonts w:ascii="Palatino Linotype" w:hAnsi="Palatino Linotype" w:cs="Times New Roman"/>
          <w:i/>
          <w:color w:val="000000"/>
          <w:sz w:val="20"/>
          <w:szCs w:val="20"/>
        </w:rPr>
        <w:t xml:space="preserve"> in Elliott et al. (2005). Wald</w:t>
      </w:r>
      <w:r w:rsidR="008155C2">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tests of blocks of interac</w:t>
      </w:r>
      <w:r w:rsidR="008155C2" w:rsidRPr="008155C2">
        <w:rPr>
          <w:rFonts w:ascii="Palatino Linotype" w:hAnsi="Palatino Linotype" w:cs="Times New Roman"/>
          <w:i/>
          <w:color w:val="000000"/>
          <w:sz w:val="20"/>
          <w:szCs w:val="20"/>
        </w:rPr>
        <w:t>tions by survey</w:t>
      </w:r>
      <w:r w:rsidR="008155C2">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mode found evidence that patterns of nonresponse for telephone ( p5</w:t>
      </w:r>
      <w:r w:rsidR="008155C2" w:rsidRPr="008155C2">
        <w:rPr>
          <w:rFonts w:ascii="Palatino Linotype" w:hAnsi="Palatino Linotype" w:cs="Times New Roman"/>
          <w:i/>
          <w:color w:val="000000"/>
          <w:sz w:val="20"/>
          <w:szCs w:val="20"/>
        </w:rPr>
        <w:t>.002)</w:t>
      </w:r>
      <w:r w:rsidR="008155C2">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and active IVR ( po.0001) differed from the pat</w:t>
      </w:r>
      <w:r w:rsidR="008155C2" w:rsidRPr="008155C2">
        <w:rPr>
          <w:rFonts w:ascii="Palatino Linotype" w:hAnsi="Palatino Linotype" w:cs="Times New Roman"/>
          <w:i/>
          <w:color w:val="000000"/>
          <w:sz w:val="20"/>
          <w:szCs w:val="20"/>
        </w:rPr>
        <w:t>tern for the reference group of</w:t>
      </w:r>
      <w:r w:rsidR="008155C2">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mail, but that patterns for mixed mode did not ( p5</w:t>
      </w:r>
      <w:r w:rsidR="008155C2" w:rsidRPr="008155C2">
        <w:rPr>
          <w:rFonts w:ascii="Palatino Linotype" w:hAnsi="Palatino Linotype" w:cs="Times New Roman"/>
          <w:i/>
          <w:color w:val="000000"/>
          <w:sz w:val="20"/>
          <w:szCs w:val="20"/>
        </w:rPr>
        <w:t>.2604). Specifically,</w:t>
      </w:r>
      <w:r w:rsidR="008155C2">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 xml:space="preserve">the tendency for response rates to increase </w:t>
      </w:r>
      <w:r w:rsidR="008155C2" w:rsidRPr="008155C2">
        <w:rPr>
          <w:rFonts w:ascii="Palatino Linotype" w:hAnsi="Palatino Linotype" w:cs="Times New Roman"/>
          <w:i/>
          <w:color w:val="000000"/>
          <w:sz w:val="20"/>
          <w:szCs w:val="20"/>
        </w:rPr>
        <w:t>with age was not as strong with</w:t>
      </w:r>
      <w:r w:rsidR="008155C2">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telephone and active IVR as with mail, and the mail tendency for higher</w:t>
      </w:r>
      <w:r w:rsidR="008155C2">
        <w:rPr>
          <w:rFonts w:ascii="Palatino Linotype" w:hAnsi="Palatino Linotype" w:cs="Times New Roman"/>
          <w:i/>
          <w:color w:val="000000"/>
          <w:sz w:val="20"/>
          <w:szCs w:val="20"/>
        </w:rPr>
        <w:t xml:space="preserve"> </w:t>
      </w:r>
      <w:r w:rsidR="008155C2" w:rsidRPr="008155C2">
        <w:rPr>
          <w:rFonts w:ascii="Palatino Linotype" w:hAnsi="Palatino Linotype" w:cs="Times New Roman"/>
          <w:i/>
          <w:color w:val="000000"/>
          <w:sz w:val="20"/>
          <w:szCs w:val="20"/>
        </w:rPr>
        <w:t>response rates for maternity than medical service line was not evident in</w:t>
      </w:r>
      <w:r w:rsidR="008155C2">
        <w:rPr>
          <w:rFonts w:ascii="Palatino Linotype" w:hAnsi="Palatino Linotype" w:cs="Times New Roman"/>
          <w:i/>
          <w:color w:val="000000"/>
          <w:sz w:val="20"/>
          <w:szCs w:val="20"/>
        </w:rPr>
        <w:t xml:space="preserve"> </w:t>
      </w:r>
      <w:r w:rsidR="008155C2" w:rsidRPr="008155C2">
        <w:rPr>
          <w:rFonts w:ascii="Palatino Linotype" w:hAnsi="Palatino Linotype" w:cs="Times New Roman"/>
          <w:i/>
          <w:color w:val="000000"/>
          <w:sz w:val="20"/>
          <w:szCs w:val="20"/>
        </w:rPr>
        <w:t>telephone and active IVR modes (results not shown).</w:t>
      </w:r>
      <w:r w:rsidR="008155C2">
        <w:rPr>
          <w:rFonts w:ascii="Palatino Linotype" w:hAnsi="Palatino Linotype" w:cs="Times New Roman"/>
          <w:i/>
          <w:color w:val="000000"/>
          <w:sz w:val="20"/>
          <w:szCs w:val="20"/>
        </w:rPr>
        <w:t xml:space="preserve"> </w:t>
      </w:r>
    </w:p>
    <w:p w:rsidR="008155C2" w:rsidRDefault="008155C2" w:rsidP="008155C2">
      <w:pPr>
        <w:autoSpaceDE w:val="0"/>
        <w:autoSpaceDN w:val="0"/>
        <w:adjustRightInd w:val="0"/>
        <w:spacing w:after="0" w:line="240" w:lineRule="auto"/>
        <w:rPr>
          <w:rFonts w:ascii="Palatino Linotype" w:hAnsi="Palatino Linotype" w:cs="Times New Roman"/>
          <w:i/>
          <w:color w:val="000000"/>
          <w:sz w:val="20"/>
          <w:szCs w:val="20"/>
        </w:rPr>
      </w:pPr>
    </w:p>
    <w:p w:rsidR="008155C2" w:rsidRDefault="008155C2" w:rsidP="008155C2">
      <w:pPr>
        <w:autoSpaceDE w:val="0"/>
        <w:autoSpaceDN w:val="0"/>
        <w:adjustRightInd w:val="0"/>
        <w:spacing w:after="0" w:line="240" w:lineRule="auto"/>
        <w:rPr>
          <w:rFonts w:ascii="Palatino Linotype" w:hAnsi="Palatino Linotype" w:cs="Times New Roman"/>
          <w:i/>
          <w:color w:val="000000"/>
          <w:sz w:val="20"/>
          <w:szCs w:val="20"/>
        </w:rPr>
      </w:pPr>
      <w:r w:rsidRPr="008155C2">
        <w:rPr>
          <w:rFonts w:ascii="Palatino Linotype" w:hAnsi="Palatino Linotype" w:cs="Times New Roman"/>
          <w:i/>
          <w:color w:val="000000"/>
          <w:sz w:val="20"/>
          <w:szCs w:val="20"/>
        </w:rPr>
        <w:t>To assess the extent to which the nonresponse weighting might correct</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bias in hospital-level means, we examined the correlation between nonresponse</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weights and patient-level residuals with and without PMA. In each</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case, the null hypothesis corresponds to no association within hospital between</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weights and outcomes, which would indicate no evidence that nonresponse</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weighting could systematically affect estimated means and thereby</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potentially reduce bias. In the absence of PMA, six of eight outcomes were</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significantly correlated with nonresponse weights ( po.05, results not shown).</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In all instances, this correlation is negative, indicating higher weights (lower</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predicted probabilities of response) correspond to lower outcome reports. In</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other words, as noted previously by Elliott et al. (2005), there is a tendency for</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those individuals with less positive evaluations to be less likely to respond. In</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the absence of PMA and nonresponse weighting, this pattern would positively</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bias the scores of hospitals and the bias might be greater in hospitals with lower</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response rates.</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On the other hand,</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PMA</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reduced the absolute value of all eight</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correlations and left only one (communication with doctors) statistically significant.</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This suggests that the use of key nonresponse variables and response</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order percentile (lag time) in the PMA model adequately addresses the nonresponse</w:t>
      </w:r>
      <w:r>
        <w:rPr>
          <w:rFonts w:ascii="Palatino Linotype" w:hAnsi="Palatino Linotype" w:cs="Times New Roman"/>
          <w:i/>
          <w:color w:val="000000"/>
          <w:sz w:val="20"/>
          <w:szCs w:val="20"/>
        </w:rPr>
        <w:t xml:space="preserve"> </w:t>
      </w:r>
      <w:r w:rsidRPr="008155C2">
        <w:rPr>
          <w:rFonts w:ascii="Palatino Linotype" w:hAnsi="Palatino Linotype" w:cs="Times New Roman"/>
          <w:i/>
          <w:color w:val="000000"/>
          <w:sz w:val="20"/>
          <w:szCs w:val="20"/>
        </w:rPr>
        <w:t>bias that would exist without PMA.</w:t>
      </w:r>
    </w:p>
    <w:p w:rsidR="004B31D6" w:rsidRDefault="004B31D6" w:rsidP="004B31D6">
      <w:pPr>
        <w:autoSpaceDE w:val="0"/>
        <w:autoSpaceDN w:val="0"/>
        <w:adjustRightInd w:val="0"/>
        <w:spacing w:after="0" w:line="240" w:lineRule="auto"/>
        <w:rPr>
          <w:rFonts w:ascii="Palatino Linotype" w:hAnsi="Palatino Linotype" w:cs="Times New Roman"/>
          <w:i/>
          <w:color w:val="000000"/>
          <w:sz w:val="20"/>
          <w:szCs w:val="20"/>
        </w:rPr>
      </w:pPr>
    </w:p>
    <w:p w:rsidR="004B31D6" w:rsidRDefault="004B31D6" w:rsidP="004B31D6">
      <w:pPr>
        <w:autoSpaceDE w:val="0"/>
        <w:autoSpaceDN w:val="0"/>
        <w:adjustRightInd w:val="0"/>
        <w:spacing w:after="0" w:line="240" w:lineRule="auto"/>
        <w:rPr>
          <w:rFonts w:ascii="Palatino Linotype" w:hAnsi="Palatino Linotype" w:cs="Times New Roman"/>
          <w:i/>
          <w:color w:val="000000"/>
          <w:sz w:val="20"/>
          <w:szCs w:val="20"/>
        </w:rPr>
      </w:pPr>
      <w:r>
        <w:rPr>
          <w:rFonts w:ascii="Palatino Linotype" w:hAnsi="Palatino Linotype" w:cs="Times New Roman"/>
          <w:i/>
          <w:color w:val="000000"/>
          <w:sz w:val="20"/>
          <w:szCs w:val="20"/>
        </w:rPr>
        <w:t xml:space="preserve">While there </w:t>
      </w:r>
      <w:r w:rsidRPr="004B31D6">
        <w:rPr>
          <w:rFonts w:ascii="Palatino Linotype" w:hAnsi="Palatino Linotype" w:cs="Times New Roman"/>
          <w:i/>
          <w:color w:val="000000"/>
          <w:sz w:val="20"/>
          <w:szCs w:val="20"/>
        </w:rPr>
        <w:t>was evidence of differential nonresponse overal</w:t>
      </w:r>
      <w:r>
        <w:rPr>
          <w:rFonts w:ascii="Palatino Linotype" w:hAnsi="Palatino Linotype" w:cs="Times New Roman"/>
          <w:i/>
          <w:color w:val="000000"/>
          <w:sz w:val="20"/>
          <w:szCs w:val="20"/>
        </w:rPr>
        <w:t xml:space="preserve">l, and evidence that those with </w:t>
      </w:r>
      <w:r w:rsidRPr="004B31D6">
        <w:rPr>
          <w:rFonts w:ascii="Palatino Linotype" w:hAnsi="Palatino Linotype" w:cs="Times New Roman"/>
          <w:i/>
          <w:color w:val="000000"/>
          <w:sz w:val="20"/>
          <w:szCs w:val="20"/>
        </w:rPr>
        <w:t>lower response propensity had less positive ev</w:t>
      </w:r>
      <w:r>
        <w:rPr>
          <w:rFonts w:ascii="Palatino Linotype" w:hAnsi="Palatino Linotype" w:cs="Times New Roman"/>
          <w:i/>
          <w:color w:val="000000"/>
          <w:sz w:val="20"/>
          <w:szCs w:val="20"/>
        </w:rPr>
        <w:t xml:space="preserve">aluations of care, there was no </w:t>
      </w:r>
      <w:r w:rsidRPr="004B31D6">
        <w:rPr>
          <w:rFonts w:ascii="Palatino Linotype" w:hAnsi="Palatino Linotype" w:cs="Times New Roman"/>
          <w:i/>
          <w:color w:val="000000"/>
          <w:sz w:val="20"/>
          <w:szCs w:val="20"/>
        </w:rPr>
        <w:t>evidence that nonresponse weighting based</w:t>
      </w:r>
      <w:r>
        <w:rPr>
          <w:rFonts w:ascii="Palatino Linotype" w:hAnsi="Palatino Linotype" w:cs="Times New Roman"/>
          <w:i/>
          <w:color w:val="000000"/>
          <w:sz w:val="20"/>
          <w:szCs w:val="20"/>
        </w:rPr>
        <w:t xml:space="preserve"> on available data improved the </w:t>
      </w:r>
      <w:r w:rsidRPr="004B31D6">
        <w:rPr>
          <w:rFonts w:ascii="Palatino Linotype" w:hAnsi="Palatino Linotype" w:cs="Times New Roman"/>
          <w:i/>
          <w:color w:val="000000"/>
          <w:sz w:val="20"/>
          <w:szCs w:val="20"/>
        </w:rPr>
        <w:t>accuracy of hospital scores beyond what could be achieved with PMA.</w:t>
      </w:r>
    </w:p>
    <w:p w:rsidR="006254CB" w:rsidRDefault="006254CB" w:rsidP="004B31D6">
      <w:pPr>
        <w:autoSpaceDE w:val="0"/>
        <w:autoSpaceDN w:val="0"/>
        <w:adjustRightInd w:val="0"/>
        <w:spacing w:after="0" w:line="240" w:lineRule="auto"/>
        <w:rPr>
          <w:rFonts w:ascii="Palatino Linotype" w:hAnsi="Palatino Linotype" w:cs="Times New Roman"/>
          <w:i/>
          <w:color w:val="000000"/>
          <w:sz w:val="20"/>
          <w:szCs w:val="20"/>
        </w:rPr>
      </w:pPr>
    </w:p>
    <w:p w:rsidR="006254CB" w:rsidRDefault="006254CB" w:rsidP="006254CB">
      <w:pPr>
        <w:autoSpaceDE w:val="0"/>
        <w:autoSpaceDN w:val="0"/>
        <w:adjustRightInd w:val="0"/>
        <w:spacing w:after="0" w:line="240" w:lineRule="auto"/>
        <w:rPr>
          <w:rFonts w:ascii="Palatino Linotype" w:hAnsi="Palatino Linotype"/>
          <w:bCs/>
          <w:i/>
          <w:sz w:val="20"/>
          <w:szCs w:val="20"/>
        </w:rPr>
      </w:pPr>
      <w:r w:rsidRPr="008C4D75">
        <w:rPr>
          <w:rFonts w:ascii="Palatino Linotype" w:hAnsi="Palatino Linotype"/>
          <w:bCs/>
          <w:i/>
          <w:sz w:val="20"/>
          <w:szCs w:val="20"/>
        </w:rPr>
        <w:t>“Effects of Survey Mode, Patient Mix, and Nonresponse on CAHPS</w:t>
      </w:r>
      <w:r w:rsidRPr="008C4D75">
        <w:rPr>
          <w:rFonts w:ascii="Palatino Linotype" w:hAnsi="Palatino Linotype"/>
          <w:bCs/>
          <w:i/>
          <w:sz w:val="20"/>
          <w:szCs w:val="20"/>
          <w:vertAlign w:val="superscript"/>
        </w:rPr>
        <w:t>®</w:t>
      </w:r>
      <w:r w:rsidRPr="008C4D75">
        <w:rPr>
          <w:rFonts w:ascii="Palatino Linotype" w:hAnsi="Palatino Linotype"/>
          <w:bCs/>
          <w:i/>
          <w:sz w:val="20"/>
          <w:szCs w:val="20"/>
        </w:rPr>
        <w:t xml:space="preserve"> Hospital Survey Scores.” M.N. Elliott, A.M. Zaslavsky, E. Goldstein, W. Lehrman, K. Hambarsoomian, M.K. Beckett and L. Giordano.  </w:t>
      </w:r>
      <w:r w:rsidRPr="008C4D75">
        <w:rPr>
          <w:rFonts w:ascii="Palatino Linotype" w:hAnsi="Palatino Linotype"/>
          <w:bCs/>
          <w:i/>
          <w:sz w:val="20"/>
          <w:szCs w:val="20"/>
          <w:u w:val="single"/>
        </w:rPr>
        <w:t>Health Services Research</w:t>
      </w:r>
      <w:r w:rsidRPr="008C4D75">
        <w:rPr>
          <w:rFonts w:ascii="Palatino Linotype" w:hAnsi="Palatino Linotype"/>
          <w:bCs/>
          <w:i/>
          <w:sz w:val="20"/>
          <w:szCs w:val="20"/>
        </w:rPr>
        <w:t>, 44 (2): 501-518.  2009.</w:t>
      </w:r>
    </w:p>
    <w:p w:rsidR="006254CB" w:rsidRDefault="006254CB" w:rsidP="004B31D6">
      <w:pPr>
        <w:autoSpaceDE w:val="0"/>
        <w:autoSpaceDN w:val="0"/>
        <w:adjustRightInd w:val="0"/>
        <w:spacing w:after="0" w:line="240" w:lineRule="auto"/>
        <w:rPr>
          <w:rFonts w:ascii="Palatino Linotype" w:hAnsi="Palatino Linotype" w:cs="Times New Roman"/>
          <w:i/>
          <w:color w:val="000000"/>
          <w:sz w:val="20"/>
          <w:szCs w:val="20"/>
        </w:rPr>
      </w:pPr>
    </w:p>
    <w:p w:rsidR="004B31D6" w:rsidRDefault="004B31D6"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p w:rsidR="00A21276" w:rsidRDefault="00A21276" w:rsidP="004B31D6">
      <w:pPr>
        <w:autoSpaceDE w:val="0"/>
        <w:autoSpaceDN w:val="0"/>
        <w:adjustRightInd w:val="0"/>
        <w:spacing w:after="0" w:line="240" w:lineRule="auto"/>
        <w:rPr>
          <w:rFonts w:ascii="Palatino Linotype" w:hAnsi="Palatino Linotype" w:cs="Times New Roman"/>
          <w:i/>
          <w:color w:val="000000"/>
          <w:sz w:val="20"/>
          <w:szCs w:val="20"/>
        </w:rPr>
      </w:pPr>
    </w:p>
    <w:p w:rsidR="00A21276" w:rsidRDefault="00A21276" w:rsidP="004B31D6">
      <w:pPr>
        <w:autoSpaceDE w:val="0"/>
        <w:autoSpaceDN w:val="0"/>
        <w:adjustRightInd w:val="0"/>
        <w:spacing w:after="0" w:line="240" w:lineRule="auto"/>
        <w:rPr>
          <w:rFonts w:ascii="Palatino Linotype" w:hAnsi="Palatino Linotype" w:cs="Times New Roman"/>
          <w:i/>
          <w:color w:val="000000"/>
          <w:sz w:val="20"/>
          <w:szCs w:val="20"/>
        </w:rPr>
      </w:pPr>
    </w:p>
    <w:p w:rsidR="00A21276" w:rsidRDefault="00A21276" w:rsidP="004B31D6">
      <w:pPr>
        <w:autoSpaceDE w:val="0"/>
        <w:autoSpaceDN w:val="0"/>
        <w:adjustRightInd w:val="0"/>
        <w:spacing w:after="0" w:line="240" w:lineRule="auto"/>
        <w:rPr>
          <w:rFonts w:ascii="Palatino Linotype" w:hAnsi="Palatino Linotype" w:cs="Times New Roman"/>
          <w:i/>
          <w:color w:val="000000"/>
          <w:sz w:val="20"/>
          <w:szCs w:val="20"/>
        </w:rPr>
      </w:pPr>
    </w:p>
    <w:p w:rsidR="00E82EB8" w:rsidRPr="004B31D6" w:rsidRDefault="00E82EB8" w:rsidP="004B31D6">
      <w:pPr>
        <w:autoSpaceDE w:val="0"/>
        <w:autoSpaceDN w:val="0"/>
        <w:adjustRightInd w:val="0"/>
        <w:spacing w:after="0" w:line="240" w:lineRule="auto"/>
        <w:rPr>
          <w:rFonts w:ascii="Palatino Linotype" w:hAnsi="Palatino Linotype" w:cs="Times New Roman"/>
          <w:i/>
          <w:color w:val="000000"/>
          <w:sz w:val="20"/>
          <w:szCs w:val="20"/>
        </w:rPr>
      </w:pPr>
    </w:p>
    <w:tbl>
      <w:tblPr>
        <w:tblW w:w="9524" w:type="dxa"/>
        <w:tblInd w:w="93" w:type="dxa"/>
        <w:tblLook w:val="04A0" w:firstRow="1" w:lastRow="0" w:firstColumn="1" w:lastColumn="0" w:noHBand="0" w:noVBand="1"/>
        <w:tblCaption w:val="Table with Characteristics of Sampled Discharges and Respondents"/>
        <w:tblDescription w:val="Characteristics of Sampled Discharges and Respondents which includes Variable, Value, Frequency and Percent."/>
      </w:tblPr>
      <w:tblGrid>
        <w:gridCol w:w="1963"/>
        <w:gridCol w:w="3224"/>
        <w:gridCol w:w="1090"/>
        <w:gridCol w:w="1079"/>
        <w:gridCol w:w="1087"/>
        <w:gridCol w:w="1081"/>
      </w:tblGrid>
      <w:tr w:rsidR="00E82EB8" w:rsidRPr="00B661BC" w:rsidTr="003D389D">
        <w:trPr>
          <w:trHeight w:val="257"/>
        </w:trPr>
        <w:tc>
          <w:tcPr>
            <w:tcW w:w="6277" w:type="dxa"/>
            <w:gridSpan w:val="3"/>
            <w:tcBorders>
              <w:top w:val="nil"/>
              <w:left w:val="nil"/>
              <w:bottom w:val="nil"/>
              <w:right w:val="nil"/>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b/>
                <w:bCs/>
                <w:color w:val="000000"/>
                <w:sz w:val="18"/>
                <w:szCs w:val="18"/>
                <w:u w:val="single"/>
              </w:rPr>
            </w:pPr>
            <w:r w:rsidRPr="00B661BC">
              <w:rPr>
                <w:rFonts w:ascii="Calibri" w:eastAsia="Times New Roman" w:hAnsi="Calibri" w:cs="Times New Roman"/>
                <w:b/>
                <w:bCs/>
                <w:color w:val="000000"/>
                <w:sz w:val="18"/>
                <w:szCs w:val="18"/>
                <w:u w:val="single"/>
              </w:rPr>
              <w:t>Table 1: Characteristics of Sampled Discharges and Respondents</w:t>
            </w:r>
          </w:p>
        </w:tc>
        <w:tc>
          <w:tcPr>
            <w:tcW w:w="1079"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87"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81"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r>
      <w:tr w:rsidR="00E82EB8" w:rsidRPr="00B661BC" w:rsidTr="003D389D">
        <w:trPr>
          <w:trHeight w:val="257"/>
        </w:trPr>
        <w:tc>
          <w:tcPr>
            <w:tcW w:w="1963"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p>
        </w:tc>
        <w:tc>
          <w:tcPr>
            <w:tcW w:w="3224"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p>
        </w:tc>
        <w:tc>
          <w:tcPr>
            <w:tcW w:w="1090"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79"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87"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81"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r>
      <w:tr w:rsidR="00E82EB8" w:rsidRPr="00B661BC" w:rsidTr="003D389D">
        <w:trPr>
          <w:trHeight w:val="535"/>
        </w:trPr>
        <w:tc>
          <w:tcPr>
            <w:tcW w:w="1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b/>
                <w:bCs/>
                <w:color w:val="000000"/>
                <w:sz w:val="18"/>
                <w:szCs w:val="18"/>
              </w:rPr>
            </w:pPr>
            <w:r w:rsidRPr="00B661BC">
              <w:rPr>
                <w:rFonts w:ascii="Calibri" w:eastAsia="Times New Roman" w:hAnsi="Calibri" w:cs="Times New Roman"/>
                <w:b/>
                <w:bCs/>
                <w:color w:val="000000"/>
                <w:sz w:val="18"/>
                <w:szCs w:val="18"/>
              </w:rPr>
              <w:t> </w:t>
            </w:r>
          </w:p>
        </w:tc>
        <w:tc>
          <w:tcPr>
            <w:tcW w:w="3224" w:type="dxa"/>
            <w:tcBorders>
              <w:top w:val="single" w:sz="4" w:space="0" w:color="auto"/>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b/>
                <w:bCs/>
                <w:color w:val="000000"/>
                <w:sz w:val="18"/>
                <w:szCs w:val="18"/>
              </w:rPr>
            </w:pPr>
            <w:r w:rsidRPr="00B661BC">
              <w:rPr>
                <w:rFonts w:ascii="Calibri" w:eastAsia="Times New Roman" w:hAnsi="Calibri" w:cs="Times New Roman"/>
                <w:b/>
                <w:bCs/>
                <w:color w:val="000000"/>
                <w:sz w:val="18"/>
                <w:szCs w:val="18"/>
              </w:rPr>
              <w:t> </w:t>
            </w:r>
          </w:p>
        </w:tc>
        <w:tc>
          <w:tcPr>
            <w:tcW w:w="2169" w:type="dxa"/>
            <w:gridSpan w:val="2"/>
            <w:tcBorders>
              <w:top w:val="single" w:sz="4" w:space="0" w:color="auto"/>
              <w:left w:val="nil"/>
              <w:bottom w:val="single" w:sz="4" w:space="0" w:color="auto"/>
              <w:right w:val="single" w:sz="4" w:space="0" w:color="auto"/>
            </w:tcBorders>
            <w:shd w:val="clear" w:color="auto" w:fill="auto"/>
            <w:vAlign w:val="bottom"/>
            <w:hideMark/>
          </w:tcPr>
          <w:p w:rsidR="00E82EB8" w:rsidRDefault="00E82EB8" w:rsidP="003D389D">
            <w:pPr>
              <w:spacing w:after="0" w:line="240" w:lineRule="auto"/>
              <w:jc w:val="center"/>
              <w:rPr>
                <w:rFonts w:ascii="Calibri" w:eastAsia="Times New Roman" w:hAnsi="Calibri" w:cs="Times New Roman"/>
                <w:b/>
                <w:bCs/>
                <w:color w:val="000000"/>
                <w:sz w:val="18"/>
                <w:szCs w:val="18"/>
                <w:u w:val="single"/>
              </w:rPr>
            </w:pPr>
            <w:r w:rsidRPr="00B661BC">
              <w:rPr>
                <w:rFonts w:ascii="Calibri" w:eastAsia="Times New Roman" w:hAnsi="Calibri" w:cs="Times New Roman"/>
                <w:b/>
                <w:bCs/>
                <w:color w:val="000000"/>
                <w:sz w:val="18"/>
                <w:szCs w:val="18"/>
                <w:u w:val="single"/>
              </w:rPr>
              <w:t xml:space="preserve">All Surveyed    </w:t>
            </w:r>
          </w:p>
          <w:p w:rsidR="00E82EB8" w:rsidRPr="00B661BC" w:rsidRDefault="00E82EB8" w:rsidP="003D389D">
            <w:pPr>
              <w:spacing w:after="0" w:line="240" w:lineRule="auto"/>
              <w:jc w:val="center"/>
              <w:rPr>
                <w:rFonts w:ascii="Calibri" w:eastAsia="Times New Roman" w:hAnsi="Calibri" w:cs="Times New Roman"/>
                <w:b/>
                <w:bCs/>
                <w:color w:val="000000"/>
                <w:sz w:val="18"/>
                <w:szCs w:val="18"/>
                <w:u w:val="single"/>
              </w:rPr>
            </w:pPr>
            <w:r w:rsidRPr="00B661BC">
              <w:rPr>
                <w:rFonts w:ascii="Calibri" w:eastAsia="Times New Roman" w:hAnsi="Calibri" w:cs="Times New Roman"/>
                <w:b/>
                <w:bCs/>
                <w:color w:val="000000"/>
                <w:sz w:val="18"/>
                <w:szCs w:val="18"/>
                <w:u w:val="single"/>
              </w:rPr>
              <w:t>(n=27,229)</w:t>
            </w:r>
          </w:p>
        </w:tc>
        <w:tc>
          <w:tcPr>
            <w:tcW w:w="2168" w:type="dxa"/>
            <w:gridSpan w:val="2"/>
            <w:tcBorders>
              <w:top w:val="single" w:sz="4" w:space="0" w:color="auto"/>
              <w:left w:val="nil"/>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jc w:val="center"/>
              <w:rPr>
                <w:rFonts w:ascii="Calibri" w:eastAsia="Times New Roman" w:hAnsi="Calibri" w:cs="Times New Roman"/>
                <w:b/>
                <w:bCs/>
                <w:color w:val="000000"/>
                <w:sz w:val="18"/>
                <w:szCs w:val="18"/>
                <w:u w:val="single"/>
              </w:rPr>
            </w:pPr>
            <w:r w:rsidRPr="00B661BC">
              <w:rPr>
                <w:rFonts w:ascii="Calibri" w:eastAsia="Times New Roman" w:hAnsi="Calibri" w:cs="Times New Roman"/>
                <w:b/>
                <w:bCs/>
                <w:color w:val="000000"/>
                <w:sz w:val="18"/>
                <w:szCs w:val="18"/>
                <w:u w:val="single"/>
              </w:rPr>
              <w:t>Respondents Only (n=7,555)</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b/>
                <w:bCs/>
                <w:color w:val="000000"/>
                <w:sz w:val="18"/>
                <w:szCs w:val="18"/>
                <w:u w:val="single"/>
              </w:rPr>
            </w:pPr>
            <w:r w:rsidRPr="00B661BC">
              <w:rPr>
                <w:rFonts w:ascii="Calibri" w:eastAsia="Times New Roman" w:hAnsi="Calibri" w:cs="Times New Roman"/>
                <w:b/>
                <w:bCs/>
                <w:color w:val="000000"/>
                <w:sz w:val="18"/>
                <w:szCs w:val="18"/>
                <w:u w:val="single"/>
              </w:rPr>
              <w:t>Variable</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b/>
                <w:bCs/>
                <w:color w:val="000000"/>
                <w:sz w:val="18"/>
                <w:szCs w:val="18"/>
                <w:u w:val="single"/>
              </w:rPr>
            </w:pPr>
            <w:r w:rsidRPr="00B661BC">
              <w:rPr>
                <w:rFonts w:ascii="Calibri" w:eastAsia="Times New Roman" w:hAnsi="Calibri" w:cs="Times New Roman"/>
                <w:b/>
                <w:bCs/>
                <w:color w:val="000000"/>
                <w:sz w:val="18"/>
                <w:szCs w:val="18"/>
                <w:u w:val="single"/>
              </w:rPr>
              <w:t>Value</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b/>
                <w:bCs/>
                <w:color w:val="000000"/>
                <w:sz w:val="18"/>
                <w:szCs w:val="18"/>
                <w:u w:val="single"/>
              </w:rPr>
            </w:pPr>
            <w:r w:rsidRPr="00B661BC">
              <w:rPr>
                <w:rFonts w:ascii="Calibri" w:eastAsia="Times New Roman" w:hAnsi="Calibri" w:cs="Times New Roman"/>
                <w:b/>
                <w:bCs/>
                <w:color w:val="000000"/>
                <w:sz w:val="18"/>
                <w:szCs w:val="18"/>
                <w:u w:val="single"/>
              </w:rPr>
              <w:t>Frequency</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b/>
                <w:bCs/>
                <w:color w:val="000000"/>
                <w:sz w:val="18"/>
                <w:szCs w:val="18"/>
                <w:u w:val="single"/>
              </w:rPr>
            </w:pPr>
            <w:r w:rsidRPr="00B661BC">
              <w:rPr>
                <w:rFonts w:ascii="Calibri" w:eastAsia="Times New Roman" w:hAnsi="Calibri" w:cs="Times New Roman"/>
                <w:b/>
                <w:bCs/>
                <w:color w:val="000000"/>
                <w:sz w:val="18"/>
                <w:szCs w:val="18"/>
                <w:u w:val="single"/>
              </w:rPr>
              <w:t xml:space="preserve"> Percent</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b/>
                <w:bCs/>
                <w:color w:val="000000"/>
                <w:sz w:val="18"/>
                <w:szCs w:val="18"/>
                <w:u w:val="single"/>
              </w:rPr>
            </w:pPr>
            <w:r w:rsidRPr="00B661BC">
              <w:rPr>
                <w:rFonts w:ascii="Calibri" w:eastAsia="Times New Roman" w:hAnsi="Calibri" w:cs="Times New Roman"/>
                <w:b/>
                <w:bCs/>
                <w:color w:val="000000"/>
                <w:sz w:val="18"/>
                <w:szCs w:val="18"/>
                <w:u w:val="single"/>
              </w:rPr>
              <w:t>Frequency</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b/>
                <w:bCs/>
                <w:color w:val="000000"/>
                <w:sz w:val="18"/>
                <w:szCs w:val="18"/>
                <w:u w:val="single"/>
              </w:rPr>
            </w:pPr>
            <w:r w:rsidRPr="00B661BC">
              <w:rPr>
                <w:rFonts w:ascii="Calibri" w:eastAsia="Times New Roman" w:hAnsi="Calibri" w:cs="Times New Roman"/>
                <w:b/>
                <w:bCs/>
                <w:color w:val="000000"/>
                <w:sz w:val="18"/>
                <w:szCs w:val="18"/>
                <w:u w:val="single"/>
              </w:rPr>
              <w:t xml:space="preserve"> Percent</w:t>
            </w:r>
          </w:p>
        </w:tc>
      </w:tr>
      <w:tr w:rsidR="00E82EB8" w:rsidRPr="00B661BC" w:rsidTr="003D389D">
        <w:trPr>
          <w:trHeight w:val="510"/>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Administrative variables</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Age</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18-24</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1,951</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7</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344</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5***</w:t>
            </w:r>
          </w:p>
        </w:tc>
      </w:tr>
      <w:tr w:rsidR="00E82EB8" w:rsidRPr="00B661BC" w:rsidTr="003D389D">
        <w:trPr>
          <w:trHeight w:val="293"/>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25-34</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3,753</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14</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880</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12</w:t>
            </w:r>
            <w:r w:rsidRPr="00B661BC">
              <w:rPr>
                <w:rFonts w:ascii="Calibri" w:eastAsia="Times New Roman" w:hAnsi="Calibri" w:cs="Times New Roman"/>
                <w:color w:val="000000"/>
                <w:sz w:val="18"/>
                <w:szCs w:val="18"/>
                <w:vertAlign w:val="superscript"/>
              </w:rPr>
              <w:t>†</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35-44</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3,127</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11</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758</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10</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45-54</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3,779</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14</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1,077</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14***</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55-64</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3,903</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14</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1,299</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17***</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65-74</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3,996</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15</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1,398</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19***</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75-84</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4,395</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16</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1,330</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18***</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85 or older</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2,325</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9</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469</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6</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Male gender</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10,461</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38</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2,680</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35***</w:t>
            </w:r>
          </w:p>
        </w:tc>
      </w:tr>
      <w:tr w:rsidR="00E82EB8" w:rsidRPr="00B661BC" w:rsidTr="003D389D">
        <w:trPr>
          <w:trHeight w:val="510"/>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Admitted from emergency</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12,306</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45</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2,951</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39***</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Discharge status</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Sick</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6,119</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22</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1,377</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18***</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Left against medical advice</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142</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20</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&lt;1*</w:t>
            </w:r>
          </w:p>
        </w:tc>
      </w:tr>
      <w:tr w:rsidR="00E82EB8" w:rsidRPr="00B661BC" w:rsidTr="003D389D">
        <w:trPr>
          <w:trHeight w:val="293"/>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All other</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20,968</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77</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6,158</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82</w:t>
            </w:r>
            <w:r w:rsidRPr="00B661BC">
              <w:rPr>
                <w:rFonts w:ascii="Calibri" w:eastAsia="Times New Roman" w:hAnsi="Calibri" w:cs="Times New Roman"/>
                <w:color w:val="000000"/>
                <w:sz w:val="18"/>
                <w:szCs w:val="18"/>
                <w:vertAlign w:val="superscript"/>
              </w:rPr>
              <w:t>†</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Service Line</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Surgical</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7,978</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29</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2,755</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36***</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Maternity</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3,876</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14</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924</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12</w:t>
            </w:r>
          </w:p>
        </w:tc>
      </w:tr>
      <w:tr w:rsidR="00E82EB8" w:rsidRPr="00B661BC" w:rsidTr="003D389D">
        <w:trPr>
          <w:trHeight w:val="293"/>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Medical</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15,206</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56</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3,837</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51</w:t>
            </w:r>
            <w:r w:rsidRPr="00B661BC">
              <w:rPr>
                <w:rFonts w:ascii="Calibri" w:eastAsia="Times New Roman" w:hAnsi="Calibri" w:cs="Times New Roman"/>
                <w:color w:val="000000"/>
                <w:sz w:val="18"/>
                <w:szCs w:val="18"/>
                <w:vertAlign w:val="superscript"/>
              </w:rPr>
              <w:t>†</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xml:space="preserve">Survey variables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r>
      <w:tr w:rsidR="00E82EB8" w:rsidRPr="00B661BC" w:rsidTr="003D389D">
        <w:trPr>
          <w:trHeight w:val="293"/>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Survey mode</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Mail</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6,806</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33</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2,239</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30</w:t>
            </w:r>
            <w:r w:rsidRPr="00B661BC">
              <w:rPr>
                <w:rFonts w:ascii="Calibri" w:eastAsia="Times New Roman" w:hAnsi="Calibri" w:cs="Times New Roman"/>
                <w:color w:val="000000"/>
                <w:sz w:val="18"/>
                <w:szCs w:val="18"/>
                <w:vertAlign w:val="superscript"/>
              </w:rPr>
              <w:t>†</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Telephone</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6,808</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27</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1,607</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21***</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Mixed</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6,808</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41</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2,489</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33***</w:t>
            </w:r>
          </w:p>
        </w:tc>
      </w:tr>
      <w:tr w:rsidR="00E82EB8" w:rsidRPr="00B661BC" w:rsidTr="003D389D">
        <w:trPr>
          <w:trHeight w:val="293"/>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Active IVR</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6,807</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21</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1,220</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16***</w:t>
            </w:r>
            <w:r w:rsidRPr="00B661BC">
              <w:rPr>
                <w:rFonts w:ascii="Calibri" w:eastAsia="Times New Roman" w:hAnsi="Calibri" w:cs="Times New Roman"/>
                <w:color w:val="000000"/>
                <w:sz w:val="18"/>
                <w:szCs w:val="18"/>
                <w:vertAlign w:val="superscript"/>
              </w:rPr>
              <w:t>‡</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Education</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xml:space="preserve">8th grade or less </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398</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5</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Some HS but did not graduate</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809</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11</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HS graduate or GED</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2,417</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32</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Some college or 2-year degree</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2,132</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28</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Four-year college graduate</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900</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12</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More than 4-year college degree</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899</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12</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Self-rated health</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xml:space="preserve">Excellent </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972</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13</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Very Good</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1,935</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26</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Good</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2,392</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32</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Fair</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1,604</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21</w:t>
            </w:r>
          </w:p>
        </w:tc>
      </w:tr>
      <w:tr w:rsidR="00E82EB8" w:rsidRPr="00B661BC" w:rsidTr="003D389D">
        <w:trPr>
          <w:trHeight w:val="257"/>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Poor</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652</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9</w:t>
            </w:r>
          </w:p>
        </w:tc>
      </w:tr>
      <w:tr w:rsidR="00E82EB8" w:rsidRPr="00B661BC" w:rsidTr="003D389D">
        <w:trPr>
          <w:trHeight w:val="510"/>
        </w:trPr>
        <w:tc>
          <w:tcPr>
            <w:tcW w:w="1963" w:type="dxa"/>
            <w:tcBorders>
              <w:top w:val="nil"/>
              <w:left w:val="single" w:sz="4" w:space="0" w:color="auto"/>
              <w:bottom w:val="single" w:sz="4" w:space="0" w:color="auto"/>
              <w:right w:val="single" w:sz="4" w:space="0" w:color="auto"/>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Primary language other than English</w:t>
            </w:r>
          </w:p>
        </w:tc>
        <w:tc>
          <w:tcPr>
            <w:tcW w:w="3224"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w:t>
            </w:r>
          </w:p>
        </w:tc>
        <w:tc>
          <w:tcPr>
            <w:tcW w:w="1090"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79"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p>
        </w:tc>
        <w:tc>
          <w:tcPr>
            <w:tcW w:w="1087"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332</w:t>
            </w:r>
          </w:p>
        </w:tc>
        <w:tc>
          <w:tcPr>
            <w:tcW w:w="1081" w:type="dxa"/>
            <w:tcBorders>
              <w:top w:val="nil"/>
              <w:left w:val="nil"/>
              <w:bottom w:val="single" w:sz="4" w:space="0" w:color="auto"/>
              <w:right w:val="single" w:sz="4" w:space="0" w:color="auto"/>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4</w:t>
            </w:r>
          </w:p>
        </w:tc>
      </w:tr>
      <w:tr w:rsidR="00E82EB8" w:rsidRPr="00B661BC" w:rsidTr="003D389D">
        <w:trPr>
          <w:trHeight w:val="257"/>
        </w:trPr>
        <w:tc>
          <w:tcPr>
            <w:tcW w:w="1963" w:type="dxa"/>
            <w:tcBorders>
              <w:top w:val="nil"/>
              <w:left w:val="nil"/>
              <w:bottom w:val="nil"/>
              <w:right w:val="nil"/>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r w:rsidRPr="00B11B91">
              <w:rPr>
                <w:rFonts w:ascii="Calibri" w:eastAsia="Times New Roman" w:hAnsi="Calibri" w:cs="Times New Roman"/>
                <w:i/>
                <w:color w:val="000000"/>
                <w:sz w:val="18"/>
                <w:szCs w:val="18"/>
              </w:rPr>
              <w:t>P</w:t>
            </w:r>
            <w:r w:rsidRPr="00B661BC">
              <w:rPr>
                <w:rFonts w:ascii="Calibri" w:eastAsia="Times New Roman" w:hAnsi="Calibri" w:cs="Times New Roman"/>
                <w:color w:val="000000"/>
                <w:sz w:val="18"/>
                <w:szCs w:val="18"/>
              </w:rPr>
              <w:t xml:space="preserve"> &lt; .05.</w:t>
            </w:r>
          </w:p>
        </w:tc>
        <w:tc>
          <w:tcPr>
            <w:tcW w:w="3224"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p>
        </w:tc>
        <w:tc>
          <w:tcPr>
            <w:tcW w:w="1090"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79"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87"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81"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r>
      <w:tr w:rsidR="00E82EB8" w:rsidRPr="00B661BC" w:rsidTr="003D389D">
        <w:trPr>
          <w:trHeight w:val="257"/>
        </w:trPr>
        <w:tc>
          <w:tcPr>
            <w:tcW w:w="1963" w:type="dxa"/>
            <w:tcBorders>
              <w:top w:val="nil"/>
              <w:left w:val="nil"/>
              <w:bottom w:val="nil"/>
              <w:right w:val="nil"/>
            </w:tcBorders>
            <w:shd w:val="clear" w:color="auto" w:fill="auto"/>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w:t>
            </w:r>
            <w:r w:rsidRPr="00B11B91">
              <w:rPr>
                <w:rFonts w:ascii="Calibri" w:eastAsia="Times New Roman" w:hAnsi="Calibri" w:cs="Times New Roman"/>
                <w:i/>
                <w:color w:val="000000"/>
                <w:sz w:val="18"/>
                <w:szCs w:val="18"/>
              </w:rPr>
              <w:t>P</w:t>
            </w:r>
            <w:r w:rsidRPr="00B661BC">
              <w:rPr>
                <w:rFonts w:ascii="Calibri" w:eastAsia="Times New Roman" w:hAnsi="Calibri" w:cs="Times New Roman"/>
                <w:color w:val="000000"/>
                <w:sz w:val="18"/>
                <w:szCs w:val="18"/>
              </w:rPr>
              <w:t xml:space="preserve"> &lt; .001.</w:t>
            </w:r>
          </w:p>
        </w:tc>
        <w:tc>
          <w:tcPr>
            <w:tcW w:w="3224"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p>
        </w:tc>
        <w:tc>
          <w:tcPr>
            <w:tcW w:w="1090"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79"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87"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81"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r>
      <w:tr w:rsidR="00E82EB8" w:rsidRPr="00B661BC" w:rsidTr="003D389D">
        <w:trPr>
          <w:trHeight w:val="293"/>
        </w:trPr>
        <w:tc>
          <w:tcPr>
            <w:tcW w:w="6277" w:type="dxa"/>
            <w:gridSpan w:val="3"/>
            <w:tcBorders>
              <w:top w:val="nil"/>
              <w:left w:val="nil"/>
              <w:bottom w:val="nil"/>
              <w:right w:val="nil"/>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vertAlign w:val="superscript"/>
              </w:rPr>
              <w:t>†</w:t>
            </w:r>
            <w:r w:rsidRPr="00B661BC">
              <w:rPr>
                <w:rFonts w:ascii="Calibri" w:eastAsia="Times New Roman" w:hAnsi="Calibri" w:cs="Times New Roman"/>
                <w:color w:val="000000"/>
                <w:sz w:val="18"/>
                <w:szCs w:val="18"/>
              </w:rPr>
              <w:t xml:space="preserve">Reference category for multivariate analyses of nonresponse. </w:t>
            </w:r>
          </w:p>
        </w:tc>
        <w:tc>
          <w:tcPr>
            <w:tcW w:w="1079"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87"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81"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r>
      <w:tr w:rsidR="00E82EB8" w:rsidRPr="00B661BC" w:rsidTr="003D389D">
        <w:trPr>
          <w:trHeight w:val="293"/>
        </w:trPr>
        <w:tc>
          <w:tcPr>
            <w:tcW w:w="5187" w:type="dxa"/>
            <w:gridSpan w:val="2"/>
            <w:tcBorders>
              <w:top w:val="nil"/>
              <w:left w:val="nil"/>
              <w:bottom w:val="nil"/>
              <w:right w:val="nil"/>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vertAlign w:val="superscript"/>
              </w:rPr>
              <w:t>‡</w:t>
            </w:r>
            <w:r w:rsidRPr="00B661BC">
              <w:rPr>
                <w:rFonts w:ascii="Calibri" w:eastAsia="Times New Roman" w:hAnsi="Calibri" w:cs="Times New Roman"/>
                <w:color w:val="000000"/>
                <w:sz w:val="18"/>
                <w:szCs w:val="18"/>
              </w:rPr>
              <w:t>69% of mixed mode responses were by mail.</w:t>
            </w:r>
          </w:p>
        </w:tc>
        <w:tc>
          <w:tcPr>
            <w:tcW w:w="1090"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79"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87"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81"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r>
      <w:tr w:rsidR="00E82EB8" w:rsidRPr="00B661BC" w:rsidTr="003D389D">
        <w:trPr>
          <w:trHeight w:val="257"/>
        </w:trPr>
        <w:tc>
          <w:tcPr>
            <w:tcW w:w="5187" w:type="dxa"/>
            <w:gridSpan w:val="2"/>
            <w:tcBorders>
              <w:top w:val="nil"/>
              <w:left w:val="nil"/>
              <w:bottom w:val="nil"/>
              <w:right w:val="nil"/>
            </w:tcBorders>
            <w:shd w:val="clear" w:color="auto" w:fill="auto"/>
            <w:noWrap/>
            <w:vAlign w:val="bottom"/>
            <w:hideMark/>
          </w:tcPr>
          <w:p w:rsidR="00E82EB8" w:rsidRPr="00B661BC" w:rsidRDefault="00E82EB8" w:rsidP="003D389D">
            <w:pPr>
              <w:spacing w:after="0" w:line="240" w:lineRule="auto"/>
              <w:rPr>
                <w:rFonts w:ascii="Calibri" w:eastAsia="Times New Roman" w:hAnsi="Calibri" w:cs="Times New Roman"/>
                <w:color w:val="000000"/>
                <w:sz w:val="18"/>
                <w:szCs w:val="18"/>
              </w:rPr>
            </w:pPr>
            <w:r w:rsidRPr="00B661BC">
              <w:rPr>
                <w:rFonts w:ascii="Calibri" w:eastAsia="Times New Roman" w:hAnsi="Calibri" w:cs="Times New Roman"/>
                <w:color w:val="000000"/>
                <w:sz w:val="18"/>
                <w:szCs w:val="18"/>
              </w:rPr>
              <w:t xml:space="preserve">IVR, interactive voice response. </w:t>
            </w:r>
          </w:p>
        </w:tc>
        <w:tc>
          <w:tcPr>
            <w:tcW w:w="1090"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79"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87"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c>
          <w:tcPr>
            <w:tcW w:w="1081" w:type="dxa"/>
            <w:tcBorders>
              <w:top w:val="nil"/>
              <w:left w:val="nil"/>
              <w:bottom w:val="nil"/>
              <w:right w:val="nil"/>
            </w:tcBorders>
            <w:shd w:val="clear" w:color="auto" w:fill="auto"/>
            <w:noWrap/>
            <w:vAlign w:val="bottom"/>
            <w:hideMark/>
          </w:tcPr>
          <w:p w:rsidR="00E82EB8" w:rsidRPr="00B661BC" w:rsidRDefault="00E82EB8" w:rsidP="003D389D">
            <w:pPr>
              <w:spacing w:after="0" w:line="240" w:lineRule="auto"/>
              <w:jc w:val="center"/>
              <w:rPr>
                <w:rFonts w:ascii="Calibri" w:eastAsia="Times New Roman" w:hAnsi="Calibri" w:cs="Times New Roman"/>
                <w:color w:val="000000"/>
                <w:sz w:val="18"/>
                <w:szCs w:val="18"/>
              </w:rPr>
            </w:pPr>
          </w:p>
        </w:tc>
      </w:tr>
    </w:tbl>
    <w:p w:rsidR="008D16FF"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p>
    <w:p w:rsidR="008D16FF" w:rsidRDefault="008D16FF" w:rsidP="008F7E67">
      <w:pPr>
        <w:autoSpaceDE w:val="0"/>
        <w:autoSpaceDN w:val="0"/>
        <w:adjustRightInd w:val="0"/>
        <w:spacing w:after="0" w:line="240" w:lineRule="auto"/>
        <w:rPr>
          <w:rFonts w:cstheme="minorHAnsi"/>
          <w:bCs/>
        </w:rPr>
      </w:pPr>
    </w:p>
    <w:p w:rsidR="008D16FF" w:rsidRPr="00280C1E" w:rsidRDefault="008D16FF" w:rsidP="008D16FF">
      <w:pPr>
        <w:rPr>
          <w:rFonts w:ascii="Palatino Linotype" w:hAnsi="Palatino Linotype" w:cs="Times New Roman"/>
          <w:i/>
          <w:sz w:val="20"/>
          <w:szCs w:val="20"/>
        </w:rPr>
      </w:pPr>
      <w:r w:rsidRPr="00280C1E">
        <w:rPr>
          <w:rFonts w:ascii="Palatino Linotype" w:hAnsi="Palatino Linotype" w:cs="Times New Roman"/>
          <w:bCs/>
          <w:i/>
          <w:sz w:val="20"/>
          <w:szCs w:val="20"/>
        </w:rPr>
        <w:t xml:space="preserve">Missing data varies by survey item (see below) and across hospitals.  As can be observed, there are higher missing rates for certain survey questions, specifically items </w:t>
      </w:r>
      <w:r w:rsidRPr="00280C1E">
        <w:rPr>
          <w:rFonts w:ascii="Palatino Linotype" w:hAnsi="Palatino Linotype" w:cs="Times New Roman"/>
          <w:i/>
          <w:sz w:val="20"/>
          <w:szCs w:val="20"/>
        </w:rPr>
        <w:t>11, 16, 17, 19 and 20.  These items are preceded by a screener item, thus a certain percentage of patients are not eligible for these questions based on their hospital experience, so these questions are not applicable to those patients.</w:t>
      </w:r>
    </w:p>
    <w:tbl>
      <w:tblPr>
        <w:tblW w:w="13335" w:type="dxa"/>
        <w:tblInd w:w="93" w:type="dxa"/>
        <w:tblLook w:val="04A0" w:firstRow="1" w:lastRow="0" w:firstColumn="1" w:lastColumn="0" w:noHBand="0" w:noVBand="1"/>
        <w:tblCaption w:val="Table with Frequency of Missing Data for HCAHPS Survey Items"/>
        <w:tblDescription w:val="Frequency of Missing Data for HCAHPS Survey Items and Administrative Variables, 2016"/>
      </w:tblPr>
      <w:tblGrid>
        <w:gridCol w:w="5100"/>
        <w:gridCol w:w="1880"/>
        <w:gridCol w:w="539"/>
        <w:gridCol w:w="688"/>
        <w:gridCol w:w="688"/>
        <w:gridCol w:w="688"/>
        <w:gridCol w:w="688"/>
        <w:gridCol w:w="688"/>
        <w:gridCol w:w="688"/>
        <w:gridCol w:w="688"/>
        <w:gridCol w:w="1000"/>
      </w:tblGrid>
      <w:tr w:rsidR="008D16FF" w:rsidRPr="00280C1E" w:rsidTr="00280C1E">
        <w:trPr>
          <w:trHeight w:val="300"/>
        </w:trPr>
        <w:tc>
          <w:tcPr>
            <w:tcW w:w="7519" w:type="dxa"/>
            <w:gridSpan w:val="3"/>
            <w:tcBorders>
              <w:top w:val="nil"/>
              <w:left w:val="nil"/>
              <w:bottom w:val="nil"/>
              <w:right w:val="nil"/>
            </w:tcBorders>
            <w:shd w:val="clear" w:color="auto" w:fill="auto"/>
            <w:noWrap/>
            <w:vAlign w:val="bottom"/>
            <w:hideMark/>
          </w:tcPr>
          <w:p w:rsidR="008A0A37" w:rsidRDefault="008A0A37" w:rsidP="00280C1E">
            <w:pPr>
              <w:spacing w:after="0" w:line="240" w:lineRule="auto"/>
              <w:rPr>
                <w:rFonts w:ascii="Calibri" w:eastAsia="Times New Roman" w:hAnsi="Calibri" w:cs="Times New Roman"/>
                <w:color w:val="000000"/>
                <w:sz w:val="20"/>
                <w:szCs w:val="20"/>
              </w:rPr>
            </w:pPr>
          </w:p>
          <w:p w:rsidR="008A0A37" w:rsidRDefault="008A0A37" w:rsidP="00281FDC">
            <w:pPr>
              <w:autoSpaceDE w:val="0"/>
              <w:autoSpaceDN w:val="0"/>
              <w:adjustRightInd w:val="0"/>
              <w:spacing w:after="0" w:line="240" w:lineRule="auto"/>
              <w:rPr>
                <w:rFonts w:ascii="Calibri" w:eastAsia="Times New Roman" w:hAnsi="Calibri" w:cs="Times New Roman"/>
                <w:color w:val="000000"/>
                <w:sz w:val="20"/>
                <w:szCs w:val="20"/>
              </w:rPr>
            </w:pPr>
            <w:r>
              <w:rPr>
                <w:rFonts w:cstheme="minorHAnsi"/>
                <w:b/>
                <w:bCs/>
                <w:sz w:val="20"/>
                <w:szCs w:val="20"/>
              </w:rPr>
              <w:t xml:space="preserve">Frequency of Missing Data for HCAHPS Survey Items and Administrative Variables, 2016 </w:t>
            </w:r>
          </w:p>
          <w:p w:rsidR="008D16FF" w:rsidRPr="00280C1E" w:rsidRDefault="008D16FF" w:rsidP="00280C1E">
            <w:pPr>
              <w:spacing w:after="0" w:line="240" w:lineRule="auto"/>
              <w:rPr>
                <w:rFonts w:ascii="Calibri" w:eastAsia="Times New Roman" w:hAnsi="Calibri" w:cs="Times New Roman"/>
                <w:color w:val="000000"/>
                <w:sz w:val="20"/>
                <w:szCs w:val="20"/>
              </w:rPr>
            </w:pPr>
            <w:r w:rsidRPr="00280C1E">
              <w:rPr>
                <w:rFonts w:ascii="Calibri" w:eastAsia="Times New Roman" w:hAnsi="Calibri" w:cs="Times New Roman"/>
                <w:color w:val="000000"/>
                <w:sz w:val="20"/>
                <w:szCs w:val="20"/>
              </w:rPr>
              <w:t>(Data: 1Q16-4Q16 discharges, ~4,300 hospitals, ~3.1 million completed surveys)</w:t>
            </w:r>
          </w:p>
        </w:tc>
        <w:tc>
          <w:tcPr>
            <w:tcW w:w="688" w:type="dxa"/>
            <w:tcBorders>
              <w:top w:val="nil"/>
              <w:left w:val="nil"/>
              <w:bottom w:val="nil"/>
              <w:right w:val="nil"/>
            </w:tcBorders>
            <w:shd w:val="clear" w:color="auto" w:fill="auto"/>
            <w:noWrap/>
            <w:vAlign w:val="bottom"/>
            <w:hideMark/>
          </w:tcPr>
          <w:p w:rsidR="008D16FF" w:rsidRPr="00280C1E" w:rsidRDefault="008D16FF" w:rsidP="00280C1E">
            <w:pPr>
              <w:spacing w:after="0" w:line="240" w:lineRule="auto"/>
              <w:rPr>
                <w:rFonts w:ascii="Calibri" w:eastAsia="Times New Roman" w:hAnsi="Calibri" w:cs="Times New Roman"/>
                <w:color w:val="000000"/>
                <w:sz w:val="20"/>
                <w:szCs w:val="20"/>
              </w:rPr>
            </w:pPr>
          </w:p>
        </w:tc>
        <w:tc>
          <w:tcPr>
            <w:tcW w:w="688" w:type="dxa"/>
            <w:tcBorders>
              <w:top w:val="nil"/>
              <w:left w:val="nil"/>
              <w:bottom w:val="nil"/>
              <w:right w:val="nil"/>
            </w:tcBorders>
            <w:shd w:val="clear" w:color="auto" w:fill="auto"/>
            <w:noWrap/>
            <w:vAlign w:val="bottom"/>
            <w:hideMark/>
          </w:tcPr>
          <w:p w:rsidR="008D16FF" w:rsidRPr="00280C1E" w:rsidRDefault="008D16FF" w:rsidP="00280C1E">
            <w:pPr>
              <w:spacing w:after="0" w:line="240" w:lineRule="auto"/>
              <w:rPr>
                <w:rFonts w:ascii="Calibri" w:eastAsia="Times New Roman" w:hAnsi="Calibri" w:cs="Times New Roman"/>
                <w:color w:val="000000"/>
                <w:sz w:val="20"/>
                <w:szCs w:val="20"/>
              </w:rPr>
            </w:pPr>
          </w:p>
        </w:tc>
        <w:tc>
          <w:tcPr>
            <w:tcW w:w="688" w:type="dxa"/>
            <w:tcBorders>
              <w:top w:val="nil"/>
              <w:left w:val="nil"/>
              <w:bottom w:val="nil"/>
              <w:right w:val="nil"/>
            </w:tcBorders>
            <w:shd w:val="clear" w:color="auto" w:fill="auto"/>
            <w:noWrap/>
            <w:vAlign w:val="bottom"/>
            <w:hideMark/>
          </w:tcPr>
          <w:p w:rsidR="008D16FF" w:rsidRPr="00280C1E" w:rsidRDefault="008D16FF" w:rsidP="00280C1E">
            <w:pPr>
              <w:spacing w:after="0" w:line="240" w:lineRule="auto"/>
              <w:rPr>
                <w:rFonts w:ascii="Calibri" w:eastAsia="Times New Roman" w:hAnsi="Calibri" w:cs="Times New Roman"/>
                <w:color w:val="000000"/>
                <w:sz w:val="20"/>
                <w:szCs w:val="20"/>
              </w:rPr>
            </w:pPr>
          </w:p>
        </w:tc>
        <w:tc>
          <w:tcPr>
            <w:tcW w:w="688" w:type="dxa"/>
            <w:tcBorders>
              <w:top w:val="nil"/>
              <w:left w:val="nil"/>
              <w:bottom w:val="nil"/>
              <w:right w:val="nil"/>
            </w:tcBorders>
            <w:shd w:val="clear" w:color="auto" w:fill="auto"/>
            <w:noWrap/>
            <w:vAlign w:val="bottom"/>
            <w:hideMark/>
          </w:tcPr>
          <w:p w:rsidR="008D16FF" w:rsidRPr="00280C1E" w:rsidRDefault="008D16FF" w:rsidP="00280C1E">
            <w:pPr>
              <w:spacing w:after="0" w:line="240" w:lineRule="auto"/>
              <w:rPr>
                <w:rFonts w:ascii="Calibri" w:eastAsia="Times New Roman" w:hAnsi="Calibri" w:cs="Times New Roman"/>
                <w:color w:val="000000"/>
                <w:sz w:val="20"/>
                <w:szCs w:val="20"/>
              </w:rPr>
            </w:pPr>
          </w:p>
        </w:tc>
        <w:tc>
          <w:tcPr>
            <w:tcW w:w="688" w:type="dxa"/>
            <w:tcBorders>
              <w:top w:val="nil"/>
              <w:left w:val="nil"/>
              <w:bottom w:val="nil"/>
              <w:right w:val="nil"/>
            </w:tcBorders>
            <w:shd w:val="clear" w:color="auto" w:fill="auto"/>
            <w:noWrap/>
            <w:vAlign w:val="bottom"/>
            <w:hideMark/>
          </w:tcPr>
          <w:p w:rsidR="008D16FF" w:rsidRPr="00280C1E" w:rsidRDefault="008D16FF" w:rsidP="00280C1E">
            <w:pPr>
              <w:spacing w:after="0" w:line="240" w:lineRule="auto"/>
              <w:rPr>
                <w:rFonts w:ascii="Calibri" w:eastAsia="Times New Roman" w:hAnsi="Calibri" w:cs="Times New Roman"/>
                <w:color w:val="000000"/>
                <w:sz w:val="20"/>
                <w:szCs w:val="20"/>
              </w:rPr>
            </w:pPr>
          </w:p>
        </w:tc>
        <w:tc>
          <w:tcPr>
            <w:tcW w:w="688" w:type="dxa"/>
            <w:tcBorders>
              <w:top w:val="nil"/>
              <w:left w:val="nil"/>
              <w:bottom w:val="nil"/>
              <w:right w:val="nil"/>
            </w:tcBorders>
            <w:shd w:val="clear" w:color="auto" w:fill="auto"/>
            <w:noWrap/>
            <w:vAlign w:val="bottom"/>
            <w:hideMark/>
          </w:tcPr>
          <w:p w:rsidR="008D16FF" w:rsidRPr="00280C1E" w:rsidRDefault="008D16FF" w:rsidP="00280C1E">
            <w:pPr>
              <w:spacing w:after="0" w:line="240" w:lineRule="auto"/>
              <w:rPr>
                <w:rFonts w:ascii="Calibri" w:eastAsia="Times New Roman" w:hAnsi="Calibri" w:cs="Times New Roman"/>
                <w:color w:val="000000"/>
                <w:sz w:val="20"/>
                <w:szCs w:val="20"/>
              </w:rPr>
            </w:pPr>
          </w:p>
        </w:tc>
        <w:tc>
          <w:tcPr>
            <w:tcW w:w="688" w:type="dxa"/>
            <w:tcBorders>
              <w:top w:val="nil"/>
              <w:left w:val="nil"/>
              <w:bottom w:val="nil"/>
              <w:right w:val="nil"/>
            </w:tcBorders>
            <w:shd w:val="clear" w:color="auto" w:fill="auto"/>
            <w:noWrap/>
            <w:vAlign w:val="bottom"/>
            <w:hideMark/>
          </w:tcPr>
          <w:p w:rsidR="008D16FF" w:rsidRPr="00280C1E" w:rsidRDefault="008D16FF" w:rsidP="00280C1E">
            <w:pPr>
              <w:spacing w:after="0" w:line="240" w:lineRule="auto"/>
              <w:rPr>
                <w:rFonts w:ascii="Calibri" w:eastAsia="Times New Roman" w:hAnsi="Calibri" w:cs="Times New Roman"/>
                <w:color w:val="000000"/>
                <w:sz w:val="20"/>
                <w:szCs w:val="20"/>
              </w:rPr>
            </w:pPr>
          </w:p>
        </w:tc>
        <w:tc>
          <w:tcPr>
            <w:tcW w:w="1000" w:type="dxa"/>
            <w:tcBorders>
              <w:top w:val="nil"/>
              <w:left w:val="nil"/>
              <w:bottom w:val="nil"/>
              <w:right w:val="nil"/>
            </w:tcBorders>
            <w:shd w:val="clear" w:color="auto" w:fill="auto"/>
            <w:noWrap/>
            <w:vAlign w:val="bottom"/>
            <w:hideMark/>
          </w:tcPr>
          <w:p w:rsidR="008D16FF" w:rsidRPr="00280C1E" w:rsidRDefault="008D16FF" w:rsidP="00280C1E">
            <w:pPr>
              <w:spacing w:after="0" w:line="240" w:lineRule="auto"/>
              <w:rPr>
                <w:rFonts w:ascii="Calibri" w:eastAsia="Times New Roman" w:hAnsi="Calibri" w:cs="Times New Roman"/>
                <w:color w:val="000000"/>
                <w:sz w:val="20"/>
                <w:szCs w:val="20"/>
              </w:rPr>
            </w:pPr>
          </w:p>
        </w:tc>
      </w:tr>
      <w:tr w:rsidR="008D16FF" w:rsidRPr="00280C1E" w:rsidTr="00280C1E">
        <w:trPr>
          <w:gridAfter w:val="9"/>
          <w:wAfter w:w="6355" w:type="dxa"/>
          <w:trHeight w:val="300"/>
        </w:trPr>
        <w:tc>
          <w:tcPr>
            <w:tcW w:w="51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 </w:t>
            </w:r>
          </w:p>
        </w:tc>
        <w:tc>
          <w:tcPr>
            <w:tcW w:w="1880" w:type="dxa"/>
            <w:tcBorders>
              <w:top w:val="single" w:sz="8" w:space="0" w:color="auto"/>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b/>
                <w:bCs/>
                <w:color w:val="000000"/>
                <w:sz w:val="20"/>
                <w:szCs w:val="20"/>
              </w:rPr>
            </w:pPr>
            <w:r w:rsidRPr="00280C1E">
              <w:rPr>
                <w:rFonts w:ascii="Calibri" w:eastAsia="Times New Roman" w:hAnsi="Calibri" w:cs="Calibri"/>
                <w:b/>
                <w:bCs/>
                <w:color w:val="000000"/>
                <w:sz w:val="20"/>
                <w:szCs w:val="20"/>
              </w:rPr>
              <w:t>Missing Rate</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Q1: Nurse Courtesy Respect</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0.67%</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Q2: Nurse Listen</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0.68%</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Q3: Nurse Explain</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0.56%</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Q4: Call Button</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1.31%</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Q5: Dr Courtesy Respect</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0.78%</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Q6: Dr Listen</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1.17%</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Q7: Dr Explain</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0.92%</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Q8: Cleanliness</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1.15%</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Q9: Quiet</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1.27%</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Q11: Bathroom Help</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4.70%</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Q16: Med Description</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7.91%</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Q17: Side Effects</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8.59%</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Q19: Help After Discharge</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4.61%</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Q20: Symptoms</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4.99%</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Q21: Overall Rating</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1.65%</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Q22: Recommend</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2.59%</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Q23: CT Preferences</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4.20%</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Q24: CT Understanding</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2.58%</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Q25: CT Purpose of Medicine</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3.32%</w:t>
            </w:r>
          </w:p>
        </w:tc>
      </w:tr>
      <w:tr w:rsidR="008D16FF" w:rsidRPr="00280C1E" w:rsidTr="00280C1E">
        <w:trPr>
          <w:gridAfter w:val="9"/>
          <w:wAfter w:w="6355" w:type="dxa"/>
          <w:trHeight w:val="30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Q27: Self-Rated Health</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4.40%</w:t>
            </w:r>
          </w:p>
        </w:tc>
      </w:tr>
      <w:tr w:rsidR="008D16FF" w:rsidRPr="00280C1E" w:rsidTr="00280C1E">
        <w:trPr>
          <w:gridAfter w:val="9"/>
          <w:wAfter w:w="6355" w:type="dxa"/>
          <w:trHeight w:val="29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Q29: Education</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6.80%</w:t>
            </w:r>
          </w:p>
        </w:tc>
      </w:tr>
      <w:tr w:rsidR="008D16FF" w:rsidRPr="00280C1E" w:rsidTr="00280C1E">
        <w:trPr>
          <w:gridAfter w:val="9"/>
          <w:wAfter w:w="6355" w:type="dxa"/>
          <w:trHeight w:val="29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Q32: Language Spoken at Home</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7.96%</w:t>
            </w:r>
          </w:p>
        </w:tc>
      </w:tr>
      <w:tr w:rsidR="008D16FF" w:rsidRPr="00280C1E" w:rsidTr="00280C1E">
        <w:trPr>
          <w:gridAfter w:val="9"/>
          <w:wAfter w:w="6355" w:type="dxa"/>
          <w:trHeight w:val="29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Patient Service Line (administrative)</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4.01%</w:t>
            </w:r>
          </w:p>
        </w:tc>
      </w:tr>
      <w:tr w:rsidR="008D16FF" w:rsidRPr="00280C1E" w:rsidTr="00280C1E">
        <w:trPr>
          <w:gridAfter w:val="9"/>
          <w:wAfter w:w="6355" w:type="dxa"/>
          <w:trHeight w:val="290"/>
        </w:trPr>
        <w:tc>
          <w:tcPr>
            <w:tcW w:w="5100" w:type="dxa"/>
            <w:tcBorders>
              <w:top w:val="nil"/>
              <w:left w:val="single" w:sz="8" w:space="0" w:color="auto"/>
              <w:bottom w:val="single" w:sz="4"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Lag Time (administrative)</w:t>
            </w:r>
          </w:p>
        </w:tc>
        <w:tc>
          <w:tcPr>
            <w:tcW w:w="1880" w:type="dxa"/>
            <w:tcBorders>
              <w:top w:val="nil"/>
              <w:left w:val="nil"/>
              <w:bottom w:val="single" w:sz="4"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0.00%</w:t>
            </w:r>
          </w:p>
        </w:tc>
      </w:tr>
      <w:tr w:rsidR="008D16FF" w:rsidRPr="00280C1E" w:rsidTr="00280C1E">
        <w:trPr>
          <w:gridAfter w:val="9"/>
          <w:wAfter w:w="6355" w:type="dxa"/>
          <w:trHeight w:val="300"/>
        </w:trPr>
        <w:tc>
          <w:tcPr>
            <w:tcW w:w="5100" w:type="dxa"/>
            <w:tcBorders>
              <w:top w:val="nil"/>
              <w:left w:val="single" w:sz="8" w:space="0" w:color="auto"/>
              <w:bottom w:val="single" w:sz="8" w:space="0" w:color="auto"/>
              <w:right w:val="single" w:sz="4" w:space="0" w:color="auto"/>
            </w:tcBorders>
            <w:shd w:val="clear" w:color="auto" w:fill="auto"/>
            <w:noWrap/>
            <w:vAlign w:val="bottom"/>
            <w:hideMark/>
          </w:tcPr>
          <w:p w:rsidR="008D16FF" w:rsidRPr="00280C1E" w:rsidRDefault="008D16FF" w:rsidP="00280C1E">
            <w:pPr>
              <w:spacing w:after="0" w:line="240" w:lineRule="auto"/>
              <w:rPr>
                <w:rFonts w:ascii="Calibri" w:eastAsia="Times New Roman" w:hAnsi="Calibri" w:cs="Calibri"/>
                <w:color w:val="000000"/>
                <w:sz w:val="20"/>
                <w:szCs w:val="20"/>
              </w:rPr>
            </w:pPr>
            <w:r w:rsidRPr="00280C1E">
              <w:rPr>
                <w:rFonts w:ascii="Calibri" w:eastAsia="Times New Roman" w:hAnsi="Calibri" w:cs="Calibri"/>
                <w:color w:val="000000"/>
                <w:sz w:val="20"/>
                <w:szCs w:val="20"/>
              </w:rPr>
              <w:t>Patient Age (administrative)</w:t>
            </w:r>
          </w:p>
        </w:tc>
        <w:tc>
          <w:tcPr>
            <w:tcW w:w="1880" w:type="dxa"/>
            <w:tcBorders>
              <w:top w:val="nil"/>
              <w:left w:val="nil"/>
              <w:bottom w:val="single" w:sz="8" w:space="0" w:color="auto"/>
              <w:right w:val="single" w:sz="8" w:space="0" w:color="auto"/>
            </w:tcBorders>
            <w:shd w:val="clear" w:color="auto" w:fill="auto"/>
            <w:noWrap/>
            <w:vAlign w:val="bottom"/>
            <w:hideMark/>
          </w:tcPr>
          <w:p w:rsidR="008D16FF" w:rsidRPr="00280C1E" w:rsidRDefault="008D16FF" w:rsidP="00280C1E">
            <w:pPr>
              <w:spacing w:after="0" w:line="240" w:lineRule="auto"/>
              <w:jc w:val="center"/>
              <w:rPr>
                <w:rFonts w:ascii="Calibri" w:eastAsia="Times New Roman" w:hAnsi="Calibri" w:cs="Calibri"/>
                <w:color w:val="000000"/>
                <w:sz w:val="20"/>
                <w:szCs w:val="20"/>
              </w:rPr>
            </w:pPr>
            <w:r w:rsidRPr="00280C1E">
              <w:rPr>
                <w:rFonts w:ascii="Calibri" w:eastAsia="Times New Roman" w:hAnsi="Calibri" w:cs="Calibri"/>
                <w:color w:val="000000"/>
                <w:sz w:val="20"/>
                <w:szCs w:val="20"/>
              </w:rPr>
              <w:t>0.03%</w:t>
            </w:r>
          </w:p>
        </w:tc>
      </w:tr>
    </w:tbl>
    <w:p w:rsidR="00756615" w:rsidRDefault="00756615">
      <w:pPr>
        <w:autoSpaceDE w:val="0"/>
        <w:autoSpaceDN w:val="0"/>
        <w:adjustRightInd w:val="0"/>
        <w:spacing w:after="0" w:line="240" w:lineRule="auto"/>
        <w:rPr>
          <w:rFonts w:cstheme="minorHAnsi"/>
          <w:b/>
          <w:bCs/>
        </w:rPr>
      </w:pPr>
    </w:p>
    <w:p w:rsidR="00E82EB8" w:rsidRDefault="00E82EB8">
      <w:pPr>
        <w:autoSpaceDE w:val="0"/>
        <w:autoSpaceDN w:val="0"/>
        <w:adjustRightInd w:val="0"/>
        <w:spacing w:after="0" w:line="240" w:lineRule="auto"/>
        <w:rPr>
          <w:rFonts w:cstheme="minorHAnsi"/>
          <w:b/>
          <w:bCs/>
        </w:rPr>
      </w:pPr>
    </w:p>
    <w:p w:rsidR="00E82EB8" w:rsidRDefault="00E82EB8">
      <w:pPr>
        <w:autoSpaceDE w:val="0"/>
        <w:autoSpaceDN w:val="0"/>
        <w:adjustRightInd w:val="0"/>
        <w:spacing w:after="0" w:line="240" w:lineRule="auto"/>
        <w:rPr>
          <w:rFonts w:cstheme="minorHAnsi"/>
          <w:b/>
          <w:bCs/>
        </w:rPr>
      </w:pPr>
    </w:p>
    <w:p w:rsidR="00E82EB8" w:rsidRDefault="00E82EB8">
      <w:pPr>
        <w:autoSpaceDE w:val="0"/>
        <w:autoSpaceDN w:val="0"/>
        <w:adjustRightInd w:val="0"/>
        <w:spacing w:after="0" w:line="240" w:lineRule="auto"/>
        <w:rPr>
          <w:rFonts w:cstheme="minorHAnsi"/>
          <w:b/>
          <w:bCs/>
        </w:rPr>
      </w:pPr>
    </w:p>
    <w:p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rsidR="00310F1D" w:rsidRDefault="00310F1D">
      <w:pPr>
        <w:autoSpaceDE w:val="0"/>
        <w:autoSpaceDN w:val="0"/>
        <w:adjustRightInd w:val="0"/>
        <w:spacing w:after="0" w:line="240" w:lineRule="auto"/>
        <w:rPr>
          <w:rFonts w:cstheme="minorHAnsi"/>
          <w:bCs/>
        </w:rPr>
      </w:pPr>
    </w:p>
    <w:p w:rsidR="00310F1D" w:rsidRPr="00280C1E" w:rsidRDefault="00310F1D" w:rsidP="00310F1D">
      <w:pPr>
        <w:rPr>
          <w:rFonts w:ascii="Palatino Linotype" w:hAnsi="Palatino Linotype" w:cs="Times New Roman"/>
          <w:i/>
          <w:sz w:val="20"/>
          <w:szCs w:val="20"/>
        </w:rPr>
      </w:pPr>
      <w:r w:rsidRPr="00280C1E">
        <w:rPr>
          <w:rFonts w:ascii="Palatino Linotype" w:hAnsi="Palatino Linotype" w:cs="Times New Roman"/>
          <w:i/>
          <w:sz w:val="20"/>
          <w:szCs w:val="20"/>
        </w:rPr>
        <w:t xml:space="preserve">Missing values for survey questions about patient experience are not imputed or otherwise utilized in HCAHPS score calculations. Missing values for patient demographic or administrative variables are imputed using </w:t>
      </w:r>
      <w:r w:rsidR="00957B32">
        <w:rPr>
          <w:rFonts w:ascii="Palatino Linotype" w:hAnsi="Palatino Linotype" w:cs="Times New Roman"/>
          <w:i/>
          <w:sz w:val="20"/>
          <w:szCs w:val="20"/>
        </w:rPr>
        <w:t xml:space="preserve">other patient characteristics and </w:t>
      </w:r>
      <w:r w:rsidRPr="00280C1E">
        <w:rPr>
          <w:rFonts w:ascii="Palatino Linotype" w:hAnsi="Palatino Linotype" w:cs="Times New Roman"/>
          <w:i/>
          <w:sz w:val="20"/>
          <w:szCs w:val="20"/>
        </w:rPr>
        <w:t xml:space="preserve">hospital distributions of non-missing values where applicable.  The amount of missing data is very small except for items that are not applicable to all HCAHPS eligible patients. </w:t>
      </w:r>
    </w:p>
    <w:p w:rsidR="00310F1D" w:rsidRPr="00280C1E" w:rsidRDefault="00310F1D" w:rsidP="00310F1D">
      <w:pPr>
        <w:autoSpaceDE w:val="0"/>
        <w:autoSpaceDN w:val="0"/>
        <w:adjustRightInd w:val="0"/>
        <w:spacing w:after="0" w:line="240" w:lineRule="auto"/>
        <w:rPr>
          <w:rFonts w:ascii="Palatino Linotype" w:hAnsi="Palatino Linotype" w:cs="Times New Roman"/>
          <w:bCs/>
          <w:i/>
          <w:sz w:val="20"/>
          <w:szCs w:val="20"/>
        </w:rPr>
      </w:pPr>
      <w:r w:rsidRPr="00280C1E">
        <w:rPr>
          <w:rFonts w:ascii="Palatino Linotype" w:hAnsi="Palatino Linotype" w:cs="Times New Roman"/>
          <w:bCs/>
          <w:i/>
          <w:sz w:val="20"/>
          <w:szCs w:val="20"/>
        </w:rPr>
        <w:t xml:space="preserve">Every quarter the HCAHPS Project Team examines hospitals that have a high rate of missing data for HCAHPS survey items, HCAHPS demographic (patient mix) items, and hospital administrative data.  Inquiries are made with the hospital or its survey vendor to understand the reason for the missing data and to discuss mitigation strategies, as necessary.      </w:t>
      </w:r>
    </w:p>
    <w:p w:rsidR="00310F1D" w:rsidRPr="00280C1E" w:rsidRDefault="00310F1D" w:rsidP="00310F1D">
      <w:pPr>
        <w:autoSpaceDE w:val="0"/>
        <w:autoSpaceDN w:val="0"/>
        <w:adjustRightInd w:val="0"/>
        <w:spacing w:after="0" w:line="240" w:lineRule="auto"/>
        <w:rPr>
          <w:rFonts w:ascii="Palatino Linotype" w:hAnsi="Palatino Linotype" w:cs="Times New Roman"/>
          <w:bCs/>
          <w:i/>
          <w:sz w:val="20"/>
          <w:szCs w:val="20"/>
        </w:rPr>
      </w:pPr>
    </w:p>
    <w:p w:rsidR="00BA053B" w:rsidRPr="00280C1E" w:rsidRDefault="00310F1D" w:rsidP="00310F1D">
      <w:pPr>
        <w:autoSpaceDE w:val="0"/>
        <w:autoSpaceDN w:val="0"/>
        <w:adjustRightInd w:val="0"/>
        <w:spacing w:after="0" w:line="240" w:lineRule="auto"/>
        <w:jc w:val="both"/>
        <w:rPr>
          <w:rFonts w:cstheme="minorHAnsi"/>
          <w:bCs/>
          <w:sz w:val="20"/>
          <w:szCs w:val="20"/>
        </w:rPr>
      </w:pPr>
      <w:r w:rsidRPr="00280C1E">
        <w:rPr>
          <w:rFonts w:ascii="Palatino Linotype" w:hAnsi="Palatino Linotype" w:cs="Times New Roman"/>
          <w:i/>
          <w:color w:val="000000"/>
          <w:sz w:val="20"/>
          <w:szCs w:val="20"/>
        </w:rPr>
        <w:t xml:space="preserve">Although there was evidence of selective nonresponse, the patient-mix adjustment model employed was found to effectively account for any nonresponse bias that could have been addressed through nonresponse weighting. Therefore, no further weighting or adjustment for nonresponse is needed. </w:t>
      </w:r>
    </w:p>
    <w:sectPr w:rsidR="00BA053B" w:rsidRPr="00280C1E" w:rsidSect="008505D1">
      <w:headerReference w:type="default" r:id="rId31"/>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133" w:rsidRDefault="00E95133" w:rsidP="005C73CA">
      <w:pPr>
        <w:spacing w:after="0" w:line="240" w:lineRule="auto"/>
      </w:pPr>
      <w:r>
        <w:separator/>
      </w:r>
    </w:p>
  </w:endnote>
  <w:endnote w:type="continuationSeparator" w:id="0">
    <w:p w:rsidR="00E95133" w:rsidRDefault="00E95133"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NewCenturySchlbk-Roman">
    <w:altName w:val="Cambria"/>
    <w:panose1 w:val="00000000000000000000"/>
    <w:charset w:val="00"/>
    <w:family w:val="roman"/>
    <w:notTrueType/>
    <w:pitch w:val="default"/>
    <w:sig w:usb0="00000003" w:usb1="00000000" w:usb2="00000000" w:usb3="00000000" w:csb0="00000001" w:csb1="00000000"/>
  </w:font>
  <w:font w:name="AdvBasBE-R">
    <w:altName w:val="Cambria"/>
    <w:panose1 w:val="00000000000000000000"/>
    <w:charset w:val="00"/>
    <w:family w:val="roman"/>
    <w:notTrueType/>
    <w:pitch w:val="default"/>
    <w:sig w:usb0="00000003" w:usb1="00000000" w:usb2="00000000" w:usb3="00000000" w:csb0="00000001" w:csb1="00000000"/>
  </w:font>
  <w:font w:name="AdvEls-ent3">
    <w:panose1 w:val="00000000000000000000"/>
    <w:charset w:val="00"/>
    <w:family w:val="swiss"/>
    <w:notTrueType/>
    <w:pitch w:val="default"/>
    <w:sig w:usb0="00000003" w:usb1="00000000" w:usb2="00000000" w:usb3="00000000" w:csb0="00000001" w:csb1="00000000"/>
  </w:font>
  <w:font w:name="AdvBasBT-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694" w:rsidRDefault="002B0694">
    <w:pPr>
      <w:pStyle w:val="Footer"/>
    </w:pPr>
    <w:r>
      <w:t>Version 7.1 9/6/2017</w:t>
    </w:r>
    <w:r>
      <w:ptab w:relativeTo="margin" w:alignment="right" w:leader="none"/>
    </w:r>
    <w:r>
      <w:fldChar w:fldCharType="begin"/>
    </w:r>
    <w:r>
      <w:instrText xml:space="preserve"> PAGE   \* MERGEFORMAT </w:instrText>
    </w:r>
    <w:r>
      <w:fldChar w:fldCharType="separate"/>
    </w:r>
    <w:r w:rsidR="00244A95">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133" w:rsidRDefault="00E95133" w:rsidP="005C73CA">
      <w:pPr>
        <w:spacing w:after="0" w:line="240" w:lineRule="auto"/>
      </w:pPr>
      <w:r>
        <w:separator/>
      </w:r>
    </w:p>
  </w:footnote>
  <w:footnote w:type="continuationSeparator" w:id="0">
    <w:p w:rsidR="00E95133" w:rsidRDefault="00E95133"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694" w:rsidRPr="00105D8B" w:rsidRDefault="002B0694"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55pt;height:9.45pt" o:bullet="t">
        <v:imagedata r:id="rId1" o:title="artD0B8"/>
      </v:shape>
    </w:pict>
  </w:numPicBullet>
  <w:numPicBullet w:numPicBulletId="1">
    <w:pict>
      <v:shape id="_x0000_i1041" type="#_x0000_t75" style="width:11.55pt;height:9.45pt" o:bullet="t">
        <v:imagedata r:id="rId2" o:title="art594C"/>
      </v:shape>
    </w:pict>
  </w:numPicBullet>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1B0ADB"/>
    <w:multiLevelType w:val="hybridMultilevel"/>
    <w:tmpl w:val="0AEA08A0"/>
    <w:lvl w:ilvl="0" w:tplc="037E543C">
      <w:start w:val="6"/>
      <w:numFmt w:val="bullet"/>
      <w:lvlText w:val="-"/>
      <w:lvlJc w:val="left"/>
      <w:pPr>
        <w:ind w:left="720" w:hanging="360"/>
      </w:pPr>
      <w:rPr>
        <w:rFonts w:ascii="Calibri" w:eastAsiaTheme="minorEastAsia" w:hAnsi="Calibri"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FD3AF2"/>
    <w:multiLevelType w:val="hybridMultilevel"/>
    <w:tmpl w:val="91A27D1E"/>
    <w:lvl w:ilvl="0" w:tplc="F29AC552">
      <w:start w:val="6"/>
      <w:numFmt w:val="bullet"/>
      <w:lvlText w:val="-"/>
      <w:lvlJc w:val="left"/>
      <w:pPr>
        <w:ind w:left="360" w:hanging="360"/>
      </w:pPr>
      <w:rPr>
        <w:rFonts w:ascii="Calibri" w:eastAsiaTheme="minorEastAsia" w:hAnsi="Calibri" w:cstheme="minorHAns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7110E3"/>
    <w:multiLevelType w:val="hybridMultilevel"/>
    <w:tmpl w:val="FD2AC3A4"/>
    <w:lvl w:ilvl="0" w:tplc="0598019C">
      <w:start w:val="1"/>
      <w:numFmt w:val="bullet"/>
      <w:lvlText w:val=""/>
      <w:lvlPicBulletId w:val="0"/>
      <w:lvlJc w:val="left"/>
      <w:pPr>
        <w:tabs>
          <w:tab w:val="num" w:pos="720"/>
        </w:tabs>
        <w:ind w:left="720" w:hanging="360"/>
      </w:pPr>
      <w:rPr>
        <w:rFonts w:ascii="Symbol" w:hAnsi="Symbol" w:hint="default"/>
      </w:rPr>
    </w:lvl>
    <w:lvl w:ilvl="1" w:tplc="09123546" w:tentative="1">
      <w:start w:val="1"/>
      <w:numFmt w:val="bullet"/>
      <w:lvlText w:val=""/>
      <w:lvlPicBulletId w:val="0"/>
      <w:lvlJc w:val="left"/>
      <w:pPr>
        <w:tabs>
          <w:tab w:val="num" w:pos="1440"/>
        </w:tabs>
        <w:ind w:left="1440" w:hanging="360"/>
      </w:pPr>
      <w:rPr>
        <w:rFonts w:ascii="Symbol" w:hAnsi="Symbol" w:hint="default"/>
      </w:rPr>
    </w:lvl>
    <w:lvl w:ilvl="2" w:tplc="2B98B754" w:tentative="1">
      <w:start w:val="1"/>
      <w:numFmt w:val="bullet"/>
      <w:lvlText w:val=""/>
      <w:lvlPicBulletId w:val="0"/>
      <w:lvlJc w:val="left"/>
      <w:pPr>
        <w:tabs>
          <w:tab w:val="num" w:pos="2160"/>
        </w:tabs>
        <w:ind w:left="2160" w:hanging="360"/>
      </w:pPr>
      <w:rPr>
        <w:rFonts w:ascii="Symbol" w:hAnsi="Symbol" w:hint="default"/>
      </w:rPr>
    </w:lvl>
    <w:lvl w:ilvl="3" w:tplc="B8809022" w:tentative="1">
      <w:start w:val="1"/>
      <w:numFmt w:val="bullet"/>
      <w:lvlText w:val=""/>
      <w:lvlPicBulletId w:val="0"/>
      <w:lvlJc w:val="left"/>
      <w:pPr>
        <w:tabs>
          <w:tab w:val="num" w:pos="2880"/>
        </w:tabs>
        <w:ind w:left="2880" w:hanging="360"/>
      </w:pPr>
      <w:rPr>
        <w:rFonts w:ascii="Symbol" w:hAnsi="Symbol" w:hint="default"/>
      </w:rPr>
    </w:lvl>
    <w:lvl w:ilvl="4" w:tplc="F3803A1E" w:tentative="1">
      <w:start w:val="1"/>
      <w:numFmt w:val="bullet"/>
      <w:lvlText w:val=""/>
      <w:lvlPicBulletId w:val="0"/>
      <w:lvlJc w:val="left"/>
      <w:pPr>
        <w:tabs>
          <w:tab w:val="num" w:pos="3600"/>
        </w:tabs>
        <w:ind w:left="3600" w:hanging="360"/>
      </w:pPr>
      <w:rPr>
        <w:rFonts w:ascii="Symbol" w:hAnsi="Symbol" w:hint="default"/>
      </w:rPr>
    </w:lvl>
    <w:lvl w:ilvl="5" w:tplc="E19A863E" w:tentative="1">
      <w:start w:val="1"/>
      <w:numFmt w:val="bullet"/>
      <w:lvlText w:val=""/>
      <w:lvlPicBulletId w:val="0"/>
      <w:lvlJc w:val="left"/>
      <w:pPr>
        <w:tabs>
          <w:tab w:val="num" w:pos="4320"/>
        </w:tabs>
        <w:ind w:left="4320" w:hanging="360"/>
      </w:pPr>
      <w:rPr>
        <w:rFonts w:ascii="Symbol" w:hAnsi="Symbol" w:hint="default"/>
      </w:rPr>
    </w:lvl>
    <w:lvl w:ilvl="6" w:tplc="A0BAA812" w:tentative="1">
      <w:start w:val="1"/>
      <w:numFmt w:val="bullet"/>
      <w:lvlText w:val=""/>
      <w:lvlPicBulletId w:val="0"/>
      <w:lvlJc w:val="left"/>
      <w:pPr>
        <w:tabs>
          <w:tab w:val="num" w:pos="5040"/>
        </w:tabs>
        <w:ind w:left="5040" w:hanging="360"/>
      </w:pPr>
      <w:rPr>
        <w:rFonts w:ascii="Symbol" w:hAnsi="Symbol" w:hint="default"/>
      </w:rPr>
    </w:lvl>
    <w:lvl w:ilvl="7" w:tplc="5A56FA30" w:tentative="1">
      <w:start w:val="1"/>
      <w:numFmt w:val="bullet"/>
      <w:lvlText w:val=""/>
      <w:lvlPicBulletId w:val="0"/>
      <w:lvlJc w:val="left"/>
      <w:pPr>
        <w:tabs>
          <w:tab w:val="num" w:pos="5760"/>
        </w:tabs>
        <w:ind w:left="5760" w:hanging="360"/>
      </w:pPr>
      <w:rPr>
        <w:rFonts w:ascii="Symbol" w:hAnsi="Symbol" w:hint="default"/>
      </w:rPr>
    </w:lvl>
    <w:lvl w:ilvl="8" w:tplc="C5085C5A"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0B61189"/>
    <w:multiLevelType w:val="hybridMultilevel"/>
    <w:tmpl w:val="F2B47F0E"/>
    <w:lvl w:ilvl="0" w:tplc="A5A88EE8">
      <w:start w:val="1"/>
      <w:numFmt w:val="bullet"/>
      <w:lvlText w:val=""/>
      <w:lvlPicBulletId w:val="0"/>
      <w:lvlJc w:val="left"/>
      <w:pPr>
        <w:tabs>
          <w:tab w:val="num" w:pos="1267"/>
        </w:tabs>
        <w:ind w:left="1267" w:hanging="360"/>
      </w:pPr>
      <w:rPr>
        <w:rFonts w:ascii="Symbol" w:hAnsi="Symbol" w:hint="default"/>
      </w:rPr>
    </w:lvl>
    <w:lvl w:ilvl="1" w:tplc="EB2C8F7C" w:tentative="1">
      <w:start w:val="1"/>
      <w:numFmt w:val="bullet"/>
      <w:lvlText w:val=""/>
      <w:lvlPicBulletId w:val="0"/>
      <w:lvlJc w:val="left"/>
      <w:pPr>
        <w:tabs>
          <w:tab w:val="num" w:pos="1987"/>
        </w:tabs>
        <w:ind w:left="1987" w:hanging="360"/>
      </w:pPr>
      <w:rPr>
        <w:rFonts w:ascii="Symbol" w:hAnsi="Symbol" w:hint="default"/>
      </w:rPr>
    </w:lvl>
    <w:lvl w:ilvl="2" w:tplc="13202EFC" w:tentative="1">
      <w:start w:val="1"/>
      <w:numFmt w:val="bullet"/>
      <w:lvlText w:val=""/>
      <w:lvlPicBulletId w:val="0"/>
      <w:lvlJc w:val="left"/>
      <w:pPr>
        <w:tabs>
          <w:tab w:val="num" w:pos="2707"/>
        </w:tabs>
        <w:ind w:left="2707" w:hanging="360"/>
      </w:pPr>
      <w:rPr>
        <w:rFonts w:ascii="Symbol" w:hAnsi="Symbol" w:hint="default"/>
      </w:rPr>
    </w:lvl>
    <w:lvl w:ilvl="3" w:tplc="CCE4FFA8" w:tentative="1">
      <w:start w:val="1"/>
      <w:numFmt w:val="bullet"/>
      <w:lvlText w:val=""/>
      <w:lvlPicBulletId w:val="0"/>
      <w:lvlJc w:val="left"/>
      <w:pPr>
        <w:tabs>
          <w:tab w:val="num" w:pos="3427"/>
        </w:tabs>
        <w:ind w:left="3427" w:hanging="360"/>
      </w:pPr>
      <w:rPr>
        <w:rFonts w:ascii="Symbol" w:hAnsi="Symbol" w:hint="default"/>
      </w:rPr>
    </w:lvl>
    <w:lvl w:ilvl="4" w:tplc="54804076" w:tentative="1">
      <w:start w:val="1"/>
      <w:numFmt w:val="bullet"/>
      <w:lvlText w:val=""/>
      <w:lvlPicBulletId w:val="0"/>
      <w:lvlJc w:val="left"/>
      <w:pPr>
        <w:tabs>
          <w:tab w:val="num" w:pos="4147"/>
        </w:tabs>
        <w:ind w:left="4147" w:hanging="360"/>
      </w:pPr>
      <w:rPr>
        <w:rFonts w:ascii="Symbol" w:hAnsi="Symbol" w:hint="default"/>
      </w:rPr>
    </w:lvl>
    <w:lvl w:ilvl="5" w:tplc="58F403CA" w:tentative="1">
      <w:start w:val="1"/>
      <w:numFmt w:val="bullet"/>
      <w:lvlText w:val=""/>
      <w:lvlPicBulletId w:val="0"/>
      <w:lvlJc w:val="left"/>
      <w:pPr>
        <w:tabs>
          <w:tab w:val="num" w:pos="4867"/>
        </w:tabs>
        <w:ind w:left="4867" w:hanging="360"/>
      </w:pPr>
      <w:rPr>
        <w:rFonts w:ascii="Symbol" w:hAnsi="Symbol" w:hint="default"/>
      </w:rPr>
    </w:lvl>
    <w:lvl w:ilvl="6" w:tplc="D86C4C08" w:tentative="1">
      <w:start w:val="1"/>
      <w:numFmt w:val="bullet"/>
      <w:lvlText w:val=""/>
      <w:lvlPicBulletId w:val="0"/>
      <w:lvlJc w:val="left"/>
      <w:pPr>
        <w:tabs>
          <w:tab w:val="num" w:pos="5587"/>
        </w:tabs>
        <w:ind w:left="5587" w:hanging="360"/>
      </w:pPr>
      <w:rPr>
        <w:rFonts w:ascii="Symbol" w:hAnsi="Symbol" w:hint="default"/>
      </w:rPr>
    </w:lvl>
    <w:lvl w:ilvl="7" w:tplc="22BE4EA4" w:tentative="1">
      <w:start w:val="1"/>
      <w:numFmt w:val="bullet"/>
      <w:lvlText w:val=""/>
      <w:lvlPicBulletId w:val="0"/>
      <w:lvlJc w:val="left"/>
      <w:pPr>
        <w:tabs>
          <w:tab w:val="num" w:pos="6307"/>
        </w:tabs>
        <w:ind w:left="6307" w:hanging="360"/>
      </w:pPr>
      <w:rPr>
        <w:rFonts w:ascii="Symbol" w:hAnsi="Symbol" w:hint="default"/>
      </w:rPr>
    </w:lvl>
    <w:lvl w:ilvl="8" w:tplc="5260AB2A" w:tentative="1">
      <w:start w:val="1"/>
      <w:numFmt w:val="bullet"/>
      <w:lvlText w:val=""/>
      <w:lvlPicBulletId w:val="0"/>
      <w:lvlJc w:val="left"/>
      <w:pPr>
        <w:tabs>
          <w:tab w:val="num" w:pos="7027"/>
        </w:tabs>
        <w:ind w:left="7027" w:hanging="360"/>
      </w:pPr>
      <w:rPr>
        <w:rFonts w:ascii="Symbol" w:hAnsi="Symbol" w:hint="default"/>
      </w:rPr>
    </w:lvl>
  </w:abstractNum>
  <w:abstractNum w:abstractNumId="13"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685464"/>
    <w:multiLevelType w:val="hybridMultilevel"/>
    <w:tmpl w:val="A39038B4"/>
    <w:lvl w:ilvl="0" w:tplc="690EA8D4">
      <w:start w:val="1"/>
      <w:numFmt w:val="bullet"/>
      <w:pStyle w:val="BulletArrowStyle"/>
      <w:lvlText w:val=""/>
      <w:lvlJc w:val="left"/>
      <w:pPr>
        <w:ind w:left="63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DE084C"/>
    <w:multiLevelType w:val="hybridMultilevel"/>
    <w:tmpl w:val="1040A462"/>
    <w:lvl w:ilvl="0" w:tplc="CE4CCAEC">
      <w:start w:val="1"/>
      <w:numFmt w:val="bullet"/>
      <w:lvlText w:val=""/>
      <w:lvlPicBulletId w:val="0"/>
      <w:lvlJc w:val="left"/>
      <w:pPr>
        <w:tabs>
          <w:tab w:val="num" w:pos="720"/>
        </w:tabs>
        <w:ind w:left="720" w:hanging="360"/>
      </w:pPr>
      <w:rPr>
        <w:rFonts w:ascii="Symbol" w:hAnsi="Symbol" w:hint="default"/>
      </w:rPr>
    </w:lvl>
    <w:lvl w:ilvl="1" w:tplc="67A80276" w:tentative="1">
      <w:start w:val="1"/>
      <w:numFmt w:val="bullet"/>
      <w:lvlText w:val=""/>
      <w:lvlPicBulletId w:val="0"/>
      <w:lvlJc w:val="left"/>
      <w:pPr>
        <w:tabs>
          <w:tab w:val="num" w:pos="1440"/>
        </w:tabs>
        <w:ind w:left="1440" w:hanging="360"/>
      </w:pPr>
      <w:rPr>
        <w:rFonts w:ascii="Symbol" w:hAnsi="Symbol" w:hint="default"/>
      </w:rPr>
    </w:lvl>
    <w:lvl w:ilvl="2" w:tplc="AB3C9F3E" w:tentative="1">
      <w:start w:val="1"/>
      <w:numFmt w:val="bullet"/>
      <w:lvlText w:val=""/>
      <w:lvlPicBulletId w:val="0"/>
      <w:lvlJc w:val="left"/>
      <w:pPr>
        <w:tabs>
          <w:tab w:val="num" w:pos="2160"/>
        </w:tabs>
        <w:ind w:left="2160" w:hanging="360"/>
      </w:pPr>
      <w:rPr>
        <w:rFonts w:ascii="Symbol" w:hAnsi="Symbol" w:hint="default"/>
      </w:rPr>
    </w:lvl>
    <w:lvl w:ilvl="3" w:tplc="BD0ADB66" w:tentative="1">
      <w:start w:val="1"/>
      <w:numFmt w:val="bullet"/>
      <w:lvlText w:val=""/>
      <w:lvlPicBulletId w:val="0"/>
      <w:lvlJc w:val="left"/>
      <w:pPr>
        <w:tabs>
          <w:tab w:val="num" w:pos="2880"/>
        </w:tabs>
        <w:ind w:left="2880" w:hanging="360"/>
      </w:pPr>
      <w:rPr>
        <w:rFonts w:ascii="Symbol" w:hAnsi="Symbol" w:hint="default"/>
      </w:rPr>
    </w:lvl>
    <w:lvl w:ilvl="4" w:tplc="6D4C809A" w:tentative="1">
      <w:start w:val="1"/>
      <w:numFmt w:val="bullet"/>
      <w:lvlText w:val=""/>
      <w:lvlPicBulletId w:val="0"/>
      <w:lvlJc w:val="left"/>
      <w:pPr>
        <w:tabs>
          <w:tab w:val="num" w:pos="3600"/>
        </w:tabs>
        <w:ind w:left="3600" w:hanging="360"/>
      </w:pPr>
      <w:rPr>
        <w:rFonts w:ascii="Symbol" w:hAnsi="Symbol" w:hint="default"/>
      </w:rPr>
    </w:lvl>
    <w:lvl w:ilvl="5" w:tplc="F55C70EC" w:tentative="1">
      <w:start w:val="1"/>
      <w:numFmt w:val="bullet"/>
      <w:lvlText w:val=""/>
      <w:lvlPicBulletId w:val="0"/>
      <w:lvlJc w:val="left"/>
      <w:pPr>
        <w:tabs>
          <w:tab w:val="num" w:pos="4320"/>
        </w:tabs>
        <w:ind w:left="4320" w:hanging="360"/>
      </w:pPr>
      <w:rPr>
        <w:rFonts w:ascii="Symbol" w:hAnsi="Symbol" w:hint="default"/>
      </w:rPr>
    </w:lvl>
    <w:lvl w:ilvl="6" w:tplc="808AB8D8" w:tentative="1">
      <w:start w:val="1"/>
      <w:numFmt w:val="bullet"/>
      <w:lvlText w:val=""/>
      <w:lvlPicBulletId w:val="0"/>
      <w:lvlJc w:val="left"/>
      <w:pPr>
        <w:tabs>
          <w:tab w:val="num" w:pos="5040"/>
        </w:tabs>
        <w:ind w:left="5040" w:hanging="360"/>
      </w:pPr>
      <w:rPr>
        <w:rFonts w:ascii="Symbol" w:hAnsi="Symbol" w:hint="default"/>
      </w:rPr>
    </w:lvl>
    <w:lvl w:ilvl="7" w:tplc="B76E8ED6" w:tentative="1">
      <w:start w:val="1"/>
      <w:numFmt w:val="bullet"/>
      <w:lvlText w:val=""/>
      <w:lvlPicBulletId w:val="0"/>
      <w:lvlJc w:val="left"/>
      <w:pPr>
        <w:tabs>
          <w:tab w:val="num" w:pos="5760"/>
        </w:tabs>
        <w:ind w:left="5760" w:hanging="360"/>
      </w:pPr>
      <w:rPr>
        <w:rFonts w:ascii="Symbol" w:hAnsi="Symbol" w:hint="default"/>
      </w:rPr>
    </w:lvl>
    <w:lvl w:ilvl="8" w:tplc="24E6FFA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233643D"/>
    <w:multiLevelType w:val="hybridMultilevel"/>
    <w:tmpl w:val="66F096B4"/>
    <w:lvl w:ilvl="0" w:tplc="FD0C5142">
      <w:start w:val="1"/>
      <w:numFmt w:val="bullet"/>
      <w:lvlText w:val=""/>
      <w:lvlPicBulletId w:val="0"/>
      <w:lvlJc w:val="left"/>
      <w:pPr>
        <w:tabs>
          <w:tab w:val="num" w:pos="1267"/>
        </w:tabs>
        <w:ind w:left="1267" w:hanging="360"/>
      </w:pPr>
      <w:rPr>
        <w:rFonts w:ascii="Symbol" w:hAnsi="Symbol" w:hint="default"/>
      </w:rPr>
    </w:lvl>
    <w:lvl w:ilvl="1" w:tplc="D4C06172" w:tentative="1">
      <w:start w:val="1"/>
      <w:numFmt w:val="bullet"/>
      <w:lvlText w:val=""/>
      <w:lvlPicBulletId w:val="0"/>
      <w:lvlJc w:val="left"/>
      <w:pPr>
        <w:tabs>
          <w:tab w:val="num" w:pos="1987"/>
        </w:tabs>
        <w:ind w:left="1987" w:hanging="360"/>
      </w:pPr>
      <w:rPr>
        <w:rFonts w:ascii="Symbol" w:hAnsi="Symbol" w:hint="default"/>
      </w:rPr>
    </w:lvl>
    <w:lvl w:ilvl="2" w:tplc="B464EC24" w:tentative="1">
      <w:start w:val="1"/>
      <w:numFmt w:val="bullet"/>
      <w:lvlText w:val=""/>
      <w:lvlPicBulletId w:val="0"/>
      <w:lvlJc w:val="left"/>
      <w:pPr>
        <w:tabs>
          <w:tab w:val="num" w:pos="2707"/>
        </w:tabs>
        <w:ind w:left="2707" w:hanging="360"/>
      </w:pPr>
      <w:rPr>
        <w:rFonts w:ascii="Symbol" w:hAnsi="Symbol" w:hint="default"/>
      </w:rPr>
    </w:lvl>
    <w:lvl w:ilvl="3" w:tplc="B6B0FC82" w:tentative="1">
      <w:start w:val="1"/>
      <w:numFmt w:val="bullet"/>
      <w:lvlText w:val=""/>
      <w:lvlPicBulletId w:val="0"/>
      <w:lvlJc w:val="left"/>
      <w:pPr>
        <w:tabs>
          <w:tab w:val="num" w:pos="3427"/>
        </w:tabs>
        <w:ind w:left="3427" w:hanging="360"/>
      </w:pPr>
      <w:rPr>
        <w:rFonts w:ascii="Symbol" w:hAnsi="Symbol" w:hint="default"/>
      </w:rPr>
    </w:lvl>
    <w:lvl w:ilvl="4" w:tplc="98A0C650" w:tentative="1">
      <w:start w:val="1"/>
      <w:numFmt w:val="bullet"/>
      <w:lvlText w:val=""/>
      <w:lvlPicBulletId w:val="0"/>
      <w:lvlJc w:val="left"/>
      <w:pPr>
        <w:tabs>
          <w:tab w:val="num" w:pos="4147"/>
        </w:tabs>
        <w:ind w:left="4147" w:hanging="360"/>
      </w:pPr>
      <w:rPr>
        <w:rFonts w:ascii="Symbol" w:hAnsi="Symbol" w:hint="default"/>
      </w:rPr>
    </w:lvl>
    <w:lvl w:ilvl="5" w:tplc="78AA9342" w:tentative="1">
      <w:start w:val="1"/>
      <w:numFmt w:val="bullet"/>
      <w:lvlText w:val=""/>
      <w:lvlPicBulletId w:val="0"/>
      <w:lvlJc w:val="left"/>
      <w:pPr>
        <w:tabs>
          <w:tab w:val="num" w:pos="4867"/>
        </w:tabs>
        <w:ind w:left="4867" w:hanging="360"/>
      </w:pPr>
      <w:rPr>
        <w:rFonts w:ascii="Symbol" w:hAnsi="Symbol" w:hint="default"/>
      </w:rPr>
    </w:lvl>
    <w:lvl w:ilvl="6" w:tplc="C5AAC646" w:tentative="1">
      <w:start w:val="1"/>
      <w:numFmt w:val="bullet"/>
      <w:lvlText w:val=""/>
      <w:lvlPicBulletId w:val="0"/>
      <w:lvlJc w:val="left"/>
      <w:pPr>
        <w:tabs>
          <w:tab w:val="num" w:pos="5587"/>
        </w:tabs>
        <w:ind w:left="5587" w:hanging="360"/>
      </w:pPr>
      <w:rPr>
        <w:rFonts w:ascii="Symbol" w:hAnsi="Symbol" w:hint="default"/>
      </w:rPr>
    </w:lvl>
    <w:lvl w:ilvl="7" w:tplc="EC3AF85C" w:tentative="1">
      <w:start w:val="1"/>
      <w:numFmt w:val="bullet"/>
      <w:lvlText w:val=""/>
      <w:lvlPicBulletId w:val="0"/>
      <w:lvlJc w:val="left"/>
      <w:pPr>
        <w:tabs>
          <w:tab w:val="num" w:pos="6307"/>
        </w:tabs>
        <w:ind w:left="6307" w:hanging="360"/>
      </w:pPr>
      <w:rPr>
        <w:rFonts w:ascii="Symbol" w:hAnsi="Symbol" w:hint="default"/>
      </w:rPr>
    </w:lvl>
    <w:lvl w:ilvl="8" w:tplc="6A641406" w:tentative="1">
      <w:start w:val="1"/>
      <w:numFmt w:val="bullet"/>
      <w:lvlText w:val=""/>
      <w:lvlPicBulletId w:val="0"/>
      <w:lvlJc w:val="left"/>
      <w:pPr>
        <w:tabs>
          <w:tab w:val="num" w:pos="7027"/>
        </w:tabs>
        <w:ind w:left="7027" w:hanging="360"/>
      </w:pPr>
      <w:rPr>
        <w:rFonts w:ascii="Symbol" w:hAnsi="Symbol" w:hint="default"/>
      </w:rPr>
    </w:lvl>
  </w:abstractNum>
  <w:abstractNum w:abstractNumId="27"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A4190A"/>
    <w:multiLevelType w:val="hybridMultilevel"/>
    <w:tmpl w:val="88F6B7F2"/>
    <w:lvl w:ilvl="0" w:tplc="4F68C3E6">
      <w:start w:val="1"/>
      <w:numFmt w:val="bullet"/>
      <w:lvlText w:val=""/>
      <w:lvlPicBulletId w:val="0"/>
      <w:lvlJc w:val="left"/>
      <w:pPr>
        <w:tabs>
          <w:tab w:val="num" w:pos="720"/>
        </w:tabs>
        <w:ind w:left="720" w:hanging="360"/>
      </w:pPr>
      <w:rPr>
        <w:rFonts w:ascii="Symbol" w:hAnsi="Symbol" w:hint="default"/>
      </w:rPr>
    </w:lvl>
    <w:lvl w:ilvl="1" w:tplc="DE5E4AA2" w:tentative="1">
      <w:start w:val="1"/>
      <w:numFmt w:val="bullet"/>
      <w:lvlText w:val=""/>
      <w:lvlPicBulletId w:val="0"/>
      <w:lvlJc w:val="left"/>
      <w:pPr>
        <w:tabs>
          <w:tab w:val="num" w:pos="1440"/>
        </w:tabs>
        <w:ind w:left="1440" w:hanging="360"/>
      </w:pPr>
      <w:rPr>
        <w:rFonts w:ascii="Symbol" w:hAnsi="Symbol" w:hint="default"/>
      </w:rPr>
    </w:lvl>
    <w:lvl w:ilvl="2" w:tplc="9076869E" w:tentative="1">
      <w:start w:val="1"/>
      <w:numFmt w:val="bullet"/>
      <w:lvlText w:val=""/>
      <w:lvlPicBulletId w:val="0"/>
      <w:lvlJc w:val="left"/>
      <w:pPr>
        <w:tabs>
          <w:tab w:val="num" w:pos="2160"/>
        </w:tabs>
        <w:ind w:left="2160" w:hanging="360"/>
      </w:pPr>
      <w:rPr>
        <w:rFonts w:ascii="Symbol" w:hAnsi="Symbol" w:hint="default"/>
      </w:rPr>
    </w:lvl>
    <w:lvl w:ilvl="3" w:tplc="FC6A2776" w:tentative="1">
      <w:start w:val="1"/>
      <w:numFmt w:val="bullet"/>
      <w:lvlText w:val=""/>
      <w:lvlPicBulletId w:val="0"/>
      <w:lvlJc w:val="left"/>
      <w:pPr>
        <w:tabs>
          <w:tab w:val="num" w:pos="2880"/>
        </w:tabs>
        <w:ind w:left="2880" w:hanging="360"/>
      </w:pPr>
      <w:rPr>
        <w:rFonts w:ascii="Symbol" w:hAnsi="Symbol" w:hint="default"/>
      </w:rPr>
    </w:lvl>
    <w:lvl w:ilvl="4" w:tplc="3072F9D2" w:tentative="1">
      <w:start w:val="1"/>
      <w:numFmt w:val="bullet"/>
      <w:lvlText w:val=""/>
      <w:lvlPicBulletId w:val="0"/>
      <w:lvlJc w:val="left"/>
      <w:pPr>
        <w:tabs>
          <w:tab w:val="num" w:pos="3600"/>
        </w:tabs>
        <w:ind w:left="3600" w:hanging="360"/>
      </w:pPr>
      <w:rPr>
        <w:rFonts w:ascii="Symbol" w:hAnsi="Symbol" w:hint="default"/>
      </w:rPr>
    </w:lvl>
    <w:lvl w:ilvl="5" w:tplc="A98A8ED8" w:tentative="1">
      <w:start w:val="1"/>
      <w:numFmt w:val="bullet"/>
      <w:lvlText w:val=""/>
      <w:lvlPicBulletId w:val="0"/>
      <w:lvlJc w:val="left"/>
      <w:pPr>
        <w:tabs>
          <w:tab w:val="num" w:pos="4320"/>
        </w:tabs>
        <w:ind w:left="4320" w:hanging="360"/>
      </w:pPr>
      <w:rPr>
        <w:rFonts w:ascii="Symbol" w:hAnsi="Symbol" w:hint="default"/>
      </w:rPr>
    </w:lvl>
    <w:lvl w:ilvl="6" w:tplc="890E43AE" w:tentative="1">
      <w:start w:val="1"/>
      <w:numFmt w:val="bullet"/>
      <w:lvlText w:val=""/>
      <w:lvlPicBulletId w:val="0"/>
      <w:lvlJc w:val="left"/>
      <w:pPr>
        <w:tabs>
          <w:tab w:val="num" w:pos="5040"/>
        </w:tabs>
        <w:ind w:left="5040" w:hanging="360"/>
      </w:pPr>
      <w:rPr>
        <w:rFonts w:ascii="Symbol" w:hAnsi="Symbol" w:hint="default"/>
      </w:rPr>
    </w:lvl>
    <w:lvl w:ilvl="7" w:tplc="D8781E9C" w:tentative="1">
      <w:start w:val="1"/>
      <w:numFmt w:val="bullet"/>
      <w:lvlText w:val=""/>
      <w:lvlPicBulletId w:val="0"/>
      <w:lvlJc w:val="left"/>
      <w:pPr>
        <w:tabs>
          <w:tab w:val="num" w:pos="5760"/>
        </w:tabs>
        <w:ind w:left="5760" w:hanging="360"/>
      </w:pPr>
      <w:rPr>
        <w:rFonts w:ascii="Symbol" w:hAnsi="Symbol" w:hint="default"/>
      </w:rPr>
    </w:lvl>
    <w:lvl w:ilvl="8" w:tplc="AEE640EA"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83C6CFA"/>
    <w:multiLevelType w:val="hybridMultilevel"/>
    <w:tmpl w:val="28549836"/>
    <w:lvl w:ilvl="0" w:tplc="F39410E6">
      <w:start w:val="1"/>
      <w:numFmt w:val="bullet"/>
      <w:lvlText w:val=""/>
      <w:lvlPicBulletId w:val="0"/>
      <w:lvlJc w:val="left"/>
      <w:pPr>
        <w:tabs>
          <w:tab w:val="num" w:pos="720"/>
        </w:tabs>
        <w:ind w:left="720" w:hanging="360"/>
      </w:pPr>
      <w:rPr>
        <w:rFonts w:ascii="Symbol" w:hAnsi="Symbol" w:hint="default"/>
      </w:rPr>
    </w:lvl>
    <w:lvl w:ilvl="1" w:tplc="A3BC0D10">
      <w:numFmt w:val="bullet"/>
      <w:lvlText w:val=""/>
      <w:lvlJc w:val="left"/>
      <w:pPr>
        <w:tabs>
          <w:tab w:val="num" w:pos="1440"/>
        </w:tabs>
        <w:ind w:left="1440" w:hanging="360"/>
      </w:pPr>
      <w:rPr>
        <w:rFonts w:ascii="Wingdings" w:hAnsi="Wingdings" w:hint="default"/>
      </w:rPr>
    </w:lvl>
    <w:lvl w:ilvl="2" w:tplc="68D66A4A" w:tentative="1">
      <w:start w:val="1"/>
      <w:numFmt w:val="bullet"/>
      <w:lvlText w:val=""/>
      <w:lvlPicBulletId w:val="0"/>
      <w:lvlJc w:val="left"/>
      <w:pPr>
        <w:tabs>
          <w:tab w:val="num" w:pos="2160"/>
        </w:tabs>
        <w:ind w:left="2160" w:hanging="360"/>
      </w:pPr>
      <w:rPr>
        <w:rFonts w:ascii="Symbol" w:hAnsi="Symbol" w:hint="default"/>
      </w:rPr>
    </w:lvl>
    <w:lvl w:ilvl="3" w:tplc="0B9A716E" w:tentative="1">
      <w:start w:val="1"/>
      <w:numFmt w:val="bullet"/>
      <w:lvlText w:val=""/>
      <w:lvlPicBulletId w:val="0"/>
      <w:lvlJc w:val="left"/>
      <w:pPr>
        <w:tabs>
          <w:tab w:val="num" w:pos="2880"/>
        </w:tabs>
        <w:ind w:left="2880" w:hanging="360"/>
      </w:pPr>
      <w:rPr>
        <w:rFonts w:ascii="Symbol" w:hAnsi="Symbol" w:hint="default"/>
      </w:rPr>
    </w:lvl>
    <w:lvl w:ilvl="4" w:tplc="0876D9C4" w:tentative="1">
      <w:start w:val="1"/>
      <w:numFmt w:val="bullet"/>
      <w:lvlText w:val=""/>
      <w:lvlPicBulletId w:val="0"/>
      <w:lvlJc w:val="left"/>
      <w:pPr>
        <w:tabs>
          <w:tab w:val="num" w:pos="3600"/>
        </w:tabs>
        <w:ind w:left="3600" w:hanging="360"/>
      </w:pPr>
      <w:rPr>
        <w:rFonts w:ascii="Symbol" w:hAnsi="Symbol" w:hint="default"/>
      </w:rPr>
    </w:lvl>
    <w:lvl w:ilvl="5" w:tplc="E4F64B10" w:tentative="1">
      <w:start w:val="1"/>
      <w:numFmt w:val="bullet"/>
      <w:lvlText w:val=""/>
      <w:lvlPicBulletId w:val="0"/>
      <w:lvlJc w:val="left"/>
      <w:pPr>
        <w:tabs>
          <w:tab w:val="num" w:pos="4320"/>
        </w:tabs>
        <w:ind w:left="4320" w:hanging="360"/>
      </w:pPr>
      <w:rPr>
        <w:rFonts w:ascii="Symbol" w:hAnsi="Symbol" w:hint="default"/>
      </w:rPr>
    </w:lvl>
    <w:lvl w:ilvl="6" w:tplc="27589D00" w:tentative="1">
      <w:start w:val="1"/>
      <w:numFmt w:val="bullet"/>
      <w:lvlText w:val=""/>
      <w:lvlPicBulletId w:val="0"/>
      <w:lvlJc w:val="left"/>
      <w:pPr>
        <w:tabs>
          <w:tab w:val="num" w:pos="5040"/>
        </w:tabs>
        <w:ind w:left="5040" w:hanging="360"/>
      </w:pPr>
      <w:rPr>
        <w:rFonts w:ascii="Symbol" w:hAnsi="Symbol" w:hint="default"/>
      </w:rPr>
    </w:lvl>
    <w:lvl w:ilvl="7" w:tplc="7370230C" w:tentative="1">
      <w:start w:val="1"/>
      <w:numFmt w:val="bullet"/>
      <w:lvlText w:val=""/>
      <w:lvlPicBulletId w:val="0"/>
      <w:lvlJc w:val="left"/>
      <w:pPr>
        <w:tabs>
          <w:tab w:val="num" w:pos="5760"/>
        </w:tabs>
        <w:ind w:left="5760" w:hanging="360"/>
      </w:pPr>
      <w:rPr>
        <w:rFonts w:ascii="Symbol" w:hAnsi="Symbol" w:hint="default"/>
      </w:rPr>
    </w:lvl>
    <w:lvl w:ilvl="8" w:tplc="E55CA6FC"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2AF4678"/>
    <w:multiLevelType w:val="hybridMultilevel"/>
    <w:tmpl w:val="708AF51C"/>
    <w:lvl w:ilvl="0" w:tplc="FD48749A">
      <w:start w:val="1"/>
      <w:numFmt w:val="bullet"/>
      <w:lvlText w:val=""/>
      <w:lvlPicBulletId w:val="1"/>
      <w:lvlJc w:val="left"/>
      <w:pPr>
        <w:tabs>
          <w:tab w:val="num" w:pos="720"/>
        </w:tabs>
        <w:ind w:left="720" w:hanging="360"/>
      </w:pPr>
      <w:rPr>
        <w:rFonts w:ascii="Symbol" w:hAnsi="Symbol" w:hint="default"/>
      </w:rPr>
    </w:lvl>
    <w:lvl w:ilvl="1" w:tplc="94309724" w:tentative="1">
      <w:start w:val="1"/>
      <w:numFmt w:val="bullet"/>
      <w:lvlText w:val=""/>
      <w:lvlPicBulletId w:val="1"/>
      <w:lvlJc w:val="left"/>
      <w:pPr>
        <w:tabs>
          <w:tab w:val="num" w:pos="1440"/>
        </w:tabs>
        <w:ind w:left="1440" w:hanging="360"/>
      </w:pPr>
      <w:rPr>
        <w:rFonts w:ascii="Symbol" w:hAnsi="Symbol" w:hint="default"/>
      </w:rPr>
    </w:lvl>
    <w:lvl w:ilvl="2" w:tplc="B9EC4214" w:tentative="1">
      <w:start w:val="1"/>
      <w:numFmt w:val="bullet"/>
      <w:lvlText w:val=""/>
      <w:lvlPicBulletId w:val="1"/>
      <w:lvlJc w:val="left"/>
      <w:pPr>
        <w:tabs>
          <w:tab w:val="num" w:pos="2160"/>
        </w:tabs>
        <w:ind w:left="2160" w:hanging="360"/>
      </w:pPr>
      <w:rPr>
        <w:rFonts w:ascii="Symbol" w:hAnsi="Symbol" w:hint="default"/>
      </w:rPr>
    </w:lvl>
    <w:lvl w:ilvl="3" w:tplc="58087BFE" w:tentative="1">
      <w:start w:val="1"/>
      <w:numFmt w:val="bullet"/>
      <w:lvlText w:val=""/>
      <w:lvlPicBulletId w:val="1"/>
      <w:lvlJc w:val="left"/>
      <w:pPr>
        <w:tabs>
          <w:tab w:val="num" w:pos="2880"/>
        </w:tabs>
        <w:ind w:left="2880" w:hanging="360"/>
      </w:pPr>
      <w:rPr>
        <w:rFonts w:ascii="Symbol" w:hAnsi="Symbol" w:hint="default"/>
      </w:rPr>
    </w:lvl>
    <w:lvl w:ilvl="4" w:tplc="2B166956" w:tentative="1">
      <w:start w:val="1"/>
      <w:numFmt w:val="bullet"/>
      <w:lvlText w:val=""/>
      <w:lvlPicBulletId w:val="1"/>
      <w:lvlJc w:val="left"/>
      <w:pPr>
        <w:tabs>
          <w:tab w:val="num" w:pos="3600"/>
        </w:tabs>
        <w:ind w:left="3600" w:hanging="360"/>
      </w:pPr>
      <w:rPr>
        <w:rFonts w:ascii="Symbol" w:hAnsi="Symbol" w:hint="default"/>
      </w:rPr>
    </w:lvl>
    <w:lvl w:ilvl="5" w:tplc="8C94AF0A" w:tentative="1">
      <w:start w:val="1"/>
      <w:numFmt w:val="bullet"/>
      <w:lvlText w:val=""/>
      <w:lvlPicBulletId w:val="1"/>
      <w:lvlJc w:val="left"/>
      <w:pPr>
        <w:tabs>
          <w:tab w:val="num" w:pos="4320"/>
        </w:tabs>
        <w:ind w:left="4320" w:hanging="360"/>
      </w:pPr>
      <w:rPr>
        <w:rFonts w:ascii="Symbol" w:hAnsi="Symbol" w:hint="default"/>
      </w:rPr>
    </w:lvl>
    <w:lvl w:ilvl="6" w:tplc="950E9ECC" w:tentative="1">
      <w:start w:val="1"/>
      <w:numFmt w:val="bullet"/>
      <w:lvlText w:val=""/>
      <w:lvlPicBulletId w:val="1"/>
      <w:lvlJc w:val="left"/>
      <w:pPr>
        <w:tabs>
          <w:tab w:val="num" w:pos="5040"/>
        </w:tabs>
        <w:ind w:left="5040" w:hanging="360"/>
      </w:pPr>
      <w:rPr>
        <w:rFonts w:ascii="Symbol" w:hAnsi="Symbol" w:hint="default"/>
      </w:rPr>
    </w:lvl>
    <w:lvl w:ilvl="7" w:tplc="7FFEAB5A" w:tentative="1">
      <w:start w:val="1"/>
      <w:numFmt w:val="bullet"/>
      <w:lvlText w:val=""/>
      <w:lvlPicBulletId w:val="1"/>
      <w:lvlJc w:val="left"/>
      <w:pPr>
        <w:tabs>
          <w:tab w:val="num" w:pos="5760"/>
        </w:tabs>
        <w:ind w:left="5760" w:hanging="360"/>
      </w:pPr>
      <w:rPr>
        <w:rFonts w:ascii="Symbol" w:hAnsi="Symbol" w:hint="default"/>
      </w:rPr>
    </w:lvl>
    <w:lvl w:ilvl="8" w:tplc="17961624" w:tentative="1">
      <w:start w:val="1"/>
      <w:numFmt w:val="bullet"/>
      <w:lvlText w:val=""/>
      <w:lvlPicBulletId w:val="1"/>
      <w:lvlJc w:val="left"/>
      <w:pPr>
        <w:tabs>
          <w:tab w:val="num" w:pos="6480"/>
        </w:tabs>
        <w:ind w:left="6480" w:hanging="360"/>
      </w:pPr>
      <w:rPr>
        <w:rFonts w:ascii="Symbol" w:hAnsi="Symbol" w:hint="default"/>
      </w:rPr>
    </w:lvl>
  </w:abstractNum>
  <w:abstractNum w:abstractNumId="34" w15:restartNumberingAfterBreak="0">
    <w:nsid w:val="57494BDE"/>
    <w:multiLevelType w:val="hybridMultilevel"/>
    <w:tmpl w:val="95D0F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BD951E7"/>
    <w:multiLevelType w:val="hybridMultilevel"/>
    <w:tmpl w:val="BA747368"/>
    <w:lvl w:ilvl="0" w:tplc="BC185D26">
      <w:start w:val="1"/>
      <w:numFmt w:val="bullet"/>
      <w:lvlText w:val=""/>
      <w:lvlPicBulletId w:val="0"/>
      <w:lvlJc w:val="left"/>
      <w:pPr>
        <w:tabs>
          <w:tab w:val="num" w:pos="1267"/>
        </w:tabs>
        <w:ind w:left="1267" w:hanging="360"/>
      </w:pPr>
      <w:rPr>
        <w:rFonts w:ascii="Symbol" w:hAnsi="Symbol" w:hint="default"/>
      </w:rPr>
    </w:lvl>
    <w:lvl w:ilvl="1" w:tplc="EA16F742" w:tentative="1">
      <w:start w:val="1"/>
      <w:numFmt w:val="bullet"/>
      <w:lvlText w:val=""/>
      <w:lvlPicBulletId w:val="0"/>
      <w:lvlJc w:val="left"/>
      <w:pPr>
        <w:tabs>
          <w:tab w:val="num" w:pos="1987"/>
        </w:tabs>
        <w:ind w:left="1987" w:hanging="360"/>
      </w:pPr>
      <w:rPr>
        <w:rFonts w:ascii="Symbol" w:hAnsi="Symbol" w:hint="default"/>
      </w:rPr>
    </w:lvl>
    <w:lvl w:ilvl="2" w:tplc="4544B688" w:tentative="1">
      <w:start w:val="1"/>
      <w:numFmt w:val="bullet"/>
      <w:lvlText w:val=""/>
      <w:lvlPicBulletId w:val="0"/>
      <w:lvlJc w:val="left"/>
      <w:pPr>
        <w:tabs>
          <w:tab w:val="num" w:pos="2707"/>
        </w:tabs>
        <w:ind w:left="2707" w:hanging="360"/>
      </w:pPr>
      <w:rPr>
        <w:rFonts w:ascii="Symbol" w:hAnsi="Symbol" w:hint="default"/>
      </w:rPr>
    </w:lvl>
    <w:lvl w:ilvl="3" w:tplc="21A039D4" w:tentative="1">
      <w:start w:val="1"/>
      <w:numFmt w:val="bullet"/>
      <w:lvlText w:val=""/>
      <w:lvlPicBulletId w:val="0"/>
      <w:lvlJc w:val="left"/>
      <w:pPr>
        <w:tabs>
          <w:tab w:val="num" w:pos="3427"/>
        </w:tabs>
        <w:ind w:left="3427" w:hanging="360"/>
      </w:pPr>
      <w:rPr>
        <w:rFonts w:ascii="Symbol" w:hAnsi="Symbol" w:hint="default"/>
      </w:rPr>
    </w:lvl>
    <w:lvl w:ilvl="4" w:tplc="F58CB9C8" w:tentative="1">
      <w:start w:val="1"/>
      <w:numFmt w:val="bullet"/>
      <w:lvlText w:val=""/>
      <w:lvlPicBulletId w:val="0"/>
      <w:lvlJc w:val="left"/>
      <w:pPr>
        <w:tabs>
          <w:tab w:val="num" w:pos="4147"/>
        </w:tabs>
        <w:ind w:left="4147" w:hanging="360"/>
      </w:pPr>
      <w:rPr>
        <w:rFonts w:ascii="Symbol" w:hAnsi="Symbol" w:hint="default"/>
      </w:rPr>
    </w:lvl>
    <w:lvl w:ilvl="5" w:tplc="B166141C" w:tentative="1">
      <w:start w:val="1"/>
      <w:numFmt w:val="bullet"/>
      <w:lvlText w:val=""/>
      <w:lvlPicBulletId w:val="0"/>
      <w:lvlJc w:val="left"/>
      <w:pPr>
        <w:tabs>
          <w:tab w:val="num" w:pos="4867"/>
        </w:tabs>
        <w:ind w:left="4867" w:hanging="360"/>
      </w:pPr>
      <w:rPr>
        <w:rFonts w:ascii="Symbol" w:hAnsi="Symbol" w:hint="default"/>
      </w:rPr>
    </w:lvl>
    <w:lvl w:ilvl="6" w:tplc="FD089F0C" w:tentative="1">
      <w:start w:val="1"/>
      <w:numFmt w:val="bullet"/>
      <w:lvlText w:val=""/>
      <w:lvlPicBulletId w:val="0"/>
      <w:lvlJc w:val="left"/>
      <w:pPr>
        <w:tabs>
          <w:tab w:val="num" w:pos="5587"/>
        </w:tabs>
        <w:ind w:left="5587" w:hanging="360"/>
      </w:pPr>
      <w:rPr>
        <w:rFonts w:ascii="Symbol" w:hAnsi="Symbol" w:hint="default"/>
      </w:rPr>
    </w:lvl>
    <w:lvl w:ilvl="7" w:tplc="136C5B3C" w:tentative="1">
      <w:start w:val="1"/>
      <w:numFmt w:val="bullet"/>
      <w:lvlText w:val=""/>
      <w:lvlPicBulletId w:val="0"/>
      <w:lvlJc w:val="left"/>
      <w:pPr>
        <w:tabs>
          <w:tab w:val="num" w:pos="6307"/>
        </w:tabs>
        <w:ind w:left="6307" w:hanging="360"/>
      </w:pPr>
      <w:rPr>
        <w:rFonts w:ascii="Symbol" w:hAnsi="Symbol" w:hint="default"/>
      </w:rPr>
    </w:lvl>
    <w:lvl w:ilvl="8" w:tplc="95021096" w:tentative="1">
      <w:start w:val="1"/>
      <w:numFmt w:val="bullet"/>
      <w:lvlText w:val=""/>
      <w:lvlPicBulletId w:val="0"/>
      <w:lvlJc w:val="left"/>
      <w:pPr>
        <w:tabs>
          <w:tab w:val="num" w:pos="7027"/>
        </w:tabs>
        <w:ind w:left="7027" w:hanging="360"/>
      </w:pPr>
      <w:rPr>
        <w:rFonts w:ascii="Symbol" w:hAnsi="Symbol" w:hint="default"/>
      </w:rPr>
    </w:lvl>
  </w:abstractNum>
  <w:abstractNum w:abstractNumId="37" w15:restartNumberingAfterBreak="0">
    <w:nsid w:val="5C0D1573"/>
    <w:multiLevelType w:val="hybridMultilevel"/>
    <w:tmpl w:val="CDCE048C"/>
    <w:lvl w:ilvl="0" w:tplc="D05E47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69406C"/>
    <w:multiLevelType w:val="hybridMultilevel"/>
    <w:tmpl w:val="A7921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D2A59"/>
    <w:multiLevelType w:val="hybridMultilevel"/>
    <w:tmpl w:val="C464A99E"/>
    <w:lvl w:ilvl="0" w:tplc="83D645E4">
      <w:start w:val="1"/>
      <w:numFmt w:val="bullet"/>
      <w:lvlText w:val=""/>
      <w:lvlPicBulletId w:val="1"/>
      <w:lvlJc w:val="left"/>
      <w:pPr>
        <w:tabs>
          <w:tab w:val="num" w:pos="720"/>
        </w:tabs>
        <w:ind w:left="720" w:hanging="360"/>
      </w:pPr>
      <w:rPr>
        <w:rFonts w:ascii="Symbol" w:hAnsi="Symbol" w:hint="default"/>
      </w:rPr>
    </w:lvl>
    <w:lvl w:ilvl="1" w:tplc="C71AC21C">
      <w:numFmt w:val="bullet"/>
      <w:lvlText w:val=""/>
      <w:lvlJc w:val="left"/>
      <w:pPr>
        <w:tabs>
          <w:tab w:val="num" w:pos="1440"/>
        </w:tabs>
        <w:ind w:left="1440" w:hanging="360"/>
      </w:pPr>
      <w:rPr>
        <w:rFonts w:ascii="Wingdings" w:hAnsi="Wingdings" w:hint="default"/>
      </w:rPr>
    </w:lvl>
    <w:lvl w:ilvl="2" w:tplc="42540C94" w:tentative="1">
      <w:start w:val="1"/>
      <w:numFmt w:val="bullet"/>
      <w:lvlText w:val=""/>
      <w:lvlPicBulletId w:val="1"/>
      <w:lvlJc w:val="left"/>
      <w:pPr>
        <w:tabs>
          <w:tab w:val="num" w:pos="2160"/>
        </w:tabs>
        <w:ind w:left="2160" w:hanging="360"/>
      </w:pPr>
      <w:rPr>
        <w:rFonts w:ascii="Symbol" w:hAnsi="Symbol" w:hint="default"/>
      </w:rPr>
    </w:lvl>
    <w:lvl w:ilvl="3" w:tplc="CD6AD644" w:tentative="1">
      <w:start w:val="1"/>
      <w:numFmt w:val="bullet"/>
      <w:lvlText w:val=""/>
      <w:lvlPicBulletId w:val="1"/>
      <w:lvlJc w:val="left"/>
      <w:pPr>
        <w:tabs>
          <w:tab w:val="num" w:pos="2880"/>
        </w:tabs>
        <w:ind w:left="2880" w:hanging="360"/>
      </w:pPr>
      <w:rPr>
        <w:rFonts w:ascii="Symbol" w:hAnsi="Symbol" w:hint="default"/>
      </w:rPr>
    </w:lvl>
    <w:lvl w:ilvl="4" w:tplc="8048D72E" w:tentative="1">
      <w:start w:val="1"/>
      <w:numFmt w:val="bullet"/>
      <w:lvlText w:val=""/>
      <w:lvlPicBulletId w:val="1"/>
      <w:lvlJc w:val="left"/>
      <w:pPr>
        <w:tabs>
          <w:tab w:val="num" w:pos="3600"/>
        </w:tabs>
        <w:ind w:left="3600" w:hanging="360"/>
      </w:pPr>
      <w:rPr>
        <w:rFonts w:ascii="Symbol" w:hAnsi="Symbol" w:hint="default"/>
      </w:rPr>
    </w:lvl>
    <w:lvl w:ilvl="5" w:tplc="BA6A1A4E" w:tentative="1">
      <w:start w:val="1"/>
      <w:numFmt w:val="bullet"/>
      <w:lvlText w:val=""/>
      <w:lvlPicBulletId w:val="1"/>
      <w:lvlJc w:val="left"/>
      <w:pPr>
        <w:tabs>
          <w:tab w:val="num" w:pos="4320"/>
        </w:tabs>
        <w:ind w:left="4320" w:hanging="360"/>
      </w:pPr>
      <w:rPr>
        <w:rFonts w:ascii="Symbol" w:hAnsi="Symbol" w:hint="default"/>
      </w:rPr>
    </w:lvl>
    <w:lvl w:ilvl="6" w:tplc="8AD0CA96" w:tentative="1">
      <w:start w:val="1"/>
      <w:numFmt w:val="bullet"/>
      <w:lvlText w:val=""/>
      <w:lvlPicBulletId w:val="1"/>
      <w:lvlJc w:val="left"/>
      <w:pPr>
        <w:tabs>
          <w:tab w:val="num" w:pos="5040"/>
        </w:tabs>
        <w:ind w:left="5040" w:hanging="360"/>
      </w:pPr>
      <w:rPr>
        <w:rFonts w:ascii="Symbol" w:hAnsi="Symbol" w:hint="default"/>
      </w:rPr>
    </w:lvl>
    <w:lvl w:ilvl="7" w:tplc="7FE04FAA" w:tentative="1">
      <w:start w:val="1"/>
      <w:numFmt w:val="bullet"/>
      <w:lvlText w:val=""/>
      <w:lvlPicBulletId w:val="1"/>
      <w:lvlJc w:val="left"/>
      <w:pPr>
        <w:tabs>
          <w:tab w:val="num" w:pos="5760"/>
        </w:tabs>
        <w:ind w:left="5760" w:hanging="360"/>
      </w:pPr>
      <w:rPr>
        <w:rFonts w:ascii="Symbol" w:hAnsi="Symbol" w:hint="default"/>
      </w:rPr>
    </w:lvl>
    <w:lvl w:ilvl="8" w:tplc="88605B50"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7BD74A04"/>
    <w:multiLevelType w:val="hybridMultilevel"/>
    <w:tmpl w:val="E6223B30"/>
    <w:lvl w:ilvl="0" w:tplc="B322BA7E">
      <w:start w:val="1"/>
      <w:numFmt w:val="bullet"/>
      <w:pStyle w:val="BulletsBlackCircles"/>
      <w:lvlText w:val=""/>
      <w:lvlJc w:val="left"/>
      <w:pPr>
        <w:tabs>
          <w:tab w:val="num" w:pos="648"/>
        </w:tabs>
        <w:ind w:left="648" w:hanging="360"/>
      </w:pPr>
      <w:rPr>
        <w:rFonts w:ascii="Symbol" w:hAnsi="Symbol" w:hint="default"/>
        <w:sz w:val="24"/>
        <w:szCs w:val="24"/>
      </w:rPr>
    </w:lvl>
    <w:lvl w:ilvl="1" w:tplc="899A4808">
      <w:start w:val="1"/>
      <w:numFmt w:val="bullet"/>
      <w:lvlText w:val=""/>
      <w:lvlJc w:val="left"/>
      <w:pPr>
        <w:tabs>
          <w:tab w:val="num" w:pos="1368"/>
        </w:tabs>
        <w:ind w:left="1368" w:hanging="360"/>
      </w:pPr>
      <w:rPr>
        <w:rFonts w:ascii="Symbol" w:hAnsi="Symbol" w:hint="default"/>
        <w:sz w:val="24"/>
        <w:szCs w:val="24"/>
      </w:rPr>
    </w:lvl>
    <w:lvl w:ilvl="2" w:tplc="04090003">
      <w:start w:val="1"/>
      <w:numFmt w:val="bullet"/>
      <w:lvlText w:val="o"/>
      <w:lvlJc w:val="left"/>
      <w:pPr>
        <w:tabs>
          <w:tab w:val="num" w:pos="2088"/>
        </w:tabs>
        <w:ind w:left="2088" w:hanging="360"/>
      </w:pPr>
      <w:rPr>
        <w:rFonts w:ascii="Courier New" w:hAnsi="Courier New" w:cs="Courier New" w:hint="default"/>
      </w:rPr>
    </w:lvl>
    <w:lvl w:ilvl="3" w:tplc="C568D81E">
      <w:numFmt w:val="bullet"/>
      <w:lvlText w:val="-"/>
      <w:lvlJc w:val="left"/>
      <w:pPr>
        <w:tabs>
          <w:tab w:val="num" w:pos="2808"/>
        </w:tabs>
        <w:ind w:left="2808" w:hanging="360"/>
      </w:pPr>
      <w:rPr>
        <w:rFonts w:ascii="Times New Roman" w:eastAsia="Calibri" w:hAnsi="Times New Roman" w:cs="Times New Roman" w:hint="default"/>
      </w:rPr>
    </w:lvl>
    <w:lvl w:ilvl="4" w:tplc="04090003">
      <w:start w:val="1"/>
      <w:numFmt w:val="bullet"/>
      <w:lvlText w:val="o"/>
      <w:lvlJc w:val="left"/>
      <w:pPr>
        <w:tabs>
          <w:tab w:val="num" w:pos="3528"/>
        </w:tabs>
        <w:ind w:left="3528" w:hanging="360"/>
      </w:pPr>
      <w:rPr>
        <w:rFonts w:ascii="Courier New" w:hAnsi="Courier New" w:cs="Times New Roman" w:hint="default"/>
      </w:rPr>
    </w:lvl>
    <w:lvl w:ilvl="5" w:tplc="04090005">
      <w:start w:val="1"/>
      <w:numFmt w:val="bullet"/>
      <w:lvlText w:val=""/>
      <w:lvlJc w:val="left"/>
      <w:pPr>
        <w:tabs>
          <w:tab w:val="num" w:pos="4248"/>
        </w:tabs>
        <w:ind w:left="4248" w:hanging="360"/>
      </w:pPr>
      <w:rPr>
        <w:rFonts w:ascii="Wingdings" w:hAnsi="Wingdings" w:hint="default"/>
      </w:rPr>
    </w:lvl>
    <w:lvl w:ilvl="6" w:tplc="04090001">
      <w:start w:val="1"/>
      <w:numFmt w:val="bullet"/>
      <w:lvlText w:val=""/>
      <w:lvlJc w:val="left"/>
      <w:pPr>
        <w:tabs>
          <w:tab w:val="num" w:pos="4968"/>
        </w:tabs>
        <w:ind w:left="4968" w:hanging="360"/>
      </w:pPr>
      <w:rPr>
        <w:rFonts w:ascii="Symbol" w:hAnsi="Symbol" w:hint="default"/>
      </w:rPr>
    </w:lvl>
    <w:lvl w:ilvl="7" w:tplc="04090003">
      <w:start w:val="1"/>
      <w:numFmt w:val="bullet"/>
      <w:lvlText w:val="o"/>
      <w:lvlJc w:val="left"/>
      <w:pPr>
        <w:tabs>
          <w:tab w:val="num" w:pos="5688"/>
        </w:tabs>
        <w:ind w:left="5688" w:hanging="360"/>
      </w:pPr>
      <w:rPr>
        <w:rFonts w:ascii="Courier New" w:hAnsi="Courier New" w:cs="Times New Roman" w:hint="default"/>
      </w:rPr>
    </w:lvl>
    <w:lvl w:ilvl="8" w:tplc="04090005">
      <w:start w:val="1"/>
      <w:numFmt w:val="bullet"/>
      <w:lvlText w:val=""/>
      <w:lvlJc w:val="left"/>
      <w:pPr>
        <w:tabs>
          <w:tab w:val="num" w:pos="6408"/>
        </w:tabs>
        <w:ind w:left="6408" w:hanging="360"/>
      </w:pPr>
      <w:rPr>
        <w:rFonts w:ascii="Wingdings" w:hAnsi="Wingdings" w:hint="default"/>
      </w:rPr>
    </w:lvl>
  </w:abstractNum>
  <w:abstractNum w:abstractNumId="44" w15:restartNumberingAfterBreak="0">
    <w:nsid w:val="7D545497"/>
    <w:multiLevelType w:val="hybridMultilevel"/>
    <w:tmpl w:val="D0001C64"/>
    <w:lvl w:ilvl="0" w:tplc="9C3E77BA">
      <w:start w:val="1"/>
      <w:numFmt w:val="bullet"/>
      <w:lvlText w:val=""/>
      <w:lvlPicBulletId w:val="0"/>
      <w:lvlJc w:val="left"/>
      <w:pPr>
        <w:tabs>
          <w:tab w:val="num" w:pos="720"/>
        </w:tabs>
        <w:ind w:left="720" w:hanging="360"/>
      </w:pPr>
      <w:rPr>
        <w:rFonts w:ascii="Symbol" w:hAnsi="Symbol" w:hint="default"/>
      </w:rPr>
    </w:lvl>
    <w:lvl w:ilvl="1" w:tplc="B81CAD0C" w:tentative="1">
      <w:start w:val="1"/>
      <w:numFmt w:val="bullet"/>
      <w:lvlText w:val=""/>
      <w:lvlPicBulletId w:val="0"/>
      <w:lvlJc w:val="left"/>
      <w:pPr>
        <w:tabs>
          <w:tab w:val="num" w:pos="1440"/>
        </w:tabs>
        <w:ind w:left="1440" w:hanging="360"/>
      </w:pPr>
      <w:rPr>
        <w:rFonts w:ascii="Symbol" w:hAnsi="Symbol" w:hint="default"/>
      </w:rPr>
    </w:lvl>
    <w:lvl w:ilvl="2" w:tplc="3A6EDC82" w:tentative="1">
      <w:start w:val="1"/>
      <w:numFmt w:val="bullet"/>
      <w:lvlText w:val=""/>
      <w:lvlPicBulletId w:val="0"/>
      <w:lvlJc w:val="left"/>
      <w:pPr>
        <w:tabs>
          <w:tab w:val="num" w:pos="2160"/>
        </w:tabs>
        <w:ind w:left="2160" w:hanging="360"/>
      </w:pPr>
      <w:rPr>
        <w:rFonts w:ascii="Symbol" w:hAnsi="Symbol" w:hint="default"/>
      </w:rPr>
    </w:lvl>
    <w:lvl w:ilvl="3" w:tplc="DF98554E" w:tentative="1">
      <w:start w:val="1"/>
      <w:numFmt w:val="bullet"/>
      <w:lvlText w:val=""/>
      <w:lvlPicBulletId w:val="0"/>
      <w:lvlJc w:val="left"/>
      <w:pPr>
        <w:tabs>
          <w:tab w:val="num" w:pos="2880"/>
        </w:tabs>
        <w:ind w:left="2880" w:hanging="360"/>
      </w:pPr>
      <w:rPr>
        <w:rFonts w:ascii="Symbol" w:hAnsi="Symbol" w:hint="default"/>
      </w:rPr>
    </w:lvl>
    <w:lvl w:ilvl="4" w:tplc="F252DE98" w:tentative="1">
      <w:start w:val="1"/>
      <w:numFmt w:val="bullet"/>
      <w:lvlText w:val=""/>
      <w:lvlPicBulletId w:val="0"/>
      <w:lvlJc w:val="left"/>
      <w:pPr>
        <w:tabs>
          <w:tab w:val="num" w:pos="3600"/>
        </w:tabs>
        <w:ind w:left="3600" w:hanging="360"/>
      </w:pPr>
      <w:rPr>
        <w:rFonts w:ascii="Symbol" w:hAnsi="Symbol" w:hint="default"/>
      </w:rPr>
    </w:lvl>
    <w:lvl w:ilvl="5" w:tplc="2982E6F6" w:tentative="1">
      <w:start w:val="1"/>
      <w:numFmt w:val="bullet"/>
      <w:lvlText w:val=""/>
      <w:lvlPicBulletId w:val="0"/>
      <w:lvlJc w:val="left"/>
      <w:pPr>
        <w:tabs>
          <w:tab w:val="num" w:pos="4320"/>
        </w:tabs>
        <w:ind w:left="4320" w:hanging="360"/>
      </w:pPr>
      <w:rPr>
        <w:rFonts w:ascii="Symbol" w:hAnsi="Symbol" w:hint="default"/>
      </w:rPr>
    </w:lvl>
    <w:lvl w:ilvl="6" w:tplc="1C7E84E8" w:tentative="1">
      <w:start w:val="1"/>
      <w:numFmt w:val="bullet"/>
      <w:lvlText w:val=""/>
      <w:lvlPicBulletId w:val="0"/>
      <w:lvlJc w:val="left"/>
      <w:pPr>
        <w:tabs>
          <w:tab w:val="num" w:pos="5040"/>
        </w:tabs>
        <w:ind w:left="5040" w:hanging="360"/>
      </w:pPr>
      <w:rPr>
        <w:rFonts w:ascii="Symbol" w:hAnsi="Symbol" w:hint="default"/>
      </w:rPr>
    </w:lvl>
    <w:lvl w:ilvl="7" w:tplc="16D44736" w:tentative="1">
      <w:start w:val="1"/>
      <w:numFmt w:val="bullet"/>
      <w:lvlText w:val=""/>
      <w:lvlPicBulletId w:val="0"/>
      <w:lvlJc w:val="left"/>
      <w:pPr>
        <w:tabs>
          <w:tab w:val="num" w:pos="5760"/>
        </w:tabs>
        <w:ind w:left="5760" w:hanging="360"/>
      </w:pPr>
      <w:rPr>
        <w:rFonts w:ascii="Symbol" w:hAnsi="Symbol" w:hint="default"/>
      </w:rPr>
    </w:lvl>
    <w:lvl w:ilvl="8" w:tplc="3F54F81E"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F233042"/>
    <w:multiLevelType w:val="hybridMultilevel"/>
    <w:tmpl w:val="1CCAF4AE"/>
    <w:lvl w:ilvl="0" w:tplc="444C850C">
      <w:start w:val="1"/>
      <w:numFmt w:val="bullet"/>
      <w:lvlText w:val=""/>
      <w:lvlPicBulletId w:val="0"/>
      <w:lvlJc w:val="left"/>
      <w:pPr>
        <w:tabs>
          <w:tab w:val="num" w:pos="1267"/>
        </w:tabs>
        <w:ind w:left="1267" w:hanging="360"/>
      </w:pPr>
      <w:rPr>
        <w:rFonts w:ascii="Symbol" w:hAnsi="Symbol" w:hint="default"/>
      </w:rPr>
    </w:lvl>
    <w:lvl w:ilvl="1" w:tplc="977614FE" w:tentative="1">
      <w:start w:val="1"/>
      <w:numFmt w:val="bullet"/>
      <w:lvlText w:val=""/>
      <w:lvlPicBulletId w:val="0"/>
      <w:lvlJc w:val="left"/>
      <w:pPr>
        <w:tabs>
          <w:tab w:val="num" w:pos="1987"/>
        </w:tabs>
        <w:ind w:left="1987" w:hanging="360"/>
      </w:pPr>
      <w:rPr>
        <w:rFonts w:ascii="Symbol" w:hAnsi="Symbol" w:hint="default"/>
      </w:rPr>
    </w:lvl>
    <w:lvl w:ilvl="2" w:tplc="B1A69AD0" w:tentative="1">
      <w:start w:val="1"/>
      <w:numFmt w:val="bullet"/>
      <w:lvlText w:val=""/>
      <w:lvlPicBulletId w:val="0"/>
      <w:lvlJc w:val="left"/>
      <w:pPr>
        <w:tabs>
          <w:tab w:val="num" w:pos="2707"/>
        </w:tabs>
        <w:ind w:left="2707" w:hanging="360"/>
      </w:pPr>
      <w:rPr>
        <w:rFonts w:ascii="Symbol" w:hAnsi="Symbol" w:hint="default"/>
      </w:rPr>
    </w:lvl>
    <w:lvl w:ilvl="3" w:tplc="C00E689E" w:tentative="1">
      <w:start w:val="1"/>
      <w:numFmt w:val="bullet"/>
      <w:lvlText w:val=""/>
      <w:lvlPicBulletId w:val="0"/>
      <w:lvlJc w:val="left"/>
      <w:pPr>
        <w:tabs>
          <w:tab w:val="num" w:pos="3427"/>
        </w:tabs>
        <w:ind w:left="3427" w:hanging="360"/>
      </w:pPr>
      <w:rPr>
        <w:rFonts w:ascii="Symbol" w:hAnsi="Symbol" w:hint="default"/>
      </w:rPr>
    </w:lvl>
    <w:lvl w:ilvl="4" w:tplc="D3286210" w:tentative="1">
      <w:start w:val="1"/>
      <w:numFmt w:val="bullet"/>
      <w:lvlText w:val=""/>
      <w:lvlPicBulletId w:val="0"/>
      <w:lvlJc w:val="left"/>
      <w:pPr>
        <w:tabs>
          <w:tab w:val="num" w:pos="4147"/>
        </w:tabs>
        <w:ind w:left="4147" w:hanging="360"/>
      </w:pPr>
      <w:rPr>
        <w:rFonts w:ascii="Symbol" w:hAnsi="Symbol" w:hint="default"/>
      </w:rPr>
    </w:lvl>
    <w:lvl w:ilvl="5" w:tplc="60FE5B7C" w:tentative="1">
      <w:start w:val="1"/>
      <w:numFmt w:val="bullet"/>
      <w:lvlText w:val=""/>
      <w:lvlPicBulletId w:val="0"/>
      <w:lvlJc w:val="left"/>
      <w:pPr>
        <w:tabs>
          <w:tab w:val="num" w:pos="4867"/>
        </w:tabs>
        <w:ind w:left="4867" w:hanging="360"/>
      </w:pPr>
      <w:rPr>
        <w:rFonts w:ascii="Symbol" w:hAnsi="Symbol" w:hint="default"/>
      </w:rPr>
    </w:lvl>
    <w:lvl w:ilvl="6" w:tplc="32C03D22" w:tentative="1">
      <w:start w:val="1"/>
      <w:numFmt w:val="bullet"/>
      <w:lvlText w:val=""/>
      <w:lvlPicBulletId w:val="0"/>
      <w:lvlJc w:val="left"/>
      <w:pPr>
        <w:tabs>
          <w:tab w:val="num" w:pos="5587"/>
        </w:tabs>
        <w:ind w:left="5587" w:hanging="360"/>
      </w:pPr>
      <w:rPr>
        <w:rFonts w:ascii="Symbol" w:hAnsi="Symbol" w:hint="default"/>
      </w:rPr>
    </w:lvl>
    <w:lvl w:ilvl="7" w:tplc="D3983040" w:tentative="1">
      <w:start w:val="1"/>
      <w:numFmt w:val="bullet"/>
      <w:lvlText w:val=""/>
      <w:lvlPicBulletId w:val="0"/>
      <w:lvlJc w:val="left"/>
      <w:pPr>
        <w:tabs>
          <w:tab w:val="num" w:pos="6307"/>
        </w:tabs>
        <w:ind w:left="6307" w:hanging="360"/>
      </w:pPr>
      <w:rPr>
        <w:rFonts w:ascii="Symbol" w:hAnsi="Symbol" w:hint="default"/>
      </w:rPr>
    </w:lvl>
    <w:lvl w:ilvl="8" w:tplc="5FF8325C" w:tentative="1">
      <w:start w:val="1"/>
      <w:numFmt w:val="bullet"/>
      <w:lvlText w:val=""/>
      <w:lvlPicBulletId w:val="0"/>
      <w:lvlJc w:val="left"/>
      <w:pPr>
        <w:tabs>
          <w:tab w:val="num" w:pos="7027"/>
        </w:tabs>
        <w:ind w:left="7027" w:hanging="360"/>
      </w:pPr>
      <w:rPr>
        <w:rFonts w:ascii="Symbol" w:hAnsi="Symbol" w:hint="default"/>
      </w:rPr>
    </w:lvl>
  </w:abstractNum>
  <w:num w:numId="1">
    <w:abstractNumId w:val="5"/>
  </w:num>
  <w:num w:numId="2">
    <w:abstractNumId w:val="15"/>
  </w:num>
  <w:num w:numId="3">
    <w:abstractNumId w:val="3"/>
  </w:num>
  <w:num w:numId="4">
    <w:abstractNumId w:val="6"/>
  </w:num>
  <w:num w:numId="5">
    <w:abstractNumId w:val="2"/>
  </w:num>
  <w:num w:numId="6">
    <w:abstractNumId w:val="1"/>
  </w:num>
  <w:num w:numId="7">
    <w:abstractNumId w:val="4"/>
  </w:num>
  <w:num w:numId="8">
    <w:abstractNumId w:val="29"/>
  </w:num>
  <w:num w:numId="9">
    <w:abstractNumId w:val="14"/>
  </w:num>
  <w:num w:numId="10">
    <w:abstractNumId w:val="39"/>
  </w:num>
  <w:num w:numId="11">
    <w:abstractNumId w:val="16"/>
  </w:num>
  <w:num w:numId="12">
    <w:abstractNumId w:val="35"/>
  </w:num>
  <w:num w:numId="13">
    <w:abstractNumId w:val="25"/>
  </w:num>
  <w:num w:numId="14">
    <w:abstractNumId w:val="25"/>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4"/>
  </w:num>
  <w:num w:numId="16">
    <w:abstractNumId w:val="11"/>
  </w:num>
  <w:num w:numId="17">
    <w:abstractNumId w:val="38"/>
  </w:num>
  <w:num w:numId="18">
    <w:abstractNumId w:val="32"/>
  </w:num>
  <w:num w:numId="19">
    <w:abstractNumId w:val="30"/>
  </w:num>
  <w:num w:numId="20">
    <w:abstractNumId w:val="21"/>
  </w:num>
  <w:num w:numId="21">
    <w:abstractNumId w:val="27"/>
  </w:num>
  <w:num w:numId="22">
    <w:abstractNumId w:val="20"/>
  </w:num>
  <w:num w:numId="23">
    <w:abstractNumId w:val="9"/>
  </w:num>
  <w:num w:numId="24">
    <w:abstractNumId w:val="19"/>
  </w:num>
  <w:num w:numId="25">
    <w:abstractNumId w:val="17"/>
  </w:num>
  <w:num w:numId="26">
    <w:abstractNumId w:val="40"/>
  </w:num>
  <w:num w:numId="27">
    <w:abstractNumId w:val="0"/>
  </w:num>
  <w:num w:numId="28">
    <w:abstractNumId w:val="13"/>
  </w:num>
  <w:num w:numId="29">
    <w:abstractNumId w:val="22"/>
  </w:num>
  <w:num w:numId="30">
    <w:abstractNumId w:val="41"/>
  </w:num>
  <w:num w:numId="31">
    <w:abstractNumId w:val="44"/>
  </w:num>
  <w:num w:numId="32">
    <w:abstractNumId w:val="31"/>
  </w:num>
  <w:num w:numId="33">
    <w:abstractNumId w:val="42"/>
  </w:num>
  <w:num w:numId="34">
    <w:abstractNumId w:val="33"/>
  </w:num>
  <w:num w:numId="35">
    <w:abstractNumId w:val="12"/>
  </w:num>
  <w:num w:numId="36">
    <w:abstractNumId w:val="26"/>
  </w:num>
  <w:num w:numId="37">
    <w:abstractNumId w:val="36"/>
  </w:num>
  <w:num w:numId="38">
    <w:abstractNumId w:val="45"/>
  </w:num>
  <w:num w:numId="39">
    <w:abstractNumId w:val="23"/>
  </w:num>
  <w:num w:numId="40">
    <w:abstractNumId w:val="10"/>
  </w:num>
  <w:num w:numId="41">
    <w:abstractNumId w:val="28"/>
  </w:num>
  <w:num w:numId="42">
    <w:abstractNumId w:val="8"/>
  </w:num>
  <w:num w:numId="43">
    <w:abstractNumId w:val="7"/>
  </w:num>
  <w:num w:numId="44">
    <w:abstractNumId w:val="34"/>
  </w:num>
  <w:num w:numId="45">
    <w:abstractNumId w:val="43"/>
  </w:num>
  <w:num w:numId="46">
    <w:abstractNumId w:val="18"/>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16319"/>
    <w:rsid w:val="00017F0C"/>
    <w:rsid w:val="000200A1"/>
    <w:rsid w:val="00021170"/>
    <w:rsid w:val="0002128B"/>
    <w:rsid w:val="00024DFD"/>
    <w:rsid w:val="00027AB8"/>
    <w:rsid w:val="000309DD"/>
    <w:rsid w:val="000313F2"/>
    <w:rsid w:val="00031414"/>
    <w:rsid w:val="0003182F"/>
    <w:rsid w:val="00031E63"/>
    <w:rsid w:val="00033038"/>
    <w:rsid w:val="00033D63"/>
    <w:rsid w:val="0003436F"/>
    <w:rsid w:val="00035D5A"/>
    <w:rsid w:val="00035F1C"/>
    <w:rsid w:val="000365C8"/>
    <w:rsid w:val="000414E8"/>
    <w:rsid w:val="00042335"/>
    <w:rsid w:val="00043793"/>
    <w:rsid w:val="0004593A"/>
    <w:rsid w:val="000462DC"/>
    <w:rsid w:val="00050A3E"/>
    <w:rsid w:val="00052A6F"/>
    <w:rsid w:val="00053F02"/>
    <w:rsid w:val="0005612B"/>
    <w:rsid w:val="000574AB"/>
    <w:rsid w:val="0006147A"/>
    <w:rsid w:val="0006234F"/>
    <w:rsid w:val="00064704"/>
    <w:rsid w:val="00070F89"/>
    <w:rsid w:val="00071EC0"/>
    <w:rsid w:val="00075093"/>
    <w:rsid w:val="000775F8"/>
    <w:rsid w:val="00080CF7"/>
    <w:rsid w:val="00084096"/>
    <w:rsid w:val="000851B2"/>
    <w:rsid w:val="00085420"/>
    <w:rsid w:val="00092566"/>
    <w:rsid w:val="000968F8"/>
    <w:rsid w:val="00097012"/>
    <w:rsid w:val="00097625"/>
    <w:rsid w:val="000A2B7D"/>
    <w:rsid w:val="000A616A"/>
    <w:rsid w:val="000B032A"/>
    <w:rsid w:val="000B2DF7"/>
    <w:rsid w:val="000B3880"/>
    <w:rsid w:val="000B7D57"/>
    <w:rsid w:val="000C036D"/>
    <w:rsid w:val="000C0FF8"/>
    <w:rsid w:val="000C428F"/>
    <w:rsid w:val="000C525D"/>
    <w:rsid w:val="000D2722"/>
    <w:rsid w:val="000D33AE"/>
    <w:rsid w:val="000D45B0"/>
    <w:rsid w:val="000D64C1"/>
    <w:rsid w:val="000D7948"/>
    <w:rsid w:val="000D7C84"/>
    <w:rsid w:val="000E4E13"/>
    <w:rsid w:val="000E78F6"/>
    <w:rsid w:val="000F034A"/>
    <w:rsid w:val="000F06B5"/>
    <w:rsid w:val="000F1B7A"/>
    <w:rsid w:val="000F39E9"/>
    <w:rsid w:val="00104B45"/>
    <w:rsid w:val="00105D8B"/>
    <w:rsid w:val="0011342F"/>
    <w:rsid w:val="00116A9B"/>
    <w:rsid w:val="00116B4E"/>
    <w:rsid w:val="00117BDE"/>
    <w:rsid w:val="001202E9"/>
    <w:rsid w:val="00122C1D"/>
    <w:rsid w:val="00123863"/>
    <w:rsid w:val="0012454F"/>
    <w:rsid w:val="00125273"/>
    <w:rsid w:val="0012575E"/>
    <w:rsid w:val="0012587D"/>
    <w:rsid w:val="00127C06"/>
    <w:rsid w:val="00130E38"/>
    <w:rsid w:val="00141E14"/>
    <w:rsid w:val="00145149"/>
    <w:rsid w:val="00145D4F"/>
    <w:rsid w:val="00146135"/>
    <w:rsid w:val="00147239"/>
    <w:rsid w:val="0014773C"/>
    <w:rsid w:val="00152FF1"/>
    <w:rsid w:val="0016277B"/>
    <w:rsid w:val="00172F3F"/>
    <w:rsid w:val="0017696D"/>
    <w:rsid w:val="00182F64"/>
    <w:rsid w:val="001848FC"/>
    <w:rsid w:val="00193F21"/>
    <w:rsid w:val="001969C5"/>
    <w:rsid w:val="001A1791"/>
    <w:rsid w:val="001A3011"/>
    <w:rsid w:val="001A6CDD"/>
    <w:rsid w:val="001B0F1E"/>
    <w:rsid w:val="001B1637"/>
    <w:rsid w:val="001B3BC6"/>
    <w:rsid w:val="001C12EE"/>
    <w:rsid w:val="001C2C37"/>
    <w:rsid w:val="001C7B02"/>
    <w:rsid w:val="001D4978"/>
    <w:rsid w:val="001E1CBE"/>
    <w:rsid w:val="001E4DD4"/>
    <w:rsid w:val="001E69DC"/>
    <w:rsid w:val="001F169D"/>
    <w:rsid w:val="001F1DA1"/>
    <w:rsid w:val="001F33B0"/>
    <w:rsid w:val="001F4150"/>
    <w:rsid w:val="001F6F93"/>
    <w:rsid w:val="001F7A20"/>
    <w:rsid w:val="0021054A"/>
    <w:rsid w:val="0021195A"/>
    <w:rsid w:val="00212DE6"/>
    <w:rsid w:val="00212E02"/>
    <w:rsid w:val="00213383"/>
    <w:rsid w:val="00215758"/>
    <w:rsid w:val="00216356"/>
    <w:rsid w:val="00220250"/>
    <w:rsid w:val="00222444"/>
    <w:rsid w:val="002231F8"/>
    <w:rsid w:val="0022691B"/>
    <w:rsid w:val="00231077"/>
    <w:rsid w:val="00231BAD"/>
    <w:rsid w:val="00232163"/>
    <w:rsid w:val="002376F8"/>
    <w:rsid w:val="002408E4"/>
    <w:rsid w:val="00241591"/>
    <w:rsid w:val="00244A95"/>
    <w:rsid w:val="00250B4F"/>
    <w:rsid w:val="0025762F"/>
    <w:rsid w:val="00263A01"/>
    <w:rsid w:val="00275563"/>
    <w:rsid w:val="00280C1E"/>
    <w:rsid w:val="0028114D"/>
    <w:rsid w:val="00281FDC"/>
    <w:rsid w:val="00286428"/>
    <w:rsid w:val="00287649"/>
    <w:rsid w:val="00287E84"/>
    <w:rsid w:val="0029286C"/>
    <w:rsid w:val="0029300E"/>
    <w:rsid w:val="00293F49"/>
    <w:rsid w:val="0029638B"/>
    <w:rsid w:val="002A0A81"/>
    <w:rsid w:val="002A167E"/>
    <w:rsid w:val="002B0694"/>
    <w:rsid w:val="002B0C3A"/>
    <w:rsid w:val="002B2116"/>
    <w:rsid w:val="002B2157"/>
    <w:rsid w:val="002B2D9B"/>
    <w:rsid w:val="002B5016"/>
    <w:rsid w:val="002B742C"/>
    <w:rsid w:val="002B7AFC"/>
    <w:rsid w:val="002B7F4D"/>
    <w:rsid w:val="002C285C"/>
    <w:rsid w:val="002C3792"/>
    <w:rsid w:val="002C7BE4"/>
    <w:rsid w:val="002D417D"/>
    <w:rsid w:val="002D5E5D"/>
    <w:rsid w:val="002E4F6C"/>
    <w:rsid w:val="002E78A0"/>
    <w:rsid w:val="002F2687"/>
    <w:rsid w:val="002F48E1"/>
    <w:rsid w:val="002F4F3B"/>
    <w:rsid w:val="002F59FC"/>
    <w:rsid w:val="002F5FAD"/>
    <w:rsid w:val="00304C86"/>
    <w:rsid w:val="003059EB"/>
    <w:rsid w:val="00306BC5"/>
    <w:rsid w:val="00307A45"/>
    <w:rsid w:val="00310192"/>
    <w:rsid w:val="00310636"/>
    <w:rsid w:val="00310F1D"/>
    <w:rsid w:val="0031149C"/>
    <w:rsid w:val="003116AC"/>
    <w:rsid w:val="00315567"/>
    <w:rsid w:val="003225EA"/>
    <w:rsid w:val="00326605"/>
    <w:rsid w:val="00326EB3"/>
    <w:rsid w:val="00327183"/>
    <w:rsid w:val="00327F9F"/>
    <w:rsid w:val="00330144"/>
    <w:rsid w:val="00332E89"/>
    <w:rsid w:val="00334329"/>
    <w:rsid w:val="00335691"/>
    <w:rsid w:val="00345CBA"/>
    <w:rsid w:val="00346245"/>
    <w:rsid w:val="0034742C"/>
    <w:rsid w:val="00355494"/>
    <w:rsid w:val="00356087"/>
    <w:rsid w:val="00356267"/>
    <w:rsid w:val="00356BAD"/>
    <w:rsid w:val="00356E82"/>
    <w:rsid w:val="003605B4"/>
    <w:rsid w:val="00360D4B"/>
    <w:rsid w:val="003627AC"/>
    <w:rsid w:val="00362B88"/>
    <w:rsid w:val="00366914"/>
    <w:rsid w:val="00372FE3"/>
    <w:rsid w:val="003755CB"/>
    <w:rsid w:val="00383F85"/>
    <w:rsid w:val="00387B78"/>
    <w:rsid w:val="00387BA1"/>
    <w:rsid w:val="00391F8B"/>
    <w:rsid w:val="003964D7"/>
    <w:rsid w:val="00396805"/>
    <w:rsid w:val="003A306C"/>
    <w:rsid w:val="003A7DE7"/>
    <w:rsid w:val="003B1006"/>
    <w:rsid w:val="003C0F74"/>
    <w:rsid w:val="003C31D1"/>
    <w:rsid w:val="003C5712"/>
    <w:rsid w:val="003C5793"/>
    <w:rsid w:val="003C5F11"/>
    <w:rsid w:val="003D070E"/>
    <w:rsid w:val="003D294B"/>
    <w:rsid w:val="003D389D"/>
    <w:rsid w:val="003D6401"/>
    <w:rsid w:val="003E1863"/>
    <w:rsid w:val="003F44C1"/>
    <w:rsid w:val="00402176"/>
    <w:rsid w:val="00402449"/>
    <w:rsid w:val="00402FBE"/>
    <w:rsid w:val="00407AB4"/>
    <w:rsid w:val="004120E9"/>
    <w:rsid w:val="0041606D"/>
    <w:rsid w:val="00416962"/>
    <w:rsid w:val="00416EE9"/>
    <w:rsid w:val="004206A8"/>
    <w:rsid w:val="004266FF"/>
    <w:rsid w:val="004348CC"/>
    <w:rsid w:val="00443DDC"/>
    <w:rsid w:val="00450C58"/>
    <w:rsid w:val="004658FF"/>
    <w:rsid w:val="004664B0"/>
    <w:rsid w:val="00471470"/>
    <w:rsid w:val="00474ED7"/>
    <w:rsid w:val="004756E1"/>
    <w:rsid w:val="00475809"/>
    <w:rsid w:val="00475CFC"/>
    <w:rsid w:val="0048008A"/>
    <w:rsid w:val="00483E94"/>
    <w:rsid w:val="00484120"/>
    <w:rsid w:val="004848D0"/>
    <w:rsid w:val="004853A0"/>
    <w:rsid w:val="004936CC"/>
    <w:rsid w:val="004944BD"/>
    <w:rsid w:val="004959DF"/>
    <w:rsid w:val="00496B5F"/>
    <w:rsid w:val="004971DE"/>
    <w:rsid w:val="004A2E10"/>
    <w:rsid w:val="004B17FF"/>
    <w:rsid w:val="004B1BA0"/>
    <w:rsid w:val="004B31D6"/>
    <w:rsid w:val="004B6985"/>
    <w:rsid w:val="004B6CEE"/>
    <w:rsid w:val="004C2443"/>
    <w:rsid w:val="004C498F"/>
    <w:rsid w:val="004C5D29"/>
    <w:rsid w:val="004C65EB"/>
    <w:rsid w:val="004C681A"/>
    <w:rsid w:val="004C770F"/>
    <w:rsid w:val="004D128E"/>
    <w:rsid w:val="004D409D"/>
    <w:rsid w:val="004D4D8A"/>
    <w:rsid w:val="004D70DD"/>
    <w:rsid w:val="004E4B23"/>
    <w:rsid w:val="004E6CA0"/>
    <w:rsid w:val="004F01B8"/>
    <w:rsid w:val="004F37C4"/>
    <w:rsid w:val="004F68EE"/>
    <w:rsid w:val="004F7456"/>
    <w:rsid w:val="005026BC"/>
    <w:rsid w:val="005038D5"/>
    <w:rsid w:val="00504683"/>
    <w:rsid w:val="005102B9"/>
    <w:rsid w:val="00511BA4"/>
    <w:rsid w:val="005149E7"/>
    <w:rsid w:val="005232D6"/>
    <w:rsid w:val="00523787"/>
    <w:rsid w:val="005333CC"/>
    <w:rsid w:val="00535D8D"/>
    <w:rsid w:val="005363F1"/>
    <w:rsid w:val="00537C1B"/>
    <w:rsid w:val="00547D0B"/>
    <w:rsid w:val="0055007C"/>
    <w:rsid w:val="00554922"/>
    <w:rsid w:val="00555282"/>
    <w:rsid w:val="005560E7"/>
    <w:rsid w:val="00557A39"/>
    <w:rsid w:val="005612CC"/>
    <w:rsid w:val="00562385"/>
    <w:rsid w:val="00563029"/>
    <w:rsid w:val="00565946"/>
    <w:rsid w:val="00567D12"/>
    <w:rsid w:val="00574804"/>
    <w:rsid w:val="00576062"/>
    <w:rsid w:val="00580CFE"/>
    <w:rsid w:val="00583F9E"/>
    <w:rsid w:val="005906FF"/>
    <w:rsid w:val="005938F4"/>
    <w:rsid w:val="00593E87"/>
    <w:rsid w:val="0059559F"/>
    <w:rsid w:val="005A49FF"/>
    <w:rsid w:val="005A7634"/>
    <w:rsid w:val="005B1F18"/>
    <w:rsid w:val="005B47D2"/>
    <w:rsid w:val="005B6F04"/>
    <w:rsid w:val="005C0447"/>
    <w:rsid w:val="005C0D66"/>
    <w:rsid w:val="005C33A1"/>
    <w:rsid w:val="005C368C"/>
    <w:rsid w:val="005C739F"/>
    <w:rsid w:val="005C73CA"/>
    <w:rsid w:val="005C74A1"/>
    <w:rsid w:val="005D0CA6"/>
    <w:rsid w:val="005D4768"/>
    <w:rsid w:val="005E2CAB"/>
    <w:rsid w:val="005E307A"/>
    <w:rsid w:val="005E429E"/>
    <w:rsid w:val="00601ED4"/>
    <w:rsid w:val="006030BC"/>
    <w:rsid w:val="00612866"/>
    <w:rsid w:val="00613365"/>
    <w:rsid w:val="0061435D"/>
    <w:rsid w:val="00615E53"/>
    <w:rsid w:val="00616EB5"/>
    <w:rsid w:val="0061736A"/>
    <w:rsid w:val="00617531"/>
    <w:rsid w:val="0062036E"/>
    <w:rsid w:val="0062532B"/>
    <w:rsid w:val="006254CB"/>
    <w:rsid w:val="006269D4"/>
    <w:rsid w:val="006325B3"/>
    <w:rsid w:val="006327D8"/>
    <w:rsid w:val="00634EEC"/>
    <w:rsid w:val="006352D6"/>
    <w:rsid w:val="0064070A"/>
    <w:rsid w:val="00643A01"/>
    <w:rsid w:val="00651D44"/>
    <w:rsid w:val="00653B2B"/>
    <w:rsid w:val="006574D2"/>
    <w:rsid w:val="00660BC1"/>
    <w:rsid w:val="00662EBE"/>
    <w:rsid w:val="00663563"/>
    <w:rsid w:val="006676D4"/>
    <w:rsid w:val="00667CF7"/>
    <w:rsid w:val="00670E3C"/>
    <w:rsid w:val="00675535"/>
    <w:rsid w:val="00681359"/>
    <w:rsid w:val="00683AD7"/>
    <w:rsid w:val="0069157C"/>
    <w:rsid w:val="00696262"/>
    <w:rsid w:val="00696C17"/>
    <w:rsid w:val="006A22DA"/>
    <w:rsid w:val="006A2CB2"/>
    <w:rsid w:val="006A46BB"/>
    <w:rsid w:val="006B3E4E"/>
    <w:rsid w:val="006C2A23"/>
    <w:rsid w:val="006C340B"/>
    <w:rsid w:val="006C3A4F"/>
    <w:rsid w:val="006C4076"/>
    <w:rsid w:val="006C4845"/>
    <w:rsid w:val="006C6B40"/>
    <w:rsid w:val="006D31B2"/>
    <w:rsid w:val="006D42B6"/>
    <w:rsid w:val="006D4DAF"/>
    <w:rsid w:val="006D55D3"/>
    <w:rsid w:val="006D684E"/>
    <w:rsid w:val="006D6BC1"/>
    <w:rsid w:val="006E19B4"/>
    <w:rsid w:val="006E2BFC"/>
    <w:rsid w:val="006E5C57"/>
    <w:rsid w:val="006F0FFC"/>
    <w:rsid w:val="006F22A5"/>
    <w:rsid w:val="006F5448"/>
    <w:rsid w:val="006F6112"/>
    <w:rsid w:val="00702C73"/>
    <w:rsid w:val="00710671"/>
    <w:rsid w:val="00713394"/>
    <w:rsid w:val="00720F43"/>
    <w:rsid w:val="0072393E"/>
    <w:rsid w:val="00724677"/>
    <w:rsid w:val="00725AC2"/>
    <w:rsid w:val="00725BDF"/>
    <w:rsid w:val="00730C08"/>
    <w:rsid w:val="00732880"/>
    <w:rsid w:val="00733459"/>
    <w:rsid w:val="00735CAD"/>
    <w:rsid w:val="007412A2"/>
    <w:rsid w:val="007416B9"/>
    <w:rsid w:val="007422FD"/>
    <w:rsid w:val="00743E46"/>
    <w:rsid w:val="00747C45"/>
    <w:rsid w:val="00753CCF"/>
    <w:rsid w:val="00753D97"/>
    <w:rsid w:val="00756615"/>
    <w:rsid w:val="00756FDB"/>
    <w:rsid w:val="00761DC3"/>
    <w:rsid w:val="007629B6"/>
    <w:rsid w:val="007654C5"/>
    <w:rsid w:val="0076631C"/>
    <w:rsid w:val="007665BF"/>
    <w:rsid w:val="00771B2A"/>
    <w:rsid w:val="007733F9"/>
    <w:rsid w:val="00775679"/>
    <w:rsid w:val="007757CE"/>
    <w:rsid w:val="00775800"/>
    <w:rsid w:val="007765AC"/>
    <w:rsid w:val="0079180E"/>
    <w:rsid w:val="007929A8"/>
    <w:rsid w:val="007950CC"/>
    <w:rsid w:val="0079538B"/>
    <w:rsid w:val="007961B8"/>
    <w:rsid w:val="00797624"/>
    <w:rsid w:val="00797935"/>
    <w:rsid w:val="007A4828"/>
    <w:rsid w:val="007A4C18"/>
    <w:rsid w:val="007A6649"/>
    <w:rsid w:val="007A746D"/>
    <w:rsid w:val="007A754F"/>
    <w:rsid w:val="007B093D"/>
    <w:rsid w:val="007B2069"/>
    <w:rsid w:val="007C04A1"/>
    <w:rsid w:val="007C21FA"/>
    <w:rsid w:val="007C3AB1"/>
    <w:rsid w:val="007D13B1"/>
    <w:rsid w:val="007D4351"/>
    <w:rsid w:val="007D7019"/>
    <w:rsid w:val="007E18DB"/>
    <w:rsid w:val="007E320D"/>
    <w:rsid w:val="007E6F1C"/>
    <w:rsid w:val="007F15A5"/>
    <w:rsid w:val="007F517C"/>
    <w:rsid w:val="00804C69"/>
    <w:rsid w:val="0080711D"/>
    <w:rsid w:val="00814FF0"/>
    <w:rsid w:val="008155C2"/>
    <w:rsid w:val="008155CD"/>
    <w:rsid w:val="008164F3"/>
    <w:rsid w:val="0082011D"/>
    <w:rsid w:val="00831206"/>
    <w:rsid w:val="00833325"/>
    <w:rsid w:val="008403E7"/>
    <w:rsid w:val="00840A41"/>
    <w:rsid w:val="00842F3C"/>
    <w:rsid w:val="008505D1"/>
    <w:rsid w:val="00851609"/>
    <w:rsid w:val="008539E7"/>
    <w:rsid w:val="00854EB4"/>
    <w:rsid w:val="00855158"/>
    <w:rsid w:val="00857EE8"/>
    <w:rsid w:val="00860C05"/>
    <w:rsid w:val="0086319D"/>
    <w:rsid w:val="0086464B"/>
    <w:rsid w:val="008647FC"/>
    <w:rsid w:val="00864CA8"/>
    <w:rsid w:val="00865E2D"/>
    <w:rsid w:val="00870E6C"/>
    <w:rsid w:val="008745F9"/>
    <w:rsid w:val="00875846"/>
    <w:rsid w:val="00884486"/>
    <w:rsid w:val="00886DC4"/>
    <w:rsid w:val="008871A9"/>
    <w:rsid w:val="008902BE"/>
    <w:rsid w:val="00890BF9"/>
    <w:rsid w:val="008916BA"/>
    <w:rsid w:val="00892176"/>
    <w:rsid w:val="00892E7C"/>
    <w:rsid w:val="008A0649"/>
    <w:rsid w:val="008A0A37"/>
    <w:rsid w:val="008A1DB7"/>
    <w:rsid w:val="008A2353"/>
    <w:rsid w:val="008A403A"/>
    <w:rsid w:val="008A4C13"/>
    <w:rsid w:val="008A6DB5"/>
    <w:rsid w:val="008B604D"/>
    <w:rsid w:val="008C02F5"/>
    <w:rsid w:val="008C4D75"/>
    <w:rsid w:val="008C54A9"/>
    <w:rsid w:val="008D16FF"/>
    <w:rsid w:val="008E67C3"/>
    <w:rsid w:val="008E761B"/>
    <w:rsid w:val="008F589F"/>
    <w:rsid w:val="008F76A9"/>
    <w:rsid w:val="008F7E67"/>
    <w:rsid w:val="00900DBF"/>
    <w:rsid w:val="009048B9"/>
    <w:rsid w:val="00904E91"/>
    <w:rsid w:val="00915886"/>
    <w:rsid w:val="009162FC"/>
    <w:rsid w:val="009214DC"/>
    <w:rsid w:val="00927027"/>
    <w:rsid w:val="009344BA"/>
    <w:rsid w:val="00942490"/>
    <w:rsid w:val="00943C06"/>
    <w:rsid w:val="00946E61"/>
    <w:rsid w:val="00947F78"/>
    <w:rsid w:val="00950ADE"/>
    <w:rsid w:val="00953234"/>
    <w:rsid w:val="00955AC9"/>
    <w:rsid w:val="00957B32"/>
    <w:rsid w:val="00961EAF"/>
    <w:rsid w:val="0096278F"/>
    <w:rsid w:val="0096462D"/>
    <w:rsid w:val="0096726A"/>
    <w:rsid w:val="00972674"/>
    <w:rsid w:val="009726E1"/>
    <w:rsid w:val="00972A04"/>
    <w:rsid w:val="009737CA"/>
    <w:rsid w:val="00977591"/>
    <w:rsid w:val="0097785E"/>
    <w:rsid w:val="00980E75"/>
    <w:rsid w:val="009865C7"/>
    <w:rsid w:val="00994BE0"/>
    <w:rsid w:val="00997AA3"/>
    <w:rsid w:val="009A25B1"/>
    <w:rsid w:val="009A4608"/>
    <w:rsid w:val="009A6A57"/>
    <w:rsid w:val="009A70BF"/>
    <w:rsid w:val="009A758E"/>
    <w:rsid w:val="009B1A15"/>
    <w:rsid w:val="009B4923"/>
    <w:rsid w:val="009B723E"/>
    <w:rsid w:val="009C0852"/>
    <w:rsid w:val="009C0CA2"/>
    <w:rsid w:val="009C0CEB"/>
    <w:rsid w:val="009C104D"/>
    <w:rsid w:val="009C13CA"/>
    <w:rsid w:val="009C32C6"/>
    <w:rsid w:val="009C537F"/>
    <w:rsid w:val="009C665F"/>
    <w:rsid w:val="009C7513"/>
    <w:rsid w:val="009D2E8B"/>
    <w:rsid w:val="009D3882"/>
    <w:rsid w:val="009D7E38"/>
    <w:rsid w:val="009E095B"/>
    <w:rsid w:val="009E1846"/>
    <w:rsid w:val="009E35FC"/>
    <w:rsid w:val="009E78FF"/>
    <w:rsid w:val="009F457D"/>
    <w:rsid w:val="00A01494"/>
    <w:rsid w:val="00A059AA"/>
    <w:rsid w:val="00A06CD7"/>
    <w:rsid w:val="00A10601"/>
    <w:rsid w:val="00A15D59"/>
    <w:rsid w:val="00A16991"/>
    <w:rsid w:val="00A21276"/>
    <w:rsid w:val="00A22E83"/>
    <w:rsid w:val="00A22FA9"/>
    <w:rsid w:val="00A25024"/>
    <w:rsid w:val="00A314FD"/>
    <w:rsid w:val="00A33178"/>
    <w:rsid w:val="00A35F8F"/>
    <w:rsid w:val="00A41377"/>
    <w:rsid w:val="00A4263D"/>
    <w:rsid w:val="00A50201"/>
    <w:rsid w:val="00A509B8"/>
    <w:rsid w:val="00A52AB9"/>
    <w:rsid w:val="00A6210B"/>
    <w:rsid w:val="00A64924"/>
    <w:rsid w:val="00A64D02"/>
    <w:rsid w:val="00A64EBF"/>
    <w:rsid w:val="00A71200"/>
    <w:rsid w:val="00A7323A"/>
    <w:rsid w:val="00A80791"/>
    <w:rsid w:val="00A831B4"/>
    <w:rsid w:val="00A8470E"/>
    <w:rsid w:val="00A92373"/>
    <w:rsid w:val="00A95999"/>
    <w:rsid w:val="00A97798"/>
    <w:rsid w:val="00A97953"/>
    <w:rsid w:val="00AA5213"/>
    <w:rsid w:val="00AA65A6"/>
    <w:rsid w:val="00AC1D8E"/>
    <w:rsid w:val="00AC48FA"/>
    <w:rsid w:val="00AC5B4B"/>
    <w:rsid w:val="00AD0240"/>
    <w:rsid w:val="00AD171B"/>
    <w:rsid w:val="00AD4137"/>
    <w:rsid w:val="00AE060B"/>
    <w:rsid w:val="00AE4937"/>
    <w:rsid w:val="00AE544C"/>
    <w:rsid w:val="00AF2D68"/>
    <w:rsid w:val="00B028F0"/>
    <w:rsid w:val="00B037BA"/>
    <w:rsid w:val="00B046C1"/>
    <w:rsid w:val="00B0586E"/>
    <w:rsid w:val="00B06749"/>
    <w:rsid w:val="00B07429"/>
    <w:rsid w:val="00B127A4"/>
    <w:rsid w:val="00B17AE8"/>
    <w:rsid w:val="00B20139"/>
    <w:rsid w:val="00B218DA"/>
    <w:rsid w:val="00B240F4"/>
    <w:rsid w:val="00B26009"/>
    <w:rsid w:val="00B26131"/>
    <w:rsid w:val="00B342FA"/>
    <w:rsid w:val="00B37C85"/>
    <w:rsid w:val="00B43C93"/>
    <w:rsid w:val="00B43D3F"/>
    <w:rsid w:val="00B50BC9"/>
    <w:rsid w:val="00B53E8B"/>
    <w:rsid w:val="00B63513"/>
    <w:rsid w:val="00B7087F"/>
    <w:rsid w:val="00B73358"/>
    <w:rsid w:val="00B73770"/>
    <w:rsid w:val="00B774D2"/>
    <w:rsid w:val="00B7785E"/>
    <w:rsid w:val="00B8015A"/>
    <w:rsid w:val="00B82A57"/>
    <w:rsid w:val="00B83828"/>
    <w:rsid w:val="00B8451C"/>
    <w:rsid w:val="00B917A0"/>
    <w:rsid w:val="00BA053B"/>
    <w:rsid w:val="00BA1B8A"/>
    <w:rsid w:val="00BA1C6E"/>
    <w:rsid w:val="00BA32D9"/>
    <w:rsid w:val="00BA4AAF"/>
    <w:rsid w:val="00BA5A5C"/>
    <w:rsid w:val="00BA66F7"/>
    <w:rsid w:val="00BB35AE"/>
    <w:rsid w:val="00BB7EA2"/>
    <w:rsid w:val="00BC03A1"/>
    <w:rsid w:val="00BC0D25"/>
    <w:rsid w:val="00BD2505"/>
    <w:rsid w:val="00BD4428"/>
    <w:rsid w:val="00BD5E43"/>
    <w:rsid w:val="00BE592D"/>
    <w:rsid w:val="00BF0317"/>
    <w:rsid w:val="00BF52B0"/>
    <w:rsid w:val="00BF5697"/>
    <w:rsid w:val="00C01022"/>
    <w:rsid w:val="00C03F45"/>
    <w:rsid w:val="00C14CCC"/>
    <w:rsid w:val="00C164EA"/>
    <w:rsid w:val="00C1695E"/>
    <w:rsid w:val="00C22C1C"/>
    <w:rsid w:val="00C24D4C"/>
    <w:rsid w:val="00C31622"/>
    <w:rsid w:val="00C32C26"/>
    <w:rsid w:val="00C33F2E"/>
    <w:rsid w:val="00C343C3"/>
    <w:rsid w:val="00C34936"/>
    <w:rsid w:val="00C34C14"/>
    <w:rsid w:val="00C355B9"/>
    <w:rsid w:val="00C37EF1"/>
    <w:rsid w:val="00C401C4"/>
    <w:rsid w:val="00C41680"/>
    <w:rsid w:val="00C42329"/>
    <w:rsid w:val="00C43A7B"/>
    <w:rsid w:val="00C472A2"/>
    <w:rsid w:val="00C51133"/>
    <w:rsid w:val="00C57A88"/>
    <w:rsid w:val="00C60A25"/>
    <w:rsid w:val="00C62248"/>
    <w:rsid w:val="00C66F8B"/>
    <w:rsid w:val="00C75DFA"/>
    <w:rsid w:val="00C765C5"/>
    <w:rsid w:val="00C775CE"/>
    <w:rsid w:val="00C82479"/>
    <w:rsid w:val="00C848AD"/>
    <w:rsid w:val="00C85B5A"/>
    <w:rsid w:val="00C867F0"/>
    <w:rsid w:val="00CA06D8"/>
    <w:rsid w:val="00CA3311"/>
    <w:rsid w:val="00CA345A"/>
    <w:rsid w:val="00CA7963"/>
    <w:rsid w:val="00CB238B"/>
    <w:rsid w:val="00CB40F1"/>
    <w:rsid w:val="00CB49FF"/>
    <w:rsid w:val="00CC02CF"/>
    <w:rsid w:val="00CC086A"/>
    <w:rsid w:val="00CD0E24"/>
    <w:rsid w:val="00CD0F66"/>
    <w:rsid w:val="00CD364B"/>
    <w:rsid w:val="00CD6510"/>
    <w:rsid w:val="00CE23B8"/>
    <w:rsid w:val="00CE284E"/>
    <w:rsid w:val="00CE2A84"/>
    <w:rsid w:val="00CE50D7"/>
    <w:rsid w:val="00CF0EA0"/>
    <w:rsid w:val="00CF0F4D"/>
    <w:rsid w:val="00CF1422"/>
    <w:rsid w:val="00CF1B46"/>
    <w:rsid w:val="00CF2BD6"/>
    <w:rsid w:val="00CF33B1"/>
    <w:rsid w:val="00CF4C90"/>
    <w:rsid w:val="00CF4CBE"/>
    <w:rsid w:val="00D00344"/>
    <w:rsid w:val="00D0221A"/>
    <w:rsid w:val="00D03763"/>
    <w:rsid w:val="00D066FB"/>
    <w:rsid w:val="00D1754D"/>
    <w:rsid w:val="00D2101E"/>
    <w:rsid w:val="00D2223F"/>
    <w:rsid w:val="00D274A4"/>
    <w:rsid w:val="00D277AF"/>
    <w:rsid w:val="00D31163"/>
    <w:rsid w:val="00D320B1"/>
    <w:rsid w:val="00D33AFD"/>
    <w:rsid w:val="00D344C7"/>
    <w:rsid w:val="00D3528A"/>
    <w:rsid w:val="00D358D9"/>
    <w:rsid w:val="00D36489"/>
    <w:rsid w:val="00D369E9"/>
    <w:rsid w:val="00D40757"/>
    <w:rsid w:val="00D411CC"/>
    <w:rsid w:val="00D413B9"/>
    <w:rsid w:val="00D42195"/>
    <w:rsid w:val="00D43E0E"/>
    <w:rsid w:val="00D50704"/>
    <w:rsid w:val="00D51C9D"/>
    <w:rsid w:val="00D5760A"/>
    <w:rsid w:val="00D61410"/>
    <w:rsid w:val="00D7457C"/>
    <w:rsid w:val="00D8181D"/>
    <w:rsid w:val="00D92A88"/>
    <w:rsid w:val="00D95669"/>
    <w:rsid w:val="00D968D8"/>
    <w:rsid w:val="00D97CFB"/>
    <w:rsid w:val="00DA563D"/>
    <w:rsid w:val="00DA71B7"/>
    <w:rsid w:val="00DA7277"/>
    <w:rsid w:val="00DA78C1"/>
    <w:rsid w:val="00DB1189"/>
    <w:rsid w:val="00DB19E1"/>
    <w:rsid w:val="00DB3627"/>
    <w:rsid w:val="00DB4724"/>
    <w:rsid w:val="00DB58C8"/>
    <w:rsid w:val="00DB6944"/>
    <w:rsid w:val="00DB7D0D"/>
    <w:rsid w:val="00DC4746"/>
    <w:rsid w:val="00DC62E2"/>
    <w:rsid w:val="00DD1D0D"/>
    <w:rsid w:val="00DE440C"/>
    <w:rsid w:val="00DE49BB"/>
    <w:rsid w:val="00DE7149"/>
    <w:rsid w:val="00DF26A7"/>
    <w:rsid w:val="00E0314C"/>
    <w:rsid w:val="00E04638"/>
    <w:rsid w:val="00E131A1"/>
    <w:rsid w:val="00E1508F"/>
    <w:rsid w:val="00E17582"/>
    <w:rsid w:val="00E25B25"/>
    <w:rsid w:val="00E261DF"/>
    <w:rsid w:val="00E27240"/>
    <w:rsid w:val="00E27EDD"/>
    <w:rsid w:val="00E30584"/>
    <w:rsid w:val="00E30806"/>
    <w:rsid w:val="00E310B9"/>
    <w:rsid w:val="00E34000"/>
    <w:rsid w:val="00E36892"/>
    <w:rsid w:val="00E37E1B"/>
    <w:rsid w:val="00E41B59"/>
    <w:rsid w:val="00E43C45"/>
    <w:rsid w:val="00E46755"/>
    <w:rsid w:val="00E562C0"/>
    <w:rsid w:val="00E57FAF"/>
    <w:rsid w:val="00E672D6"/>
    <w:rsid w:val="00E76024"/>
    <w:rsid w:val="00E80FFA"/>
    <w:rsid w:val="00E814D1"/>
    <w:rsid w:val="00E82EB8"/>
    <w:rsid w:val="00E8499F"/>
    <w:rsid w:val="00E856A2"/>
    <w:rsid w:val="00E9501C"/>
    <w:rsid w:val="00E95133"/>
    <w:rsid w:val="00E967AD"/>
    <w:rsid w:val="00E96884"/>
    <w:rsid w:val="00E96FEE"/>
    <w:rsid w:val="00EA5435"/>
    <w:rsid w:val="00EA5F47"/>
    <w:rsid w:val="00EB455E"/>
    <w:rsid w:val="00EB541B"/>
    <w:rsid w:val="00EC0B11"/>
    <w:rsid w:val="00EC7575"/>
    <w:rsid w:val="00EC761E"/>
    <w:rsid w:val="00EC79DE"/>
    <w:rsid w:val="00ED08D9"/>
    <w:rsid w:val="00ED4ABB"/>
    <w:rsid w:val="00ED4ACE"/>
    <w:rsid w:val="00ED736F"/>
    <w:rsid w:val="00EE4D35"/>
    <w:rsid w:val="00EE5899"/>
    <w:rsid w:val="00EF2DA7"/>
    <w:rsid w:val="00EF563A"/>
    <w:rsid w:val="00EF5D5F"/>
    <w:rsid w:val="00F00661"/>
    <w:rsid w:val="00F01129"/>
    <w:rsid w:val="00F1412B"/>
    <w:rsid w:val="00F15BFA"/>
    <w:rsid w:val="00F2667C"/>
    <w:rsid w:val="00F2740F"/>
    <w:rsid w:val="00F34FAB"/>
    <w:rsid w:val="00F364DE"/>
    <w:rsid w:val="00F435AA"/>
    <w:rsid w:val="00F4543E"/>
    <w:rsid w:val="00F529C4"/>
    <w:rsid w:val="00F56CBB"/>
    <w:rsid w:val="00F5738A"/>
    <w:rsid w:val="00F57784"/>
    <w:rsid w:val="00F604A5"/>
    <w:rsid w:val="00F612D4"/>
    <w:rsid w:val="00F7389E"/>
    <w:rsid w:val="00F750F3"/>
    <w:rsid w:val="00F754D6"/>
    <w:rsid w:val="00F76FEB"/>
    <w:rsid w:val="00F77F1D"/>
    <w:rsid w:val="00F87CCB"/>
    <w:rsid w:val="00F9235C"/>
    <w:rsid w:val="00FA3F3B"/>
    <w:rsid w:val="00FA48C7"/>
    <w:rsid w:val="00FB51FB"/>
    <w:rsid w:val="00FB73C1"/>
    <w:rsid w:val="00FC2A03"/>
    <w:rsid w:val="00FD03B7"/>
    <w:rsid w:val="00FD6E0D"/>
    <w:rsid w:val="00FE3CA6"/>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EDD5A5E-7AA7-4D4B-8FE4-F40CB601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C0"/>
  </w:style>
  <w:style w:type="paragraph" w:styleId="Heading1">
    <w:name w:val="heading 1"/>
    <w:basedOn w:val="Normal"/>
    <w:next w:val="Normal"/>
    <w:link w:val="Heading1Char"/>
    <w:uiPriority w:val="9"/>
    <w:qFormat/>
    <w:rsid w:val="001B3BC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C01022"/>
    <w:pPr>
      <w:autoSpaceDE w:val="0"/>
      <w:autoSpaceDN w:val="0"/>
      <w:adjustRightInd w:val="0"/>
      <w:spacing w:after="0" w:line="240" w:lineRule="auto"/>
    </w:pPr>
    <w:rPr>
      <w:rFonts w:ascii="Calibri" w:hAnsi="Calibri" w:cs="Calibri"/>
      <w:color w:val="000000"/>
      <w:sz w:val="24"/>
      <w:szCs w:val="24"/>
    </w:rPr>
  </w:style>
  <w:style w:type="character" w:styleId="Emphasis">
    <w:name w:val="Emphasis"/>
    <w:basedOn w:val="DefaultParagraphFont"/>
    <w:uiPriority w:val="20"/>
    <w:qFormat/>
    <w:rsid w:val="00670E3C"/>
    <w:rPr>
      <w:i/>
      <w:iCs/>
    </w:rPr>
  </w:style>
  <w:style w:type="character" w:customStyle="1" w:styleId="Heading1Char">
    <w:name w:val="Heading 1 Char"/>
    <w:basedOn w:val="DefaultParagraphFont"/>
    <w:link w:val="Heading1"/>
    <w:uiPriority w:val="9"/>
    <w:rsid w:val="001B3BC6"/>
    <w:rPr>
      <w:rFonts w:asciiTheme="majorHAnsi" w:eastAsiaTheme="majorEastAsia" w:hAnsiTheme="majorHAnsi" w:cstheme="majorBidi"/>
      <w:color w:val="365F91" w:themeColor="accent1" w:themeShade="BF"/>
      <w:sz w:val="32"/>
      <w:szCs w:val="32"/>
    </w:rPr>
  </w:style>
  <w:style w:type="paragraph" w:customStyle="1" w:styleId="CVstyle">
    <w:name w:val="CV style"/>
    <w:basedOn w:val="Normal"/>
    <w:uiPriority w:val="99"/>
    <w:qFormat/>
    <w:rsid w:val="00957B32"/>
    <w:pPr>
      <w:keepLines/>
      <w:tabs>
        <w:tab w:val="left" w:pos="360"/>
      </w:tabs>
      <w:spacing w:after="120" w:line="240" w:lineRule="atLeast"/>
      <w:ind w:left="360" w:hanging="360"/>
    </w:pPr>
    <w:rPr>
      <w:rFonts w:ascii="Times New Roman" w:eastAsia="Times New Roman" w:hAnsi="Times New Roman" w:cs="Times New Roman"/>
      <w:szCs w:val="20"/>
    </w:rPr>
  </w:style>
  <w:style w:type="paragraph" w:customStyle="1" w:styleId="HCAHPSBodyTextParagraph">
    <w:name w:val="HCAHPS Body Text Paragraph"/>
    <w:basedOn w:val="Normal"/>
    <w:rsid w:val="00286428"/>
    <w:pPr>
      <w:spacing w:after="240" w:line="240" w:lineRule="auto"/>
      <w:jc w:val="both"/>
    </w:pPr>
    <w:rPr>
      <w:rFonts w:ascii="Times New Roman" w:eastAsiaTheme="minorHAnsi" w:hAnsi="Times New Roman" w:cs="Times New Roman"/>
      <w:sz w:val="24"/>
      <w:szCs w:val="24"/>
    </w:rPr>
  </w:style>
  <w:style w:type="paragraph" w:customStyle="1" w:styleId="BulletsBlackCircles">
    <w:name w:val="Bullets Black Circles"/>
    <w:basedOn w:val="Normal"/>
    <w:rsid w:val="00286428"/>
    <w:pPr>
      <w:numPr>
        <w:numId w:val="45"/>
      </w:numPr>
      <w:spacing w:after="0" w:line="240" w:lineRule="auto"/>
      <w:ind w:left="0" w:firstLine="0"/>
      <w:jc w:val="both"/>
    </w:pPr>
    <w:rPr>
      <w:rFonts w:ascii="Times New Roman" w:eastAsiaTheme="minorHAnsi" w:hAnsi="Times New Roman" w:cs="Times New Roman"/>
      <w:sz w:val="24"/>
      <w:szCs w:val="24"/>
    </w:rPr>
  </w:style>
  <w:style w:type="paragraph" w:customStyle="1" w:styleId="HCAHPSBodyTextPre-Bullets">
    <w:name w:val="HCAHPS Body Text Pre-Bullets"/>
    <w:basedOn w:val="Normal"/>
    <w:rsid w:val="00286428"/>
    <w:pPr>
      <w:spacing w:after="0" w:line="240" w:lineRule="auto"/>
      <w:jc w:val="both"/>
    </w:pPr>
    <w:rPr>
      <w:rFonts w:ascii="Times New Roman" w:eastAsiaTheme="minorHAnsi" w:hAnsi="Times New Roman" w:cs="Times New Roman"/>
      <w:sz w:val="24"/>
      <w:szCs w:val="24"/>
    </w:rPr>
  </w:style>
  <w:style w:type="paragraph" w:customStyle="1" w:styleId="BulletArrowStyle">
    <w:name w:val="Bullet Arrow Style"/>
    <w:basedOn w:val="Normal"/>
    <w:rsid w:val="00286428"/>
    <w:pPr>
      <w:numPr>
        <w:numId w:val="46"/>
      </w:numPr>
      <w:spacing w:after="0" w:line="240" w:lineRule="auto"/>
      <w:jc w:val="both"/>
    </w:pPr>
    <w:rPr>
      <w:rFonts w:ascii="Times New Roman" w:eastAsiaTheme="minorHAnsi" w:hAnsi="Times New Roman" w:cs="Times New Roman"/>
      <w:sz w:val="24"/>
      <w:szCs w:val="24"/>
    </w:rPr>
  </w:style>
  <w:style w:type="paragraph" w:customStyle="1" w:styleId="NoteLevel2underArrowBullet">
    <w:name w:val="Note Level 2 under Arrow Bullet"/>
    <w:basedOn w:val="Normal"/>
    <w:rsid w:val="00286428"/>
    <w:pPr>
      <w:spacing w:after="0" w:line="240" w:lineRule="auto"/>
      <w:ind w:left="634"/>
      <w:jc w:val="both"/>
    </w:pPr>
    <w:rPr>
      <w:rFonts w:ascii="Times New Roman" w:eastAsiaTheme="minorHAnsi" w:hAnsi="Times New Roman" w:cs="Times New Roman"/>
      <w:i/>
      <w:iCs/>
      <w:sz w:val="24"/>
      <w:szCs w:val="24"/>
    </w:rPr>
  </w:style>
  <w:style w:type="paragraph" w:customStyle="1" w:styleId="NoteLevel1">
    <w:name w:val="Note Level 1"/>
    <w:basedOn w:val="Normal"/>
    <w:rsid w:val="00286428"/>
    <w:pPr>
      <w:spacing w:after="0" w:line="240" w:lineRule="auto"/>
      <w:jc w:val="both"/>
    </w:pPr>
    <w:rPr>
      <w:rFonts w:ascii="Times New Roman" w:eastAsiaTheme="minorHAnsi" w:hAnsi="Times New Roman" w:cs="Times New Roman"/>
      <w:i/>
      <w:iCs/>
      <w:sz w:val="24"/>
      <w:szCs w:val="24"/>
    </w:rPr>
  </w:style>
  <w:style w:type="character" w:customStyle="1" w:styleId="Heading3IntroductionandOverview">
    <w:name w:val="Heading 3 Introduction and Overview"/>
    <w:basedOn w:val="DefaultParagraphFont"/>
    <w:rsid w:val="00286428"/>
    <w:rPr>
      <w:rFonts w:ascii="Arial" w:hAnsi="Arial" w:cs="Arial" w:hint="default"/>
      <w:b/>
      <w:bCs/>
    </w:rPr>
  </w:style>
  <w:style w:type="paragraph" w:styleId="BodyText">
    <w:name w:val="Body Text"/>
    <w:basedOn w:val="Normal"/>
    <w:link w:val="BodyTextChar"/>
    <w:unhideWhenUsed/>
    <w:rsid w:val="004F37C4"/>
    <w:pPr>
      <w:spacing w:after="0" w:line="480" w:lineRule="auto"/>
    </w:pPr>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rsid w:val="004F37C4"/>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451524">
      <w:bodyDiv w:val="1"/>
      <w:marLeft w:val="0"/>
      <w:marRight w:val="0"/>
      <w:marTop w:val="0"/>
      <w:marBottom w:val="0"/>
      <w:divBdr>
        <w:top w:val="none" w:sz="0" w:space="0" w:color="auto"/>
        <w:left w:val="none" w:sz="0" w:space="0" w:color="auto"/>
        <w:bottom w:val="none" w:sz="0" w:space="0" w:color="auto"/>
        <w:right w:val="none" w:sz="0" w:space="0" w:color="auto"/>
      </w:divBdr>
    </w:div>
    <w:div w:id="281956617">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22406142">
      <w:bodyDiv w:val="1"/>
      <w:marLeft w:val="0"/>
      <w:marRight w:val="0"/>
      <w:marTop w:val="0"/>
      <w:marBottom w:val="0"/>
      <w:divBdr>
        <w:top w:val="none" w:sz="0" w:space="0" w:color="auto"/>
        <w:left w:val="none" w:sz="0" w:space="0" w:color="auto"/>
        <w:bottom w:val="none" w:sz="0" w:space="0" w:color="auto"/>
        <w:right w:val="none" w:sz="0" w:space="0" w:color="auto"/>
      </w:divBdr>
    </w:div>
    <w:div w:id="550656997">
      <w:bodyDiv w:val="1"/>
      <w:marLeft w:val="0"/>
      <w:marRight w:val="0"/>
      <w:marTop w:val="0"/>
      <w:marBottom w:val="0"/>
      <w:divBdr>
        <w:top w:val="none" w:sz="0" w:space="0" w:color="auto"/>
        <w:left w:val="none" w:sz="0" w:space="0" w:color="auto"/>
        <w:bottom w:val="none" w:sz="0" w:space="0" w:color="auto"/>
        <w:right w:val="none" w:sz="0" w:space="0" w:color="auto"/>
      </w:divBdr>
    </w:div>
    <w:div w:id="607811635">
      <w:bodyDiv w:val="1"/>
      <w:marLeft w:val="0"/>
      <w:marRight w:val="0"/>
      <w:marTop w:val="0"/>
      <w:marBottom w:val="0"/>
      <w:divBdr>
        <w:top w:val="none" w:sz="0" w:space="0" w:color="auto"/>
        <w:left w:val="none" w:sz="0" w:space="0" w:color="auto"/>
        <w:bottom w:val="none" w:sz="0" w:space="0" w:color="auto"/>
        <w:right w:val="none" w:sz="0" w:space="0" w:color="auto"/>
      </w:divBdr>
    </w:div>
    <w:div w:id="685329318">
      <w:bodyDiv w:val="1"/>
      <w:marLeft w:val="0"/>
      <w:marRight w:val="0"/>
      <w:marTop w:val="0"/>
      <w:marBottom w:val="0"/>
      <w:divBdr>
        <w:top w:val="none" w:sz="0" w:space="0" w:color="auto"/>
        <w:left w:val="none" w:sz="0" w:space="0" w:color="auto"/>
        <w:bottom w:val="none" w:sz="0" w:space="0" w:color="auto"/>
        <w:right w:val="none" w:sz="0" w:space="0" w:color="auto"/>
      </w:divBdr>
    </w:div>
    <w:div w:id="740249388">
      <w:bodyDiv w:val="1"/>
      <w:marLeft w:val="0"/>
      <w:marRight w:val="0"/>
      <w:marTop w:val="0"/>
      <w:marBottom w:val="0"/>
      <w:divBdr>
        <w:top w:val="none" w:sz="0" w:space="0" w:color="auto"/>
        <w:left w:val="none" w:sz="0" w:space="0" w:color="auto"/>
        <w:bottom w:val="none" w:sz="0" w:space="0" w:color="auto"/>
        <w:right w:val="none" w:sz="0" w:space="0" w:color="auto"/>
      </w:divBdr>
    </w:div>
    <w:div w:id="852886706">
      <w:bodyDiv w:val="1"/>
      <w:marLeft w:val="0"/>
      <w:marRight w:val="0"/>
      <w:marTop w:val="0"/>
      <w:marBottom w:val="0"/>
      <w:divBdr>
        <w:top w:val="none" w:sz="0" w:space="0" w:color="auto"/>
        <w:left w:val="none" w:sz="0" w:space="0" w:color="auto"/>
        <w:bottom w:val="none" w:sz="0" w:space="0" w:color="auto"/>
        <w:right w:val="none" w:sz="0" w:space="0" w:color="auto"/>
      </w:divBdr>
    </w:div>
    <w:div w:id="905841308">
      <w:bodyDiv w:val="1"/>
      <w:marLeft w:val="0"/>
      <w:marRight w:val="0"/>
      <w:marTop w:val="0"/>
      <w:marBottom w:val="0"/>
      <w:divBdr>
        <w:top w:val="none" w:sz="0" w:space="0" w:color="auto"/>
        <w:left w:val="none" w:sz="0" w:space="0" w:color="auto"/>
        <w:bottom w:val="none" w:sz="0" w:space="0" w:color="auto"/>
        <w:right w:val="none" w:sz="0" w:space="0" w:color="auto"/>
      </w:divBdr>
    </w:div>
    <w:div w:id="1006517040">
      <w:bodyDiv w:val="1"/>
      <w:marLeft w:val="0"/>
      <w:marRight w:val="0"/>
      <w:marTop w:val="0"/>
      <w:marBottom w:val="0"/>
      <w:divBdr>
        <w:top w:val="none" w:sz="0" w:space="0" w:color="auto"/>
        <w:left w:val="none" w:sz="0" w:space="0" w:color="auto"/>
        <w:bottom w:val="none" w:sz="0" w:space="0" w:color="auto"/>
        <w:right w:val="none" w:sz="0" w:space="0" w:color="auto"/>
      </w:divBdr>
    </w:div>
    <w:div w:id="1103384735">
      <w:bodyDiv w:val="1"/>
      <w:marLeft w:val="0"/>
      <w:marRight w:val="0"/>
      <w:marTop w:val="0"/>
      <w:marBottom w:val="0"/>
      <w:divBdr>
        <w:top w:val="none" w:sz="0" w:space="0" w:color="auto"/>
        <w:left w:val="none" w:sz="0" w:space="0" w:color="auto"/>
        <w:bottom w:val="none" w:sz="0" w:space="0" w:color="auto"/>
        <w:right w:val="none" w:sz="0" w:space="0" w:color="auto"/>
      </w:divBdr>
    </w:div>
    <w:div w:id="1179469472">
      <w:bodyDiv w:val="1"/>
      <w:marLeft w:val="0"/>
      <w:marRight w:val="0"/>
      <w:marTop w:val="0"/>
      <w:marBottom w:val="0"/>
      <w:divBdr>
        <w:top w:val="none" w:sz="0" w:space="0" w:color="auto"/>
        <w:left w:val="none" w:sz="0" w:space="0" w:color="auto"/>
        <w:bottom w:val="none" w:sz="0" w:space="0" w:color="auto"/>
        <w:right w:val="none" w:sz="0" w:space="0" w:color="auto"/>
      </w:divBdr>
    </w:div>
    <w:div w:id="1185823666">
      <w:bodyDiv w:val="1"/>
      <w:marLeft w:val="0"/>
      <w:marRight w:val="0"/>
      <w:marTop w:val="0"/>
      <w:marBottom w:val="0"/>
      <w:divBdr>
        <w:top w:val="none" w:sz="0" w:space="0" w:color="auto"/>
        <w:left w:val="none" w:sz="0" w:space="0" w:color="auto"/>
        <w:bottom w:val="none" w:sz="0" w:space="0" w:color="auto"/>
        <w:right w:val="none" w:sz="0" w:space="0" w:color="auto"/>
      </w:divBdr>
    </w:div>
    <w:div w:id="1194808012">
      <w:bodyDiv w:val="1"/>
      <w:marLeft w:val="0"/>
      <w:marRight w:val="0"/>
      <w:marTop w:val="0"/>
      <w:marBottom w:val="0"/>
      <w:divBdr>
        <w:top w:val="none" w:sz="0" w:space="0" w:color="auto"/>
        <w:left w:val="none" w:sz="0" w:space="0" w:color="auto"/>
        <w:bottom w:val="none" w:sz="0" w:space="0" w:color="auto"/>
        <w:right w:val="none" w:sz="0" w:space="0" w:color="auto"/>
      </w:divBdr>
    </w:div>
    <w:div w:id="1201556631">
      <w:bodyDiv w:val="1"/>
      <w:marLeft w:val="0"/>
      <w:marRight w:val="0"/>
      <w:marTop w:val="0"/>
      <w:marBottom w:val="0"/>
      <w:divBdr>
        <w:top w:val="none" w:sz="0" w:space="0" w:color="auto"/>
        <w:left w:val="none" w:sz="0" w:space="0" w:color="auto"/>
        <w:bottom w:val="none" w:sz="0" w:space="0" w:color="auto"/>
        <w:right w:val="none" w:sz="0" w:space="0" w:color="auto"/>
      </w:divBdr>
    </w:div>
    <w:div w:id="1206214168">
      <w:bodyDiv w:val="1"/>
      <w:marLeft w:val="0"/>
      <w:marRight w:val="0"/>
      <w:marTop w:val="0"/>
      <w:marBottom w:val="0"/>
      <w:divBdr>
        <w:top w:val="none" w:sz="0" w:space="0" w:color="auto"/>
        <w:left w:val="none" w:sz="0" w:space="0" w:color="auto"/>
        <w:bottom w:val="none" w:sz="0" w:space="0" w:color="auto"/>
        <w:right w:val="none" w:sz="0" w:space="0" w:color="auto"/>
      </w:divBdr>
    </w:div>
    <w:div w:id="1215238074">
      <w:bodyDiv w:val="1"/>
      <w:marLeft w:val="0"/>
      <w:marRight w:val="0"/>
      <w:marTop w:val="0"/>
      <w:marBottom w:val="0"/>
      <w:divBdr>
        <w:top w:val="none" w:sz="0" w:space="0" w:color="auto"/>
        <w:left w:val="none" w:sz="0" w:space="0" w:color="auto"/>
        <w:bottom w:val="none" w:sz="0" w:space="0" w:color="auto"/>
        <w:right w:val="none" w:sz="0" w:space="0" w:color="auto"/>
      </w:divBdr>
    </w:div>
    <w:div w:id="1233738046">
      <w:bodyDiv w:val="1"/>
      <w:marLeft w:val="0"/>
      <w:marRight w:val="0"/>
      <w:marTop w:val="0"/>
      <w:marBottom w:val="0"/>
      <w:divBdr>
        <w:top w:val="none" w:sz="0" w:space="0" w:color="auto"/>
        <w:left w:val="none" w:sz="0" w:space="0" w:color="auto"/>
        <w:bottom w:val="none" w:sz="0" w:space="0" w:color="auto"/>
        <w:right w:val="none" w:sz="0" w:space="0" w:color="auto"/>
      </w:divBdr>
    </w:div>
    <w:div w:id="1290433766">
      <w:bodyDiv w:val="1"/>
      <w:marLeft w:val="0"/>
      <w:marRight w:val="0"/>
      <w:marTop w:val="0"/>
      <w:marBottom w:val="0"/>
      <w:divBdr>
        <w:top w:val="none" w:sz="0" w:space="0" w:color="auto"/>
        <w:left w:val="none" w:sz="0" w:space="0" w:color="auto"/>
        <w:bottom w:val="none" w:sz="0" w:space="0" w:color="auto"/>
        <w:right w:val="none" w:sz="0" w:space="0" w:color="auto"/>
      </w:divBdr>
    </w:div>
    <w:div w:id="1340742047">
      <w:bodyDiv w:val="1"/>
      <w:marLeft w:val="0"/>
      <w:marRight w:val="0"/>
      <w:marTop w:val="0"/>
      <w:marBottom w:val="0"/>
      <w:divBdr>
        <w:top w:val="none" w:sz="0" w:space="0" w:color="auto"/>
        <w:left w:val="none" w:sz="0" w:space="0" w:color="auto"/>
        <w:bottom w:val="none" w:sz="0" w:space="0" w:color="auto"/>
        <w:right w:val="none" w:sz="0" w:space="0" w:color="auto"/>
      </w:divBdr>
    </w:div>
    <w:div w:id="1366828427">
      <w:bodyDiv w:val="1"/>
      <w:marLeft w:val="0"/>
      <w:marRight w:val="0"/>
      <w:marTop w:val="0"/>
      <w:marBottom w:val="0"/>
      <w:divBdr>
        <w:top w:val="none" w:sz="0" w:space="0" w:color="auto"/>
        <w:left w:val="none" w:sz="0" w:space="0" w:color="auto"/>
        <w:bottom w:val="none" w:sz="0" w:space="0" w:color="auto"/>
        <w:right w:val="none" w:sz="0" w:space="0" w:color="auto"/>
      </w:divBdr>
    </w:div>
    <w:div w:id="1379742063">
      <w:bodyDiv w:val="1"/>
      <w:marLeft w:val="0"/>
      <w:marRight w:val="0"/>
      <w:marTop w:val="0"/>
      <w:marBottom w:val="0"/>
      <w:divBdr>
        <w:top w:val="none" w:sz="0" w:space="0" w:color="auto"/>
        <w:left w:val="none" w:sz="0" w:space="0" w:color="auto"/>
        <w:bottom w:val="none" w:sz="0" w:space="0" w:color="auto"/>
        <w:right w:val="none" w:sz="0" w:space="0" w:color="auto"/>
      </w:divBdr>
    </w:div>
    <w:div w:id="1400053184">
      <w:bodyDiv w:val="1"/>
      <w:marLeft w:val="0"/>
      <w:marRight w:val="0"/>
      <w:marTop w:val="0"/>
      <w:marBottom w:val="0"/>
      <w:divBdr>
        <w:top w:val="none" w:sz="0" w:space="0" w:color="auto"/>
        <w:left w:val="none" w:sz="0" w:space="0" w:color="auto"/>
        <w:bottom w:val="none" w:sz="0" w:space="0" w:color="auto"/>
        <w:right w:val="none" w:sz="0" w:space="0" w:color="auto"/>
      </w:divBdr>
    </w:div>
    <w:div w:id="1410929479">
      <w:bodyDiv w:val="1"/>
      <w:marLeft w:val="0"/>
      <w:marRight w:val="0"/>
      <w:marTop w:val="0"/>
      <w:marBottom w:val="0"/>
      <w:divBdr>
        <w:top w:val="none" w:sz="0" w:space="0" w:color="auto"/>
        <w:left w:val="none" w:sz="0" w:space="0" w:color="auto"/>
        <w:bottom w:val="none" w:sz="0" w:space="0" w:color="auto"/>
        <w:right w:val="none" w:sz="0" w:space="0" w:color="auto"/>
      </w:divBdr>
    </w:div>
    <w:div w:id="1438215859">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713461065">
      <w:bodyDiv w:val="1"/>
      <w:marLeft w:val="0"/>
      <w:marRight w:val="0"/>
      <w:marTop w:val="0"/>
      <w:marBottom w:val="0"/>
      <w:divBdr>
        <w:top w:val="none" w:sz="0" w:space="0" w:color="auto"/>
        <w:left w:val="none" w:sz="0" w:space="0" w:color="auto"/>
        <w:bottom w:val="none" w:sz="0" w:space="0" w:color="auto"/>
        <w:right w:val="none" w:sz="0" w:space="0" w:color="auto"/>
      </w:divBdr>
    </w:div>
    <w:div w:id="1726642754">
      <w:bodyDiv w:val="1"/>
      <w:marLeft w:val="0"/>
      <w:marRight w:val="0"/>
      <w:marTop w:val="0"/>
      <w:marBottom w:val="0"/>
      <w:divBdr>
        <w:top w:val="none" w:sz="0" w:space="0" w:color="auto"/>
        <w:left w:val="none" w:sz="0" w:space="0" w:color="auto"/>
        <w:bottom w:val="none" w:sz="0" w:space="0" w:color="auto"/>
        <w:right w:val="none" w:sz="0" w:space="0" w:color="auto"/>
      </w:divBdr>
    </w:div>
    <w:div w:id="1751541378">
      <w:bodyDiv w:val="1"/>
      <w:marLeft w:val="0"/>
      <w:marRight w:val="0"/>
      <w:marTop w:val="0"/>
      <w:marBottom w:val="0"/>
      <w:divBdr>
        <w:top w:val="none" w:sz="0" w:space="0" w:color="auto"/>
        <w:left w:val="none" w:sz="0" w:space="0" w:color="auto"/>
        <w:bottom w:val="none" w:sz="0" w:space="0" w:color="auto"/>
        <w:right w:val="none" w:sz="0" w:space="0" w:color="auto"/>
      </w:divBdr>
    </w:div>
    <w:div w:id="1781684264">
      <w:bodyDiv w:val="1"/>
      <w:marLeft w:val="0"/>
      <w:marRight w:val="0"/>
      <w:marTop w:val="0"/>
      <w:marBottom w:val="0"/>
      <w:divBdr>
        <w:top w:val="none" w:sz="0" w:space="0" w:color="auto"/>
        <w:left w:val="none" w:sz="0" w:space="0" w:color="auto"/>
        <w:bottom w:val="none" w:sz="0" w:space="0" w:color="auto"/>
        <w:right w:val="none" w:sz="0" w:space="0" w:color="auto"/>
      </w:divBdr>
    </w:div>
    <w:div w:id="1804036849">
      <w:bodyDiv w:val="1"/>
      <w:marLeft w:val="0"/>
      <w:marRight w:val="0"/>
      <w:marTop w:val="0"/>
      <w:marBottom w:val="0"/>
      <w:divBdr>
        <w:top w:val="none" w:sz="0" w:space="0" w:color="auto"/>
        <w:left w:val="none" w:sz="0" w:space="0" w:color="auto"/>
        <w:bottom w:val="none" w:sz="0" w:space="0" w:color="auto"/>
        <w:right w:val="none" w:sz="0" w:space="0" w:color="auto"/>
      </w:divBdr>
    </w:div>
    <w:div w:id="1808813853">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97472673">
      <w:bodyDiv w:val="1"/>
      <w:marLeft w:val="0"/>
      <w:marRight w:val="0"/>
      <w:marTop w:val="0"/>
      <w:marBottom w:val="0"/>
      <w:divBdr>
        <w:top w:val="none" w:sz="0" w:space="0" w:color="auto"/>
        <w:left w:val="none" w:sz="0" w:space="0" w:color="auto"/>
        <w:bottom w:val="none" w:sz="0" w:space="0" w:color="auto"/>
        <w:right w:val="none" w:sz="0" w:space="0" w:color="auto"/>
      </w:divBdr>
    </w:div>
    <w:div w:id="2081293070">
      <w:bodyDiv w:val="1"/>
      <w:marLeft w:val="0"/>
      <w:marRight w:val="0"/>
      <w:marTop w:val="0"/>
      <w:marBottom w:val="0"/>
      <w:divBdr>
        <w:top w:val="none" w:sz="0" w:space="0" w:color="auto"/>
        <w:left w:val="none" w:sz="0" w:space="0" w:color="auto"/>
        <w:bottom w:val="none" w:sz="0" w:space="0" w:color="auto"/>
        <w:right w:val="none" w:sz="0" w:space="0" w:color="auto"/>
      </w:divBdr>
    </w:div>
    <w:div w:id="210406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ms.gov/Medicare/Quality-Initiatives-Patient-Assessment-Instruments/HospitalQualityInits/HospitalHCAHPS.html" TargetMode="External"/><Relationship Id="rId18" Type="http://schemas.openxmlformats.org/officeDocument/2006/relationships/hyperlink" Target="http://www.hcahpsonline.org/globalassets/hcahps/mode-patient-mix-adjustment/2017-12_mode-patient-adj_pma.pdf" TargetMode="External"/><Relationship Id="rId26" Type="http://schemas.openxmlformats.org/officeDocument/2006/relationships/hyperlink" Target="http://www.hcahpsonline.org/globalassets/hcahps/mode-patient-mix-adjustment/final-draft-description-of-hcahps-mode-and-pma-with-bottom-box-modedoc-april-30-2008.pdf" TargetMode="External"/><Relationship Id="rId3" Type="http://schemas.openxmlformats.org/officeDocument/2006/relationships/customXml" Target="../customXml/item3.xml"/><Relationship Id="rId21" Type="http://schemas.openxmlformats.org/officeDocument/2006/relationships/hyperlink" Target="http://www.hcahpsonline.org/globalassets/hcahps/mode-patient-mix-adjustment/april_2017_mode_patient-mix_adjustment_hcahps_survey_mode_adjustment.pdf" TargetMode="External"/><Relationship Id="rId34"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hcahpsonline.org/globalassets/hcahps/mode-patient-mix-adjustment/2017-10_mode_patient-mix-adj_pma.pdf" TargetMode="External"/><Relationship Id="rId25" Type="http://schemas.openxmlformats.org/officeDocument/2006/relationships/hyperlink" Target="http://www.hcahpsonline.org/globalassets/hcahps/mode-patient-mix-adjustment/final-draft-description-of-hcahps-mode-and-pma-with-bottom-box-modedoc-april-30-2008.pd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ahrq.gov/cahps/" TargetMode="External"/><Relationship Id="rId20" Type="http://schemas.openxmlformats.org/officeDocument/2006/relationships/hyperlink" Target="http://www.hcahpsonline.org/globalassets/hcahps/mode-patient-mix-adjustment/final-draft-description-of-hcahps-mode-and-pma-with-bottom-box-modedoc-april-30-2008.pdf" TargetMode="External"/><Relationship Id="rId29" Type="http://schemas.openxmlformats.org/officeDocument/2006/relationships/hyperlink" Target="http://www.HCAHPSonlin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hcahpsonline.org/globalassets/hcahps/mode-patient-mix-adjustment/final-draft-description-of-hcahps-mode-and-pma-with-bottom-box-modedoc-april-30-2008.pdf"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hcahpsonline.org/globalassets/hcahps/mode-patient-mix-adjustment/final-draft-description-of-hcahps-mode-and-pma-with-bottom-box-modedoc-april-30-2008.pdf" TargetMode="External"/><Relationship Id="rId23" Type="http://schemas.openxmlformats.org/officeDocument/2006/relationships/hyperlink" Target="http://www.hcahpsonline.org/globalassets/hcahps/mode-patient-mix-adjustment/final-draft-description-of-hcahps-mode-and-pma-with-bottom-box-modedoc-april-30-2008.pdf" TargetMode="External"/><Relationship Id="rId28" Type="http://schemas.openxmlformats.org/officeDocument/2006/relationships/hyperlink" Target="http://www.hcahpsonline.org/globalassets/hcahps/mode-patient-mix-adjustment/2017-12_mode-patient-adj_pma.pdf" TargetMode="External"/><Relationship Id="rId10" Type="http://schemas.openxmlformats.org/officeDocument/2006/relationships/footnotes" Target="footnotes.xml"/><Relationship Id="rId19" Type="http://schemas.openxmlformats.org/officeDocument/2006/relationships/hyperlink" Target="http://www.hcahpsonline.org/en/mode--patient-mix-adj/"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hcahpsonline.org/globalassets/hcahps/summary-analyses/correlations/report_april_2018_corrs_pain_removed.pdf" TargetMode="External"/><Relationship Id="rId22" Type="http://schemas.openxmlformats.org/officeDocument/2006/relationships/hyperlink" Target="https://www.hcahpsonline.org/globalassets/hcahps/mode-patient-mix-adjustment/january_2019_-mode--patient-mix-adj_pma.pdf" TargetMode="External"/><Relationship Id="rId27" Type="http://schemas.openxmlformats.org/officeDocument/2006/relationships/hyperlink" Target="http://www.hcahpsonline.org/globalassets/hcahps/mode-patient-mix-adjustment/april_2017_mode_patient-mix_adjustment_hcahps_survey_mode_adjustment.pdf" TargetMode="External"/><Relationship Id="rId30" Type="http://schemas.openxmlformats.org/officeDocument/2006/relationships/hyperlink" Target="http://www.hcahpsonline.org/en/summary-analyses/" TargetMode="External"/><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NewCenturySchlbk-Roman">
    <w:altName w:val="Cambria"/>
    <w:panose1 w:val="00000000000000000000"/>
    <w:charset w:val="00"/>
    <w:family w:val="roman"/>
    <w:notTrueType/>
    <w:pitch w:val="default"/>
    <w:sig w:usb0="00000003" w:usb1="00000000" w:usb2="00000000" w:usb3="00000000" w:csb0="00000001" w:csb1="00000000"/>
  </w:font>
  <w:font w:name="AdvBasBE-R">
    <w:altName w:val="Cambria"/>
    <w:panose1 w:val="00000000000000000000"/>
    <w:charset w:val="00"/>
    <w:family w:val="roman"/>
    <w:notTrueType/>
    <w:pitch w:val="default"/>
    <w:sig w:usb0="00000003" w:usb1="00000000" w:usb2="00000000" w:usb3="00000000" w:csb0="00000001" w:csb1="00000000"/>
  </w:font>
  <w:font w:name="AdvEls-ent3">
    <w:panose1 w:val="00000000000000000000"/>
    <w:charset w:val="00"/>
    <w:family w:val="swiss"/>
    <w:notTrueType/>
    <w:pitch w:val="default"/>
    <w:sig w:usb0="00000003" w:usb1="00000000" w:usb2="00000000" w:usb3="00000000" w:csb0="00000001" w:csb1="00000000"/>
  </w:font>
  <w:font w:name="AdvBasBT-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altName w:val="游明朝"/>
    <w:panose1 w:val="020204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31F31"/>
    <w:rsid w:val="00127222"/>
    <w:rsid w:val="001736D7"/>
    <w:rsid w:val="00190AF4"/>
    <w:rsid w:val="00223FA3"/>
    <w:rsid w:val="002328A2"/>
    <w:rsid w:val="002A288F"/>
    <w:rsid w:val="002C65A7"/>
    <w:rsid w:val="002F052A"/>
    <w:rsid w:val="00337E51"/>
    <w:rsid w:val="00350176"/>
    <w:rsid w:val="003840F0"/>
    <w:rsid w:val="003E6275"/>
    <w:rsid w:val="00407C62"/>
    <w:rsid w:val="00412602"/>
    <w:rsid w:val="00433688"/>
    <w:rsid w:val="00437537"/>
    <w:rsid w:val="00480FF5"/>
    <w:rsid w:val="00490F7A"/>
    <w:rsid w:val="004D785E"/>
    <w:rsid w:val="00513FC9"/>
    <w:rsid w:val="00520515"/>
    <w:rsid w:val="0053654E"/>
    <w:rsid w:val="005E4241"/>
    <w:rsid w:val="00604BBE"/>
    <w:rsid w:val="00610196"/>
    <w:rsid w:val="00632A7E"/>
    <w:rsid w:val="00632AB6"/>
    <w:rsid w:val="006F4FF2"/>
    <w:rsid w:val="007147EC"/>
    <w:rsid w:val="00715005"/>
    <w:rsid w:val="00730B33"/>
    <w:rsid w:val="00745377"/>
    <w:rsid w:val="00772B2A"/>
    <w:rsid w:val="007A2A79"/>
    <w:rsid w:val="007C672A"/>
    <w:rsid w:val="007D4368"/>
    <w:rsid w:val="00817C59"/>
    <w:rsid w:val="00822666"/>
    <w:rsid w:val="00823ECC"/>
    <w:rsid w:val="00826796"/>
    <w:rsid w:val="00866C97"/>
    <w:rsid w:val="009017AE"/>
    <w:rsid w:val="00927F2A"/>
    <w:rsid w:val="009A2FA7"/>
    <w:rsid w:val="009A79C5"/>
    <w:rsid w:val="009C542D"/>
    <w:rsid w:val="00A01A18"/>
    <w:rsid w:val="00A1044D"/>
    <w:rsid w:val="00A211DE"/>
    <w:rsid w:val="00A95183"/>
    <w:rsid w:val="00AB4AF7"/>
    <w:rsid w:val="00AD7C4F"/>
    <w:rsid w:val="00B445F5"/>
    <w:rsid w:val="00BD202C"/>
    <w:rsid w:val="00BD40CB"/>
    <w:rsid w:val="00C362A2"/>
    <w:rsid w:val="00C90121"/>
    <w:rsid w:val="00C96E73"/>
    <w:rsid w:val="00CA1FE8"/>
    <w:rsid w:val="00CA344F"/>
    <w:rsid w:val="00CA660C"/>
    <w:rsid w:val="00CB1E71"/>
    <w:rsid w:val="00D07FD7"/>
    <w:rsid w:val="00D1676E"/>
    <w:rsid w:val="00D41387"/>
    <w:rsid w:val="00D47036"/>
    <w:rsid w:val="00D54021"/>
    <w:rsid w:val="00DC0246"/>
    <w:rsid w:val="00E42637"/>
    <w:rsid w:val="00E52A1E"/>
    <w:rsid w:val="00E6518A"/>
    <w:rsid w:val="00EC1E3A"/>
    <w:rsid w:val="00F0673D"/>
    <w:rsid w:val="00F36681"/>
    <w:rsid w:val="00F540AB"/>
    <w:rsid w:val="00F55890"/>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5F964153-D3CC-4778-9484-77E1882CE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18299</Words>
  <Characters>104310</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122365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William Lehrman</cp:lastModifiedBy>
  <cp:revision>2</cp:revision>
  <cp:lastPrinted>2019-01-07T22:00:00Z</cp:lastPrinted>
  <dcterms:created xsi:type="dcterms:W3CDTF">2019-04-25T21:28:00Z</dcterms:created>
  <dcterms:modified xsi:type="dcterms:W3CDTF">2019-04-25T21:28:00Z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y fmtid="{D5CDD505-2E9C-101B-9397-08002B2CF9AE}" pid="3" name="_NewReviewCycle">
    <vt:lpwstr/>
  </property>
</Properties>
</file>