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4ACEFC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EA73F7">
            <w:rPr>
              <w:rStyle w:val="Style1"/>
            </w:rPr>
            <w:t>01</w:t>
          </w:r>
          <w:r w:rsidR="00430E11">
            <w:rPr>
              <w:rStyle w:val="Style1"/>
            </w:rPr>
            <w:t>7</w:t>
          </w:r>
          <w:r w:rsidR="00EA73F7">
            <w:rPr>
              <w:rStyle w:val="Style1"/>
            </w:rPr>
            <w:t>7</w:t>
          </w:r>
        </w:sdtContent>
      </w:sdt>
    </w:p>
    <w:p w14:paraId="0CABCF56" w14:textId="397661A8"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EA73F7" w:rsidRPr="00EA73F7">
            <w:rPr>
              <w:rStyle w:val="Style1"/>
              <w:rFonts w:cstheme="minorHAnsi"/>
            </w:rPr>
            <w:t xml:space="preserve">Improvement in </w:t>
          </w:r>
          <w:r w:rsidR="00430E11">
            <w:rPr>
              <w:rStyle w:val="Style1"/>
              <w:rFonts w:cstheme="minorHAnsi"/>
            </w:rPr>
            <w:t>Pain Interfering with Activity</w:t>
          </w:r>
        </w:sdtContent>
      </w:sdt>
    </w:p>
    <w:p w14:paraId="0CABCF57" w14:textId="344CC57B"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8-08-01T00:00:00Z">
            <w:dateFormat w:val="M/d/yyyy"/>
            <w:lid w:val="en-US"/>
            <w:storeMappedDataAs w:val="dateTime"/>
            <w:calendar w:val="gregorian"/>
          </w:date>
        </w:sdtPr>
        <w:sdtEndPr>
          <w:rPr>
            <w:rStyle w:val="DefaultParagraphFont"/>
            <w:noProof/>
            <w:color w:val="auto"/>
            <w:u w:val="none"/>
          </w:rPr>
        </w:sdtEndPr>
        <w:sdtContent>
          <w:r w:rsidR="006A227A">
            <w:rPr>
              <w:rStyle w:val="Style2"/>
              <w:rFonts w:cstheme="minorHAnsi"/>
            </w:rPr>
            <w:t>8/1/2018</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003"/>
        <w:gridCol w:w="3962"/>
      </w:tblGrid>
      <w:tr w:rsidR="000B7D57" w:rsidRPr="00450C58" w14:paraId="0CABCF5B" w14:textId="77777777" w:rsidTr="000B7D57">
        <w:trPr>
          <w:jc w:val="center"/>
        </w:trPr>
        <w:tc>
          <w:tcPr>
            <w:tcW w:w="2513" w:type="pct"/>
          </w:tcPr>
          <w:p w14:paraId="0CABCF59" w14:textId="69E3A576" w:rsidR="000B7D57" w:rsidRPr="00C775CE" w:rsidRDefault="00ED2A30"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EA73F7">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ED2A30"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ED2A30"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ED2A30"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ED2A30"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ED2A30"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ED2A30"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lastRenderedPageBreak/>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368BACE7" w14:textId="77777777" w:rsidR="006A227A" w:rsidRDefault="006A227A" w:rsidP="008A403A">
      <w:pPr>
        <w:spacing w:after="0" w:line="240" w:lineRule="auto"/>
        <w:rPr>
          <w:rFonts w:cstheme="minorHAnsi"/>
          <w:b/>
          <w:noProof/>
        </w:rPr>
      </w:pPr>
    </w:p>
    <w:p w14:paraId="2774F45C" w14:textId="77777777" w:rsidR="006A227A" w:rsidRDefault="006A227A" w:rsidP="008A403A">
      <w:pPr>
        <w:spacing w:after="0" w:line="240" w:lineRule="auto"/>
        <w:rPr>
          <w:rFonts w:cstheme="minorHAnsi"/>
          <w:b/>
          <w:noProof/>
        </w:rPr>
      </w:pPr>
    </w:p>
    <w:p w14:paraId="428F7952" w14:textId="5E1BB574" w:rsidR="006A227A" w:rsidRPr="007261BA" w:rsidRDefault="006A227A" w:rsidP="006A227A">
      <w:pPr>
        <w:spacing w:after="0" w:line="240" w:lineRule="auto"/>
        <w:rPr>
          <w:rFonts w:cstheme="minorHAnsi"/>
          <w:b/>
          <w:noProof/>
          <w:color w:val="FF0000"/>
        </w:rPr>
      </w:pPr>
      <w:r>
        <w:rPr>
          <w:rFonts w:cstheme="minorHAnsi"/>
          <w:b/>
          <w:noProof/>
          <w:color w:val="FF0000"/>
        </w:rPr>
        <w:lastRenderedPageBreak/>
        <w:t xml:space="preserve">NOTE: ALL TESTING CONDUCTED IN THIS FORM RELY UPON MORE RECENT DATA AND AN UPDATED RISK ADJUSTMENT MODEL COMPARED TO THE PREVIOUS NQF SUBMISSION. WE DO NOT MARK ANY RESPONSES IN RED BECAUSE </w:t>
      </w:r>
      <w:r w:rsidR="002132D3">
        <w:rPr>
          <w:rFonts w:cstheme="minorHAnsi"/>
          <w:b/>
          <w:noProof/>
          <w:color w:val="FF0000"/>
        </w:rPr>
        <w:t xml:space="preserve">MOST </w:t>
      </w:r>
      <w:r>
        <w:rPr>
          <w:rFonts w:cstheme="minorHAnsi"/>
          <w:b/>
          <w:noProof/>
          <w:color w:val="FF0000"/>
        </w:rPr>
        <w:t xml:space="preserve">RESPONSES WERE UPDATED. </w:t>
      </w:r>
    </w:p>
    <w:p w14:paraId="4CCF2A1D" w14:textId="77777777" w:rsidR="006A227A" w:rsidRDefault="006A227A" w:rsidP="008A403A">
      <w:pPr>
        <w:spacing w:after="0" w:line="240" w:lineRule="auto"/>
        <w:rPr>
          <w:rFonts w:cstheme="minorHAnsi"/>
          <w:b/>
          <w:noProof/>
        </w:rPr>
      </w:pPr>
    </w:p>
    <w:p w14:paraId="0CABCF93" w14:textId="77777777" w:rsidR="00E27240" w:rsidRPr="006A227A" w:rsidRDefault="002B5016" w:rsidP="008A403A">
      <w:pPr>
        <w:spacing w:after="0" w:line="240" w:lineRule="auto"/>
        <w:rPr>
          <w:rFonts w:cstheme="minorHAnsi"/>
          <w:b/>
          <w:noProof/>
        </w:rPr>
      </w:pPr>
      <w:r w:rsidRPr="006A227A">
        <w:rPr>
          <w:rFonts w:cstheme="minorHAnsi"/>
          <w:b/>
          <w:noProof/>
        </w:rPr>
        <w:t xml:space="preserve">1. </w:t>
      </w:r>
      <w:r w:rsidR="00021170" w:rsidRPr="006A227A">
        <w:rPr>
          <w:rFonts w:cstheme="minorHAnsi"/>
          <w:b/>
          <w:noProof/>
        </w:rPr>
        <w:t xml:space="preserve">DATA/SAMPLE USED FOR </w:t>
      </w:r>
      <w:r w:rsidR="00021170" w:rsidRPr="006A227A">
        <w:rPr>
          <w:rFonts w:cstheme="minorHAnsi"/>
          <w:b/>
          <w:noProof/>
          <w:u w:val="single"/>
        </w:rPr>
        <w:t>ALL</w:t>
      </w:r>
      <w:r w:rsidR="00021170" w:rsidRPr="006A227A">
        <w:rPr>
          <w:rFonts w:cstheme="minorHAnsi"/>
          <w:b/>
          <w:noProof/>
        </w:rPr>
        <w:t xml:space="preserve"> TESTING</w:t>
      </w:r>
      <w:r w:rsidR="006327D8" w:rsidRPr="006A227A">
        <w:rPr>
          <w:rFonts w:cstheme="minorHAnsi"/>
          <w:b/>
          <w:noProof/>
        </w:rPr>
        <w:t xml:space="preserve"> OF THIS MEASURE</w:t>
      </w:r>
    </w:p>
    <w:p w14:paraId="0CABCF94" w14:textId="77777777" w:rsidR="002E78A0" w:rsidRPr="006A227A" w:rsidRDefault="002E78A0" w:rsidP="008A403A">
      <w:pPr>
        <w:spacing w:after="0" w:line="240" w:lineRule="auto"/>
        <w:rPr>
          <w:rFonts w:cstheme="minorHAnsi"/>
          <w:b/>
          <w:noProof/>
        </w:rPr>
      </w:pPr>
      <w:r w:rsidRPr="006A227A">
        <w:rPr>
          <w:rFonts w:cstheme="minorHAnsi"/>
          <w:b/>
          <w:i/>
          <w:noProof/>
        </w:rPr>
        <w:t xml:space="preserve">Often the same data </w:t>
      </w:r>
      <w:r w:rsidR="000574AB" w:rsidRPr="006A227A">
        <w:rPr>
          <w:rFonts w:cstheme="minorHAnsi"/>
          <w:b/>
          <w:i/>
          <w:noProof/>
        </w:rPr>
        <w:t>are</w:t>
      </w:r>
      <w:r w:rsidRPr="006A227A">
        <w:rPr>
          <w:rFonts w:cstheme="minorHAnsi"/>
          <w:b/>
          <w:i/>
          <w:noProof/>
        </w:rPr>
        <w:t xml:space="preserve"> used for all aspects of measure testing. In an effort to eliminate duplication, the first f</w:t>
      </w:r>
      <w:r w:rsidR="007422FD" w:rsidRPr="006A227A">
        <w:rPr>
          <w:rFonts w:cstheme="minorHAnsi"/>
          <w:b/>
          <w:i/>
          <w:noProof/>
        </w:rPr>
        <w:t>ive</w:t>
      </w:r>
      <w:r w:rsidRPr="006A227A">
        <w:rPr>
          <w:rFonts w:cstheme="minorHAnsi"/>
          <w:b/>
          <w:i/>
          <w:noProof/>
        </w:rPr>
        <w:t xml:space="preserve"> questions apply to all measure testing. </w:t>
      </w:r>
      <w:r w:rsidRPr="006A227A">
        <w:rPr>
          <w:rFonts w:cstheme="minorHAnsi"/>
          <w:b/>
          <w:i/>
          <w:noProof/>
          <w:u w:val="single"/>
        </w:rPr>
        <w:t>I</w:t>
      </w:r>
      <w:r w:rsidR="00A41377" w:rsidRPr="006A227A">
        <w:rPr>
          <w:rFonts w:cstheme="minorHAnsi"/>
          <w:b/>
          <w:i/>
          <w:noProof/>
          <w:u w:val="single"/>
        </w:rPr>
        <w:t>f there are differences by</w:t>
      </w:r>
      <w:r w:rsidRPr="006A227A">
        <w:rPr>
          <w:rFonts w:cstheme="minorHAnsi"/>
          <w:b/>
          <w:i/>
          <w:noProof/>
          <w:u w:val="single"/>
        </w:rPr>
        <w:t xml:space="preserve"> </w:t>
      </w:r>
      <w:r w:rsidR="00A41377" w:rsidRPr="006A227A">
        <w:rPr>
          <w:rFonts w:cstheme="minorHAnsi"/>
          <w:b/>
          <w:i/>
          <w:noProof/>
          <w:u w:val="single"/>
        </w:rPr>
        <w:t>aspect</w:t>
      </w:r>
      <w:r w:rsidRPr="006A227A">
        <w:rPr>
          <w:rFonts w:cstheme="minorHAnsi"/>
          <w:b/>
          <w:i/>
          <w:noProof/>
          <w:u w:val="single"/>
        </w:rPr>
        <w:t xml:space="preserve"> of testing</w:t>
      </w:r>
      <w:r w:rsidR="00A41377" w:rsidRPr="006A227A">
        <w:rPr>
          <w:rFonts w:cstheme="minorHAnsi"/>
          <w:b/>
          <w:i/>
          <w:noProof/>
        </w:rPr>
        <w:t>,</w:t>
      </w:r>
      <w:r w:rsidR="00927027" w:rsidRPr="006A227A">
        <w:rPr>
          <w:rFonts w:cstheme="minorHAnsi"/>
          <w:b/>
          <w:i/>
          <w:noProof/>
        </w:rPr>
        <w:t>(e.g., reliability vs. v</w:t>
      </w:r>
      <w:r w:rsidR="002F48E1" w:rsidRPr="006A227A">
        <w:rPr>
          <w:rFonts w:cstheme="minorHAnsi"/>
          <w:b/>
          <w:i/>
          <w:noProof/>
        </w:rPr>
        <w:t>alidity)</w:t>
      </w:r>
      <w:r w:rsidRPr="006A227A">
        <w:rPr>
          <w:rFonts w:cstheme="minorHAnsi"/>
          <w:b/>
          <w:i/>
          <w:noProof/>
        </w:rPr>
        <w:t xml:space="preserve"> be sure to indicate </w:t>
      </w:r>
      <w:r w:rsidR="00D33AFD" w:rsidRPr="006A227A">
        <w:rPr>
          <w:rFonts w:cstheme="minorHAnsi"/>
          <w:b/>
          <w:i/>
          <w:noProof/>
        </w:rPr>
        <w:t>the specific differences</w:t>
      </w:r>
      <w:r w:rsidRPr="006A227A">
        <w:rPr>
          <w:rFonts w:cstheme="minorHAnsi"/>
          <w:b/>
          <w:i/>
          <w:noProof/>
        </w:rPr>
        <w:t xml:space="preserve"> in question </w:t>
      </w:r>
      <w:r w:rsidR="00B82A57" w:rsidRPr="006A227A">
        <w:rPr>
          <w:rFonts w:cstheme="minorHAnsi"/>
          <w:b/>
          <w:i/>
          <w:noProof/>
        </w:rPr>
        <w:t>1.</w:t>
      </w:r>
      <w:r w:rsidR="00927027" w:rsidRPr="006A227A">
        <w:rPr>
          <w:rFonts w:cstheme="minorHAnsi"/>
          <w:b/>
          <w:i/>
          <w:noProof/>
        </w:rPr>
        <w:t>7</w:t>
      </w:r>
      <w:r w:rsidRPr="006A227A">
        <w:rPr>
          <w:rFonts w:cstheme="minorHAnsi"/>
          <w:b/>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Pr="006A227A" w:rsidRDefault="002B5016" w:rsidP="00DB3627">
      <w:pPr>
        <w:autoSpaceDE w:val="0"/>
        <w:autoSpaceDN w:val="0"/>
        <w:adjustRightInd w:val="0"/>
        <w:spacing w:after="0" w:line="240" w:lineRule="auto"/>
        <w:rPr>
          <w:rFonts w:cstheme="minorHAnsi"/>
          <w:b/>
          <w:bCs/>
        </w:rPr>
      </w:pPr>
      <w:r w:rsidRPr="006A227A">
        <w:rPr>
          <w:rFonts w:cstheme="minorHAnsi"/>
          <w:b/>
          <w:bCs/>
        </w:rPr>
        <w:t>1</w:t>
      </w:r>
      <w:r w:rsidR="00927027" w:rsidRPr="006A227A">
        <w:rPr>
          <w:rFonts w:cstheme="minorHAnsi"/>
          <w:b/>
          <w:bCs/>
        </w:rPr>
        <w:t>.</w:t>
      </w:r>
      <w:r w:rsidR="00DB3627" w:rsidRPr="006A227A">
        <w:rPr>
          <w:rFonts w:cstheme="minorHAnsi"/>
          <w:b/>
          <w:bCs/>
        </w:rPr>
        <w:t xml:space="preserve">1. </w:t>
      </w:r>
      <w:r w:rsidR="004348CC" w:rsidRPr="006A227A">
        <w:rPr>
          <w:rFonts w:cstheme="minorHAnsi"/>
          <w:b/>
          <w:bCs/>
        </w:rPr>
        <w:t>What t</w:t>
      </w:r>
      <w:r w:rsidR="00857EE8" w:rsidRPr="006A227A">
        <w:rPr>
          <w:rFonts w:cstheme="minorHAnsi"/>
          <w:b/>
          <w:bCs/>
        </w:rPr>
        <w:t xml:space="preserve">ype of data was used </w:t>
      </w:r>
      <w:r w:rsidR="000851B2" w:rsidRPr="006A227A">
        <w:rPr>
          <w:rFonts w:cstheme="minorHAnsi"/>
          <w:b/>
          <w:bCs/>
        </w:rPr>
        <w:t>for</w:t>
      </w:r>
      <w:r w:rsidR="00857EE8" w:rsidRPr="006A227A">
        <w:rPr>
          <w:rFonts w:cstheme="minorHAnsi"/>
          <w:b/>
          <w:bCs/>
        </w:rPr>
        <w:t xml:space="preserve"> </w:t>
      </w:r>
      <w:r w:rsidR="004348CC" w:rsidRPr="006A227A">
        <w:rPr>
          <w:rFonts w:cstheme="minorHAnsi"/>
          <w:b/>
          <w:bCs/>
        </w:rPr>
        <w:t>testing? (</w:t>
      </w:r>
      <w:r w:rsidR="003B1006" w:rsidRPr="006A227A">
        <w:rPr>
          <w:rFonts w:cstheme="minorHAnsi"/>
          <w:b/>
          <w:bCs/>
          <w:i/>
        </w:rPr>
        <w:t>Check all the sources of</w:t>
      </w:r>
      <w:r w:rsidR="00A01494" w:rsidRPr="006A227A">
        <w:rPr>
          <w:rFonts w:cstheme="minorHAnsi"/>
          <w:b/>
          <w:bCs/>
          <w:i/>
        </w:rPr>
        <w:t xml:space="preserve"> data identified in the measure specifications and data used for testing the measure</w:t>
      </w:r>
      <w:r w:rsidR="00A01494" w:rsidRPr="006A227A">
        <w:rPr>
          <w:rFonts w:cstheme="minorHAnsi"/>
          <w:b/>
          <w:bCs/>
        </w:rPr>
        <w:t xml:space="preserve">. </w:t>
      </w:r>
      <w:r w:rsidR="00A01494" w:rsidRPr="006A227A">
        <w:rPr>
          <w:rFonts w:cstheme="minorHAnsi"/>
          <w:b/>
          <w:bCs/>
          <w:i/>
        </w:rPr>
        <w:t>T</w:t>
      </w:r>
      <w:r w:rsidR="00F435AA" w:rsidRPr="006A227A">
        <w:rPr>
          <w:rFonts w:cstheme="minorHAnsi"/>
          <w:b/>
          <w:bCs/>
          <w:i/>
        </w:rPr>
        <w:t xml:space="preserve">esting </w:t>
      </w:r>
      <w:r w:rsidR="009A25B1" w:rsidRPr="006A227A">
        <w:rPr>
          <w:rFonts w:cstheme="minorHAnsi"/>
          <w:b/>
          <w:bCs/>
          <w:i/>
        </w:rPr>
        <w:t>must be provided for</w:t>
      </w:r>
      <w:r w:rsidR="004348CC" w:rsidRPr="006A227A">
        <w:rPr>
          <w:rFonts w:cstheme="minorHAnsi"/>
          <w:b/>
          <w:bCs/>
          <w:i/>
        </w:rPr>
        <w:t xml:space="preserve"> </w:t>
      </w:r>
      <w:r w:rsidR="004B6CEE" w:rsidRPr="006A227A">
        <w:rPr>
          <w:rFonts w:cstheme="minorHAnsi"/>
          <w:b/>
          <w:bCs/>
          <w:i/>
          <w:u w:val="single"/>
        </w:rPr>
        <w:t>all</w:t>
      </w:r>
      <w:r w:rsidR="004B6CEE" w:rsidRPr="006A227A">
        <w:rPr>
          <w:rFonts w:cstheme="minorHAnsi"/>
          <w:b/>
          <w:bCs/>
          <w:i/>
        </w:rPr>
        <w:t xml:space="preserve"> the </w:t>
      </w:r>
      <w:r w:rsidR="00840A41" w:rsidRPr="006A227A">
        <w:rPr>
          <w:rFonts w:cstheme="minorHAnsi"/>
          <w:b/>
          <w:bCs/>
          <w:i/>
        </w:rPr>
        <w:t xml:space="preserve">sources </w:t>
      </w:r>
      <w:r w:rsidR="004348CC" w:rsidRPr="006A227A">
        <w:rPr>
          <w:rFonts w:cstheme="minorHAnsi"/>
          <w:b/>
          <w:bCs/>
          <w:i/>
        </w:rPr>
        <w:t xml:space="preserve">of data specified and intended for </w:t>
      </w:r>
      <w:r w:rsidR="005A7634" w:rsidRPr="006A227A">
        <w:rPr>
          <w:rFonts w:cstheme="minorHAnsi"/>
          <w:b/>
          <w:bCs/>
          <w:i/>
        </w:rPr>
        <w:t xml:space="preserve">measure </w:t>
      </w:r>
      <w:r w:rsidR="004348CC" w:rsidRPr="006A227A">
        <w:rPr>
          <w:rFonts w:cstheme="minorHAnsi"/>
          <w:b/>
          <w:bCs/>
          <w:i/>
        </w:rPr>
        <w:t>implementation</w:t>
      </w:r>
      <w:r w:rsidR="00840A41" w:rsidRPr="006A227A">
        <w:rPr>
          <w:rFonts w:cstheme="minorHAnsi"/>
          <w:b/>
          <w:bCs/>
          <w:i/>
        </w:rPr>
        <w:t xml:space="preserve">. If different </w:t>
      </w:r>
      <w:r w:rsidR="00C14CCC" w:rsidRPr="006A227A">
        <w:rPr>
          <w:rFonts w:cstheme="minorHAnsi"/>
          <w:b/>
          <w:bCs/>
          <w:i/>
        </w:rPr>
        <w:t xml:space="preserve">data </w:t>
      </w:r>
      <w:r w:rsidR="00840A41" w:rsidRPr="006A227A">
        <w:rPr>
          <w:rFonts w:cstheme="minorHAnsi"/>
          <w:b/>
          <w:bCs/>
          <w:i/>
        </w:rPr>
        <w:t>sources are used for the numerator and denominator, indicate N [numerator] or D [denominator] after the checkbox.</w:t>
      </w:r>
      <w:r w:rsidR="00A01494" w:rsidRPr="006A227A">
        <w:rPr>
          <w:rFonts w:cstheme="minorHAnsi"/>
          <w:b/>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ED2A30"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ED2A30"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ED2A30"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ED2A30"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ED2A30"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ED2A30"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ED2A30"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ED2A30"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ED2A30"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ED2A30"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668EC6CC" w:rsidR="00A01494" w:rsidRPr="000F1B7A" w:rsidRDefault="00ED2A30" w:rsidP="00D72A04">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D72A0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D72A04">
                  <w:rPr>
                    <w:rStyle w:val="Style1"/>
                  </w:rPr>
                  <w:t>Electronic Clinical Data</w:t>
                </w:r>
              </w:sdtContent>
            </w:sdt>
          </w:p>
        </w:tc>
        <w:tc>
          <w:tcPr>
            <w:tcW w:w="4847" w:type="dxa"/>
          </w:tcPr>
          <w:p w14:paraId="0CABCFAB" w14:textId="66CF781A" w:rsidR="00A01494" w:rsidRPr="000F1B7A" w:rsidRDefault="00ED2A30" w:rsidP="00D72A04">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D72A04">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text/>
              </w:sdtPr>
              <w:sdtEndPr>
                <w:rPr>
                  <w:rStyle w:val="DefaultParagraphFont"/>
                  <w:rFonts w:cstheme="minorHAnsi"/>
                  <w:bCs/>
                  <w:color w:val="auto"/>
                </w:rPr>
              </w:sdtEndPr>
              <w:sdtContent>
                <w:r w:rsidR="00D72A04">
                  <w:rPr>
                    <w:rStyle w:val="Style1"/>
                  </w:rPr>
                  <w:t>Electronic Clinical Data</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
          <w:bCs/>
        </w:rPr>
      </w:pPr>
      <w:r w:rsidRPr="006A227A">
        <w:rPr>
          <w:rFonts w:cstheme="minorHAnsi"/>
          <w:b/>
          <w:bCs/>
        </w:rPr>
        <w:t>1</w:t>
      </w:r>
      <w:r w:rsidR="00927027" w:rsidRPr="006A227A">
        <w:rPr>
          <w:rFonts w:cstheme="minorHAnsi"/>
          <w:b/>
          <w:bCs/>
        </w:rPr>
        <w:t>.</w:t>
      </w:r>
      <w:r w:rsidR="00DB3627" w:rsidRPr="006A227A">
        <w:rPr>
          <w:rFonts w:cstheme="minorHAnsi"/>
          <w:b/>
          <w:bCs/>
        </w:rPr>
        <w:t xml:space="preserve">2. </w:t>
      </w:r>
      <w:r w:rsidR="004348CC" w:rsidRPr="006A227A">
        <w:rPr>
          <w:rFonts w:cstheme="minorHAnsi"/>
          <w:b/>
          <w:bCs/>
        </w:rPr>
        <w:t>If an existing data</w:t>
      </w:r>
      <w:r w:rsidR="006327D8" w:rsidRPr="006A227A">
        <w:rPr>
          <w:rFonts w:cstheme="minorHAnsi"/>
          <w:b/>
          <w:bCs/>
        </w:rPr>
        <w:t>set</w:t>
      </w:r>
      <w:r w:rsidR="003605B4" w:rsidRPr="006A227A">
        <w:rPr>
          <w:rFonts w:cstheme="minorHAnsi"/>
          <w:b/>
          <w:bCs/>
        </w:rPr>
        <w:t xml:space="preserve"> was used</w:t>
      </w:r>
      <w:r w:rsidR="004348CC" w:rsidRPr="006A227A">
        <w:rPr>
          <w:rFonts w:cstheme="minorHAnsi"/>
          <w:b/>
          <w:bCs/>
        </w:rPr>
        <w:t xml:space="preserve">, identify the </w:t>
      </w:r>
      <w:r w:rsidR="009E1846" w:rsidRPr="006A227A">
        <w:rPr>
          <w:rFonts w:cstheme="minorHAnsi"/>
          <w:b/>
          <w:bCs/>
        </w:rPr>
        <w:t xml:space="preserve">specific </w:t>
      </w:r>
      <w:r w:rsidR="004348CC" w:rsidRPr="006A227A">
        <w:rPr>
          <w:rFonts w:cstheme="minorHAnsi"/>
          <w:b/>
          <w:bCs/>
        </w:rPr>
        <w:t>data</w:t>
      </w:r>
      <w:r w:rsidR="006327D8" w:rsidRPr="006A227A">
        <w:rPr>
          <w:rFonts w:cstheme="minorHAnsi"/>
          <w:b/>
          <w:bCs/>
        </w:rPr>
        <w:t>set</w:t>
      </w:r>
      <w:r w:rsidR="00DB3627" w:rsidRPr="006A227A">
        <w:rPr>
          <w:rFonts w:cstheme="minorHAnsi"/>
          <w:b/>
          <w:bCs/>
        </w:rPr>
        <w:t xml:space="preserve"> (</w:t>
      </w:r>
      <w:r w:rsidR="001C7B02" w:rsidRPr="006A227A">
        <w:rPr>
          <w:rFonts w:cstheme="minorHAnsi"/>
          <w:b/>
          <w:bCs/>
          <w:i/>
        </w:rPr>
        <w:t xml:space="preserve">the dataset used for testing must be consistent with the measure specifications for target population and healthcare entities being measured; </w:t>
      </w:r>
      <w:r w:rsidR="00DB3627" w:rsidRPr="006A227A">
        <w:rPr>
          <w:rFonts w:cstheme="minorHAnsi"/>
          <w:b/>
          <w:bCs/>
          <w:i/>
        </w:rPr>
        <w:t>e.g., Medicare Part A claims</w:t>
      </w:r>
      <w:r w:rsidR="009E1846" w:rsidRPr="006A227A">
        <w:rPr>
          <w:rFonts w:cstheme="minorHAnsi"/>
          <w:b/>
          <w:bCs/>
          <w:i/>
        </w:rPr>
        <w:t>,</w:t>
      </w:r>
      <w:r w:rsidR="001C7B02" w:rsidRPr="006A227A">
        <w:rPr>
          <w:rFonts w:cstheme="minorHAnsi"/>
          <w:b/>
          <w:bCs/>
          <w:i/>
        </w:rPr>
        <w:t xml:space="preserve"> Medicaid claims, other commercial insurance, nursing home MDS, home health OASIS, clinical registry</w:t>
      </w:r>
      <w:r w:rsidR="00DB3627" w:rsidRPr="006A227A">
        <w:rPr>
          <w:rFonts w:cstheme="minorHAnsi"/>
          <w:b/>
          <w:bCs/>
        </w:rPr>
        <w:t>)</w:t>
      </w:r>
      <w:r w:rsidR="009E1846" w:rsidRPr="006A227A">
        <w:rPr>
          <w:rFonts w:cstheme="minorHAnsi"/>
          <w:b/>
          <w:bCs/>
        </w:rPr>
        <w:t xml:space="preserve">. </w:t>
      </w:r>
      <w:r w:rsidR="00080CF7" w:rsidRPr="006A227A">
        <w:rPr>
          <w:rFonts w:cstheme="minorHAnsi"/>
          <w:b/>
          <w:bCs/>
        </w:rPr>
        <w:t xml:space="preserve"> </w:t>
      </w:r>
      <w:r w:rsidR="004348CC" w:rsidRPr="006A227A">
        <w:rPr>
          <w:rFonts w:cstheme="minorHAnsi"/>
          <w:b/>
          <w:bCs/>
        </w:rPr>
        <w:t xml:space="preserve"> </w:t>
      </w:r>
    </w:p>
    <w:p w14:paraId="152E1004" w14:textId="77777777" w:rsidR="006A227A" w:rsidRPr="006A227A" w:rsidRDefault="006A227A" w:rsidP="00DB3627">
      <w:pPr>
        <w:autoSpaceDE w:val="0"/>
        <w:autoSpaceDN w:val="0"/>
        <w:adjustRightInd w:val="0"/>
        <w:spacing w:after="0" w:line="240" w:lineRule="auto"/>
        <w:rPr>
          <w:rFonts w:cstheme="minorHAnsi"/>
          <w:b/>
          <w:bCs/>
        </w:rPr>
      </w:pPr>
    </w:p>
    <w:p w14:paraId="46164494" w14:textId="5F51BDC7" w:rsidR="00D72A04" w:rsidRPr="006A227A" w:rsidRDefault="00D72A04" w:rsidP="00DB3627">
      <w:pPr>
        <w:autoSpaceDE w:val="0"/>
        <w:autoSpaceDN w:val="0"/>
        <w:adjustRightInd w:val="0"/>
        <w:spacing w:after="0" w:line="240" w:lineRule="auto"/>
        <w:rPr>
          <w:rFonts w:cstheme="minorHAnsi"/>
          <w:bCs/>
        </w:rPr>
      </w:pPr>
      <w:r w:rsidRPr="006A227A">
        <w:rPr>
          <w:rFonts w:cstheme="minorHAnsi"/>
          <w:bCs/>
        </w:rPr>
        <w:t>Home Health OASIS-C2</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5CE130B4"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D72A04">
            <w:rPr>
              <w:rStyle w:val="Style1"/>
            </w:rPr>
            <w:t>January 1, 2016 to December 31, 2016</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2214768" w:rsidR="000414E8" w:rsidRPr="00A01494" w:rsidRDefault="00ED2A30"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D72A0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5DA23AF1" w:rsidR="000414E8" w:rsidRPr="00A01494" w:rsidRDefault="00ED2A30"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D72A0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ED2A30"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Pr="006A227A" w:rsidRDefault="002B5016" w:rsidP="00DB3627">
      <w:pPr>
        <w:autoSpaceDE w:val="0"/>
        <w:autoSpaceDN w:val="0"/>
        <w:adjustRightInd w:val="0"/>
        <w:spacing w:after="0" w:line="240" w:lineRule="auto"/>
        <w:rPr>
          <w:rFonts w:cstheme="minorHAnsi"/>
          <w:b/>
          <w:bCs/>
        </w:rPr>
      </w:pPr>
      <w:r w:rsidRPr="006A227A">
        <w:rPr>
          <w:rFonts w:cstheme="minorHAnsi"/>
          <w:b/>
          <w:bCs/>
        </w:rPr>
        <w:t>1.</w:t>
      </w:r>
      <w:r w:rsidR="00E310B9" w:rsidRPr="006A227A">
        <w:rPr>
          <w:rFonts w:cstheme="minorHAnsi"/>
          <w:b/>
          <w:bCs/>
        </w:rPr>
        <w:t xml:space="preserve">5. </w:t>
      </w:r>
      <w:r w:rsidR="004348CC" w:rsidRPr="006A227A">
        <w:rPr>
          <w:rFonts w:cstheme="minorHAnsi"/>
          <w:b/>
          <w:bCs/>
        </w:rPr>
        <w:t xml:space="preserve">How many and which </w:t>
      </w:r>
      <w:r w:rsidR="004348CC" w:rsidRPr="006A227A">
        <w:rPr>
          <w:rFonts w:cstheme="minorHAnsi"/>
          <w:b/>
          <w:bCs/>
          <w:u w:val="single"/>
        </w:rPr>
        <w:t>measured entities</w:t>
      </w:r>
      <w:r w:rsidR="004348CC" w:rsidRPr="006A227A">
        <w:rPr>
          <w:rFonts w:cstheme="minorHAnsi"/>
          <w:b/>
          <w:bCs/>
        </w:rPr>
        <w:t xml:space="preserve"> were included in the testing</w:t>
      </w:r>
      <w:r w:rsidR="004B6CEE" w:rsidRPr="006A227A">
        <w:rPr>
          <w:rFonts w:cstheme="minorHAnsi"/>
          <w:b/>
          <w:bCs/>
        </w:rPr>
        <w:t xml:space="preserve"> and analysis</w:t>
      </w:r>
      <w:r w:rsidR="00AA65A6" w:rsidRPr="006A227A">
        <w:rPr>
          <w:rFonts w:cstheme="minorHAnsi"/>
          <w:b/>
          <w:bCs/>
        </w:rPr>
        <w:t xml:space="preserve"> </w:t>
      </w:r>
      <w:r w:rsidR="00616EB5" w:rsidRPr="006A227A">
        <w:rPr>
          <w:rFonts w:cstheme="minorHAnsi"/>
          <w:b/>
          <w:bCs/>
        </w:rPr>
        <w:t>(</w:t>
      </w:r>
      <w:r w:rsidR="00AA65A6" w:rsidRPr="006A227A">
        <w:rPr>
          <w:rFonts w:cstheme="minorHAnsi"/>
          <w:b/>
          <w:bCs/>
        </w:rPr>
        <w:t>by level of analysis and data source</w:t>
      </w:r>
      <w:r w:rsidR="00616EB5" w:rsidRPr="006A227A">
        <w:rPr>
          <w:rFonts w:cstheme="minorHAnsi"/>
          <w:b/>
          <w:bCs/>
        </w:rPr>
        <w:t>)</w:t>
      </w:r>
      <w:r w:rsidR="004348CC" w:rsidRPr="006A227A">
        <w:rPr>
          <w:rFonts w:cstheme="minorHAnsi"/>
          <w:b/>
          <w:bCs/>
        </w:rPr>
        <w:t>? (</w:t>
      </w:r>
      <w:proofErr w:type="gramStart"/>
      <w:r w:rsidR="004348CC" w:rsidRPr="006A227A">
        <w:rPr>
          <w:rFonts w:cstheme="minorHAnsi"/>
          <w:b/>
          <w:bCs/>
          <w:i/>
        </w:rPr>
        <w:t>identify</w:t>
      </w:r>
      <w:proofErr w:type="gramEnd"/>
      <w:r w:rsidR="004348CC" w:rsidRPr="006A227A">
        <w:rPr>
          <w:rFonts w:cstheme="minorHAnsi"/>
          <w:b/>
          <w:bCs/>
          <w:i/>
        </w:rPr>
        <w:t xml:space="preserve"> </w:t>
      </w:r>
      <w:r w:rsidR="00F435AA" w:rsidRPr="006A227A">
        <w:rPr>
          <w:rFonts w:cstheme="minorHAnsi"/>
          <w:b/>
          <w:bCs/>
          <w:i/>
        </w:rPr>
        <w:t>the number</w:t>
      </w:r>
      <w:r w:rsidR="004348CC" w:rsidRPr="006A227A">
        <w:rPr>
          <w:rFonts w:cstheme="minorHAnsi"/>
          <w:b/>
          <w:bCs/>
          <w:i/>
        </w:rPr>
        <w:t xml:space="preserve"> </w:t>
      </w:r>
      <w:r w:rsidR="005A7634" w:rsidRPr="006A227A">
        <w:rPr>
          <w:rFonts w:cstheme="minorHAnsi"/>
          <w:b/>
          <w:bCs/>
          <w:i/>
        </w:rPr>
        <w:t>and descriptive</w:t>
      </w:r>
      <w:r w:rsidR="004348CC" w:rsidRPr="006A227A">
        <w:rPr>
          <w:rFonts w:cstheme="minorHAnsi"/>
          <w:b/>
          <w:bCs/>
          <w:i/>
        </w:rPr>
        <w:t xml:space="preserve"> characteristics</w:t>
      </w:r>
      <w:r w:rsidR="00DA7277" w:rsidRPr="006A227A">
        <w:rPr>
          <w:rFonts w:cstheme="minorHAnsi"/>
          <w:b/>
          <w:bCs/>
          <w:i/>
        </w:rPr>
        <w:t xml:space="preserve"> </w:t>
      </w:r>
      <w:r w:rsidR="004348CC" w:rsidRPr="006A227A">
        <w:rPr>
          <w:rFonts w:cstheme="minorHAnsi"/>
          <w:b/>
          <w:bCs/>
          <w:i/>
        </w:rPr>
        <w:t>of measured entities included in the analysis</w:t>
      </w:r>
      <w:r w:rsidR="00DA7277" w:rsidRPr="006A227A">
        <w:rPr>
          <w:rFonts w:cstheme="minorHAnsi"/>
          <w:b/>
          <w:bCs/>
          <w:i/>
        </w:rPr>
        <w:t xml:space="preserve"> (e.g., size, location, type)</w:t>
      </w:r>
      <w:r w:rsidR="004348CC" w:rsidRPr="006A227A">
        <w:rPr>
          <w:rFonts w:cstheme="minorHAnsi"/>
          <w:b/>
          <w:bCs/>
          <w:i/>
        </w:rPr>
        <w:t xml:space="preserve">; if </w:t>
      </w:r>
      <w:r w:rsidR="000968F8" w:rsidRPr="006A227A">
        <w:rPr>
          <w:rFonts w:cstheme="minorHAnsi"/>
          <w:b/>
          <w:bCs/>
          <w:i/>
        </w:rPr>
        <w:t xml:space="preserve">a </w:t>
      </w:r>
      <w:r w:rsidR="004348CC" w:rsidRPr="006A227A">
        <w:rPr>
          <w:rFonts w:cstheme="minorHAnsi"/>
          <w:b/>
          <w:bCs/>
          <w:i/>
        </w:rPr>
        <w:t>sample</w:t>
      </w:r>
      <w:r w:rsidR="00E310B9" w:rsidRPr="006A227A">
        <w:rPr>
          <w:rFonts w:cstheme="minorHAnsi"/>
          <w:b/>
          <w:bCs/>
          <w:i/>
        </w:rPr>
        <w:t xml:space="preserve"> was used</w:t>
      </w:r>
      <w:r w:rsidR="004348CC" w:rsidRPr="006A227A">
        <w:rPr>
          <w:rFonts w:cstheme="minorHAnsi"/>
          <w:b/>
          <w:bCs/>
          <w:i/>
        </w:rPr>
        <w:t xml:space="preserve">, </w:t>
      </w:r>
      <w:r w:rsidR="000968F8" w:rsidRPr="006A227A">
        <w:rPr>
          <w:rFonts w:cstheme="minorHAnsi"/>
          <w:b/>
          <w:bCs/>
          <w:i/>
        </w:rPr>
        <w:t xml:space="preserve">describe </w:t>
      </w:r>
      <w:r w:rsidR="004348CC" w:rsidRPr="006A227A">
        <w:rPr>
          <w:rFonts w:cstheme="minorHAnsi"/>
          <w:b/>
          <w:bCs/>
          <w:i/>
        </w:rPr>
        <w:t xml:space="preserve">how </w:t>
      </w:r>
      <w:r w:rsidR="005A7634" w:rsidRPr="006A227A">
        <w:rPr>
          <w:rFonts w:cstheme="minorHAnsi"/>
          <w:b/>
          <w:bCs/>
          <w:i/>
        </w:rPr>
        <w:t xml:space="preserve">entities were </w:t>
      </w:r>
      <w:r w:rsidR="000968F8" w:rsidRPr="006A227A">
        <w:rPr>
          <w:rFonts w:cstheme="minorHAnsi"/>
          <w:b/>
          <w:bCs/>
          <w:i/>
        </w:rPr>
        <w:t>selected</w:t>
      </w:r>
      <w:r w:rsidR="005A7634" w:rsidRPr="006A227A">
        <w:rPr>
          <w:rFonts w:cstheme="minorHAnsi"/>
          <w:b/>
          <w:bCs/>
          <w:i/>
        </w:rPr>
        <w:t xml:space="preserve"> for inclusion in the sample</w:t>
      </w:r>
      <w:r w:rsidR="004348CC" w:rsidRPr="006A227A">
        <w:rPr>
          <w:rFonts w:cstheme="minorHAnsi"/>
          <w:b/>
          <w:bCs/>
        </w:rPr>
        <w:t xml:space="preserve">) </w:t>
      </w:r>
    </w:p>
    <w:p w14:paraId="0CABCFC8" w14:textId="77777777" w:rsidR="002B5016" w:rsidRDefault="002B5016" w:rsidP="00DB3627">
      <w:pPr>
        <w:autoSpaceDE w:val="0"/>
        <w:autoSpaceDN w:val="0"/>
        <w:adjustRightInd w:val="0"/>
        <w:spacing w:after="0" w:line="240" w:lineRule="auto"/>
        <w:rPr>
          <w:rFonts w:cstheme="minorHAnsi"/>
          <w:bCs/>
        </w:rPr>
      </w:pPr>
    </w:p>
    <w:p w14:paraId="3B04CB8B" w14:textId="0879629A" w:rsidR="00D72A04" w:rsidRDefault="00D72A04" w:rsidP="00D72A04">
      <w:r>
        <w:lastRenderedPageBreak/>
        <w:t>To calculate the intra-class correlation (ICC) as part of reliability testing, the measure developer included Medicare-certified agencies with at least 40 home health quality episodes ending between January 1, 2016</w:t>
      </w:r>
      <w:r w:rsidRPr="00451FC7">
        <w:t xml:space="preserve"> and </w:t>
      </w:r>
      <w:r>
        <w:t>December 31, 2016</w:t>
      </w:r>
      <w:r w:rsidRPr="00451FC7">
        <w:t xml:space="preserve"> and meeting the measure denominator criteria.</w:t>
      </w:r>
      <w:r w:rsidR="00C3112C">
        <w:rPr>
          <w:rStyle w:val="FootnoteReference"/>
        </w:rPr>
        <w:footnoteReference w:id="1"/>
      </w:r>
      <w:r w:rsidRPr="00451FC7">
        <w:t xml:space="preserve"> There were </w:t>
      </w:r>
      <w:r w:rsidR="004F570A">
        <w:t>7,862</w:t>
      </w:r>
      <w:r w:rsidRPr="00451FC7">
        <w:t xml:space="preserve"> such agencies (</w:t>
      </w:r>
      <w:r w:rsidR="00EC4F73">
        <w:t>7</w:t>
      </w:r>
      <w:r w:rsidR="004F570A">
        <w:t>0.4</w:t>
      </w:r>
      <w:r w:rsidRPr="00451FC7">
        <w:t xml:space="preserve"> percent of the 11,</w:t>
      </w:r>
      <w:r w:rsidR="004F570A">
        <w:t>166</w:t>
      </w:r>
      <w:r w:rsidRPr="00451FC7">
        <w:t xml:space="preserve"> agencies with at least one quality episode </w:t>
      </w:r>
      <w:r w:rsidRPr="00451FC7">
        <w:rPr>
          <w:bCs/>
        </w:rPr>
        <w:t>meeting the measure denominator</w:t>
      </w:r>
      <w:r w:rsidRPr="00A86394">
        <w:rPr>
          <w:bCs/>
        </w:rPr>
        <w:t xml:space="preserve"> criteria</w:t>
      </w:r>
      <w:r w:rsidRPr="00A86394">
        <w:t xml:space="preserve"> ending during the same time period).  The sample included all quality episodes at these agencies (</w:t>
      </w:r>
      <w:r w:rsidR="004F570A">
        <w:t>3,825,093</w:t>
      </w:r>
      <w:r w:rsidRPr="00451FC7">
        <w:t xml:space="preserve"> in total) </w:t>
      </w:r>
      <w:r w:rsidRPr="00451FC7">
        <w:rPr>
          <w:bCs/>
        </w:rPr>
        <w:t>meeting the measure denominator criteria</w:t>
      </w:r>
      <w:r w:rsidRPr="00451FC7">
        <w:t xml:space="preserve"> ending between </w:t>
      </w:r>
      <w:r w:rsidR="00EC4F73">
        <w:t>January 1, 2016 to December 31, 2016</w:t>
      </w:r>
      <w:r w:rsidRPr="00451FC7">
        <w:t>.</w:t>
      </w:r>
    </w:p>
    <w:p w14:paraId="420159C7" w14:textId="5FDDA548" w:rsidR="00D72A04" w:rsidRDefault="00D72A04" w:rsidP="00D72A04">
      <w:r w:rsidRPr="00451FC7">
        <w:t xml:space="preserve">To calculate the beta-binomial scores (as part of reliability testing) and conduct analyses related to validity testing and exclusions, the measure developer included Medicare-certified agencies with at least 20 home health quality episodes ending between </w:t>
      </w:r>
      <w:r w:rsidR="004C1042">
        <w:t>January 1, 2016 and December 31, 2016</w:t>
      </w:r>
      <w:r w:rsidRPr="00451FC7">
        <w:t xml:space="preserve"> and meeting the measure denominator criteria. There were </w:t>
      </w:r>
      <w:r w:rsidR="004F570A">
        <w:t>9,028</w:t>
      </w:r>
      <w:r w:rsidR="004C1042" w:rsidRPr="00451FC7">
        <w:t xml:space="preserve"> </w:t>
      </w:r>
      <w:r w:rsidRPr="00451FC7">
        <w:t>such agencies (</w:t>
      </w:r>
      <w:r w:rsidR="009E7CC7">
        <w:t>8</w:t>
      </w:r>
      <w:r w:rsidR="004F570A">
        <w:t>0.9</w:t>
      </w:r>
      <w:r w:rsidRPr="00451FC7">
        <w:t xml:space="preserve"> percent of the 11,</w:t>
      </w:r>
      <w:r w:rsidR="004F570A">
        <w:t>166</w:t>
      </w:r>
      <w:r w:rsidRPr="00451FC7">
        <w:t xml:space="preserve"> agencies with at least one quality episode </w:t>
      </w:r>
      <w:r w:rsidRPr="00451FC7">
        <w:rPr>
          <w:bCs/>
        </w:rPr>
        <w:t>meeting the measure denominator criteria</w:t>
      </w:r>
      <w:r w:rsidRPr="00451FC7">
        <w:t xml:space="preserve"> ending during the same time period).  The sample included all quality episodes </w:t>
      </w:r>
      <w:r w:rsidRPr="00451FC7">
        <w:rPr>
          <w:bCs/>
        </w:rPr>
        <w:t>meeting the measure denominator criteria</w:t>
      </w:r>
      <w:r w:rsidRPr="00451FC7">
        <w:t xml:space="preserve"> at these agencies (</w:t>
      </w:r>
      <w:r w:rsidR="004F570A">
        <w:t>3,858,808</w:t>
      </w:r>
      <w:r w:rsidRPr="00451FC7">
        <w:t xml:space="preserve"> in total) ending between </w:t>
      </w:r>
      <w:r w:rsidR="00EC4F73">
        <w:t>January 1, 2016 to December 31, 2016</w:t>
      </w:r>
      <w:r w:rsidRPr="00451FC7">
        <w:t>.</w:t>
      </w:r>
      <w:r>
        <w:t xml:space="preserve"> </w:t>
      </w:r>
    </w:p>
    <w:p w14:paraId="0E3FA760" w14:textId="36CEEC7D" w:rsidR="00D72A04" w:rsidRDefault="00D72A04" w:rsidP="00D72A04">
      <w:pPr>
        <w:autoSpaceDE w:val="0"/>
        <w:autoSpaceDN w:val="0"/>
        <w:adjustRightInd w:val="0"/>
        <w:spacing w:after="0" w:line="240" w:lineRule="auto"/>
        <w:rPr>
          <w:rFonts w:cstheme="minorHAnsi"/>
          <w:bCs/>
        </w:rPr>
      </w:pPr>
      <w:r>
        <w:t xml:space="preserve">The risk adjustment model was developed using OASIS national repository data from assessments submitted between January 1, </w:t>
      </w:r>
      <w:r w:rsidR="00A21CC0">
        <w:t xml:space="preserve">2016 </w:t>
      </w:r>
      <w:r>
        <w:t xml:space="preserve">and </w:t>
      </w:r>
      <w:r w:rsidR="00A21CC0">
        <w:t>December 31</w:t>
      </w:r>
      <w:r>
        <w:t xml:space="preserve">, </w:t>
      </w:r>
      <w:r w:rsidR="00A21CC0">
        <w:t xml:space="preserve">2016 </w:t>
      </w:r>
      <w:r>
        <w:t xml:space="preserve">(which included ~ </w:t>
      </w:r>
      <w:r w:rsidR="00A21CC0">
        <w:t xml:space="preserve">6.4 </w:t>
      </w:r>
      <w:r>
        <w:t>million episodes of care).</w:t>
      </w:r>
    </w:p>
    <w:p w14:paraId="7EB8AFDD" w14:textId="77777777" w:rsidR="00D72A04" w:rsidRPr="00A25024" w:rsidRDefault="00D72A04" w:rsidP="00DB3627">
      <w:pPr>
        <w:autoSpaceDE w:val="0"/>
        <w:autoSpaceDN w:val="0"/>
        <w:adjustRightInd w:val="0"/>
        <w:spacing w:after="0" w:line="240" w:lineRule="auto"/>
        <w:rPr>
          <w:rFonts w:cstheme="minorHAnsi"/>
          <w:bCs/>
        </w:rPr>
      </w:pPr>
    </w:p>
    <w:p w14:paraId="78ED558A" w14:textId="77777777" w:rsidR="00A21CC0" w:rsidRPr="006A227A" w:rsidRDefault="002B5016" w:rsidP="00DB3627">
      <w:pPr>
        <w:autoSpaceDE w:val="0"/>
        <w:autoSpaceDN w:val="0"/>
        <w:adjustRightInd w:val="0"/>
        <w:spacing w:after="0" w:line="240" w:lineRule="auto"/>
        <w:rPr>
          <w:rFonts w:cstheme="minorHAnsi"/>
          <w:b/>
          <w:bCs/>
        </w:rPr>
      </w:pPr>
      <w:r w:rsidRPr="006A227A">
        <w:rPr>
          <w:rFonts w:cstheme="minorHAnsi"/>
          <w:b/>
          <w:bCs/>
        </w:rPr>
        <w:t>1.</w:t>
      </w:r>
      <w:r w:rsidR="00E310B9" w:rsidRPr="006A227A">
        <w:rPr>
          <w:rFonts w:cstheme="minorHAnsi"/>
          <w:b/>
          <w:bCs/>
        </w:rPr>
        <w:t xml:space="preserve">6. </w:t>
      </w:r>
      <w:r w:rsidR="007422FD" w:rsidRPr="006A227A">
        <w:rPr>
          <w:rFonts w:cstheme="minorHAnsi"/>
          <w:b/>
          <w:bCs/>
        </w:rPr>
        <w:t xml:space="preserve">How many and which </w:t>
      </w:r>
      <w:r w:rsidR="007422FD" w:rsidRPr="006A227A">
        <w:rPr>
          <w:rFonts w:cstheme="minorHAnsi"/>
          <w:b/>
          <w:bCs/>
          <w:u w:val="single"/>
        </w:rPr>
        <w:t>patients</w:t>
      </w:r>
      <w:r w:rsidR="007422FD" w:rsidRPr="006A227A">
        <w:rPr>
          <w:rFonts w:cstheme="minorHAnsi"/>
          <w:b/>
          <w:bCs/>
        </w:rPr>
        <w:t xml:space="preserve"> were included in the testing and analysis</w:t>
      </w:r>
      <w:r w:rsidR="00AA65A6" w:rsidRPr="006A227A">
        <w:rPr>
          <w:rFonts w:cstheme="minorHAnsi"/>
          <w:b/>
          <w:bCs/>
        </w:rPr>
        <w:t xml:space="preserve"> </w:t>
      </w:r>
      <w:r w:rsidR="00616EB5" w:rsidRPr="006A227A">
        <w:rPr>
          <w:rFonts w:cstheme="minorHAnsi"/>
          <w:b/>
          <w:bCs/>
        </w:rPr>
        <w:t>(</w:t>
      </w:r>
      <w:r w:rsidR="00AA65A6" w:rsidRPr="006A227A">
        <w:rPr>
          <w:rFonts w:cstheme="minorHAnsi"/>
          <w:b/>
          <w:bCs/>
        </w:rPr>
        <w:t>by level of analysis and data source</w:t>
      </w:r>
      <w:r w:rsidR="00616EB5" w:rsidRPr="006A227A">
        <w:rPr>
          <w:rFonts w:cstheme="minorHAnsi"/>
          <w:b/>
          <w:bCs/>
        </w:rPr>
        <w:t>)</w:t>
      </w:r>
      <w:r w:rsidR="007422FD" w:rsidRPr="006A227A">
        <w:rPr>
          <w:rFonts w:cstheme="minorHAnsi"/>
          <w:b/>
          <w:bCs/>
        </w:rPr>
        <w:t>? (</w:t>
      </w:r>
      <w:proofErr w:type="gramStart"/>
      <w:r w:rsidR="007422FD" w:rsidRPr="006A227A">
        <w:rPr>
          <w:rFonts w:cstheme="minorHAnsi"/>
          <w:b/>
          <w:bCs/>
          <w:i/>
        </w:rPr>
        <w:t>identify</w:t>
      </w:r>
      <w:proofErr w:type="gramEnd"/>
      <w:r w:rsidR="007422FD" w:rsidRPr="006A227A">
        <w:rPr>
          <w:rFonts w:cstheme="minorHAnsi"/>
          <w:b/>
          <w:bCs/>
          <w:i/>
        </w:rPr>
        <w:t xml:space="preserve"> </w:t>
      </w:r>
      <w:r w:rsidR="00F435AA" w:rsidRPr="006A227A">
        <w:rPr>
          <w:rFonts w:cstheme="minorHAnsi"/>
          <w:b/>
          <w:bCs/>
          <w:i/>
        </w:rPr>
        <w:t>the number</w:t>
      </w:r>
      <w:r w:rsidR="007422FD" w:rsidRPr="006A227A">
        <w:rPr>
          <w:rFonts w:cstheme="minorHAnsi"/>
          <w:b/>
          <w:bCs/>
          <w:i/>
        </w:rPr>
        <w:t xml:space="preserve"> and </w:t>
      </w:r>
      <w:r w:rsidR="005A7634" w:rsidRPr="006A227A">
        <w:rPr>
          <w:rFonts w:cstheme="minorHAnsi"/>
          <w:b/>
          <w:bCs/>
          <w:i/>
        </w:rPr>
        <w:t xml:space="preserve">descriptive </w:t>
      </w:r>
      <w:r w:rsidR="007422FD" w:rsidRPr="006A227A">
        <w:rPr>
          <w:rFonts w:cstheme="minorHAnsi"/>
          <w:b/>
          <w:bCs/>
          <w:i/>
        </w:rPr>
        <w:t>characteristics of patients</w:t>
      </w:r>
      <w:r w:rsidR="00DA7277" w:rsidRPr="006A227A">
        <w:rPr>
          <w:rFonts w:cstheme="minorHAnsi"/>
          <w:b/>
          <w:bCs/>
          <w:i/>
        </w:rPr>
        <w:t xml:space="preserve"> </w:t>
      </w:r>
      <w:r w:rsidR="007422FD" w:rsidRPr="006A227A">
        <w:rPr>
          <w:rFonts w:cstheme="minorHAnsi"/>
          <w:b/>
          <w:bCs/>
          <w:i/>
        </w:rPr>
        <w:t>included in the analysis</w:t>
      </w:r>
      <w:r w:rsidR="00DA7277" w:rsidRPr="006A227A">
        <w:rPr>
          <w:rFonts w:cstheme="minorHAnsi"/>
          <w:b/>
          <w:bCs/>
          <w:i/>
        </w:rPr>
        <w:t xml:space="preserve"> (e.g., age, sex, race, diagnosis)</w:t>
      </w:r>
      <w:r w:rsidR="007422FD" w:rsidRPr="006A227A">
        <w:rPr>
          <w:rFonts w:cstheme="minorHAnsi"/>
          <w:b/>
          <w:bCs/>
          <w:i/>
        </w:rPr>
        <w:t>; if a sample</w:t>
      </w:r>
      <w:r w:rsidR="00E310B9" w:rsidRPr="006A227A">
        <w:rPr>
          <w:rFonts w:cstheme="minorHAnsi"/>
          <w:b/>
          <w:bCs/>
          <w:i/>
        </w:rPr>
        <w:t xml:space="preserve"> was used</w:t>
      </w:r>
      <w:r w:rsidR="007422FD" w:rsidRPr="006A227A">
        <w:rPr>
          <w:rFonts w:cstheme="minorHAnsi"/>
          <w:b/>
          <w:bCs/>
          <w:i/>
        </w:rPr>
        <w:t xml:space="preserve">, describe how </w:t>
      </w:r>
      <w:r w:rsidR="005A7634" w:rsidRPr="006A227A">
        <w:rPr>
          <w:rFonts w:cstheme="minorHAnsi"/>
          <w:b/>
          <w:bCs/>
          <w:i/>
        </w:rPr>
        <w:t xml:space="preserve">patients were </w:t>
      </w:r>
      <w:r w:rsidR="007422FD" w:rsidRPr="006A227A">
        <w:rPr>
          <w:rFonts w:cstheme="minorHAnsi"/>
          <w:b/>
          <w:bCs/>
          <w:i/>
        </w:rPr>
        <w:t>selected</w:t>
      </w:r>
      <w:r w:rsidR="005A7634" w:rsidRPr="006A227A">
        <w:rPr>
          <w:rFonts w:cstheme="minorHAnsi"/>
          <w:b/>
          <w:bCs/>
          <w:i/>
        </w:rPr>
        <w:t xml:space="preserve"> for inclusion in the sample</w:t>
      </w:r>
      <w:r w:rsidR="007422FD" w:rsidRPr="006A227A">
        <w:rPr>
          <w:rFonts w:cstheme="minorHAnsi"/>
          <w:b/>
          <w:bCs/>
        </w:rPr>
        <w:t xml:space="preserve">) </w:t>
      </w:r>
    </w:p>
    <w:p w14:paraId="0BFD7F83" w14:textId="77777777" w:rsidR="00A21CC0" w:rsidRDefault="00A21CC0" w:rsidP="00DB3627">
      <w:pPr>
        <w:autoSpaceDE w:val="0"/>
        <w:autoSpaceDN w:val="0"/>
        <w:adjustRightInd w:val="0"/>
        <w:spacing w:after="0" w:line="240" w:lineRule="auto"/>
        <w:rPr>
          <w:rFonts w:cstheme="minorHAnsi"/>
          <w:bCs/>
        </w:rPr>
      </w:pPr>
    </w:p>
    <w:p w14:paraId="1711784B" w14:textId="551AB66A" w:rsidR="00A21CC0" w:rsidRDefault="00A21CC0" w:rsidP="00A21CC0">
      <w:r w:rsidRPr="00A21CC0">
        <w:t>The table below identifies the patients by population group used to calculate the intra-class correlation (ICC) as part of reliability testing. As noted in section 1.5, these are the patients represented in</w:t>
      </w:r>
      <w:r>
        <w:t xml:space="preserve"> Medicare-certified agencies with at least 40 home health quality episodes </w:t>
      </w:r>
      <w:r w:rsidRPr="009F656D">
        <w:t xml:space="preserve">ending between </w:t>
      </w:r>
      <w:r>
        <w:t>January 1, 2016 and December 31, 2016</w:t>
      </w:r>
      <w:r w:rsidRPr="00451FC7">
        <w:t xml:space="preserve"> and meeting the measure denominator criteria, the data represented </w:t>
      </w:r>
      <w:r w:rsidR="004F570A">
        <w:t>3,015,107</w:t>
      </w:r>
      <w:r w:rsidRPr="00BB35E1">
        <w:rPr>
          <w:rFonts w:eastAsia="Times New Roman" w:cs="Segoe UI"/>
          <w:color w:val="000000"/>
        </w:rPr>
        <w:t xml:space="preserve"> </w:t>
      </w:r>
      <w:r>
        <w:t xml:space="preserve">patients.  </w:t>
      </w:r>
    </w:p>
    <w:p w14:paraId="14409576" w14:textId="77777777" w:rsidR="00A21CC0" w:rsidRDefault="00A21CC0" w:rsidP="00A21CC0">
      <w:pPr>
        <w:spacing w:after="0"/>
        <w:jc w:val="center"/>
        <w:rPr>
          <w:b/>
        </w:rPr>
      </w:pPr>
      <w:r w:rsidRPr="00DF2415">
        <w:rPr>
          <w:b/>
        </w:rPr>
        <w:t>Number/Percentage of Patients Represente</w:t>
      </w:r>
      <w:r>
        <w:rPr>
          <w:b/>
        </w:rPr>
        <w:t>d in HHAs with At Least 40 Valid Episodes</w:t>
      </w:r>
      <w:r w:rsidRPr="00DF2415">
        <w:rPr>
          <w:b/>
        </w:rPr>
        <w:t xml:space="preserve">, </w:t>
      </w:r>
    </w:p>
    <w:p w14:paraId="0CB29CE6" w14:textId="77777777" w:rsidR="00A21CC0" w:rsidRDefault="00A21CC0" w:rsidP="00A21CC0">
      <w:pPr>
        <w:spacing w:after="0"/>
        <w:jc w:val="center"/>
        <w:rPr>
          <w:b/>
        </w:rPr>
      </w:pPr>
      <w:r w:rsidRPr="00DF2415">
        <w:rPr>
          <w:b/>
        </w:rPr>
        <w:t>By Population Group</w:t>
      </w:r>
    </w:p>
    <w:tbl>
      <w:tblPr>
        <w:tblStyle w:val="TableGrid"/>
        <w:tblW w:w="0" w:type="auto"/>
        <w:jc w:val="center"/>
        <w:tblLook w:val="04A0" w:firstRow="1" w:lastRow="0" w:firstColumn="1" w:lastColumn="0" w:noHBand="0" w:noVBand="1"/>
      </w:tblPr>
      <w:tblGrid>
        <w:gridCol w:w="2980"/>
        <w:gridCol w:w="1416"/>
        <w:gridCol w:w="1446"/>
        <w:gridCol w:w="1534"/>
      </w:tblGrid>
      <w:tr w:rsidR="00693DFB" w:rsidRPr="0057354C" w14:paraId="6739A88E" w14:textId="77777777" w:rsidTr="004F570A">
        <w:trPr>
          <w:trHeight w:val="300"/>
          <w:jc w:val="center"/>
        </w:trPr>
        <w:tc>
          <w:tcPr>
            <w:tcW w:w="4396" w:type="dxa"/>
            <w:gridSpan w:val="2"/>
            <w:noWrap/>
            <w:vAlign w:val="center"/>
            <w:hideMark/>
          </w:tcPr>
          <w:p w14:paraId="2E92E040" w14:textId="77777777" w:rsidR="0057354C" w:rsidRPr="0057354C" w:rsidRDefault="0057354C" w:rsidP="00EA73F7">
            <w:pPr>
              <w:autoSpaceDE w:val="0"/>
              <w:autoSpaceDN w:val="0"/>
              <w:adjustRightInd w:val="0"/>
              <w:jc w:val="center"/>
              <w:rPr>
                <w:rFonts w:cstheme="minorHAnsi"/>
                <w:bCs/>
              </w:rPr>
            </w:pPr>
            <w:r w:rsidRPr="0057354C">
              <w:rPr>
                <w:rFonts w:cstheme="minorHAnsi"/>
                <w:bCs/>
              </w:rPr>
              <w:t>Population Group</w:t>
            </w:r>
          </w:p>
        </w:tc>
        <w:tc>
          <w:tcPr>
            <w:tcW w:w="1446" w:type="dxa"/>
            <w:noWrap/>
            <w:vAlign w:val="center"/>
            <w:hideMark/>
          </w:tcPr>
          <w:p w14:paraId="53B1B331" w14:textId="1A3DB8E3" w:rsidR="0057354C" w:rsidRPr="0057354C" w:rsidRDefault="0057354C" w:rsidP="00EA73F7">
            <w:pPr>
              <w:autoSpaceDE w:val="0"/>
              <w:autoSpaceDN w:val="0"/>
              <w:adjustRightInd w:val="0"/>
              <w:jc w:val="center"/>
              <w:rPr>
                <w:rFonts w:cstheme="minorHAnsi"/>
                <w:bCs/>
              </w:rPr>
            </w:pPr>
            <w:r w:rsidRPr="0057354C">
              <w:rPr>
                <w:rFonts w:cstheme="minorHAnsi"/>
                <w:bCs/>
              </w:rPr>
              <w:t># of Patients</w:t>
            </w:r>
          </w:p>
        </w:tc>
        <w:tc>
          <w:tcPr>
            <w:tcW w:w="1534" w:type="dxa"/>
            <w:noWrap/>
            <w:vAlign w:val="center"/>
            <w:hideMark/>
          </w:tcPr>
          <w:p w14:paraId="633444A0" w14:textId="77777777" w:rsidR="0057354C" w:rsidRPr="0057354C" w:rsidRDefault="0057354C" w:rsidP="00EA73F7">
            <w:pPr>
              <w:autoSpaceDE w:val="0"/>
              <w:autoSpaceDN w:val="0"/>
              <w:adjustRightInd w:val="0"/>
              <w:jc w:val="center"/>
              <w:rPr>
                <w:rFonts w:cstheme="minorHAnsi"/>
                <w:bCs/>
              </w:rPr>
            </w:pPr>
            <w:r w:rsidRPr="0057354C">
              <w:rPr>
                <w:rFonts w:cstheme="minorHAnsi"/>
                <w:bCs/>
              </w:rPr>
              <w:t>% of Patients</w:t>
            </w:r>
          </w:p>
        </w:tc>
      </w:tr>
      <w:tr w:rsidR="00693DFB" w:rsidRPr="0057354C" w14:paraId="71AEA5DD" w14:textId="77777777" w:rsidTr="004F570A">
        <w:trPr>
          <w:trHeight w:val="300"/>
          <w:jc w:val="center"/>
        </w:trPr>
        <w:tc>
          <w:tcPr>
            <w:tcW w:w="4396" w:type="dxa"/>
            <w:gridSpan w:val="2"/>
            <w:noWrap/>
            <w:vAlign w:val="center"/>
            <w:hideMark/>
          </w:tcPr>
          <w:p w14:paraId="2A044826" w14:textId="77777777" w:rsidR="0057354C" w:rsidRPr="0057354C" w:rsidRDefault="0057354C" w:rsidP="00EA73F7">
            <w:pPr>
              <w:autoSpaceDE w:val="0"/>
              <w:autoSpaceDN w:val="0"/>
              <w:adjustRightInd w:val="0"/>
              <w:jc w:val="center"/>
              <w:rPr>
                <w:rFonts w:cstheme="minorHAnsi"/>
                <w:bCs/>
              </w:rPr>
            </w:pPr>
            <w:r w:rsidRPr="0057354C">
              <w:rPr>
                <w:rFonts w:cstheme="minorHAnsi"/>
                <w:bCs/>
              </w:rPr>
              <w:t>Total</w:t>
            </w:r>
          </w:p>
        </w:tc>
        <w:tc>
          <w:tcPr>
            <w:tcW w:w="1446" w:type="dxa"/>
            <w:noWrap/>
            <w:vAlign w:val="center"/>
            <w:hideMark/>
          </w:tcPr>
          <w:p w14:paraId="0E30B74B" w14:textId="7DF47037" w:rsidR="004F570A" w:rsidRDefault="004F570A" w:rsidP="004F570A">
            <w:pPr>
              <w:jc w:val="center"/>
              <w:rPr>
                <w:rFonts w:ascii="Calibri" w:hAnsi="Calibri" w:cs="Calibri"/>
                <w:color w:val="000000"/>
              </w:rPr>
            </w:pPr>
            <w:r>
              <w:rPr>
                <w:rFonts w:ascii="Calibri" w:hAnsi="Calibri" w:cs="Calibri"/>
                <w:color w:val="000000"/>
              </w:rPr>
              <w:t xml:space="preserve">3,015,107 </w:t>
            </w:r>
          </w:p>
          <w:p w14:paraId="01509740" w14:textId="7CD4D2A0" w:rsidR="0057354C" w:rsidRPr="0057354C" w:rsidRDefault="0057354C" w:rsidP="00EA73F7">
            <w:pPr>
              <w:autoSpaceDE w:val="0"/>
              <w:autoSpaceDN w:val="0"/>
              <w:adjustRightInd w:val="0"/>
              <w:jc w:val="center"/>
              <w:rPr>
                <w:rFonts w:cstheme="minorHAnsi"/>
                <w:bCs/>
              </w:rPr>
            </w:pPr>
          </w:p>
        </w:tc>
        <w:tc>
          <w:tcPr>
            <w:tcW w:w="1534" w:type="dxa"/>
            <w:noWrap/>
            <w:vAlign w:val="center"/>
            <w:hideMark/>
          </w:tcPr>
          <w:p w14:paraId="0BC723A2" w14:textId="77777777" w:rsidR="0057354C" w:rsidRPr="0057354C" w:rsidRDefault="0057354C" w:rsidP="00EA73F7">
            <w:pPr>
              <w:autoSpaceDE w:val="0"/>
              <w:autoSpaceDN w:val="0"/>
              <w:adjustRightInd w:val="0"/>
              <w:jc w:val="center"/>
              <w:rPr>
                <w:rFonts w:cstheme="minorHAnsi"/>
                <w:bCs/>
              </w:rPr>
            </w:pPr>
            <w:r w:rsidRPr="0057354C">
              <w:rPr>
                <w:rFonts w:cstheme="minorHAnsi"/>
                <w:bCs/>
              </w:rPr>
              <w:t>100%</w:t>
            </w:r>
          </w:p>
        </w:tc>
      </w:tr>
      <w:tr w:rsidR="004F570A" w:rsidRPr="0057354C" w14:paraId="3AAD6E88" w14:textId="77777777" w:rsidTr="006A227A">
        <w:trPr>
          <w:trHeight w:val="300"/>
          <w:jc w:val="center"/>
        </w:trPr>
        <w:tc>
          <w:tcPr>
            <w:tcW w:w="2980" w:type="dxa"/>
            <w:vMerge w:val="restart"/>
            <w:noWrap/>
            <w:vAlign w:val="center"/>
            <w:hideMark/>
          </w:tcPr>
          <w:p w14:paraId="541DF47A" w14:textId="77777777" w:rsidR="004F570A" w:rsidRPr="0057354C" w:rsidRDefault="004F570A" w:rsidP="004F570A">
            <w:pPr>
              <w:autoSpaceDE w:val="0"/>
              <w:autoSpaceDN w:val="0"/>
              <w:adjustRightInd w:val="0"/>
              <w:jc w:val="center"/>
              <w:rPr>
                <w:rFonts w:cstheme="minorHAnsi"/>
                <w:bCs/>
              </w:rPr>
            </w:pPr>
            <w:r w:rsidRPr="0057354C">
              <w:rPr>
                <w:rFonts w:cstheme="minorHAnsi"/>
                <w:bCs/>
              </w:rPr>
              <w:t>Gender</w:t>
            </w:r>
          </w:p>
        </w:tc>
        <w:tc>
          <w:tcPr>
            <w:tcW w:w="1416" w:type="dxa"/>
            <w:noWrap/>
            <w:vAlign w:val="center"/>
            <w:hideMark/>
          </w:tcPr>
          <w:p w14:paraId="1C38BED2" w14:textId="77777777" w:rsidR="004F570A" w:rsidRPr="0057354C" w:rsidRDefault="004F570A" w:rsidP="004F570A">
            <w:pPr>
              <w:autoSpaceDE w:val="0"/>
              <w:autoSpaceDN w:val="0"/>
              <w:adjustRightInd w:val="0"/>
              <w:jc w:val="center"/>
              <w:rPr>
                <w:rFonts w:cstheme="minorHAnsi"/>
                <w:bCs/>
              </w:rPr>
            </w:pPr>
            <w:r w:rsidRPr="0057354C">
              <w:rPr>
                <w:rFonts w:cstheme="minorHAnsi"/>
                <w:bCs/>
              </w:rPr>
              <w:t>Male</w:t>
            </w:r>
          </w:p>
        </w:tc>
        <w:tc>
          <w:tcPr>
            <w:tcW w:w="1446" w:type="dxa"/>
            <w:noWrap/>
            <w:hideMark/>
          </w:tcPr>
          <w:p w14:paraId="47FD313D" w14:textId="0BA14754" w:rsidR="004F570A" w:rsidRPr="0057354C" w:rsidRDefault="004F570A" w:rsidP="004F570A">
            <w:pPr>
              <w:autoSpaceDE w:val="0"/>
              <w:autoSpaceDN w:val="0"/>
              <w:adjustRightInd w:val="0"/>
              <w:jc w:val="center"/>
              <w:rPr>
                <w:rFonts w:cstheme="minorHAnsi"/>
                <w:bCs/>
              </w:rPr>
            </w:pPr>
            <w:r w:rsidRPr="00E2387A">
              <w:t xml:space="preserve">1,107,978 </w:t>
            </w:r>
          </w:p>
        </w:tc>
        <w:tc>
          <w:tcPr>
            <w:tcW w:w="1534" w:type="dxa"/>
            <w:noWrap/>
            <w:hideMark/>
          </w:tcPr>
          <w:p w14:paraId="5756DEC7" w14:textId="453A1717" w:rsidR="004F570A" w:rsidRPr="0057354C" w:rsidRDefault="004F570A" w:rsidP="004F570A">
            <w:pPr>
              <w:autoSpaceDE w:val="0"/>
              <w:autoSpaceDN w:val="0"/>
              <w:adjustRightInd w:val="0"/>
              <w:jc w:val="center"/>
              <w:rPr>
                <w:rFonts w:cstheme="minorHAnsi"/>
                <w:bCs/>
              </w:rPr>
            </w:pPr>
            <w:r w:rsidRPr="00E2387A">
              <w:t>36.75%</w:t>
            </w:r>
          </w:p>
        </w:tc>
      </w:tr>
      <w:tr w:rsidR="004F570A" w:rsidRPr="0057354C" w14:paraId="1CA30406" w14:textId="77777777" w:rsidTr="006A227A">
        <w:trPr>
          <w:trHeight w:val="300"/>
          <w:jc w:val="center"/>
        </w:trPr>
        <w:tc>
          <w:tcPr>
            <w:tcW w:w="2980" w:type="dxa"/>
            <w:vMerge/>
            <w:vAlign w:val="center"/>
            <w:hideMark/>
          </w:tcPr>
          <w:p w14:paraId="2A762303"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1129E822" w14:textId="77777777" w:rsidR="004F570A" w:rsidRPr="0057354C" w:rsidRDefault="004F570A" w:rsidP="004F570A">
            <w:pPr>
              <w:autoSpaceDE w:val="0"/>
              <w:autoSpaceDN w:val="0"/>
              <w:adjustRightInd w:val="0"/>
              <w:jc w:val="center"/>
              <w:rPr>
                <w:rFonts w:cstheme="minorHAnsi"/>
                <w:bCs/>
              </w:rPr>
            </w:pPr>
            <w:r w:rsidRPr="0057354C">
              <w:rPr>
                <w:rFonts w:cstheme="minorHAnsi"/>
                <w:bCs/>
              </w:rPr>
              <w:t>Female</w:t>
            </w:r>
          </w:p>
        </w:tc>
        <w:tc>
          <w:tcPr>
            <w:tcW w:w="1446" w:type="dxa"/>
            <w:noWrap/>
            <w:hideMark/>
          </w:tcPr>
          <w:p w14:paraId="0FBB231E" w14:textId="6094A253" w:rsidR="004F570A" w:rsidRPr="0057354C" w:rsidRDefault="004F570A" w:rsidP="004F570A">
            <w:pPr>
              <w:autoSpaceDE w:val="0"/>
              <w:autoSpaceDN w:val="0"/>
              <w:adjustRightInd w:val="0"/>
              <w:jc w:val="center"/>
              <w:rPr>
                <w:rFonts w:cstheme="minorHAnsi"/>
                <w:bCs/>
              </w:rPr>
            </w:pPr>
            <w:r w:rsidRPr="00E2387A">
              <w:t xml:space="preserve">1,907,129 </w:t>
            </w:r>
          </w:p>
        </w:tc>
        <w:tc>
          <w:tcPr>
            <w:tcW w:w="1534" w:type="dxa"/>
            <w:noWrap/>
            <w:hideMark/>
          </w:tcPr>
          <w:p w14:paraId="193EE34F" w14:textId="4124233E" w:rsidR="004F570A" w:rsidRPr="0057354C" w:rsidRDefault="004F570A" w:rsidP="004F570A">
            <w:pPr>
              <w:autoSpaceDE w:val="0"/>
              <w:autoSpaceDN w:val="0"/>
              <w:adjustRightInd w:val="0"/>
              <w:jc w:val="center"/>
              <w:rPr>
                <w:rFonts w:cstheme="minorHAnsi"/>
                <w:bCs/>
              </w:rPr>
            </w:pPr>
            <w:r w:rsidRPr="00E2387A">
              <w:t>63.25%</w:t>
            </w:r>
          </w:p>
        </w:tc>
      </w:tr>
      <w:tr w:rsidR="004F570A" w:rsidRPr="0057354C" w14:paraId="0DE5061D" w14:textId="77777777" w:rsidTr="006A227A">
        <w:trPr>
          <w:trHeight w:val="300"/>
          <w:jc w:val="center"/>
        </w:trPr>
        <w:tc>
          <w:tcPr>
            <w:tcW w:w="2980" w:type="dxa"/>
            <w:vMerge w:val="restart"/>
            <w:vAlign w:val="center"/>
            <w:hideMark/>
          </w:tcPr>
          <w:p w14:paraId="34DE281B" w14:textId="77777777" w:rsidR="004F570A" w:rsidRPr="0057354C" w:rsidRDefault="004F570A" w:rsidP="004F570A">
            <w:pPr>
              <w:autoSpaceDE w:val="0"/>
              <w:autoSpaceDN w:val="0"/>
              <w:adjustRightInd w:val="0"/>
              <w:jc w:val="center"/>
              <w:rPr>
                <w:rFonts w:cstheme="minorHAnsi"/>
                <w:bCs/>
              </w:rPr>
            </w:pPr>
            <w:r w:rsidRPr="0057354C">
              <w:rPr>
                <w:rFonts w:cstheme="minorHAnsi"/>
                <w:bCs/>
              </w:rPr>
              <w:t>Race</w:t>
            </w:r>
          </w:p>
        </w:tc>
        <w:tc>
          <w:tcPr>
            <w:tcW w:w="1416" w:type="dxa"/>
            <w:noWrap/>
            <w:vAlign w:val="center"/>
            <w:hideMark/>
          </w:tcPr>
          <w:p w14:paraId="49B56A0D" w14:textId="77777777" w:rsidR="004F570A" w:rsidRPr="0057354C" w:rsidRDefault="004F570A" w:rsidP="004F570A">
            <w:pPr>
              <w:autoSpaceDE w:val="0"/>
              <w:autoSpaceDN w:val="0"/>
              <w:adjustRightInd w:val="0"/>
              <w:jc w:val="center"/>
              <w:rPr>
                <w:rFonts w:cstheme="minorHAnsi"/>
                <w:bCs/>
              </w:rPr>
            </w:pPr>
            <w:r w:rsidRPr="0057354C">
              <w:rPr>
                <w:rFonts w:cstheme="minorHAnsi"/>
                <w:bCs/>
              </w:rPr>
              <w:t>White</w:t>
            </w:r>
          </w:p>
        </w:tc>
        <w:tc>
          <w:tcPr>
            <w:tcW w:w="1446" w:type="dxa"/>
            <w:noWrap/>
            <w:hideMark/>
          </w:tcPr>
          <w:p w14:paraId="4FB2512F" w14:textId="2268DA3E" w:rsidR="004F570A" w:rsidRPr="0057354C" w:rsidRDefault="004F570A" w:rsidP="004F570A">
            <w:pPr>
              <w:autoSpaceDE w:val="0"/>
              <w:autoSpaceDN w:val="0"/>
              <w:adjustRightInd w:val="0"/>
              <w:jc w:val="center"/>
              <w:rPr>
                <w:rFonts w:cstheme="minorHAnsi"/>
                <w:bCs/>
              </w:rPr>
            </w:pPr>
            <w:r w:rsidRPr="00E2387A">
              <w:t xml:space="preserve">2,347,495 </w:t>
            </w:r>
          </w:p>
        </w:tc>
        <w:tc>
          <w:tcPr>
            <w:tcW w:w="1534" w:type="dxa"/>
            <w:noWrap/>
            <w:hideMark/>
          </w:tcPr>
          <w:p w14:paraId="06E15776" w14:textId="2B893266" w:rsidR="004F570A" w:rsidRPr="0057354C" w:rsidRDefault="004F570A" w:rsidP="004F570A">
            <w:pPr>
              <w:autoSpaceDE w:val="0"/>
              <w:autoSpaceDN w:val="0"/>
              <w:adjustRightInd w:val="0"/>
              <w:jc w:val="center"/>
              <w:rPr>
                <w:rFonts w:cstheme="minorHAnsi"/>
                <w:bCs/>
              </w:rPr>
            </w:pPr>
            <w:r w:rsidRPr="00E2387A">
              <w:t>77.86%</w:t>
            </w:r>
          </w:p>
        </w:tc>
      </w:tr>
      <w:tr w:rsidR="004F570A" w:rsidRPr="0057354C" w14:paraId="04F6937A" w14:textId="77777777" w:rsidTr="006A227A">
        <w:trPr>
          <w:trHeight w:val="300"/>
          <w:jc w:val="center"/>
        </w:trPr>
        <w:tc>
          <w:tcPr>
            <w:tcW w:w="2980" w:type="dxa"/>
            <w:vMerge/>
            <w:vAlign w:val="center"/>
            <w:hideMark/>
          </w:tcPr>
          <w:p w14:paraId="26283B83"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707FD42C" w14:textId="77777777" w:rsidR="004F570A" w:rsidRPr="0057354C" w:rsidRDefault="004F570A" w:rsidP="004F570A">
            <w:pPr>
              <w:autoSpaceDE w:val="0"/>
              <w:autoSpaceDN w:val="0"/>
              <w:adjustRightInd w:val="0"/>
              <w:jc w:val="center"/>
              <w:rPr>
                <w:rFonts w:cstheme="minorHAnsi"/>
                <w:bCs/>
              </w:rPr>
            </w:pPr>
            <w:r w:rsidRPr="0057354C">
              <w:rPr>
                <w:rFonts w:cstheme="minorHAnsi"/>
                <w:bCs/>
              </w:rPr>
              <w:t>Black</w:t>
            </w:r>
          </w:p>
        </w:tc>
        <w:tc>
          <w:tcPr>
            <w:tcW w:w="1446" w:type="dxa"/>
            <w:noWrap/>
            <w:hideMark/>
          </w:tcPr>
          <w:p w14:paraId="72FB960A" w14:textId="495F3D88" w:rsidR="004F570A" w:rsidRPr="0057354C" w:rsidRDefault="004F570A" w:rsidP="004F570A">
            <w:pPr>
              <w:autoSpaceDE w:val="0"/>
              <w:autoSpaceDN w:val="0"/>
              <w:adjustRightInd w:val="0"/>
              <w:jc w:val="center"/>
              <w:rPr>
                <w:rFonts w:cstheme="minorHAnsi"/>
                <w:bCs/>
              </w:rPr>
            </w:pPr>
            <w:r w:rsidRPr="00E2387A">
              <w:t xml:space="preserve">372,234 </w:t>
            </w:r>
          </w:p>
        </w:tc>
        <w:tc>
          <w:tcPr>
            <w:tcW w:w="1534" w:type="dxa"/>
            <w:noWrap/>
            <w:hideMark/>
          </w:tcPr>
          <w:p w14:paraId="38B7F9CA" w14:textId="1130C47D" w:rsidR="004F570A" w:rsidRPr="0057354C" w:rsidRDefault="004F570A" w:rsidP="004F570A">
            <w:pPr>
              <w:autoSpaceDE w:val="0"/>
              <w:autoSpaceDN w:val="0"/>
              <w:adjustRightInd w:val="0"/>
              <w:jc w:val="center"/>
              <w:rPr>
                <w:rFonts w:cstheme="minorHAnsi"/>
                <w:bCs/>
              </w:rPr>
            </w:pPr>
            <w:r w:rsidRPr="00E2387A">
              <w:t>12.3</w:t>
            </w:r>
            <w:r w:rsidR="00A96009">
              <w:t>4</w:t>
            </w:r>
            <w:r w:rsidRPr="00E2387A">
              <w:t>%</w:t>
            </w:r>
          </w:p>
        </w:tc>
      </w:tr>
      <w:tr w:rsidR="004F570A" w:rsidRPr="0057354C" w14:paraId="71AEE501" w14:textId="77777777" w:rsidTr="006A227A">
        <w:trPr>
          <w:trHeight w:val="300"/>
          <w:jc w:val="center"/>
        </w:trPr>
        <w:tc>
          <w:tcPr>
            <w:tcW w:w="2980" w:type="dxa"/>
            <w:vMerge/>
            <w:vAlign w:val="center"/>
            <w:hideMark/>
          </w:tcPr>
          <w:p w14:paraId="028461AD"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2BA3DFB9" w14:textId="77777777" w:rsidR="004F570A" w:rsidRPr="0057354C" w:rsidRDefault="004F570A" w:rsidP="004F570A">
            <w:pPr>
              <w:autoSpaceDE w:val="0"/>
              <w:autoSpaceDN w:val="0"/>
              <w:adjustRightInd w:val="0"/>
              <w:jc w:val="center"/>
              <w:rPr>
                <w:rFonts w:cstheme="minorHAnsi"/>
                <w:bCs/>
              </w:rPr>
            </w:pPr>
            <w:r w:rsidRPr="0057354C">
              <w:rPr>
                <w:rFonts w:cstheme="minorHAnsi"/>
                <w:bCs/>
              </w:rPr>
              <w:t>Hispanic</w:t>
            </w:r>
          </w:p>
        </w:tc>
        <w:tc>
          <w:tcPr>
            <w:tcW w:w="1446" w:type="dxa"/>
            <w:noWrap/>
            <w:hideMark/>
          </w:tcPr>
          <w:p w14:paraId="48CA86B0" w14:textId="56E53216" w:rsidR="004F570A" w:rsidRPr="0057354C" w:rsidRDefault="004F570A" w:rsidP="004F570A">
            <w:pPr>
              <w:autoSpaceDE w:val="0"/>
              <w:autoSpaceDN w:val="0"/>
              <w:adjustRightInd w:val="0"/>
              <w:jc w:val="center"/>
              <w:rPr>
                <w:rFonts w:cstheme="minorHAnsi"/>
                <w:bCs/>
              </w:rPr>
            </w:pPr>
            <w:r w:rsidRPr="00E2387A">
              <w:t xml:space="preserve">212,524 </w:t>
            </w:r>
          </w:p>
        </w:tc>
        <w:tc>
          <w:tcPr>
            <w:tcW w:w="1534" w:type="dxa"/>
            <w:noWrap/>
            <w:hideMark/>
          </w:tcPr>
          <w:p w14:paraId="1C9DED8C" w14:textId="31BF6A82" w:rsidR="004F570A" w:rsidRPr="0057354C" w:rsidRDefault="004F570A" w:rsidP="004F570A">
            <w:pPr>
              <w:autoSpaceDE w:val="0"/>
              <w:autoSpaceDN w:val="0"/>
              <w:adjustRightInd w:val="0"/>
              <w:jc w:val="center"/>
              <w:rPr>
                <w:rFonts w:cstheme="minorHAnsi"/>
                <w:bCs/>
              </w:rPr>
            </w:pPr>
            <w:r w:rsidRPr="00E2387A">
              <w:t>7.05%</w:t>
            </w:r>
          </w:p>
        </w:tc>
      </w:tr>
      <w:tr w:rsidR="004F570A" w:rsidRPr="0057354C" w14:paraId="4DC9C6FA" w14:textId="77777777" w:rsidTr="006A227A">
        <w:trPr>
          <w:trHeight w:val="300"/>
          <w:jc w:val="center"/>
        </w:trPr>
        <w:tc>
          <w:tcPr>
            <w:tcW w:w="2980" w:type="dxa"/>
            <w:vMerge/>
            <w:vAlign w:val="center"/>
            <w:hideMark/>
          </w:tcPr>
          <w:p w14:paraId="5D944CB3"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1D4F5A41" w14:textId="77777777" w:rsidR="004F570A" w:rsidRPr="0057354C" w:rsidRDefault="004F570A" w:rsidP="004F570A">
            <w:pPr>
              <w:autoSpaceDE w:val="0"/>
              <w:autoSpaceDN w:val="0"/>
              <w:adjustRightInd w:val="0"/>
              <w:jc w:val="center"/>
              <w:rPr>
                <w:rFonts w:cstheme="minorHAnsi"/>
                <w:bCs/>
              </w:rPr>
            </w:pPr>
            <w:r w:rsidRPr="0057354C">
              <w:rPr>
                <w:rFonts w:cstheme="minorHAnsi"/>
                <w:bCs/>
              </w:rPr>
              <w:t>Other</w:t>
            </w:r>
          </w:p>
        </w:tc>
        <w:tc>
          <w:tcPr>
            <w:tcW w:w="1446" w:type="dxa"/>
            <w:noWrap/>
            <w:hideMark/>
          </w:tcPr>
          <w:p w14:paraId="08462052" w14:textId="1765C203" w:rsidR="004F570A" w:rsidRPr="0057354C" w:rsidRDefault="004F570A" w:rsidP="004F570A">
            <w:pPr>
              <w:autoSpaceDE w:val="0"/>
              <w:autoSpaceDN w:val="0"/>
              <w:adjustRightInd w:val="0"/>
              <w:jc w:val="center"/>
              <w:rPr>
                <w:rFonts w:cstheme="minorHAnsi"/>
                <w:bCs/>
              </w:rPr>
            </w:pPr>
            <w:r w:rsidRPr="00E2387A">
              <w:t xml:space="preserve">82,854 </w:t>
            </w:r>
          </w:p>
        </w:tc>
        <w:tc>
          <w:tcPr>
            <w:tcW w:w="1534" w:type="dxa"/>
            <w:noWrap/>
            <w:hideMark/>
          </w:tcPr>
          <w:p w14:paraId="05529FD1" w14:textId="35D0BD30" w:rsidR="004F570A" w:rsidRPr="0057354C" w:rsidRDefault="004F570A" w:rsidP="004F570A">
            <w:pPr>
              <w:autoSpaceDE w:val="0"/>
              <w:autoSpaceDN w:val="0"/>
              <w:adjustRightInd w:val="0"/>
              <w:jc w:val="center"/>
              <w:rPr>
                <w:rFonts w:cstheme="minorHAnsi"/>
                <w:bCs/>
              </w:rPr>
            </w:pPr>
            <w:r w:rsidRPr="00E2387A">
              <w:t>2.75%</w:t>
            </w:r>
          </w:p>
        </w:tc>
      </w:tr>
      <w:tr w:rsidR="004F570A" w:rsidRPr="0057354C" w14:paraId="0DC12924" w14:textId="77777777" w:rsidTr="006A227A">
        <w:trPr>
          <w:trHeight w:val="300"/>
          <w:jc w:val="center"/>
        </w:trPr>
        <w:tc>
          <w:tcPr>
            <w:tcW w:w="2980" w:type="dxa"/>
            <w:vMerge w:val="restart"/>
            <w:vAlign w:val="center"/>
            <w:hideMark/>
          </w:tcPr>
          <w:p w14:paraId="50E34B8C" w14:textId="77777777" w:rsidR="004F570A" w:rsidRPr="0057354C" w:rsidRDefault="004F570A" w:rsidP="004F570A">
            <w:pPr>
              <w:autoSpaceDE w:val="0"/>
              <w:autoSpaceDN w:val="0"/>
              <w:adjustRightInd w:val="0"/>
              <w:jc w:val="center"/>
              <w:rPr>
                <w:rFonts w:cstheme="minorHAnsi"/>
                <w:bCs/>
              </w:rPr>
            </w:pPr>
            <w:r w:rsidRPr="0057354C">
              <w:rPr>
                <w:rFonts w:cstheme="minorHAnsi"/>
                <w:bCs/>
              </w:rPr>
              <w:t>Age</w:t>
            </w:r>
          </w:p>
        </w:tc>
        <w:tc>
          <w:tcPr>
            <w:tcW w:w="1416" w:type="dxa"/>
            <w:noWrap/>
            <w:vAlign w:val="center"/>
            <w:hideMark/>
          </w:tcPr>
          <w:p w14:paraId="3AD614D3" w14:textId="77777777" w:rsidR="004F570A" w:rsidRPr="0057354C" w:rsidRDefault="004F570A" w:rsidP="004F570A">
            <w:pPr>
              <w:autoSpaceDE w:val="0"/>
              <w:autoSpaceDN w:val="0"/>
              <w:adjustRightInd w:val="0"/>
              <w:jc w:val="center"/>
              <w:rPr>
                <w:rFonts w:cstheme="minorHAnsi"/>
                <w:bCs/>
              </w:rPr>
            </w:pPr>
            <w:r w:rsidRPr="0057354C">
              <w:rPr>
                <w:rFonts w:cstheme="minorHAnsi"/>
                <w:bCs/>
              </w:rPr>
              <w:t>Under 65</w:t>
            </w:r>
          </w:p>
        </w:tc>
        <w:tc>
          <w:tcPr>
            <w:tcW w:w="1446" w:type="dxa"/>
            <w:noWrap/>
            <w:hideMark/>
          </w:tcPr>
          <w:p w14:paraId="41E9A9C2" w14:textId="23F6BAF2" w:rsidR="004F570A" w:rsidRPr="0057354C" w:rsidRDefault="004F570A" w:rsidP="004F570A">
            <w:pPr>
              <w:autoSpaceDE w:val="0"/>
              <w:autoSpaceDN w:val="0"/>
              <w:adjustRightInd w:val="0"/>
              <w:jc w:val="center"/>
              <w:rPr>
                <w:rFonts w:cstheme="minorHAnsi"/>
                <w:bCs/>
              </w:rPr>
            </w:pPr>
            <w:r w:rsidRPr="00E2387A">
              <w:t xml:space="preserve">539,105 </w:t>
            </w:r>
          </w:p>
        </w:tc>
        <w:tc>
          <w:tcPr>
            <w:tcW w:w="1534" w:type="dxa"/>
            <w:noWrap/>
            <w:hideMark/>
          </w:tcPr>
          <w:p w14:paraId="3C225FC7" w14:textId="4B6EADF4" w:rsidR="004F570A" w:rsidRPr="0057354C" w:rsidRDefault="004F570A" w:rsidP="004F570A">
            <w:pPr>
              <w:autoSpaceDE w:val="0"/>
              <w:autoSpaceDN w:val="0"/>
              <w:adjustRightInd w:val="0"/>
              <w:jc w:val="center"/>
              <w:rPr>
                <w:rFonts w:cstheme="minorHAnsi"/>
                <w:bCs/>
              </w:rPr>
            </w:pPr>
            <w:r w:rsidRPr="00E2387A">
              <w:t>17.88%</w:t>
            </w:r>
          </w:p>
        </w:tc>
      </w:tr>
      <w:tr w:rsidR="004F570A" w:rsidRPr="0057354C" w14:paraId="02F8A70B" w14:textId="77777777" w:rsidTr="006A227A">
        <w:trPr>
          <w:trHeight w:val="300"/>
          <w:jc w:val="center"/>
        </w:trPr>
        <w:tc>
          <w:tcPr>
            <w:tcW w:w="2980" w:type="dxa"/>
            <w:vMerge/>
            <w:vAlign w:val="center"/>
            <w:hideMark/>
          </w:tcPr>
          <w:p w14:paraId="4654075F"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20AB9151" w14:textId="77777777" w:rsidR="004F570A" w:rsidRPr="0057354C" w:rsidRDefault="004F570A" w:rsidP="004F570A">
            <w:pPr>
              <w:autoSpaceDE w:val="0"/>
              <w:autoSpaceDN w:val="0"/>
              <w:adjustRightInd w:val="0"/>
              <w:jc w:val="center"/>
              <w:rPr>
                <w:rFonts w:cstheme="minorHAnsi"/>
                <w:bCs/>
              </w:rPr>
            </w:pPr>
            <w:r w:rsidRPr="0057354C">
              <w:rPr>
                <w:rFonts w:cstheme="minorHAnsi"/>
                <w:bCs/>
              </w:rPr>
              <w:t>65-74</w:t>
            </w:r>
          </w:p>
        </w:tc>
        <w:tc>
          <w:tcPr>
            <w:tcW w:w="1446" w:type="dxa"/>
            <w:noWrap/>
            <w:hideMark/>
          </w:tcPr>
          <w:p w14:paraId="70F2A70A" w14:textId="701453E3" w:rsidR="004F570A" w:rsidRPr="0057354C" w:rsidRDefault="004F570A" w:rsidP="004F570A">
            <w:pPr>
              <w:autoSpaceDE w:val="0"/>
              <w:autoSpaceDN w:val="0"/>
              <w:adjustRightInd w:val="0"/>
              <w:jc w:val="center"/>
              <w:rPr>
                <w:rFonts w:cstheme="minorHAnsi"/>
                <w:bCs/>
              </w:rPr>
            </w:pPr>
            <w:r w:rsidRPr="00E2387A">
              <w:t xml:space="preserve">875,488 </w:t>
            </w:r>
          </w:p>
        </w:tc>
        <w:tc>
          <w:tcPr>
            <w:tcW w:w="1534" w:type="dxa"/>
            <w:noWrap/>
            <w:hideMark/>
          </w:tcPr>
          <w:p w14:paraId="27FF29F0" w14:textId="56E31B08" w:rsidR="004F570A" w:rsidRPr="0057354C" w:rsidRDefault="004F570A" w:rsidP="004F570A">
            <w:pPr>
              <w:autoSpaceDE w:val="0"/>
              <w:autoSpaceDN w:val="0"/>
              <w:adjustRightInd w:val="0"/>
              <w:jc w:val="center"/>
              <w:rPr>
                <w:rFonts w:cstheme="minorHAnsi"/>
                <w:bCs/>
              </w:rPr>
            </w:pPr>
            <w:r w:rsidRPr="00E2387A">
              <w:t>29.04%</w:t>
            </w:r>
          </w:p>
        </w:tc>
      </w:tr>
      <w:tr w:rsidR="004F570A" w:rsidRPr="0057354C" w14:paraId="719854C7" w14:textId="77777777" w:rsidTr="006A227A">
        <w:trPr>
          <w:trHeight w:val="300"/>
          <w:jc w:val="center"/>
        </w:trPr>
        <w:tc>
          <w:tcPr>
            <w:tcW w:w="2980" w:type="dxa"/>
            <w:vMerge/>
            <w:vAlign w:val="center"/>
            <w:hideMark/>
          </w:tcPr>
          <w:p w14:paraId="182D1615"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14B4E93E" w14:textId="77777777" w:rsidR="004F570A" w:rsidRPr="0057354C" w:rsidRDefault="004F570A" w:rsidP="004F570A">
            <w:pPr>
              <w:autoSpaceDE w:val="0"/>
              <w:autoSpaceDN w:val="0"/>
              <w:adjustRightInd w:val="0"/>
              <w:jc w:val="center"/>
              <w:rPr>
                <w:rFonts w:cstheme="minorHAnsi"/>
                <w:bCs/>
              </w:rPr>
            </w:pPr>
            <w:r w:rsidRPr="0057354C">
              <w:rPr>
                <w:rFonts w:cstheme="minorHAnsi"/>
                <w:bCs/>
              </w:rPr>
              <w:t>75-84</w:t>
            </w:r>
          </w:p>
        </w:tc>
        <w:tc>
          <w:tcPr>
            <w:tcW w:w="1446" w:type="dxa"/>
            <w:noWrap/>
            <w:hideMark/>
          </w:tcPr>
          <w:p w14:paraId="7B64B02F" w14:textId="6190ED94" w:rsidR="004F570A" w:rsidRPr="0057354C" w:rsidRDefault="004F570A" w:rsidP="004F570A">
            <w:pPr>
              <w:autoSpaceDE w:val="0"/>
              <w:autoSpaceDN w:val="0"/>
              <w:adjustRightInd w:val="0"/>
              <w:jc w:val="center"/>
              <w:rPr>
                <w:rFonts w:cstheme="minorHAnsi"/>
                <w:bCs/>
              </w:rPr>
            </w:pPr>
            <w:r w:rsidRPr="00E2387A">
              <w:t xml:space="preserve">893,741 </w:t>
            </w:r>
          </w:p>
        </w:tc>
        <w:tc>
          <w:tcPr>
            <w:tcW w:w="1534" w:type="dxa"/>
            <w:noWrap/>
            <w:hideMark/>
          </w:tcPr>
          <w:p w14:paraId="60C7F1E9" w14:textId="0FF72148" w:rsidR="004F570A" w:rsidRPr="0057354C" w:rsidRDefault="004F570A" w:rsidP="004F570A">
            <w:pPr>
              <w:autoSpaceDE w:val="0"/>
              <w:autoSpaceDN w:val="0"/>
              <w:adjustRightInd w:val="0"/>
              <w:jc w:val="center"/>
              <w:rPr>
                <w:rFonts w:cstheme="minorHAnsi"/>
                <w:bCs/>
              </w:rPr>
            </w:pPr>
            <w:r w:rsidRPr="00E2387A">
              <w:t>29.64%</w:t>
            </w:r>
          </w:p>
        </w:tc>
      </w:tr>
      <w:tr w:rsidR="004F570A" w:rsidRPr="0057354C" w14:paraId="27F0FEFC" w14:textId="77777777" w:rsidTr="006A227A">
        <w:trPr>
          <w:trHeight w:val="300"/>
          <w:jc w:val="center"/>
        </w:trPr>
        <w:tc>
          <w:tcPr>
            <w:tcW w:w="2980" w:type="dxa"/>
            <w:vMerge/>
            <w:vAlign w:val="center"/>
            <w:hideMark/>
          </w:tcPr>
          <w:p w14:paraId="7BF94E06"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26334693" w14:textId="77777777" w:rsidR="004F570A" w:rsidRPr="0057354C" w:rsidRDefault="004F570A" w:rsidP="004F570A">
            <w:pPr>
              <w:autoSpaceDE w:val="0"/>
              <w:autoSpaceDN w:val="0"/>
              <w:adjustRightInd w:val="0"/>
              <w:jc w:val="center"/>
              <w:rPr>
                <w:rFonts w:cstheme="minorHAnsi"/>
                <w:bCs/>
              </w:rPr>
            </w:pPr>
            <w:r w:rsidRPr="0057354C">
              <w:rPr>
                <w:rFonts w:cstheme="minorHAnsi"/>
                <w:bCs/>
              </w:rPr>
              <w:t>85 and Over</w:t>
            </w:r>
          </w:p>
        </w:tc>
        <w:tc>
          <w:tcPr>
            <w:tcW w:w="1446" w:type="dxa"/>
            <w:noWrap/>
            <w:hideMark/>
          </w:tcPr>
          <w:p w14:paraId="18273BC3" w14:textId="16C48AD2" w:rsidR="004F570A" w:rsidRPr="0057354C" w:rsidRDefault="004F570A" w:rsidP="004F570A">
            <w:pPr>
              <w:autoSpaceDE w:val="0"/>
              <w:autoSpaceDN w:val="0"/>
              <w:adjustRightInd w:val="0"/>
              <w:jc w:val="center"/>
              <w:rPr>
                <w:rFonts w:cstheme="minorHAnsi"/>
                <w:bCs/>
              </w:rPr>
            </w:pPr>
            <w:r w:rsidRPr="00E2387A">
              <w:t xml:space="preserve">706,773 </w:t>
            </w:r>
          </w:p>
        </w:tc>
        <w:tc>
          <w:tcPr>
            <w:tcW w:w="1534" w:type="dxa"/>
            <w:noWrap/>
            <w:hideMark/>
          </w:tcPr>
          <w:p w14:paraId="342C70D2" w14:textId="0D0E4E98" w:rsidR="004F570A" w:rsidRPr="0057354C" w:rsidRDefault="004F570A" w:rsidP="004F570A">
            <w:pPr>
              <w:autoSpaceDE w:val="0"/>
              <w:autoSpaceDN w:val="0"/>
              <w:adjustRightInd w:val="0"/>
              <w:jc w:val="center"/>
              <w:rPr>
                <w:rFonts w:cstheme="minorHAnsi"/>
                <w:bCs/>
              </w:rPr>
            </w:pPr>
            <w:r w:rsidRPr="00E2387A">
              <w:t>23.44%</w:t>
            </w:r>
          </w:p>
        </w:tc>
      </w:tr>
      <w:tr w:rsidR="004F570A" w:rsidRPr="0057354C" w14:paraId="47B22F7C" w14:textId="77777777" w:rsidTr="006A227A">
        <w:trPr>
          <w:trHeight w:val="300"/>
          <w:jc w:val="center"/>
        </w:trPr>
        <w:tc>
          <w:tcPr>
            <w:tcW w:w="2980" w:type="dxa"/>
            <w:vMerge w:val="restart"/>
            <w:vAlign w:val="center"/>
            <w:hideMark/>
          </w:tcPr>
          <w:p w14:paraId="6372C317" w14:textId="407C5CBE" w:rsidR="004F570A" w:rsidRPr="0057354C" w:rsidRDefault="004F570A" w:rsidP="004F570A">
            <w:pPr>
              <w:autoSpaceDE w:val="0"/>
              <w:autoSpaceDN w:val="0"/>
              <w:adjustRightInd w:val="0"/>
              <w:jc w:val="center"/>
              <w:rPr>
                <w:rFonts w:cstheme="minorHAnsi"/>
                <w:bCs/>
              </w:rPr>
            </w:pPr>
            <w:r w:rsidRPr="0057354C">
              <w:rPr>
                <w:rFonts w:cstheme="minorHAnsi"/>
                <w:bCs/>
              </w:rPr>
              <w:t xml:space="preserve">Dual Enrollment in </w:t>
            </w:r>
            <w:r>
              <w:rPr>
                <w:rFonts w:cstheme="minorHAnsi"/>
                <w:bCs/>
              </w:rPr>
              <w:t>Medicare and Medicaid</w:t>
            </w:r>
          </w:p>
        </w:tc>
        <w:tc>
          <w:tcPr>
            <w:tcW w:w="1416" w:type="dxa"/>
            <w:noWrap/>
            <w:vAlign w:val="center"/>
            <w:hideMark/>
          </w:tcPr>
          <w:p w14:paraId="44B33660" w14:textId="77777777" w:rsidR="004F570A" w:rsidRPr="0057354C" w:rsidRDefault="004F570A" w:rsidP="004F570A">
            <w:pPr>
              <w:autoSpaceDE w:val="0"/>
              <w:autoSpaceDN w:val="0"/>
              <w:adjustRightInd w:val="0"/>
              <w:jc w:val="center"/>
              <w:rPr>
                <w:rFonts w:cstheme="minorHAnsi"/>
                <w:bCs/>
              </w:rPr>
            </w:pPr>
            <w:r w:rsidRPr="0057354C">
              <w:rPr>
                <w:rFonts w:cstheme="minorHAnsi"/>
                <w:bCs/>
              </w:rPr>
              <w:t>No</w:t>
            </w:r>
          </w:p>
        </w:tc>
        <w:tc>
          <w:tcPr>
            <w:tcW w:w="1446" w:type="dxa"/>
            <w:noWrap/>
            <w:hideMark/>
          </w:tcPr>
          <w:p w14:paraId="2A39E5BB" w14:textId="78E9C873" w:rsidR="004F570A" w:rsidRPr="0057354C" w:rsidRDefault="004F570A" w:rsidP="004F570A">
            <w:pPr>
              <w:autoSpaceDE w:val="0"/>
              <w:autoSpaceDN w:val="0"/>
              <w:adjustRightInd w:val="0"/>
              <w:jc w:val="center"/>
              <w:rPr>
                <w:rFonts w:cstheme="minorHAnsi"/>
                <w:bCs/>
              </w:rPr>
            </w:pPr>
            <w:r w:rsidRPr="00E2387A">
              <w:t xml:space="preserve">2,373,618 </w:t>
            </w:r>
          </w:p>
        </w:tc>
        <w:tc>
          <w:tcPr>
            <w:tcW w:w="1534" w:type="dxa"/>
            <w:noWrap/>
            <w:hideMark/>
          </w:tcPr>
          <w:p w14:paraId="0A2EFD25" w14:textId="3BBBDC90" w:rsidR="004F570A" w:rsidRPr="0057354C" w:rsidRDefault="004F570A" w:rsidP="004F570A">
            <w:pPr>
              <w:autoSpaceDE w:val="0"/>
              <w:autoSpaceDN w:val="0"/>
              <w:adjustRightInd w:val="0"/>
              <w:jc w:val="center"/>
              <w:rPr>
                <w:rFonts w:cstheme="minorHAnsi"/>
                <w:bCs/>
              </w:rPr>
            </w:pPr>
            <w:r w:rsidRPr="00E2387A">
              <w:t>78.72%</w:t>
            </w:r>
          </w:p>
        </w:tc>
      </w:tr>
      <w:tr w:rsidR="004F570A" w:rsidRPr="0057354C" w14:paraId="6FADE31C" w14:textId="77777777" w:rsidTr="006A227A">
        <w:trPr>
          <w:trHeight w:val="300"/>
          <w:jc w:val="center"/>
        </w:trPr>
        <w:tc>
          <w:tcPr>
            <w:tcW w:w="2980" w:type="dxa"/>
            <w:vMerge/>
            <w:vAlign w:val="center"/>
            <w:hideMark/>
          </w:tcPr>
          <w:p w14:paraId="19D486FC"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094B2A59" w14:textId="77777777" w:rsidR="004F570A" w:rsidRPr="0057354C" w:rsidRDefault="004F570A" w:rsidP="004F570A">
            <w:pPr>
              <w:autoSpaceDE w:val="0"/>
              <w:autoSpaceDN w:val="0"/>
              <w:adjustRightInd w:val="0"/>
              <w:jc w:val="center"/>
              <w:rPr>
                <w:rFonts w:cstheme="minorHAnsi"/>
                <w:bCs/>
              </w:rPr>
            </w:pPr>
            <w:r w:rsidRPr="0057354C">
              <w:rPr>
                <w:rFonts w:cstheme="minorHAnsi"/>
                <w:bCs/>
              </w:rPr>
              <w:t>Yes</w:t>
            </w:r>
          </w:p>
        </w:tc>
        <w:tc>
          <w:tcPr>
            <w:tcW w:w="1446" w:type="dxa"/>
            <w:noWrap/>
            <w:hideMark/>
          </w:tcPr>
          <w:p w14:paraId="23A43FAC" w14:textId="310952A9" w:rsidR="004F570A" w:rsidRPr="0057354C" w:rsidRDefault="004F570A" w:rsidP="004F570A">
            <w:pPr>
              <w:autoSpaceDE w:val="0"/>
              <w:autoSpaceDN w:val="0"/>
              <w:adjustRightInd w:val="0"/>
              <w:jc w:val="center"/>
              <w:rPr>
                <w:rFonts w:cstheme="minorHAnsi"/>
                <w:bCs/>
              </w:rPr>
            </w:pPr>
            <w:r w:rsidRPr="00E2387A">
              <w:t xml:space="preserve">641,489 </w:t>
            </w:r>
          </w:p>
        </w:tc>
        <w:tc>
          <w:tcPr>
            <w:tcW w:w="1534" w:type="dxa"/>
            <w:noWrap/>
            <w:hideMark/>
          </w:tcPr>
          <w:p w14:paraId="6F2B6AD2" w14:textId="4DB4E8C6" w:rsidR="004F570A" w:rsidRPr="0057354C" w:rsidRDefault="004F570A" w:rsidP="004F570A">
            <w:pPr>
              <w:autoSpaceDE w:val="0"/>
              <w:autoSpaceDN w:val="0"/>
              <w:adjustRightInd w:val="0"/>
              <w:jc w:val="center"/>
              <w:rPr>
                <w:rFonts w:cstheme="minorHAnsi"/>
                <w:bCs/>
              </w:rPr>
            </w:pPr>
            <w:r w:rsidRPr="00E2387A">
              <w:t>21.28%</w:t>
            </w:r>
          </w:p>
        </w:tc>
      </w:tr>
      <w:tr w:rsidR="004F570A" w:rsidRPr="0057354C" w14:paraId="5EE4C56A" w14:textId="77777777" w:rsidTr="006A227A">
        <w:trPr>
          <w:trHeight w:val="300"/>
          <w:jc w:val="center"/>
        </w:trPr>
        <w:tc>
          <w:tcPr>
            <w:tcW w:w="2980" w:type="dxa"/>
            <w:vMerge w:val="restart"/>
            <w:vAlign w:val="center"/>
            <w:hideMark/>
          </w:tcPr>
          <w:p w14:paraId="063A0DCE" w14:textId="77777777" w:rsidR="004F570A" w:rsidRPr="0057354C" w:rsidRDefault="004F570A" w:rsidP="004F570A">
            <w:pPr>
              <w:autoSpaceDE w:val="0"/>
              <w:autoSpaceDN w:val="0"/>
              <w:adjustRightInd w:val="0"/>
              <w:jc w:val="center"/>
              <w:rPr>
                <w:rFonts w:cstheme="minorHAnsi"/>
                <w:bCs/>
              </w:rPr>
            </w:pPr>
            <w:r w:rsidRPr="0057354C">
              <w:rPr>
                <w:rFonts w:cstheme="minorHAnsi"/>
                <w:bCs/>
              </w:rPr>
              <w:t>Currently or Originally Eligible for Medicare due to Disability</w:t>
            </w:r>
          </w:p>
        </w:tc>
        <w:tc>
          <w:tcPr>
            <w:tcW w:w="1416" w:type="dxa"/>
            <w:noWrap/>
            <w:vAlign w:val="center"/>
            <w:hideMark/>
          </w:tcPr>
          <w:p w14:paraId="7C303FFF" w14:textId="77777777" w:rsidR="004F570A" w:rsidRPr="0057354C" w:rsidRDefault="004F570A" w:rsidP="004F570A">
            <w:pPr>
              <w:autoSpaceDE w:val="0"/>
              <w:autoSpaceDN w:val="0"/>
              <w:adjustRightInd w:val="0"/>
              <w:jc w:val="center"/>
              <w:rPr>
                <w:rFonts w:cstheme="minorHAnsi"/>
                <w:bCs/>
              </w:rPr>
            </w:pPr>
            <w:r w:rsidRPr="0057354C">
              <w:rPr>
                <w:rFonts w:cstheme="minorHAnsi"/>
                <w:bCs/>
              </w:rPr>
              <w:t>No</w:t>
            </w:r>
          </w:p>
        </w:tc>
        <w:tc>
          <w:tcPr>
            <w:tcW w:w="1446" w:type="dxa"/>
            <w:noWrap/>
            <w:hideMark/>
          </w:tcPr>
          <w:p w14:paraId="62140143" w14:textId="3052C36E" w:rsidR="004F570A" w:rsidRPr="0057354C" w:rsidRDefault="004F570A" w:rsidP="004F570A">
            <w:pPr>
              <w:autoSpaceDE w:val="0"/>
              <w:autoSpaceDN w:val="0"/>
              <w:adjustRightInd w:val="0"/>
              <w:jc w:val="center"/>
              <w:rPr>
                <w:rFonts w:cstheme="minorHAnsi"/>
                <w:bCs/>
              </w:rPr>
            </w:pPr>
            <w:r w:rsidRPr="00B63FF4">
              <w:t xml:space="preserve">2,379,618 </w:t>
            </w:r>
          </w:p>
        </w:tc>
        <w:tc>
          <w:tcPr>
            <w:tcW w:w="1534" w:type="dxa"/>
            <w:noWrap/>
            <w:hideMark/>
          </w:tcPr>
          <w:p w14:paraId="34814946" w14:textId="72202215" w:rsidR="004F570A" w:rsidRPr="0057354C" w:rsidRDefault="004F570A" w:rsidP="004F570A">
            <w:pPr>
              <w:autoSpaceDE w:val="0"/>
              <w:autoSpaceDN w:val="0"/>
              <w:adjustRightInd w:val="0"/>
              <w:jc w:val="center"/>
              <w:rPr>
                <w:rFonts w:cstheme="minorHAnsi"/>
                <w:bCs/>
              </w:rPr>
            </w:pPr>
            <w:r w:rsidRPr="00B63FF4">
              <w:t>78.92%</w:t>
            </w:r>
          </w:p>
        </w:tc>
      </w:tr>
      <w:tr w:rsidR="004F570A" w:rsidRPr="0057354C" w14:paraId="430ED66B" w14:textId="77777777" w:rsidTr="006A227A">
        <w:trPr>
          <w:trHeight w:val="300"/>
          <w:jc w:val="center"/>
        </w:trPr>
        <w:tc>
          <w:tcPr>
            <w:tcW w:w="2980" w:type="dxa"/>
            <w:vMerge/>
            <w:vAlign w:val="center"/>
            <w:hideMark/>
          </w:tcPr>
          <w:p w14:paraId="09765C30"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1CBB4766" w14:textId="77777777" w:rsidR="004F570A" w:rsidRPr="0057354C" w:rsidRDefault="004F570A" w:rsidP="004F570A">
            <w:pPr>
              <w:autoSpaceDE w:val="0"/>
              <w:autoSpaceDN w:val="0"/>
              <w:adjustRightInd w:val="0"/>
              <w:jc w:val="center"/>
              <w:rPr>
                <w:rFonts w:cstheme="minorHAnsi"/>
                <w:bCs/>
              </w:rPr>
            </w:pPr>
            <w:r w:rsidRPr="0057354C">
              <w:rPr>
                <w:rFonts w:cstheme="minorHAnsi"/>
                <w:bCs/>
              </w:rPr>
              <w:t>Yes</w:t>
            </w:r>
          </w:p>
        </w:tc>
        <w:tc>
          <w:tcPr>
            <w:tcW w:w="1446" w:type="dxa"/>
            <w:noWrap/>
            <w:hideMark/>
          </w:tcPr>
          <w:p w14:paraId="57AEE31A" w14:textId="55C878A3" w:rsidR="004F570A" w:rsidRPr="0057354C" w:rsidRDefault="004F570A" w:rsidP="004F570A">
            <w:pPr>
              <w:autoSpaceDE w:val="0"/>
              <w:autoSpaceDN w:val="0"/>
              <w:adjustRightInd w:val="0"/>
              <w:jc w:val="center"/>
              <w:rPr>
                <w:rFonts w:cstheme="minorHAnsi"/>
                <w:bCs/>
              </w:rPr>
            </w:pPr>
            <w:r w:rsidRPr="00B63FF4">
              <w:t xml:space="preserve">635,489 </w:t>
            </w:r>
          </w:p>
        </w:tc>
        <w:tc>
          <w:tcPr>
            <w:tcW w:w="1534" w:type="dxa"/>
            <w:noWrap/>
            <w:hideMark/>
          </w:tcPr>
          <w:p w14:paraId="6B4B4E7C" w14:textId="06C8EC8B" w:rsidR="004F570A" w:rsidRPr="0057354C" w:rsidRDefault="004F570A" w:rsidP="004F570A">
            <w:pPr>
              <w:autoSpaceDE w:val="0"/>
              <w:autoSpaceDN w:val="0"/>
              <w:adjustRightInd w:val="0"/>
              <w:jc w:val="center"/>
              <w:rPr>
                <w:rFonts w:cstheme="minorHAnsi"/>
                <w:bCs/>
              </w:rPr>
            </w:pPr>
            <w:r w:rsidRPr="00B63FF4">
              <w:t>21.08%</w:t>
            </w:r>
          </w:p>
        </w:tc>
      </w:tr>
      <w:tr w:rsidR="004F570A" w:rsidRPr="0057354C" w14:paraId="7402EEA1" w14:textId="77777777" w:rsidTr="006A227A">
        <w:trPr>
          <w:trHeight w:val="300"/>
          <w:jc w:val="center"/>
        </w:trPr>
        <w:tc>
          <w:tcPr>
            <w:tcW w:w="2980" w:type="dxa"/>
            <w:vMerge w:val="restart"/>
            <w:vAlign w:val="center"/>
            <w:hideMark/>
          </w:tcPr>
          <w:p w14:paraId="2B44ABF3" w14:textId="77777777" w:rsidR="004F570A" w:rsidRPr="0057354C" w:rsidRDefault="004F570A" w:rsidP="004F570A">
            <w:pPr>
              <w:autoSpaceDE w:val="0"/>
              <w:autoSpaceDN w:val="0"/>
              <w:adjustRightInd w:val="0"/>
              <w:jc w:val="center"/>
              <w:rPr>
                <w:rFonts w:cstheme="minorHAnsi"/>
                <w:bCs/>
              </w:rPr>
            </w:pPr>
            <w:r w:rsidRPr="0057354C">
              <w:rPr>
                <w:rFonts w:cstheme="minorHAnsi"/>
                <w:bCs/>
              </w:rPr>
              <w:t>Location of HHA by Census Region</w:t>
            </w:r>
          </w:p>
        </w:tc>
        <w:tc>
          <w:tcPr>
            <w:tcW w:w="1416" w:type="dxa"/>
            <w:noWrap/>
            <w:vAlign w:val="center"/>
            <w:hideMark/>
          </w:tcPr>
          <w:p w14:paraId="04856465" w14:textId="77777777" w:rsidR="004F570A" w:rsidRPr="0057354C" w:rsidRDefault="004F570A" w:rsidP="004F570A">
            <w:pPr>
              <w:autoSpaceDE w:val="0"/>
              <w:autoSpaceDN w:val="0"/>
              <w:adjustRightInd w:val="0"/>
              <w:jc w:val="center"/>
              <w:rPr>
                <w:rFonts w:cstheme="minorHAnsi"/>
                <w:bCs/>
              </w:rPr>
            </w:pPr>
            <w:r w:rsidRPr="0057354C">
              <w:rPr>
                <w:rFonts w:cstheme="minorHAnsi"/>
                <w:bCs/>
              </w:rPr>
              <w:t>Northeast</w:t>
            </w:r>
          </w:p>
        </w:tc>
        <w:tc>
          <w:tcPr>
            <w:tcW w:w="1446" w:type="dxa"/>
            <w:noWrap/>
            <w:hideMark/>
          </w:tcPr>
          <w:p w14:paraId="0C692560" w14:textId="6527567A" w:rsidR="004F570A" w:rsidRPr="0057354C" w:rsidRDefault="004F570A" w:rsidP="004F570A">
            <w:pPr>
              <w:autoSpaceDE w:val="0"/>
              <w:autoSpaceDN w:val="0"/>
              <w:adjustRightInd w:val="0"/>
              <w:jc w:val="center"/>
              <w:rPr>
                <w:rFonts w:cstheme="minorHAnsi"/>
                <w:bCs/>
              </w:rPr>
            </w:pPr>
            <w:r w:rsidRPr="00B63FF4">
              <w:t xml:space="preserve">629,733 </w:t>
            </w:r>
          </w:p>
        </w:tc>
        <w:tc>
          <w:tcPr>
            <w:tcW w:w="1534" w:type="dxa"/>
            <w:noWrap/>
            <w:hideMark/>
          </w:tcPr>
          <w:p w14:paraId="38CB8D92" w14:textId="16EEBD0A" w:rsidR="004F570A" w:rsidRPr="0057354C" w:rsidRDefault="004F570A" w:rsidP="004F570A">
            <w:pPr>
              <w:autoSpaceDE w:val="0"/>
              <w:autoSpaceDN w:val="0"/>
              <w:adjustRightInd w:val="0"/>
              <w:jc w:val="center"/>
              <w:rPr>
                <w:rFonts w:cstheme="minorHAnsi"/>
                <w:bCs/>
              </w:rPr>
            </w:pPr>
            <w:r w:rsidRPr="00B63FF4">
              <w:t>20.8</w:t>
            </w:r>
            <w:r w:rsidR="00A96009">
              <w:t>8</w:t>
            </w:r>
            <w:r w:rsidRPr="00B63FF4">
              <w:t>%</w:t>
            </w:r>
          </w:p>
        </w:tc>
      </w:tr>
      <w:tr w:rsidR="004F570A" w:rsidRPr="0057354C" w14:paraId="0728ACDC" w14:textId="77777777" w:rsidTr="006A227A">
        <w:trPr>
          <w:trHeight w:val="300"/>
          <w:jc w:val="center"/>
        </w:trPr>
        <w:tc>
          <w:tcPr>
            <w:tcW w:w="2980" w:type="dxa"/>
            <w:vMerge/>
            <w:vAlign w:val="center"/>
            <w:hideMark/>
          </w:tcPr>
          <w:p w14:paraId="2F899977"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4CD13130" w14:textId="77777777" w:rsidR="004F570A" w:rsidRPr="0057354C" w:rsidRDefault="004F570A" w:rsidP="004F570A">
            <w:pPr>
              <w:autoSpaceDE w:val="0"/>
              <w:autoSpaceDN w:val="0"/>
              <w:adjustRightInd w:val="0"/>
              <w:jc w:val="center"/>
              <w:rPr>
                <w:rFonts w:cstheme="minorHAnsi"/>
                <w:bCs/>
              </w:rPr>
            </w:pPr>
            <w:r w:rsidRPr="0057354C">
              <w:rPr>
                <w:rFonts w:cstheme="minorHAnsi"/>
                <w:bCs/>
              </w:rPr>
              <w:t>Midwest</w:t>
            </w:r>
          </w:p>
        </w:tc>
        <w:tc>
          <w:tcPr>
            <w:tcW w:w="1446" w:type="dxa"/>
            <w:noWrap/>
            <w:hideMark/>
          </w:tcPr>
          <w:p w14:paraId="1058D8CE" w14:textId="388EEB5F" w:rsidR="004F570A" w:rsidRPr="0057354C" w:rsidRDefault="004F570A" w:rsidP="004F570A">
            <w:pPr>
              <w:autoSpaceDE w:val="0"/>
              <w:autoSpaceDN w:val="0"/>
              <w:adjustRightInd w:val="0"/>
              <w:jc w:val="center"/>
              <w:rPr>
                <w:rFonts w:cstheme="minorHAnsi"/>
                <w:bCs/>
              </w:rPr>
            </w:pPr>
            <w:r w:rsidRPr="00B63FF4">
              <w:t xml:space="preserve">639,420 </w:t>
            </w:r>
          </w:p>
        </w:tc>
        <w:tc>
          <w:tcPr>
            <w:tcW w:w="1534" w:type="dxa"/>
            <w:noWrap/>
            <w:hideMark/>
          </w:tcPr>
          <w:p w14:paraId="3B820C8F" w14:textId="5DE8798C" w:rsidR="004F570A" w:rsidRPr="0057354C" w:rsidRDefault="004F570A" w:rsidP="004F570A">
            <w:pPr>
              <w:autoSpaceDE w:val="0"/>
              <w:autoSpaceDN w:val="0"/>
              <w:adjustRightInd w:val="0"/>
              <w:jc w:val="center"/>
              <w:rPr>
                <w:rFonts w:cstheme="minorHAnsi"/>
                <w:bCs/>
              </w:rPr>
            </w:pPr>
            <w:r w:rsidRPr="00B63FF4">
              <w:t>21.21%</w:t>
            </w:r>
          </w:p>
        </w:tc>
      </w:tr>
      <w:tr w:rsidR="004F570A" w:rsidRPr="0057354C" w14:paraId="2BE58EB1" w14:textId="77777777" w:rsidTr="006A227A">
        <w:trPr>
          <w:trHeight w:val="300"/>
          <w:jc w:val="center"/>
        </w:trPr>
        <w:tc>
          <w:tcPr>
            <w:tcW w:w="2980" w:type="dxa"/>
            <w:vMerge/>
            <w:vAlign w:val="center"/>
            <w:hideMark/>
          </w:tcPr>
          <w:p w14:paraId="3E7C1E68"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3AA7553F" w14:textId="77777777" w:rsidR="004F570A" w:rsidRPr="0057354C" w:rsidRDefault="004F570A" w:rsidP="004F570A">
            <w:pPr>
              <w:autoSpaceDE w:val="0"/>
              <w:autoSpaceDN w:val="0"/>
              <w:adjustRightInd w:val="0"/>
              <w:jc w:val="center"/>
              <w:rPr>
                <w:rFonts w:cstheme="minorHAnsi"/>
                <w:bCs/>
              </w:rPr>
            </w:pPr>
            <w:r w:rsidRPr="0057354C">
              <w:rPr>
                <w:rFonts w:cstheme="minorHAnsi"/>
                <w:bCs/>
              </w:rPr>
              <w:t>South</w:t>
            </w:r>
          </w:p>
        </w:tc>
        <w:tc>
          <w:tcPr>
            <w:tcW w:w="1446" w:type="dxa"/>
            <w:noWrap/>
            <w:hideMark/>
          </w:tcPr>
          <w:p w14:paraId="407E2715" w14:textId="3A8BC820" w:rsidR="004F570A" w:rsidRPr="0057354C" w:rsidRDefault="004F570A" w:rsidP="004F570A">
            <w:pPr>
              <w:autoSpaceDE w:val="0"/>
              <w:autoSpaceDN w:val="0"/>
              <w:adjustRightInd w:val="0"/>
              <w:jc w:val="center"/>
              <w:rPr>
                <w:rFonts w:cstheme="minorHAnsi"/>
                <w:bCs/>
              </w:rPr>
            </w:pPr>
            <w:r w:rsidRPr="00B63FF4">
              <w:t xml:space="preserve">1,204,152 </w:t>
            </w:r>
          </w:p>
        </w:tc>
        <w:tc>
          <w:tcPr>
            <w:tcW w:w="1534" w:type="dxa"/>
            <w:noWrap/>
            <w:hideMark/>
          </w:tcPr>
          <w:p w14:paraId="42AE1843" w14:textId="1F894C6B" w:rsidR="004F570A" w:rsidRPr="0057354C" w:rsidRDefault="004F570A" w:rsidP="004F570A">
            <w:pPr>
              <w:autoSpaceDE w:val="0"/>
              <w:autoSpaceDN w:val="0"/>
              <w:adjustRightInd w:val="0"/>
              <w:jc w:val="center"/>
              <w:rPr>
                <w:rFonts w:cstheme="minorHAnsi"/>
                <w:bCs/>
              </w:rPr>
            </w:pPr>
            <w:r w:rsidRPr="00B63FF4">
              <w:t>39.94%</w:t>
            </w:r>
          </w:p>
        </w:tc>
      </w:tr>
      <w:tr w:rsidR="004F570A" w:rsidRPr="0057354C" w14:paraId="0CFC486F" w14:textId="77777777" w:rsidTr="006A227A">
        <w:trPr>
          <w:trHeight w:val="300"/>
          <w:jc w:val="center"/>
        </w:trPr>
        <w:tc>
          <w:tcPr>
            <w:tcW w:w="2980" w:type="dxa"/>
            <w:vMerge/>
            <w:vAlign w:val="center"/>
            <w:hideMark/>
          </w:tcPr>
          <w:p w14:paraId="209FF9AA"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3439AEAC" w14:textId="77777777" w:rsidR="004F570A" w:rsidRPr="0057354C" w:rsidRDefault="004F570A" w:rsidP="004F570A">
            <w:pPr>
              <w:autoSpaceDE w:val="0"/>
              <w:autoSpaceDN w:val="0"/>
              <w:adjustRightInd w:val="0"/>
              <w:jc w:val="center"/>
              <w:rPr>
                <w:rFonts w:cstheme="minorHAnsi"/>
                <w:bCs/>
              </w:rPr>
            </w:pPr>
            <w:r w:rsidRPr="0057354C">
              <w:rPr>
                <w:rFonts w:cstheme="minorHAnsi"/>
                <w:bCs/>
              </w:rPr>
              <w:t>West</w:t>
            </w:r>
          </w:p>
        </w:tc>
        <w:tc>
          <w:tcPr>
            <w:tcW w:w="1446" w:type="dxa"/>
            <w:noWrap/>
            <w:hideMark/>
          </w:tcPr>
          <w:p w14:paraId="23EED401" w14:textId="714561B6" w:rsidR="004F570A" w:rsidRPr="0057354C" w:rsidRDefault="004F570A" w:rsidP="004F570A">
            <w:pPr>
              <w:autoSpaceDE w:val="0"/>
              <w:autoSpaceDN w:val="0"/>
              <w:adjustRightInd w:val="0"/>
              <w:jc w:val="center"/>
              <w:rPr>
                <w:rFonts w:cstheme="minorHAnsi"/>
                <w:bCs/>
              </w:rPr>
            </w:pPr>
            <w:r w:rsidRPr="00B63FF4">
              <w:t xml:space="preserve">530,012 </w:t>
            </w:r>
          </w:p>
        </w:tc>
        <w:tc>
          <w:tcPr>
            <w:tcW w:w="1534" w:type="dxa"/>
            <w:noWrap/>
            <w:hideMark/>
          </w:tcPr>
          <w:p w14:paraId="1C47E3D6" w14:textId="0DC26FD7" w:rsidR="004F570A" w:rsidRPr="0057354C" w:rsidRDefault="004F570A" w:rsidP="004F570A">
            <w:pPr>
              <w:autoSpaceDE w:val="0"/>
              <w:autoSpaceDN w:val="0"/>
              <w:adjustRightInd w:val="0"/>
              <w:jc w:val="center"/>
              <w:rPr>
                <w:rFonts w:cstheme="minorHAnsi"/>
                <w:bCs/>
              </w:rPr>
            </w:pPr>
            <w:r w:rsidRPr="00B63FF4">
              <w:t>17.58%</w:t>
            </w:r>
          </w:p>
        </w:tc>
      </w:tr>
      <w:tr w:rsidR="004F570A" w:rsidRPr="0057354C" w14:paraId="5E484E78" w14:textId="77777777" w:rsidTr="006A227A">
        <w:trPr>
          <w:trHeight w:val="300"/>
          <w:jc w:val="center"/>
        </w:trPr>
        <w:tc>
          <w:tcPr>
            <w:tcW w:w="2980" w:type="dxa"/>
            <w:vMerge/>
            <w:vAlign w:val="center"/>
            <w:hideMark/>
          </w:tcPr>
          <w:p w14:paraId="45738CEF" w14:textId="77777777" w:rsidR="004F570A" w:rsidRPr="0057354C" w:rsidRDefault="004F570A" w:rsidP="004F570A">
            <w:pPr>
              <w:autoSpaceDE w:val="0"/>
              <w:autoSpaceDN w:val="0"/>
              <w:adjustRightInd w:val="0"/>
              <w:jc w:val="center"/>
              <w:rPr>
                <w:rFonts w:cstheme="minorHAnsi"/>
                <w:bCs/>
              </w:rPr>
            </w:pPr>
          </w:p>
        </w:tc>
        <w:tc>
          <w:tcPr>
            <w:tcW w:w="1416" w:type="dxa"/>
            <w:noWrap/>
            <w:vAlign w:val="center"/>
            <w:hideMark/>
          </w:tcPr>
          <w:p w14:paraId="7CF29904" w14:textId="77777777" w:rsidR="004F570A" w:rsidRPr="0057354C" w:rsidRDefault="004F570A" w:rsidP="004F570A">
            <w:pPr>
              <w:autoSpaceDE w:val="0"/>
              <w:autoSpaceDN w:val="0"/>
              <w:adjustRightInd w:val="0"/>
              <w:jc w:val="center"/>
              <w:rPr>
                <w:rFonts w:cstheme="minorHAnsi"/>
                <w:bCs/>
              </w:rPr>
            </w:pPr>
            <w:r w:rsidRPr="0057354C">
              <w:rPr>
                <w:rFonts w:cstheme="minorHAnsi"/>
                <w:bCs/>
              </w:rPr>
              <w:t>Missing</w:t>
            </w:r>
          </w:p>
        </w:tc>
        <w:tc>
          <w:tcPr>
            <w:tcW w:w="1446" w:type="dxa"/>
            <w:noWrap/>
            <w:hideMark/>
          </w:tcPr>
          <w:p w14:paraId="01E539C0" w14:textId="77495428" w:rsidR="004F570A" w:rsidRPr="0057354C" w:rsidRDefault="004F570A" w:rsidP="004F570A">
            <w:pPr>
              <w:autoSpaceDE w:val="0"/>
              <w:autoSpaceDN w:val="0"/>
              <w:adjustRightInd w:val="0"/>
              <w:jc w:val="center"/>
              <w:rPr>
                <w:rFonts w:cstheme="minorHAnsi"/>
                <w:bCs/>
              </w:rPr>
            </w:pPr>
            <w:r w:rsidRPr="00B63FF4">
              <w:t xml:space="preserve">11,790 </w:t>
            </w:r>
          </w:p>
        </w:tc>
        <w:tc>
          <w:tcPr>
            <w:tcW w:w="1534" w:type="dxa"/>
            <w:noWrap/>
            <w:hideMark/>
          </w:tcPr>
          <w:p w14:paraId="51E521A3" w14:textId="532E868E" w:rsidR="004F570A" w:rsidRPr="0057354C" w:rsidRDefault="004F570A" w:rsidP="004F570A">
            <w:pPr>
              <w:autoSpaceDE w:val="0"/>
              <w:autoSpaceDN w:val="0"/>
              <w:adjustRightInd w:val="0"/>
              <w:jc w:val="center"/>
              <w:rPr>
                <w:rFonts w:cstheme="minorHAnsi"/>
                <w:bCs/>
              </w:rPr>
            </w:pPr>
            <w:r w:rsidRPr="00B63FF4">
              <w:t>0.39%</w:t>
            </w:r>
          </w:p>
        </w:tc>
      </w:tr>
    </w:tbl>
    <w:p w14:paraId="4060948E" w14:textId="3AECD160" w:rsidR="0057354C" w:rsidRDefault="007422FD" w:rsidP="0057354C">
      <w:pPr>
        <w:spacing w:after="0"/>
      </w:pPr>
      <w:r w:rsidRPr="00A25024">
        <w:rPr>
          <w:rFonts w:cstheme="minorHAnsi"/>
          <w:bCs/>
        </w:rPr>
        <w:br/>
      </w:r>
      <w:r w:rsidR="0057354C" w:rsidRPr="0057354C">
        <w:t>The table below identifies the patients by population group used to calculate the beta-binomial scores (as part of reliability testing) and conduct analyses related to validity testing and exclusions. As noted in section 1.5, these are the patients represented</w:t>
      </w:r>
      <w:r w:rsidR="0057354C">
        <w:t xml:space="preserve"> in Medicare-certified agencies with at least 20 home health quality </w:t>
      </w:r>
      <w:r w:rsidR="0057354C" w:rsidRPr="009F656D">
        <w:t xml:space="preserve">episodes ending between </w:t>
      </w:r>
      <w:r w:rsidR="0057354C">
        <w:t>January 1, 2016 and December 31, 2016</w:t>
      </w:r>
      <w:r w:rsidR="00693DFB">
        <w:t xml:space="preserve"> </w:t>
      </w:r>
      <w:r w:rsidR="0057354C" w:rsidRPr="00451FC7">
        <w:t xml:space="preserve">and meeting the measure denominator criteria, the data represented </w:t>
      </w:r>
      <w:r w:rsidR="00693DFB">
        <w:rPr>
          <w:rFonts w:ascii="Calibri" w:eastAsia="Times New Roman" w:hAnsi="Calibri" w:cs="Times New Roman"/>
          <w:bCs/>
          <w:color w:val="000000"/>
        </w:rPr>
        <w:t>3,</w:t>
      </w:r>
      <w:r w:rsidR="004F570A">
        <w:rPr>
          <w:rFonts w:ascii="Calibri" w:eastAsia="Times New Roman" w:hAnsi="Calibri" w:cs="Times New Roman"/>
          <w:bCs/>
          <w:color w:val="000000"/>
        </w:rPr>
        <w:t>052,331</w:t>
      </w:r>
      <w:r w:rsidR="0057354C" w:rsidRPr="00451FC7">
        <w:rPr>
          <w:rFonts w:ascii="Calibri" w:eastAsia="Times New Roman" w:hAnsi="Calibri" w:cs="Times New Roman"/>
          <w:b/>
          <w:bCs/>
          <w:color w:val="000000"/>
        </w:rPr>
        <w:t xml:space="preserve"> </w:t>
      </w:r>
      <w:r w:rsidR="0057354C" w:rsidRPr="00451FC7">
        <w:t>patients</w:t>
      </w:r>
      <w:r w:rsidR="0057354C">
        <w:t>.</w:t>
      </w:r>
    </w:p>
    <w:p w14:paraId="10D88605" w14:textId="77777777" w:rsidR="00EA73F7" w:rsidRDefault="00EA73F7" w:rsidP="0057354C">
      <w:pPr>
        <w:spacing w:after="0"/>
      </w:pPr>
    </w:p>
    <w:p w14:paraId="542FEC2B" w14:textId="77777777" w:rsidR="0057354C" w:rsidRDefault="0057354C" w:rsidP="0057354C">
      <w:pPr>
        <w:spacing w:after="0"/>
        <w:jc w:val="center"/>
        <w:rPr>
          <w:b/>
        </w:rPr>
      </w:pPr>
      <w:r w:rsidRPr="00DF2415">
        <w:rPr>
          <w:b/>
        </w:rPr>
        <w:t xml:space="preserve">Number/Percentage of Patients Represented in HHAs with At Least 20 </w:t>
      </w:r>
      <w:r>
        <w:rPr>
          <w:b/>
        </w:rPr>
        <w:t>Valid Episodes</w:t>
      </w:r>
      <w:r w:rsidRPr="00DF2415">
        <w:rPr>
          <w:b/>
        </w:rPr>
        <w:t xml:space="preserve">, </w:t>
      </w:r>
    </w:p>
    <w:p w14:paraId="4D840CA1" w14:textId="77777777" w:rsidR="0057354C" w:rsidRDefault="0057354C" w:rsidP="0057354C">
      <w:pPr>
        <w:spacing w:after="0"/>
        <w:jc w:val="center"/>
        <w:rPr>
          <w:b/>
        </w:rPr>
      </w:pPr>
      <w:r w:rsidRPr="00DF2415">
        <w:rPr>
          <w:b/>
        </w:rPr>
        <w:t>By Population Group</w:t>
      </w:r>
    </w:p>
    <w:tbl>
      <w:tblPr>
        <w:tblStyle w:val="TableGrid"/>
        <w:tblW w:w="0" w:type="auto"/>
        <w:jc w:val="center"/>
        <w:tblLook w:val="04A0" w:firstRow="1" w:lastRow="0" w:firstColumn="1" w:lastColumn="0" w:noHBand="0" w:noVBand="1"/>
      </w:tblPr>
      <w:tblGrid>
        <w:gridCol w:w="2980"/>
        <w:gridCol w:w="1358"/>
        <w:gridCol w:w="1446"/>
        <w:gridCol w:w="1534"/>
      </w:tblGrid>
      <w:tr w:rsidR="00693DFB" w:rsidRPr="00693DFB" w14:paraId="7C4A4988" w14:textId="77777777" w:rsidTr="004F570A">
        <w:trPr>
          <w:trHeight w:val="300"/>
          <w:jc w:val="center"/>
        </w:trPr>
        <w:tc>
          <w:tcPr>
            <w:tcW w:w="4338" w:type="dxa"/>
            <w:gridSpan w:val="2"/>
            <w:noWrap/>
            <w:vAlign w:val="center"/>
            <w:hideMark/>
          </w:tcPr>
          <w:p w14:paraId="6C5A2618" w14:textId="77777777" w:rsidR="00693DFB" w:rsidRPr="00693DFB" w:rsidRDefault="00693DFB" w:rsidP="00EA73F7">
            <w:pPr>
              <w:autoSpaceDE w:val="0"/>
              <w:autoSpaceDN w:val="0"/>
              <w:adjustRightInd w:val="0"/>
              <w:jc w:val="center"/>
              <w:rPr>
                <w:rFonts w:cstheme="minorHAnsi"/>
                <w:bCs/>
              </w:rPr>
            </w:pPr>
            <w:r w:rsidRPr="00693DFB">
              <w:rPr>
                <w:rFonts w:cstheme="minorHAnsi"/>
                <w:bCs/>
              </w:rPr>
              <w:t>Population Group</w:t>
            </w:r>
          </w:p>
        </w:tc>
        <w:tc>
          <w:tcPr>
            <w:tcW w:w="1446" w:type="dxa"/>
            <w:noWrap/>
            <w:vAlign w:val="center"/>
            <w:hideMark/>
          </w:tcPr>
          <w:p w14:paraId="59745AEE" w14:textId="63B954A3" w:rsidR="00693DFB" w:rsidRPr="00693DFB" w:rsidRDefault="00693DFB" w:rsidP="00EA73F7">
            <w:pPr>
              <w:autoSpaceDE w:val="0"/>
              <w:autoSpaceDN w:val="0"/>
              <w:adjustRightInd w:val="0"/>
              <w:jc w:val="center"/>
              <w:rPr>
                <w:rFonts w:cstheme="minorHAnsi"/>
                <w:bCs/>
              </w:rPr>
            </w:pPr>
            <w:r w:rsidRPr="00693DFB">
              <w:rPr>
                <w:rFonts w:cstheme="minorHAnsi"/>
                <w:bCs/>
              </w:rPr>
              <w:t># of Patients</w:t>
            </w:r>
          </w:p>
        </w:tc>
        <w:tc>
          <w:tcPr>
            <w:tcW w:w="1534" w:type="dxa"/>
            <w:noWrap/>
            <w:vAlign w:val="center"/>
            <w:hideMark/>
          </w:tcPr>
          <w:p w14:paraId="5FD1522C" w14:textId="77777777" w:rsidR="00693DFB" w:rsidRPr="00693DFB" w:rsidRDefault="00693DFB" w:rsidP="00EA73F7">
            <w:pPr>
              <w:autoSpaceDE w:val="0"/>
              <w:autoSpaceDN w:val="0"/>
              <w:adjustRightInd w:val="0"/>
              <w:jc w:val="center"/>
              <w:rPr>
                <w:rFonts w:cstheme="minorHAnsi"/>
                <w:bCs/>
              </w:rPr>
            </w:pPr>
            <w:r w:rsidRPr="00693DFB">
              <w:rPr>
                <w:rFonts w:cstheme="minorHAnsi"/>
                <w:bCs/>
              </w:rPr>
              <w:t>% of Patients</w:t>
            </w:r>
          </w:p>
        </w:tc>
      </w:tr>
      <w:tr w:rsidR="00693DFB" w:rsidRPr="00693DFB" w14:paraId="4E216960" w14:textId="77777777" w:rsidTr="004F570A">
        <w:trPr>
          <w:trHeight w:val="300"/>
          <w:jc w:val="center"/>
        </w:trPr>
        <w:tc>
          <w:tcPr>
            <w:tcW w:w="4338" w:type="dxa"/>
            <w:gridSpan w:val="2"/>
            <w:noWrap/>
            <w:vAlign w:val="center"/>
            <w:hideMark/>
          </w:tcPr>
          <w:p w14:paraId="48F3E7A8" w14:textId="77777777" w:rsidR="00693DFB" w:rsidRPr="00693DFB" w:rsidRDefault="00693DFB" w:rsidP="00EA73F7">
            <w:pPr>
              <w:autoSpaceDE w:val="0"/>
              <w:autoSpaceDN w:val="0"/>
              <w:adjustRightInd w:val="0"/>
              <w:jc w:val="center"/>
              <w:rPr>
                <w:rFonts w:cstheme="minorHAnsi"/>
                <w:bCs/>
              </w:rPr>
            </w:pPr>
            <w:r w:rsidRPr="00693DFB">
              <w:rPr>
                <w:rFonts w:cstheme="minorHAnsi"/>
                <w:bCs/>
              </w:rPr>
              <w:t>Total</w:t>
            </w:r>
          </w:p>
        </w:tc>
        <w:tc>
          <w:tcPr>
            <w:tcW w:w="1446" w:type="dxa"/>
            <w:noWrap/>
            <w:vAlign w:val="center"/>
            <w:hideMark/>
          </w:tcPr>
          <w:p w14:paraId="683744F4" w14:textId="2B5D4332" w:rsidR="004F570A" w:rsidRDefault="004F570A" w:rsidP="004F570A">
            <w:pPr>
              <w:jc w:val="center"/>
              <w:rPr>
                <w:rFonts w:ascii="Calibri" w:hAnsi="Calibri" w:cs="Calibri"/>
                <w:color w:val="000000"/>
              </w:rPr>
            </w:pPr>
            <w:r>
              <w:rPr>
                <w:rFonts w:ascii="Calibri" w:hAnsi="Calibri" w:cs="Calibri"/>
                <w:color w:val="000000"/>
              </w:rPr>
              <w:t xml:space="preserve">3,052,331 </w:t>
            </w:r>
          </w:p>
          <w:p w14:paraId="500AFE9C" w14:textId="2A2916E9" w:rsidR="00693DFB" w:rsidRPr="00693DFB" w:rsidRDefault="00693DFB" w:rsidP="00EA73F7">
            <w:pPr>
              <w:autoSpaceDE w:val="0"/>
              <w:autoSpaceDN w:val="0"/>
              <w:adjustRightInd w:val="0"/>
              <w:jc w:val="center"/>
              <w:rPr>
                <w:rFonts w:cstheme="minorHAnsi"/>
                <w:bCs/>
              </w:rPr>
            </w:pPr>
          </w:p>
        </w:tc>
        <w:tc>
          <w:tcPr>
            <w:tcW w:w="1534" w:type="dxa"/>
            <w:noWrap/>
            <w:vAlign w:val="center"/>
            <w:hideMark/>
          </w:tcPr>
          <w:p w14:paraId="50D673B3" w14:textId="77777777" w:rsidR="00693DFB" w:rsidRPr="00693DFB" w:rsidRDefault="00693DFB" w:rsidP="00EA73F7">
            <w:pPr>
              <w:autoSpaceDE w:val="0"/>
              <w:autoSpaceDN w:val="0"/>
              <w:adjustRightInd w:val="0"/>
              <w:jc w:val="center"/>
              <w:rPr>
                <w:rFonts w:cstheme="minorHAnsi"/>
                <w:bCs/>
              </w:rPr>
            </w:pPr>
            <w:r w:rsidRPr="00693DFB">
              <w:rPr>
                <w:rFonts w:cstheme="minorHAnsi"/>
                <w:bCs/>
              </w:rPr>
              <w:t>100%</w:t>
            </w:r>
          </w:p>
        </w:tc>
      </w:tr>
      <w:tr w:rsidR="004F570A" w:rsidRPr="00693DFB" w14:paraId="38A91485" w14:textId="77777777" w:rsidTr="006A227A">
        <w:trPr>
          <w:trHeight w:val="300"/>
          <w:jc w:val="center"/>
        </w:trPr>
        <w:tc>
          <w:tcPr>
            <w:tcW w:w="2980" w:type="dxa"/>
            <w:vMerge w:val="restart"/>
            <w:noWrap/>
            <w:vAlign w:val="center"/>
            <w:hideMark/>
          </w:tcPr>
          <w:p w14:paraId="72D46F6C" w14:textId="77777777" w:rsidR="004F570A" w:rsidRPr="00693DFB" w:rsidRDefault="004F570A" w:rsidP="004F570A">
            <w:pPr>
              <w:autoSpaceDE w:val="0"/>
              <w:autoSpaceDN w:val="0"/>
              <w:adjustRightInd w:val="0"/>
              <w:jc w:val="center"/>
              <w:rPr>
                <w:rFonts w:cstheme="minorHAnsi"/>
                <w:bCs/>
              </w:rPr>
            </w:pPr>
            <w:r w:rsidRPr="00693DFB">
              <w:rPr>
                <w:rFonts w:cstheme="minorHAnsi"/>
                <w:bCs/>
              </w:rPr>
              <w:t>Gender</w:t>
            </w:r>
          </w:p>
        </w:tc>
        <w:tc>
          <w:tcPr>
            <w:tcW w:w="1358" w:type="dxa"/>
            <w:noWrap/>
            <w:vAlign w:val="center"/>
            <w:hideMark/>
          </w:tcPr>
          <w:p w14:paraId="5AC3837C" w14:textId="77777777" w:rsidR="004F570A" w:rsidRPr="00693DFB" w:rsidRDefault="004F570A" w:rsidP="004F570A">
            <w:pPr>
              <w:autoSpaceDE w:val="0"/>
              <w:autoSpaceDN w:val="0"/>
              <w:adjustRightInd w:val="0"/>
              <w:jc w:val="center"/>
              <w:rPr>
                <w:rFonts w:cstheme="minorHAnsi"/>
                <w:bCs/>
              </w:rPr>
            </w:pPr>
            <w:r w:rsidRPr="00693DFB">
              <w:rPr>
                <w:rFonts w:cstheme="minorHAnsi"/>
                <w:bCs/>
              </w:rPr>
              <w:t>Male</w:t>
            </w:r>
          </w:p>
        </w:tc>
        <w:tc>
          <w:tcPr>
            <w:tcW w:w="1446" w:type="dxa"/>
            <w:noWrap/>
            <w:hideMark/>
          </w:tcPr>
          <w:p w14:paraId="199812A0" w14:textId="0560A39E" w:rsidR="004F570A" w:rsidRPr="00693DFB" w:rsidRDefault="004F570A" w:rsidP="004F570A">
            <w:pPr>
              <w:autoSpaceDE w:val="0"/>
              <w:autoSpaceDN w:val="0"/>
              <w:adjustRightInd w:val="0"/>
              <w:jc w:val="center"/>
              <w:rPr>
                <w:rFonts w:cstheme="minorHAnsi"/>
                <w:bCs/>
              </w:rPr>
            </w:pPr>
            <w:r w:rsidRPr="006A130B">
              <w:t xml:space="preserve">1,121,526 </w:t>
            </w:r>
          </w:p>
        </w:tc>
        <w:tc>
          <w:tcPr>
            <w:tcW w:w="1534" w:type="dxa"/>
            <w:noWrap/>
            <w:hideMark/>
          </w:tcPr>
          <w:p w14:paraId="7A0F5126" w14:textId="67719600" w:rsidR="004F570A" w:rsidRPr="00693DFB" w:rsidRDefault="004F570A" w:rsidP="004F570A">
            <w:pPr>
              <w:autoSpaceDE w:val="0"/>
              <w:autoSpaceDN w:val="0"/>
              <w:adjustRightInd w:val="0"/>
              <w:jc w:val="center"/>
              <w:rPr>
                <w:rFonts w:cstheme="minorHAnsi"/>
                <w:bCs/>
              </w:rPr>
            </w:pPr>
            <w:r w:rsidRPr="006A130B">
              <w:t>36.74%</w:t>
            </w:r>
          </w:p>
        </w:tc>
      </w:tr>
      <w:tr w:rsidR="004F570A" w:rsidRPr="00693DFB" w14:paraId="08C36254" w14:textId="77777777" w:rsidTr="006A227A">
        <w:trPr>
          <w:trHeight w:val="300"/>
          <w:jc w:val="center"/>
        </w:trPr>
        <w:tc>
          <w:tcPr>
            <w:tcW w:w="2980" w:type="dxa"/>
            <w:vMerge/>
            <w:vAlign w:val="center"/>
            <w:hideMark/>
          </w:tcPr>
          <w:p w14:paraId="4984F394"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0C8156A0" w14:textId="77777777" w:rsidR="004F570A" w:rsidRPr="00693DFB" w:rsidRDefault="004F570A" w:rsidP="004F570A">
            <w:pPr>
              <w:autoSpaceDE w:val="0"/>
              <w:autoSpaceDN w:val="0"/>
              <w:adjustRightInd w:val="0"/>
              <w:jc w:val="center"/>
              <w:rPr>
                <w:rFonts w:cstheme="minorHAnsi"/>
                <w:bCs/>
              </w:rPr>
            </w:pPr>
            <w:r w:rsidRPr="00693DFB">
              <w:rPr>
                <w:rFonts w:cstheme="minorHAnsi"/>
                <w:bCs/>
              </w:rPr>
              <w:t>Female</w:t>
            </w:r>
          </w:p>
        </w:tc>
        <w:tc>
          <w:tcPr>
            <w:tcW w:w="1446" w:type="dxa"/>
            <w:noWrap/>
            <w:hideMark/>
          </w:tcPr>
          <w:p w14:paraId="58E4F424" w14:textId="0B946149" w:rsidR="004F570A" w:rsidRPr="00693DFB" w:rsidRDefault="004F570A" w:rsidP="004F570A">
            <w:pPr>
              <w:autoSpaceDE w:val="0"/>
              <w:autoSpaceDN w:val="0"/>
              <w:adjustRightInd w:val="0"/>
              <w:jc w:val="center"/>
              <w:rPr>
                <w:rFonts w:cstheme="minorHAnsi"/>
                <w:bCs/>
              </w:rPr>
            </w:pPr>
            <w:r w:rsidRPr="006A130B">
              <w:t xml:space="preserve">1,930,805 </w:t>
            </w:r>
          </w:p>
        </w:tc>
        <w:tc>
          <w:tcPr>
            <w:tcW w:w="1534" w:type="dxa"/>
            <w:noWrap/>
            <w:hideMark/>
          </w:tcPr>
          <w:p w14:paraId="6276F5DF" w14:textId="5664D47B" w:rsidR="004F570A" w:rsidRPr="00693DFB" w:rsidRDefault="004F570A" w:rsidP="004F570A">
            <w:pPr>
              <w:autoSpaceDE w:val="0"/>
              <w:autoSpaceDN w:val="0"/>
              <w:adjustRightInd w:val="0"/>
              <w:jc w:val="center"/>
              <w:rPr>
                <w:rFonts w:cstheme="minorHAnsi"/>
                <w:bCs/>
              </w:rPr>
            </w:pPr>
            <w:r w:rsidRPr="006A130B">
              <w:t>63.26%</w:t>
            </w:r>
          </w:p>
        </w:tc>
      </w:tr>
      <w:tr w:rsidR="004F570A" w:rsidRPr="00693DFB" w14:paraId="2D670846" w14:textId="77777777" w:rsidTr="006A227A">
        <w:trPr>
          <w:trHeight w:val="300"/>
          <w:jc w:val="center"/>
        </w:trPr>
        <w:tc>
          <w:tcPr>
            <w:tcW w:w="2980" w:type="dxa"/>
            <w:vMerge w:val="restart"/>
            <w:vAlign w:val="center"/>
            <w:hideMark/>
          </w:tcPr>
          <w:p w14:paraId="4A9FDCB9" w14:textId="77777777" w:rsidR="004F570A" w:rsidRPr="00693DFB" w:rsidRDefault="004F570A" w:rsidP="004F570A">
            <w:pPr>
              <w:autoSpaceDE w:val="0"/>
              <w:autoSpaceDN w:val="0"/>
              <w:adjustRightInd w:val="0"/>
              <w:jc w:val="center"/>
              <w:rPr>
                <w:rFonts w:cstheme="minorHAnsi"/>
                <w:bCs/>
              </w:rPr>
            </w:pPr>
            <w:r w:rsidRPr="00693DFB">
              <w:rPr>
                <w:rFonts w:cstheme="minorHAnsi"/>
                <w:bCs/>
              </w:rPr>
              <w:t>Race</w:t>
            </w:r>
          </w:p>
        </w:tc>
        <w:tc>
          <w:tcPr>
            <w:tcW w:w="1358" w:type="dxa"/>
            <w:noWrap/>
            <w:vAlign w:val="center"/>
            <w:hideMark/>
          </w:tcPr>
          <w:p w14:paraId="71E3857D" w14:textId="77777777" w:rsidR="004F570A" w:rsidRPr="00693DFB" w:rsidRDefault="004F570A" w:rsidP="004F570A">
            <w:pPr>
              <w:autoSpaceDE w:val="0"/>
              <w:autoSpaceDN w:val="0"/>
              <w:adjustRightInd w:val="0"/>
              <w:jc w:val="center"/>
              <w:rPr>
                <w:rFonts w:cstheme="minorHAnsi"/>
                <w:bCs/>
              </w:rPr>
            </w:pPr>
            <w:r w:rsidRPr="00693DFB">
              <w:rPr>
                <w:rFonts w:cstheme="minorHAnsi"/>
                <w:bCs/>
              </w:rPr>
              <w:t>White</w:t>
            </w:r>
          </w:p>
        </w:tc>
        <w:tc>
          <w:tcPr>
            <w:tcW w:w="1446" w:type="dxa"/>
            <w:noWrap/>
            <w:hideMark/>
          </w:tcPr>
          <w:p w14:paraId="4084F5E9" w14:textId="75385DE7" w:rsidR="004F570A" w:rsidRPr="00693DFB" w:rsidRDefault="004F570A" w:rsidP="004F570A">
            <w:pPr>
              <w:autoSpaceDE w:val="0"/>
              <w:autoSpaceDN w:val="0"/>
              <w:adjustRightInd w:val="0"/>
              <w:jc w:val="center"/>
              <w:rPr>
                <w:rFonts w:cstheme="minorHAnsi"/>
                <w:bCs/>
              </w:rPr>
            </w:pPr>
            <w:r w:rsidRPr="006A130B">
              <w:t xml:space="preserve">2,366,813 </w:t>
            </w:r>
          </w:p>
        </w:tc>
        <w:tc>
          <w:tcPr>
            <w:tcW w:w="1534" w:type="dxa"/>
            <w:noWrap/>
            <w:hideMark/>
          </w:tcPr>
          <w:p w14:paraId="47DABBE5" w14:textId="0E77645A" w:rsidR="004F570A" w:rsidRPr="00693DFB" w:rsidRDefault="004F570A" w:rsidP="004F570A">
            <w:pPr>
              <w:autoSpaceDE w:val="0"/>
              <w:autoSpaceDN w:val="0"/>
              <w:adjustRightInd w:val="0"/>
              <w:jc w:val="center"/>
              <w:rPr>
                <w:rFonts w:cstheme="minorHAnsi"/>
                <w:bCs/>
              </w:rPr>
            </w:pPr>
            <w:r w:rsidRPr="006A130B">
              <w:t>77.54%</w:t>
            </w:r>
          </w:p>
        </w:tc>
      </w:tr>
      <w:tr w:rsidR="004F570A" w:rsidRPr="00693DFB" w14:paraId="4FB0FD95" w14:textId="77777777" w:rsidTr="006A227A">
        <w:trPr>
          <w:trHeight w:val="300"/>
          <w:jc w:val="center"/>
        </w:trPr>
        <w:tc>
          <w:tcPr>
            <w:tcW w:w="2980" w:type="dxa"/>
            <w:vMerge/>
            <w:vAlign w:val="center"/>
            <w:hideMark/>
          </w:tcPr>
          <w:p w14:paraId="64B5353A"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16C7DD12" w14:textId="77777777" w:rsidR="004F570A" w:rsidRPr="00693DFB" w:rsidRDefault="004F570A" w:rsidP="004F570A">
            <w:pPr>
              <w:autoSpaceDE w:val="0"/>
              <w:autoSpaceDN w:val="0"/>
              <w:adjustRightInd w:val="0"/>
              <w:jc w:val="center"/>
              <w:rPr>
                <w:rFonts w:cstheme="minorHAnsi"/>
                <w:bCs/>
              </w:rPr>
            </w:pPr>
            <w:r w:rsidRPr="00693DFB">
              <w:rPr>
                <w:rFonts w:cstheme="minorHAnsi"/>
                <w:bCs/>
              </w:rPr>
              <w:t>Black</w:t>
            </w:r>
          </w:p>
        </w:tc>
        <w:tc>
          <w:tcPr>
            <w:tcW w:w="1446" w:type="dxa"/>
            <w:noWrap/>
            <w:hideMark/>
          </w:tcPr>
          <w:p w14:paraId="0C78BDB4" w14:textId="155186B9" w:rsidR="004F570A" w:rsidRPr="00693DFB" w:rsidRDefault="004F570A" w:rsidP="004F570A">
            <w:pPr>
              <w:autoSpaceDE w:val="0"/>
              <w:autoSpaceDN w:val="0"/>
              <w:adjustRightInd w:val="0"/>
              <w:jc w:val="center"/>
              <w:rPr>
                <w:rFonts w:cstheme="minorHAnsi"/>
                <w:bCs/>
              </w:rPr>
            </w:pPr>
            <w:r w:rsidRPr="006A130B">
              <w:t xml:space="preserve">381,384 </w:t>
            </w:r>
          </w:p>
        </w:tc>
        <w:tc>
          <w:tcPr>
            <w:tcW w:w="1534" w:type="dxa"/>
            <w:noWrap/>
            <w:hideMark/>
          </w:tcPr>
          <w:p w14:paraId="0F1264C8" w14:textId="73AA1942" w:rsidR="004F570A" w:rsidRPr="00693DFB" w:rsidRDefault="004F570A" w:rsidP="004F570A">
            <w:pPr>
              <w:autoSpaceDE w:val="0"/>
              <w:autoSpaceDN w:val="0"/>
              <w:adjustRightInd w:val="0"/>
              <w:jc w:val="center"/>
              <w:rPr>
                <w:rFonts w:cstheme="minorHAnsi"/>
                <w:bCs/>
              </w:rPr>
            </w:pPr>
            <w:r w:rsidRPr="006A130B">
              <w:t>12.49%</w:t>
            </w:r>
          </w:p>
        </w:tc>
      </w:tr>
      <w:tr w:rsidR="004F570A" w:rsidRPr="00693DFB" w14:paraId="3BD929BD" w14:textId="77777777" w:rsidTr="006A227A">
        <w:trPr>
          <w:trHeight w:val="300"/>
          <w:jc w:val="center"/>
        </w:trPr>
        <w:tc>
          <w:tcPr>
            <w:tcW w:w="2980" w:type="dxa"/>
            <w:vMerge/>
            <w:vAlign w:val="center"/>
            <w:hideMark/>
          </w:tcPr>
          <w:p w14:paraId="53FD2E6B"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32EAB14A" w14:textId="77777777" w:rsidR="004F570A" w:rsidRPr="00693DFB" w:rsidRDefault="004F570A" w:rsidP="004F570A">
            <w:pPr>
              <w:autoSpaceDE w:val="0"/>
              <w:autoSpaceDN w:val="0"/>
              <w:adjustRightInd w:val="0"/>
              <w:jc w:val="center"/>
              <w:rPr>
                <w:rFonts w:cstheme="minorHAnsi"/>
                <w:bCs/>
              </w:rPr>
            </w:pPr>
            <w:r w:rsidRPr="00693DFB">
              <w:rPr>
                <w:rFonts w:cstheme="minorHAnsi"/>
                <w:bCs/>
              </w:rPr>
              <w:t>Hispanic</w:t>
            </w:r>
          </w:p>
        </w:tc>
        <w:tc>
          <w:tcPr>
            <w:tcW w:w="1446" w:type="dxa"/>
            <w:noWrap/>
            <w:hideMark/>
          </w:tcPr>
          <w:p w14:paraId="70A0255E" w14:textId="5F97DFB4" w:rsidR="004F570A" w:rsidRPr="00693DFB" w:rsidRDefault="004F570A" w:rsidP="004F570A">
            <w:pPr>
              <w:autoSpaceDE w:val="0"/>
              <w:autoSpaceDN w:val="0"/>
              <w:adjustRightInd w:val="0"/>
              <w:jc w:val="center"/>
              <w:rPr>
                <w:rFonts w:cstheme="minorHAnsi"/>
                <w:bCs/>
              </w:rPr>
            </w:pPr>
            <w:r w:rsidRPr="006A130B">
              <w:t xml:space="preserve">219,305 </w:t>
            </w:r>
          </w:p>
        </w:tc>
        <w:tc>
          <w:tcPr>
            <w:tcW w:w="1534" w:type="dxa"/>
            <w:noWrap/>
            <w:hideMark/>
          </w:tcPr>
          <w:p w14:paraId="4AC67DE9" w14:textId="5FD6E300" w:rsidR="004F570A" w:rsidRPr="00693DFB" w:rsidRDefault="004F570A" w:rsidP="004F570A">
            <w:pPr>
              <w:autoSpaceDE w:val="0"/>
              <w:autoSpaceDN w:val="0"/>
              <w:adjustRightInd w:val="0"/>
              <w:jc w:val="center"/>
              <w:rPr>
                <w:rFonts w:cstheme="minorHAnsi"/>
                <w:bCs/>
              </w:rPr>
            </w:pPr>
            <w:r w:rsidRPr="006A130B">
              <w:t>7.1</w:t>
            </w:r>
            <w:r w:rsidR="00DD6276">
              <w:t>9</w:t>
            </w:r>
            <w:r w:rsidRPr="006A130B">
              <w:t>%</w:t>
            </w:r>
          </w:p>
        </w:tc>
      </w:tr>
      <w:tr w:rsidR="004F570A" w:rsidRPr="00693DFB" w14:paraId="0526CF3A" w14:textId="77777777" w:rsidTr="006A227A">
        <w:trPr>
          <w:trHeight w:val="300"/>
          <w:jc w:val="center"/>
        </w:trPr>
        <w:tc>
          <w:tcPr>
            <w:tcW w:w="2980" w:type="dxa"/>
            <w:vMerge/>
            <w:vAlign w:val="center"/>
            <w:hideMark/>
          </w:tcPr>
          <w:p w14:paraId="15230630"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7BB120B2" w14:textId="77777777" w:rsidR="004F570A" w:rsidRPr="00693DFB" w:rsidRDefault="004F570A" w:rsidP="004F570A">
            <w:pPr>
              <w:autoSpaceDE w:val="0"/>
              <w:autoSpaceDN w:val="0"/>
              <w:adjustRightInd w:val="0"/>
              <w:jc w:val="center"/>
              <w:rPr>
                <w:rFonts w:cstheme="minorHAnsi"/>
                <w:bCs/>
              </w:rPr>
            </w:pPr>
            <w:r w:rsidRPr="00693DFB">
              <w:rPr>
                <w:rFonts w:cstheme="minorHAnsi"/>
                <w:bCs/>
              </w:rPr>
              <w:t>Other</w:t>
            </w:r>
          </w:p>
        </w:tc>
        <w:tc>
          <w:tcPr>
            <w:tcW w:w="1446" w:type="dxa"/>
            <w:noWrap/>
            <w:hideMark/>
          </w:tcPr>
          <w:p w14:paraId="554054E2" w14:textId="70EE6509" w:rsidR="004F570A" w:rsidRPr="00693DFB" w:rsidRDefault="004F570A" w:rsidP="004F570A">
            <w:pPr>
              <w:autoSpaceDE w:val="0"/>
              <w:autoSpaceDN w:val="0"/>
              <w:adjustRightInd w:val="0"/>
              <w:jc w:val="center"/>
              <w:rPr>
                <w:rFonts w:cstheme="minorHAnsi"/>
                <w:bCs/>
              </w:rPr>
            </w:pPr>
            <w:r w:rsidRPr="006A130B">
              <w:t xml:space="preserve">84,829 </w:t>
            </w:r>
          </w:p>
        </w:tc>
        <w:tc>
          <w:tcPr>
            <w:tcW w:w="1534" w:type="dxa"/>
            <w:noWrap/>
            <w:hideMark/>
          </w:tcPr>
          <w:p w14:paraId="200544A2" w14:textId="04A6EE74" w:rsidR="004F570A" w:rsidRPr="00693DFB" w:rsidRDefault="004F570A" w:rsidP="004F570A">
            <w:pPr>
              <w:autoSpaceDE w:val="0"/>
              <w:autoSpaceDN w:val="0"/>
              <w:adjustRightInd w:val="0"/>
              <w:jc w:val="center"/>
              <w:rPr>
                <w:rFonts w:cstheme="minorHAnsi"/>
                <w:bCs/>
              </w:rPr>
            </w:pPr>
            <w:r w:rsidRPr="006A130B">
              <w:t>2.78%</w:t>
            </w:r>
          </w:p>
        </w:tc>
      </w:tr>
      <w:tr w:rsidR="004F570A" w:rsidRPr="00693DFB" w14:paraId="02A5C4DA" w14:textId="77777777" w:rsidTr="006A227A">
        <w:trPr>
          <w:trHeight w:val="300"/>
          <w:jc w:val="center"/>
        </w:trPr>
        <w:tc>
          <w:tcPr>
            <w:tcW w:w="2980" w:type="dxa"/>
            <w:vMerge w:val="restart"/>
            <w:vAlign w:val="center"/>
            <w:hideMark/>
          </w:tcPr>
          <w:p w14:paraId="3CE8856A" w14:textId="77777777" w:rsidR="004F570A" w:rsidRPr="00693DFB" w:rsidRDefault="004F570A" w:rsidP="004F570A">
            <w:pPr>
              <w:autoSpaceDE w:val="0"/>
              <w:autoSpaceDN w:val="0"/>
              <w:adjustRightInd w:val="0"/>
              <w:jc w:val="center"/>
              <w:rPr>
                <w:rFonts w:cstheme="minorHAnsi"/>
                <w:bCs/>
              </w:rPr>
            </w:pPr>
            <w:r w:rsidRPr="00693DFB">
              <w:rPr>
                <w:rFonts w:cstheme="minorHAnsi"/>
                <w:bCs/>
              </w:rPr>
              <w:t>Age</w:t>
            </w:r>
          </w:p>
        </w:tc>
        <w:tc>
          <w:tcPr>
            <w:tcW w:w="1358" w:type="dxa"/>
            <w:noWrap/>
            <w:vAlign w:val="center"/>
            <w:hideMark/>
          </w:tcPr>
          <w:p w14:paraId="3F5306D4" w14:textId="77777777" w:rsidR="004F570A" w:rsidRPr="00693DFB" w:rsidRDefault="004F570A" w:rsidP="004F570A">
            <w:pPr>
              <w:autoSpaceDE w:val="0"/>
              <w:autoSpaceDN w:val="0"/>
              <w:adjustRightInd w:val="0"/>
              <w:jc w:val="center"/>
              <w:rPr>
                <w:rFonts w:cstheme="minorHAnsi"/>
                <w:bCs/>
              </w:rPr>
            </w:pPr>
            <w:r w:rsidRPr="00693DFB">
              <w:rPr>
                <w:rFonts w:cstheme="minorHAnsi"/>
                <w:bCs/>
              </w:rPr>
              <w:t>Under 65</w:t>
            </w:r>
          </w:p>
        </w:tc>
        <w:tc>
          <w:tcPr>
            <w:tcW w:w="1446" w:type="dxa"/>
            <w:noWrap/>
            <w:hideMark/>
          </w:tcPr>
          <w:p w14:paraId="6F39CC41" w14:textId="13168613" w:rsidR="004F570A" w:rsidRPr="00693DFB" w:rsidRDefault="004F570A" w:rsidP="004F570A">
            <w:pPr>
              <w:autoSpaceDE w:val="0"/>
              <w:autoSpaceDN w:val="0"/>
              <w:adjustRightInd w:val="0"/>
              <w:jc w:val="center"/>
              <w:rPr>
                <w:rFonts w:cstheme="minorHAnsi"/>
                <w:bCs/>
              </w:rPr>
            </w:pPr>
            <w:r w:rsidRPr="006A130B">
              <w:t xml:space="preserve">548,023 </w:t>
            </w:r>
          </w:p>
        </w:tc>
        <w:tc>
          <w:tcPr>
            <w:tcW w:w="1534" w:type="dxa"/>
            <w:noWrap/>
            <w:hideMark/>
          </w:tcPr>
          <w:p w14:paraId="175DC045" w14:textId="622247A3" w:rsidR="004F570A" w:rsidRPr="00693DFB" w:rsidRDefault="004F570A" w:rsidP="004F570A">
            <w:pPr>
              <w:autoSpaceDE w:val="0"/>
              <w:autoSpaceDN w:val="0"/>
              <w:adjustRightInd w:val="0"/>
              <w:jc w:val="center"/>
              <w:rPr>
                <w:rFonts w:cstheme="minorHAnsi"/>
                <w:bCs/>
              </w:rPr>
            </w:pPr>
            <w:r w:rsidRPr="006A130B">
              <w:t>17.95%</w:t>
            </w:r>
          </w:p>
        </w:tc>
      </w:tr>
      <w:tr w:rsidR="004F570A" w:rsidRPr="00693DFB" w14:paraId="4725AB3B" w14:textId="77777777" w:rsidTr="006A227A">
        <w:trPr>
          <w:trHeight w:val="300"/>
          <w:jc w:val="center"/>
        </w:trPr>
        <w:tc>
          <w:tcPr>
            <w:tcW w:w="2980" w:type="dxa"/>
            <w:vMerge/>
            <w:vAlign w:val="center"/>
            <w:hideMark/>
          </w:tcPr>
          <w:p w14:paraId="2C7D9200"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6856C352" w14:textId="77777777" w:rsidR="004F570A" w:rsidRPr="00693DFB" w:rsidRDefault="004F570A" w:rsidP="004F570A">
            <w:pPr>
              <w:autoSpaceDE w:val="0"/>
              <w:autoSpaceDN w:val="0"/>
              <w:adjustRightInd w:val="0"/>
              <w:jc w:val="center"/>
              <w:rPr>
                <w:rFonts w:cstheme="minorHAnsi"/>
                <w:bCs/>
              </w:rPr>
            </w:pPr>
            <w:r w:rsidRPr="00693DFB">
              <w:rPr>
                <w:rFonts w:cstheme="minorHAnsi"/>
                <w:bCs/>
              </w:rPr>
              <w:t>65-74</w:t>
            </w:r>
          </w:p>
        </w:tc>
        <w:tc>
          <w:tcPr>
            <w:tcW w:w="1446" w:type="dxa"/>
            <w:noWrap/>
            <w:hideMark/>
          </w:tcPr>
          <w:p w14:paraId="63900FE8" w14:textId="58233605" w:rsidR="004F570A" w:rsidRPr="00693DFB" w:rsidRDefault="004F570A" w:rsidP="004F570A">
            <w:pPr>
              <w:autoSpaceDE w:val="0"/>
              <w:autoSpaceDN w:val="0"/>
              <w:adjustRightInd w:val="0"/>
              <w:jc w:val="center"/>
              <w:rPr>
                <w:rFonts w:cstheme="minorHAnsi"/>
                <w:bCs/>
              </w:rPr>
            </w:pPr>
            <w:r w:rsidRPr="006A130B">
              <w:t xml:space="preserve">885,724 </w:t>
            </w:r>
          </w:p>
        </w:tc>
        <w:tc>
          <w:tcPr>
            <w:tcW w:w="1534" w:type="dxa"/>
            <w:noWrap/>
            <w:hideMark/>
          </w:tcPr>
          <w:p w14:paraId="28BF1F6F" w14:textId="59DC36AE" w:rsidR="004F570A" w:rsidRPr="00693DFB" w:rsidRDefault="004F570A" w:rsidP="004F570A">
            <w:pPr>
              <w:autoSpaceDE w:val="0"/>
              <w:autoSpaceDN w:val="0"/>
              <w:adjustRightInd w:val="0"/>
              <w:jc w:val="center"/>
              <w:rPr>
                <w:rFonts w:cstheme="minorHAnsi"/>
                <w:bCs/>
              </w:rPr>
            </w:pPr>
            <w:r w:rsidRPr="006A130B">
              <w:t>29.02%</w:t>
            </w:r>
          </w:p>
        </w:tc>
      </w:tr>
      <w:tr w:rsidR="004F570A" w:rsidRPr="00693DFB" w14:paraId="52010184" w14:textId="77777777" w:rsidTr="006A227A">
        <w:trPr>
          <w:trHeight w:val="300"/>
          <w:jc w:val="center"/>
        </w:trPr>
        <w:tc>
          <w:tcPr>
            <w:tcW w:w="2980" w:type="dxa"/>
            <w:vMerge/>
            <w:vAlign w:val="center"/>
            <w:hideMark/>
          </w:tcPr>
          <w:p w14:paraId="0B26E255"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6DC59FEE" w14:textId="77777777" w:rsidR="004F570A" w:rsidRPr="00693DFB" w:rsidRDefault="004F570A" w:rsidP="004F570A">
            <w:pPr>
              <w:autoSpaceDE w:val="0"/>
              <w:autoSpaceDN w:val="0"/>
              <w:adjustRightInd w:val="0"/>
              <w:jc w:val="center"/>
              <w:rPr>
                <w:rFonts w:cstheme="minorHAnsi"/>
                <w:bCs/>
              </w:rPr>
            </w:pPr>
            <w:r w:rsidRPr="00693DFB">
              <w:rPr>
                <w:rFonts w:cstheme="minorHAnsi"/>
                <w:bCs/>
              </w:rPr>
              <w:t>75-84</w:t>
            </w:r>
          </w:p>
        </w:tc>
        <w:tc>
          <w:tcPr>
            <w:tcW w:w="1446" w:type="dxa"/>
            <w:noWrap/>
            <w:hideMark/>
          </w:tcPr>
          <w:p w14:paraId="5195717C" w14:textId="702A9B62" w:rsidR="004F570A" w:rsidRPr="00693DFB" w:rsidRDefault="004F570A" w:rsidP="004F570A">
            <w:pPr>
              <w:autoSpaceDE w:val="0"/>
              <w:autoSpaceDN w:val="0"/>
              <w:adjustRightInd w:val="0"/>
              <w:jc w:val="center"/>
              <w:rPr>
                <w:rFonts w:cstheme="minorHAnsi"/>
                <w:bCs/>
              </w:rPr>
            </w:pPr>
            <w:r w:rsidRPr="006A130B">
              <w:t xml:space="preserve">904,034 </w:t>
            </w:r>
          </w:p>
        </w:tc>
        <w:tc>
          <w:tcPr>
            <w:tcW w:w="1534" w:type="dxa"/>
            <w:noWrap/>
            <w:hideMark/>
          </w:tcPr>
          <w:p w14:paraId="6D2F7DFB" w14:textId="2D97E734" w:rsidR="004F570A" w:rsidRPr="00693DFB" w:rsidRDefault="004F570A" w:rsidP="004F570A">
            <w:pPr>
              <w:autoSpaceDE w:val="0"/>
              <w:autoSpaceDN w:val="0"/>
              <w:adjustRightInd w:val="0"/>
              <w:jc w:val="center"/>
              <w:rPr>
                <w:rFonts w:cstheme="minorHAnsi"/>
                <w:bCs/>
              </w:rPr>
            </w:pPr>
            <w:r w:rsidRPr="006A130B">
              <w:t>29.62%</w:t>
            </w:r>
          </w:p>
        </w:tc>
      </w:tr>
      <w:tr w:rsidR="004F570A" w:rsidRPr="00693DFB" w14:paraId="2E94447A" w14:textId="77777777" w:rsidTr="006A227A">
        <w:trPr>
          <w:trHeight w:val="300"/>
          <w:jc w:val="center"/>
        </w:trPr>
        <w:tc>
          <w:tcPr>
            <w:tcW w:w="2980" w:type="dxa"/>
            <w:vMerge/>
            <w:vAlign w:val="center"/>
            <w:hideMark/>
          </w:tcPr>
          <w:p w14:paraId="0BA3FE32"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2D5B8474" w14:textId="77777777" w:rsidR="004F570A" w:rsidRPr="00693DFB" w:rsidRDefault="004F570A" w:rsidP="004F570A">
            <w:pPr>
              <w:autoSpaceDE w:val="0"/>
              <w:autoSpaceDN w:val="0"/>
              <w:adjustRightInd w:val="0"/>
              <w:jc w:val="center"/>
              <w:rPr>
                <w:rFonts w:cstheme="minorHAnsi"/>
                <w:bCs/>
              </w:rPr>
            </w:pPr>
            <w:r w:rsidRPr="00693DFB">
              <w:rPr>
                <w:rFonts w:cstheme="minorHAnsi"/>
                <w:bCs/>
              </w:rPr>
              <w:t>85 and Over</w:t>
            </w:r>
          </w:p>
        </w:tc>
        <w:tc>
          <w:tcPr>
            <w:tcW w:w="1446" w:type="dxa"/>
            <w:noWrap/>
            <w:hideMark/>
          </w:tcPr>
          <w:p w14:paraId="2AF52A23" w14:textId="378D7F3F" w:rsidR="004F570A" w:rsidRPr="00693DFB" w:rsidRDefault="004F570A" w:rsidP="004F570A">
            <w:pPr>
              <w:autoSpaceDE w:val="0"/>
              <w:autoSpaceDN w:val="0"/>
              <w:adjustRightInd w:val="0"/>
              <w:jc w:val="center"/>
              <w:rPr>
                <w:rFonts w:cstheme="minorHAnsi"/>
                <w:bCs/>
              </w:rPr>
            </w:pPr>
            <w:r w:rsidRPr="006A130B">
              <w:t xml:space="preserve">714,550 </w:t>
            </w:r>
          </w:p>
        </w:tc>
        <w:tc>
          <w:tcPr>
            <w:tcW w:w="1534" w:type="dxa"/>
            <w:noWrap/>
            <w:hideMark/>
          </w:tcPr>
          <w:p w14:paraId="1A5E4BF2" w14:textId="4A57670F" w:rsidR="004F570A" w:rsidRPr="00693DFB" w:rsidRDefault="004F570A" w:rsidP="004F570A">
            <w:pPr>
              <w:autoSpaceDE w:val="0"/>
              <w:autoSpaceDN w:val="0"/>
              <w:adjustRightInd w:val="0"/>
              <w:jc w:val="center"/>
              <w:rPr>
                <w:rFonts w:cstheme="minorHAnsi"/>
                <w:bCs/>
              </w:rPr>
            </w:pPr>
            <w:r w:rsidRPr="006A130B">
              <w:t>23.41%</w:t>
            </w:r>
          </w:p>
        </w:tc>
      </w:tr>
      <w:tr w:rsidR="004F570A" w:rsidRPr="00693DFB" w14:paraId="5B94E211" w14:textId="77777777" w:rsidTr="006A227A">
        <w:trPr>
          <w:trHeight w:val="300"/>
          <w:jc w:val="center"/>
        </w:trPr>
        <w:tc>
          <w:tcPr>
            <w:tcW w:w="2980" w:type="dxa"/>
            <w:vMerge w:val="restart"/>
            <w:vAlign w:val="center"/>
            <w:hideMark/>
          </w:tcPr>
          <w:p w14:paraId="0913D3B1" w14:textId="044F32F1" w:rsidR="004F570A" w:rsidRPr="00693DFB" w:rsidRDefault="004F570A" w:rsidP="004F570A">
            <w:pPr>
              <w:autoSpaceDE w:val="0"/>
              <w:autoSpaceDN w:val="0"/>
              <w:adjustRightInd w:val="0"/>
              <w:jc w:val="center"/>
              <w:rPr>
                <w:rFonts w:cstheme="minorHAnsi"/>
                <w:bCs/>
              </w:rPr>
            </w:pPr>
            <w:r w:rsidRPr="00693DFB">
              <w:rPr>
                <w:rFonts w:cstheme="minorHAnsi"/>
                <w:bCs/>
              </w:rPr>
              <w:t>Dual Enrol</w:t>
            </w:r>
            <w:r>
              <w:rPr>
                <w:rFonts w:cstheme="minorHAnsi"/>
                <w:bCs/>
              </w:rPr>
              <w:t>lment in Medicare and Medicaid</w:t>
            </w:r>
          </w:p>
        </w:tc>
        <w:tc>
          <w:tcPr>
            <w:tcW w:w="1358" w:type="dxa"/>
            <w:noWrap/>
            <w:vAlign w:val="center"/>
            <w:hideMark/>
          </w:tcPr>
          <w:p w14:paraId="58ACD8D5" w14:textId="77777777" w:rsidR="004F570A" w:rsidRPr="00693DFB" w:rsidRDefault="004F570A" w:rsidP="004F570A">
            <w:pPr>
              <w:autoSpaceDE w:val="0"/>
              <w:autoSpaceDN w:val="0"/>
              <w:adjustRightInd w:val="0"/>
              <w:jc w:val="center"/>
              <w:rPr>
                <w:rFonts w:cstheme="minorHAnsi"/>
                <w:bCs/>
              </w:rPr>
            </w:pPr>
            <w:r w:rsidRPr="00693DFB">
              <w:rPr>
                <w:rFonts w:cstheme="minorHAnsi"/>
                <w:bCs/>
              </w:rPr>
              <w:t>No</w:t>
            </w:r>
          </w:p>
        </w:tc>
        <w:tc>
          <w:tcPr>
            <w:tcW w:w="1446" w:type="dxa"/>
            <w:noWrap/>
            <w:hideMark/>
          </w:tcPr>
          <w:p w14:paraId="7A0751AC" w14:textId="161975C1" w:rsidR="004F570A" w:rsidRPr="00693DFB" w:rsidRDefault="004F570A" w:rsidP="004F570A">
            <w:pPr>
              <w:autoSpaceDE w:val="0"/>
              <w:autoSpaceDN w:val="0"/>
              <w:adjustRightInd w:val="0"/>
              <w:jc w:val="center"/>
              <w:rPr>
                <w:rFonts w:cstheme="minorHAnsi"/>
                <w:bCs/>
              </w:rPr>
            </w:pPr>
            <w:r w:rsidRPr="006A130B">
              <w:t xml:space="preserve">2,394,590 </w:t>
            </w:r>
          </w:p>
        </w:tc>
        <w:tc>
          <w:tcPr>
            <w:tcW w:w="1534" w:type="dxa"/>
            <w:noWrap/>
            <w:hideMark/>
          </w:tcPr>
          <w:p w14:paraId="05D51BB7" w14:textId="69C735A4" w:rsidR="004F570A" w:rsidRPr="00693DFB" w:rsidRDefault="004F570A" w:rsidP="004F570A">
            <w:pPr>
              <w:autoSpaceDE w:val="0"/>
              <w:autoSpaceDN w:val="0"/>
              <w:adjustRightInd w:val="0"/>
              <w:jc w:val="center"/>
              <w:rPr>
                <w:rFonts w:cstheme="minorHAnsi"/>
                <w:bCs/>
              </w:rPr>
            </w:pPr>
            <w:r w:rsidRPr="006A130B">
              <w:t>78.45%</w:t>
            </w:r>
          </w:p>
        </w:tc>
      </w:tr>
      <w:tr w:rsidR="004F570A" w:rsidRPr="00693DFB" w14:paraId="6ED08FCD" w14:textId="77777777" w:rsidTr="006A227A">
        <w:trPr>
          <w:trHeight w:val="300"/>
          <w:jc w:val="center"/>
        </w:trPr>
        <w:tc>
          <w:tcPr>
            <w:tcW w:w="2980" w:type="dxa"/>
            <w:vMerge/>
            <w:vAlign w:val="center"/>
            <w:hideMark/>
          </w:tcPr>
          <w:p w14:paraId="79B194EB"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2CAAE70B" w14:textId="77777777" w:rsidR="004F570A" w:rsidRPr="00693DFB" w:rsidRDefault="004F570A" w:rsidP="004F570A">
            <w:pPr>
              <w:autoSpaceDE w:val="0"/>
              <w:autoSpaceDN w:val="0"/>
              <w:adjustRightInd w:val="0"/>
              <w:jc w:val="center"/>
              <w:rPr>
                <w:rFonts w:cstheme="minorHAnsi"/>
                <w:bCs/>
              </w:rPr>
            </w:pPr>
            <w:r w:rsidRPr="00693DFB">
              <w:rPr>
                <w:rFonts w:cstheme="minorHAnsi"/>
                <w:bCs/>
              </w:rPr>
              <w:t>Yes</w:t>
            </w:r>
          </w:p>
        </w:tc>
        <w:tc>
          <w:tcPr>
            <w:tcW w:w="1446" w:type="dxa"/>
            <w:noWrap/>
            <w:hideMark/>
          </w:tcPr>
          <w:p w14:paraId="336E6B96" w14:textId="1A61CE30" w:rsidR="004F570A" w:rsidRPr="00693DFB" w:rsidRDefault="004F570A" w:rsidP="004F570A">
            <w:pPr>
              <w:autoSpaceDE w:val="0"/>
              <w:autoSpaceDN w:val="0"/>
              <w:adjustRightInd w:val="0"/>
              <w:jc w:val="center"/>
              <w:rPr>
                <w:rFonts w:cstheme="minorHAnsi"/>
                <w:bCs/>
              </w:rPr>
            </w:pPr>
            <w:r w:rsidRPr="006A130B">
              <w:t xml:space="preserve">657,741 </w:t>
            </w:r>
          </w:p>
        </w:tc>
        <w:tc>
          <w:tcPr>
            <w:tcW w:w="1534" w:type="dxa"/>
            <w:noWrap/>
            <w:hideMark/>
          </w:tcPr>
          <w:p w14:paraId="2E22241F" w14:textId="352FD9B6" w:rsidR="004F570A" w:rsidRPr="00693DFB" w:rsidRDefault="004F570A" w:rsidP="004F570A">
            <w:pPr>
              <w:autoSpaceDE w:val="0"/>
              <w:autoSpaceDN w:val="0"/>
              <w:adjustRightInd w:val="0"/>
              <w:jc w:val="center"/>
              <w:rPr>
                <w:rFonts w:cstheme="minorHAnsi"/>
                <w:bCs/>
              </w:rPr>
            </w:pPr>
            <w:r w:rsidRPr="006A130B">
              <w:t>21.55%</w:t>
            </w:r>
          </w:p>
        </w:tc>
      </w:tr>
      <w:tr w:rsidR="004F570A" w:rsidRPr="00693DFB" w14:paraId="63AAED5D" w14:textId="77777777" w:rsidTr="006A227A">
        <w:trPr>
          <w:trHeight w:val="300"/>
          <w:jc w:val="center"/>
        </w:trPr>
        <w:tc>
          <w:tcPr>
            <w:tcW w:w="2980" w:type="dxa"/>
            <w:vMerge w:val="restart"/>
            <w:vAlign w:val="center"/>
            <w:hideMark/>
          </w:tcPr>
          <w:p w14:paraId="71A8A394" w14:textId="77777777" w:rsidR="004F570A" w:rsidRPr="00693DFB" w:rsidRDefault="004F570A" w:rsidP="004F570A">
            <w:pPr>
              <w:autoSpaceDE w:val="0"/>
              <w:autoSpaceDN w:val="0"/>
              <w:adjustRightInd w:val="0"/>
              <w:jc w:val="center"/>
              <w:rPr>
                <w:rFonts w:cstheme="minorHAnsi"/>
                <w:bCs/>
              </w:rPr>
            </w:pPr>
            <w:r w:rsidRPr="00693DFB">
              <w:rPr>
                <w:rFonts w:cstheme="minorHAnsi"/>
                <w:bCs/>
              </w:rPr>
              <w:t>Currently or Originally Eligible for Medicare due to Disability</w:t>
            </w:r>
          </w:p>
        </w:tc>
        <w:tc>
          <w:tcPr>
            <w:tcW w:w="1358" w:type="dxa"/>
            <w:noWrap/>
            <w:vAlign w:val="center"/>
            <w:hideMark/>
          </w:tcPr>
          <w:p w14:paraId="6D9850A9" w14:textId="77777777" w:rsidR="004F570A" w:rsidRPr="00693DFB" w:rsidRDefault="004F570A" w:rsidP="004F570A">
            <w:pPr>
              <w:autoSpaceDE w:val="0"/>
              <w:autoSpaceDN w:val="0"/>
              <w:adjustRightInd w:val="0"/>
              <w:jc w:val="center"/>
              <w:rPr>
                <w:rFonts w:cstheme="minorHAnsi"/>
                <w:bCs/>
              </w:rPr>
            </w:pPr>
            <w:r w:rsidRPr="00693DFB">
              <w:rPr>
                <w:rFonts w:cstheme="minorHAnsi"/>
                <w:bCs/>
              </w:rPr>
              <w:t>No</w:t>
            </w:r>
          </w:p>
        </w:tc>
        <w:tc>
          <w:tcPr>
            <w:tcW w:w="1446" w:type="dxa"/>
            <w:noWrap/>
            <w:hideMark/>
          </w:tcPr>
          <w:p w14:paraId="075B52D1" w14:textId="07BFDF88" w:rsidR="004F570A" w:rsidRPr="00693DFB" w:rsidRDefault="004F570A" w:rsidP="004F570A">
            <w:pPr>
              <w:autoSpaceDE w:val="0"/>
              <w:autoSpaceDN w:val="0"/>
              <w:adjustRightInd w:val="0"/>
              <w:jc w:val="center"/>
              <w:rPr>
                <w:rFonts w:cstheme="minorHAnsi"/>
                <w:bCs/>
              </w:rPr>
            </w:pPr>
            <w:r w:rsidRPr="006A1C1E">
              <w:t xml:space="preserve">2,405,389 </w:t>
            </w:r>
          </w:p>
        </w:tc>
        <w:tc>
          <w:tcPr>
            <w:tcW w:w="1534" w:type="dxa"/>
            <w:noWrap/>
            <w:hideMark/>
          </w:tcPr>
          <w:p w14:paraId="5584D34C" w14:textId="66EF11A9" w:rsidR="004F570A" w:rsidRPr="00693DFB" w:rsidRDefault="004F570A" w:rsidP="004F570A">
            <w:pPr>
              <w:autoSpaceDE w:val="0"/>
              <w:autoSpaceDN w:val="0"/>
              <w:adjustRightInd w:val="0"/>
              <w:jc w:val="center"/>
              <w:rPr>
                <w:rFonts w:cstheme="minorHAnsi"/>
                <w:bCs/>
              </w:rPr>
            </w:pPr>
            <w:r w:rsidRPr="006A1C1E">
              <w:t>78.80%</w:t>
            </w:r>
          </w:p>
        </w:tc>
      </w:tr>
      <w:tr w:rsidR="004F570A" w:rsidRPr="00693DFB" w14:paraId="43090157" w14:textId="77777777" w:rsidTr="006A227A">
        <w:trPr>
          <w:trHeight w:val="300"/>
          <w:jc w:val="center"/>
        </w:trPr>
        <w:tc>
          <w:tcPr>
            <w:tcW w:w="2980" w:type="dxa"/>
            <w:vMerge/>
            <w:vAlign w:val="center"/>
            <w:hideMark/>
          </w:tcPr>
          <w:p w14:paraId="2F60F210"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35330B28" w14:textId="77777777" w:rsidR="004F570A" w:rsidRPr="00693DFB" w:rsidRDefault="004F570A" w:rsidP="004F570A">
            <w:pPr>
              <w:autoSpaceDE w:val="0"/>
              <w:autoSpaceDN w:val="0"/>
              <w:adjustRightInd w:val="0"/>
              <w:jc w:val="center"/>
              <w:rPr>
                <w:rFonts w:cstheme="minorHAnsi"/>
                <w:bCs/>
              </w:rPr>
            </w:pPr>
            <w:r w:rsidRPr="00693DFB">
              <w:rPr>
                <w:rFonts w:cstheme="minorHAnsi"/>
                <w:bCs/>
              </w:rPr>
              <w:t>Yes</w:t>
            </w:r>
          </w:p>
        </w:tc>
        <w:tc>
          <w:tcPr>
            <w:tcW w:w="1446" w:type="dxa"/>
            <w:noWrap/>
            <w:hideMark/>
          </w:tcPr>
          <w:p w14:paraId="023FD1FB" w14:textId="7C857581" w:rsidR="004F570A" w:rsidRPr="00693DFB" w:rsidRDefault="004F570A" w:rsidP="004F570A">
            <w:pPr>
              <w:autoSpaceDE w:val="0"/>
              <w:autoSpaceDN w:val="0"/>
              <w:adjustRightInd w:val="0"/>
              <w:jc w:val="center"/>
              <w:rPr>
                <w:rFonts w:cstheme="minorHAnsi"/>
                <w:bCs/>
              </w:rPr>
            </w:pPr>
            <w:r w:rsidRPr="006A1C1E">
              <w:t xml:space="preserve">646,942 </w:t>
            </w:r>
          </w:p>
        </w:tc>
        <w:tc>
          <w:tcPr>
            <w:tcW w:w="1534" w:type="dxa"/>
            <w:noWrap/>
            <w:hideMark/>
          </w:tcPr>
          <w:p w14:paraId="6567327E" w14:textId="26F9D265" w:rsidR="004F570A" w:rsidRPr="00693DFB" w:rsidRDefault="004F570A" w:rsidP="004F570A">
            <w:pPr>
              <w:autoSpaceDE w:val="0"/>
              <w:autoSpaceDN w:val="0"/>
              <w:adjustRightInd w:val="0"/>
              <w:jc w:val="center"/>
              <w:rPr>
                <w:rFonts w:cstheme="minorHAnsi"/>
                <w:bCs/>
              </w:rPr>
            </w:pPr>
            <w:r w:rsidRPr="006A1C1E">
              <w:t>21.20%</w:t>
            </w:r>
          </w:p>
        </w:tc>
      </w:tr>
      <w:tr w:rsidR="004F570A" w:rsidRPr="00693DFB" w14:paraId="799CCD04" w14:textId="77777777" w:rsidTr="006A227A">
        <w:trPr>
          <w:trHeight w:val="300"/>
          <w:jc w:val="center"/>
        </w:trPr>
        <w:tc>
          <w:tcPr>
            <w:tcW w:w="2980" w:type="dxa"/>
            <w:vMerge w:val="restart"/>
            <w:vAlign w:val="center"/>
            <w:hideMark/>
          </w:tcPr>
          <w:p w14:paraId="4B8530DC" w14:textId="77777777" w:rsidR="004F570A" w:rsidRPr="00693DFB" w:rsidRDefault="004F570A" w:rsidP="004F570A">
            <w:pPr>
              <w:autoSpaceDE w:val="0"/>
              <w:autoSpaceDN w:val="0"/>
              <w:adjustRightInd w:val="0"/>
              <w:jc w:val="center"/>
              <w:rPr>
                <w:rFonts w:cstheme="minorHAnsi"/>
                <w:bCs/>
              </w:rPr>
            </w:pPr>
            <w:r w:rsidRPr="00693DFB">
              <w:rPr>
                <w:rFonts w:cstheme="minorHAnsi"/>
                <w:bCs/>
              </w:rPr>
              <w:t>Location of HHA by Census Region</w:t>
            </w:r>
          </w:p>
        </w:tc>
        <w:tc>
          <w:tcPr>
            <w:tcW w:w="1358" w:type="dxa"/>
            <w:noWrap/>
            <w:vAlign w:val="center"/>
            <w:hideMark/>
          </w:tcPr>
          <w:p w14:paraId="4FB041FC" w14:textId="77777777" w:rsidR="004F570A" w:rsidRPr="00693DFB" w:rsidRDefault="004F570A" w:rsidP="004F570A">
            <w:pPr>
              <w:autoSpaceDE w:val="0"/>
              <w:autoSpaceDN w:val="0"/>
              <w:adjustRightInd w:val="0"/>
              <w:jc w:val="center"/>
              <w:rPr>
                <w:rFonts w:cstheme="minorHAnsi"/>
                <w:bCs/>
              </w:rPr>
            </w:pPr>
            <w:r w:rsidRPr="00693DFB">
              <w:rPr>
                <w:rFonts w:cstheme="minorHAnsi"/>
                <w:bCs/>
              </w:rPr>
              <w:t>Northeast</w:t>
            </w:r>
          </w:p>
        </w:tc>
        <w:tc>
          <w:tcPr>
            <w:tcW w:w="1446" w:type="dxa"/>
            <w:noWrap/>
            <w:hideMark/>
          </w:tcPr>
          <w:p w14:paraId="37E04720" w14:textId="5909422F" w:rsidR="004F570A" w:rsidRPr="00693DFB" w:rsidRDefault="004F570A" w:rsidP="004F570A">
            <w:pPr>
              <w:autoSpaceDE w:val="0"/>
              <w:autoSpaceDN w:val="0"/>
              <w:adjustRightInd w:val="0"/>
              <w:jc w:val="center"/>
              <w:rPr>
                <w:rFonts w:cstheme="minorHAnsi"/>
                <w:bCs/>
              </w:rPr>
            </w:pPr>
            <w:r w:rsidRPr="006A1C1E">
              <w:t xml:space="preserve">631,656 </w:t>
            </w:r>
          </w:p>
        </w:tc>
        <w:tc>
          <w:tcPr>
            <w:tcW w:w="1534" w:type="dxa"/>
            <w:noWrap/>
            <w:hideMark/>
          </w:tcPr>
          <w:p w14:paraId="321563A7" w14:textId="533CE894" w:rsidR="004F570A" w:rsidRPr="00693DFB" w:rsidRDefault="004F570A" w:rsidP="004F570A">
            <w:pPr>
              <w:autoSpaceDE w:val="0"/>
              <w:autoSpaceDN w:val="0"/>
              <w:adjustRightInd w:val="0"/>
              <w:jc w:val="center"/>
              <w:rPr>
                <w:rFonts w:cstheme="minorHAnsi"/>
                <w:bCs/>
              </w:rPr>
            </w:pPr>
            <w:r w:rsidRPr="006A1C1E">
              <w:t>20.69%</w:t>
            </w:r>
          </w:p>
        </w:tc>
      </w:tr>
      <w:tr w:rsidR="004F570A" w:rsidRPr="00693DFB" w14:paraId="0CDAF9DD" w14:textId="77777777" w:rsidTr="006A227A">
        <w:trPr>
          <w:trHeight w:val="300"/>
          <w:jc w:val="center"/>
        </w:trPr>
        <w:tc>
          <w:tcPr>
            <w:tcW w:w="2980" w:type="dxa"/>
            <w:vMerge/>
            <w:vAlign w:val="center"/>
            <w:hideMark/>
          </w:tcPr>
          <w:p w14:paraId="0F71FA02"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2290D367" w14:textId="77777777" w:rsidR="004F570A" w:rsidRPr="00693DFB" w:rsidRDefault="004F570A" w:rsidP="004F570A">
            <w:pPr>
              <w:autoSpaceDE w:val="0"/>
              <w:autoSpaceDN w:val="0"/>
              <w:adjustRightInd w:val="0"/>
              <w:jc w:val="center"/>
              <w:rPr>
                <w:rFonts w:cstheme="minorHAnsi"/>
                <w:bCs/>
              </w:rPr>
            </w:pPr>
            <w:r w:rsidRPr="00693DFB">
              <w:rPr>
                <w:rFonts w:cstheme="minorHAnsi"/>
                <w:bCs/>
              </w:rPr>
              <w:t>Midwest</w:t>
            </w:r>
          </w:p>
        </w:tc>
        <w:tc>
          <w:tcPr>
            <w:tcW w:w="1446" w:type="dxa"/>
            <w:noWrap/>
            <w:hideMark/>
          </w:tcPr>
          <w:p w14:paraId="290AE47F" w14:textId="62B357FF" w:rsidR="004F570A" w:rsidRPr="00693DFB" w:rsidRDefault="004F570A" w:rsidP="004F570A">
            <w:pPr>
              <w:autoSpaceDE w:val="0"/>
              <w:autoSpaceDN w:val="0"/>
              <w:adjustRightInd w:val="0"/>
              <w:jc w:val="center"/>
              <w:rPr>
                <w:rFonts w:cstheme="minorHAnsi"/>
                <w:bCs/>
              </w:rPr>
            </w:pPr>
            <w:r w:rsidRPr="006A1C1E">
              <w:t xml:space="preserve">650,507 </w:t>
            </w:r>
          </w:p>
        </w:tc>
        <w:tc>
          <w:tcPr>
            <w:tcW w:w="1534" w:type="dxa"/>
            <w:noWrap/>
            <w:hideMark/>
          </w:tcPr>
          <w:p w14:paraId="21EC99F4" w14:textId="1543B080" w:rsidR="004F570A" w:rsidRPr="00693DFB" w:rsidRDefault="004F570A" w:rsidP="004F570A">
            <w:pPr>
              <w:autoSpaceDE w:val="0"/>
              <w:autoSpaceDN w:val="0"/>
              <w:adjustRightInd w:val="0"/>
              <w:jc w:val="center"/>
              <w:rPr>
                <w:rFonts w:cstheme="minorHAnsi"/>
                <w:bCs/>
              </w:rPr>
            </w:pPr>
            <w:r w:rsidRPr="006A1C1E">
              <w:t>21.31%</w:t>
            </w:r>
          </w:p>
        </w:tc>
      </w:tr>
      <w:tr w:rsidR="004F570A" w:rsidRPr="00693DFB" w14:paraId="425D33E5" w14:textId="77777777" w:rsidTr="006A227A">
        <w:trPr>
          <w:trHeight w:val="300"/>
          <w:jc w:val="center"/>
        </w:trPr>
        <w:tc>
          <w:tcPr>
            <w:tcW w:w="2980" w:type="dxa"/>
            <w:vMerge/>
            <w:vAlign w:val="center"/>
            <w:hideMark/>
          </w:tcPr>
          <w:p w14:paraId="47B04D0E"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5188EDA6" w14:textId="77777777" w:rsidR="004F570A" w:rsidRPr="00693DFB" w:rsidRDefault="004F570A" w:rsidP="004F570A">
            <w:pPr>
              <w:autoSpaceDE w:val="0"/>
              <w:autoSpaceDN w:val="0"/>
              <w:adjustRightInd w:val="0"/>
              <w:jc w:val="center"/>
              <w:rPr>
                <w:rFonts w:cstheme="minorHAnsi"/>
                <w:bCs/>
              </w:rPr>
            </w:pPr>
            <w:r w:rsidRPr="00693DFB">
              <w:rPr>
                <w:rFonts w:cstheme="minorHAnsi"/>
                <w:bCs/>
              </w:rPr>
              <w:t>South</w:t>
            </w:r>
          </w:p>
        </w:tc>
        <w:tc>
          <w:tcPr>
            <w:tcW w:w="1446" w:type="dxa"/>
            <w:noWrap/>
            <w:hideMark/>
          </w:tcPr>
          <w:p w14:paraId="0D11D1CC" w14:textId="60D6D053" w:rsidR="004F570A" w:rsidRPr="00693DFB" w:rsidRDefault="004F570A" w:rsidP="004F570A">
            <w:pPr>
              <w:autoSpaceDE w:val="0"/>
              <w:autoSpaceDN w:val="0"/>
              <w:adjustRightInd w:val="0"/>
              <w:jc w:val="center"/>
              <w:rPr>
                <w:rFonts w:cstheme="minorHAnsi"/>
                <w:bCs/>
              </w:rPr>
            </w:pPr>
            <w:r w:rsidRPr="006A1C1E">
              <w:t xml:space="preserve">1,222,508 </w:t>
            </w:r>
          </w:p>
        </w:tc>
        <w:tc>
          <w:tcPr>
            <w:tcW w:w="1534" w:type="dxa"/>
            <w:noWrap/>
            <w:hideMark/>
          </w:tcPr>
          <w:p w14:paraId="7FAA4670" w14:textId="2C02F857" w:rsidR="004F570A" w:rsidRPr="00693DFB" w:rsidRDefault="004F570A" w:rsidP="004F570A">
            <w:pPr>
              <w:autoSpaceDE w:val="0"/>
              <w:autoSpaceDN w:val="0"/>
              <w:adjustRightInd w:val="0"/>
              <w:jc w:val="center"/>
              <w:rPr>
                <w:rFonts w:cstheme="minorHAnsi"/>
                <w:bCs/>
              </w:rPr>
            </w:pPr>
            <w:r w:rsidRPr="006A1C1E">
              <w:t>40.05%</w:t>
            </w:r>
          </w:p>
        </w:tc>
      </w:tr>
      <w:tr w:rsidR="004F570A" w:rsidRPr="00693DFB" w14:paraId="2B987911" w14:textId="77777777" w:rsidTr="006A227A">
        <w:trPr>
          <w:trHeight w:val="300"/>
          <w:jc w:val="center"/>
        </w:trPr>
        <w:tc>
          <w:tcPr>
            <w:tcW w:w="2980" w:type="dxa"/>
            <w:vMerge/>
            <w:vAlign w:val="center"/>
            <w:hideMark/>
          </w:tcPr>
          <w:p w14:paraId="0C9C9FC0"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6FA94E22" w14:textId="77777777" w:rsidR="004F570A" w:rsidRPr="00693DFB" w:rsidRDefault="004F570A" w:rsidP="004F570A">
            <w:pPr>
              <w:autoSpaceDE w:val="0"/>
              <w:autoSpaceDN w:val="0"/>
              <w:adjustRightInd w:val="0"/>
              <w:jc w:val="center"/>
              <w:rPr>
                <w:rFonts w:cstheme="minorHAnsi"/>
                <w:bCs/>
              </w:rPr>
            </w:pPr>
            <w:r w:rsidRPr="00693DFB">
              <w:rPr>
                <w:rFonts w:cstheme="minorHAnsi"/>
                <w:bCs/>
              </w:rPr>
              <w:t>West</w:t>
            </w:r>
          </w:p>
        </w:tc>
        <w:tc>
          <w:tcPr>
            <w:tcW w:w="1446" w:type="dxa"/>
            <w:noWrap/>
            <w:hideMark/>
          </w:tcPr>
          <w:p w14:paraId="4D274FD5" w14:textId="08FDE292" w:rsidR="004F570A" w:rsidRPr="00693DFB" w:rsidRDefault="004F570A" w:rsidP="004F570A">
            <w:pPr>
              <w:autoSpaceDE w:val="0"/>
              <w:autoSpaceDN w:val="0"/>
              <w:adjustRightInd w:val="0"/>
              <w:jc w:val="center"/>
              <w:rPr>
                <w:rFonts w:cstheme="minorHAnsi"/>
                <w:bCs/>
              </w:rPr>
            </w:pPr>
            <w:r w:rsidRPr="006A1C1E">
              <w:t xml:space="preserve">535,870 </w:t>
            </w:r>
          </w:p>
        </w:tc>
        <w:tc>
          <w:tcPr>
            <w:tcW w:w="1534" w:type="dxa"/>
            <w:noWrap/>
            <w:hideMark/>
          </w:tcPr>
          <w:p w14:paraId="782E845A" w14:textId="0EE9C107" w:rsidR="004F570A" w:rsidRPr="00693DFB" w:rsidRDefault="004F570A" w:rsidP="004F570A">
            <w:pPr>
              <w:autoSpaceDE w:val="0"/>
              <w:autoSpaceDN w:val="0"/>
              <w:adjustRightInd w:val="0"/>
              <w:jc w:val="center"/>
              <w:rPr>
                <w:rFonts w:cstheme="minorHAnsi"/>
                <w:bCs/>
              </w:rPr>
            </w:pPr>
            <w:r w:rsidRPr="006A1C1E">
              <w:t>17.56%</w:t>
            </w:r>
          </w:p>
        </w:tc>
      </w:tr>
      <w:tr w:rsidR="004F570A" w:rsidRPr="00693DFB" w14:paraId="2243DEBD" w14:textId="77777777" w:rsidTr="006A227A">
        <w:trPr>
          <w:trHeight w:val="300"/>
          <w:jc w:val="center"/>
        </w:trPr>
        <w:tc>
          <w:tcPr>
            <w:tcW w:w="2980" w:type="dxa"/>
            <w:vMerge/>
            <w:vAlign w:val="center"/>
            <w:hideMark/>
          </w:tcPr>
          <w:p w14:paraId="13694B22" w14:textId="77777777" w:rsidR="004F570A" w:rsidRPr="00693DFB" w:rsidRDefault="004F570A" w:rsidP="004F570A">
            <w:pPr>
              <w:autoSpaceDE w:val="0"/>
              <w:autoSpaceDN w:val="0"/>
              <w:adjustRightInd w:val="0"/>
              <w:jc w:val="center"/>
              <w:rPr>
                <w:rFonts w:cstheme="minorHAnsi"/>
                <w:bCs/>
              </w:rPr>
            </w:pPr>
          </w:p>
        </w:tc>
        <w:tc>
          <w:tcPr>
            <w:tcW w:w="1358" w:type="dxa"/>
            <w:noWrap/>
            <w:vAlign w:val="center"/>
            <w:hideMark/>
          </w:tcPr>
          <w:p w14:paraId="4974158B" w14:textId="77777777" w:rsidR="004F570A" w:rsidRPr="00693DFB" w:rsidRDefault="004F570A" w:rsidP="004F570A">
            <w:pPr>
              <w:autoSpaceDE w:val="0"/>
              <w:autoSpaceDN w:val="0"/>
              <w:adjustRightInd w:val="0"/>
              <w:jc w:val="center"/>
              <w:rPr>
                <w:rFonts w:cstheme="minorHAnsi"/>
                <w:bCs/>
              </w:rPr>
            </w:pPr>
            <w:r w:rsidRPr="00693DFB">
              <w:rPr>
                <w:rFonts w:cstheme="minorHAnsi"/>
                <w:bCs/>
              </w:rPr>
              <w:t>Missing</w:t>
            </w:r>
          </w:p>
        </w:tc>
        <w:tc>
          <w:tcPr>
            <w:tcW w:w="1446" w:type="dxa"/>
            <w:noWrap/>
            <w:hideMark/>
          </w:tcPr>
          <w:p w14:paraId="056B4633" w14:textId="389ECFAF" w:rsidR="004F570A" w:rsidRPr="00693DFB" w:rsidRDefault="004F570A" w:rsidP="004F570A">
            <w:pPr>
              <w:autoSpaceDE w:val="0"/>
              <w:autoSpaceDN w:val="0"/>
              <w:adjustRightInd w:val="0"/>
              <w:jc w:val="center"/>
              <w:rPr>
                <w:rFonts w:cstheme="minorHAnsi"/>
                <w:bCs/>
              </w:rPr>
            </w:pPr>
            <w:r w:rsidRPr="006A1C1E">
              <w:t xml:space="preserve">11,790 </w:t>
            </w:r>
          </w:p>
        </w:tc>
        <w:tc>
          <w:tcPr>
            <w:tcW w:w="1534" w:type="dxa"/>
            <w:noWrap/>
            <w:hideMark/>
          </w:tcPr>
          <w:p w14:paraId="7F70B7B0" w14:textId="3F923182" w:rsidR="004F570A" w:rsidRPr="00693DFB" w:rsidRDefault="004F570A" w:rsidP="004F570A">
            <w:pPr>
              <w:autoSpaceDE w:val="0"/>
              <w:autoSpaceDN w:val="0"/>
              <w:adjustRightInd w:val="0"/>
              <w:jc w:val="center"/>
              <w:rPr>
                <w:rFonts w:cstheme="minorHAnsi"/>
                <w:bCs/>
              </w:rPr>
            </w:pPr>
            <w:r w:rsidRPr="006A1C1E">
              <w:t>0.39%</w:t>
            </w:r>
          </w:p>
        </w:tc>
      </w:tr>
    </w:tbl>
    <w:p w14:paraId="0CABCFC9" w14:textId="43F79435" w:rsidR="007422FD" w:rsidRDefault="007422FD" w:rsidP="00DB3627">
      <w:pPr>
        <w:autoSpaceDE w:val="0"/>
        <w:autoSpaceDN w:val="0"/>
        <w:adjustRightInd w:val="0"/>
        <w:spacing w:after="0" w:line="240" w:lineRule="auto"/>
        <w:rPr>
          <w:rFonts w:cstheme="minorHAnsi"/>
          <w:bCs/>
        </w:rPr>
      </w:pPr>
    </w:p>
    <w:p w14:paraId="5DE5629D" w14:textId="77777777" w:rsidR="0057354C" w:rsidRDefault="0057354C"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66822642" w14:textId="77777777" w:rsidR="006A227A" w:rsidRDefault="006A227A" w:rsidP="00E37E1B">
      <w:pPr>
        <w:autoSpaceDE w:val="0"/>
        <w:autoSpaceDN w:val="0"/>
        <w:adjustRightInd w:val="0"/>
        <w:spacing w:after="0" w:line="240" w:lineRule="auto"/>
        <w:rPr>
          <w:rFonts w:cstheme="minorHAnsi"/>
          <w:bCs/>
        </w:rPr>
      </w:pPr>
    </w:p>
    <w:p w14:paraId="3077AA14" w14:textId="659B6A5E" w:rsidR="00693DFB" w:rsidRPr="00451FC7" w:rsidRDefault="00693DFB" w:rsidP="00693DFB">
      <w:r w:rsidRPr="00451FC7">
        <w:t xml:space="preserve">To calculate the intra-class correlation (ICC) as part of reliability testing, the measure developer included Medicare-certified agencies with at least 40 home health quality episodes ending </w:t>
      </w:r>
      <w:r>
        <w:t>January 1, 2016 and December 31, 2016</w:t>
      </w:r>
      <w:r w:rsidRPr="00451FC7">
        <w:t xml:space="preserve"> and meeting the measure denominator criteria.</w:t>
      </w:r>
      <w:r w:rsidR="00203680" w:rsidRPr="00203680">
        <w:rPr>
          <w:vertAlign w:val="superscript"/>
        </w:rPr>
        <w:t xml:space="preserve"> </w:t>
      </w:r>
      <w:r w:rsidR="00203680" w:rsidRPr="00A514AC">
        <w:rPr>
          <w:vertAlign w:val="superscript"/>
        </w:rPr>
        <w:t>1</w:t>
      </w:r>
      <w:r w:rsidRPr="00451FC7">
        <w:t xml:space="preserve"> There </w:t>
      </w:r>
      <w:proofErr w:type="gramStart"/>
      <w:r w:rsidRPr="00451FC7">
        <w:t>were</w:t>
      </w:r>
      <w:proofErr w:type="gramEnd"/>
      <w:r w:rsidRPr="00451FC7">
        <w:t xml:space="preserve"> </w:t>
      </w:r>
      <w:r w:rsidR="00877CDE">
        <w:t>7,862</w:t>
      </w:r>
      <w:r w:rsidRPr="00451FC7">
        <w:t xml:space="preserve"> such agencies (</w:t>
      </w:r>
      <w:r w:rsidR="009E7CC7">
        <w:t>7</w:t>
      </w:r>
      <w:r w:rsidR="00877CDE">
        <w:t>0.4</w:t>
      </w:r>
      <w:r w:rsidRPr="00451FC7">
        <w:t xml:space="preserve"> percent of the </w:t>
      </w:r>
      <w:r w:rsidRPr="009E7CC7">
        <w:t>11,</w:t>
      </w:r>
      <w:r w:rsidR="00877CDE">
        <w:t>166</w:t>
      </w:r>
      <w:r w:rsidRPr="00451FC7">
        <w:t xml:space="preserve"> agencies with at least one quality episode </w:t>
      </w:r>
      <w:r w:rsidRPr="00451FC7">
        <w:rPr>
          <w:bCs/>
        </w:rPr>
        <w:t>meeting the measure denominator criteria</w:t>
      </w:r>
      <w:r w:rsidRPr="00451FC7">
        <w:t xml:space="preserve"> ending during the same time period).  The sample included all quality episodes at these agencies (</w:t>
      </w:r>
      <w:r w:rsidR="00877CDE">
        <w:t>3,825,093</w:t>
      </w:r>
      <w:r w:rsidRPr="00451FC7">
        <w:t xml:space="preserve"> in total) </w:t>
      </w:r>
      <w:r w:rsidRPr="00451FC7">
        <w:rPr>
          <w:bCs/>
        </w:rPr>
        <w:t>meeting the measure denominator criteria</w:t>
      </w:r>
      <w:r w:rsidRPr="00451FC7">
        <w:t xml:space="preserve"> ending between </w:t>
      </w:r>
      <w:r w:rsidR="008E4E1B">
        <w:t>January 1, 2016 to December 31, 2016</w:t>
      </w:r>
      <w:r w:rsidRPr="00451FC7">
        <w:t>.</w:t>
      </w:r>
    </w:p>
    <w:p w14:paraId="79C492B6" w14:textId="0FDEE2BB" w:rsidR="00693DFB" w:rsidRDefault="00693DFB" w:rsidP="00693DFB">
      <w:r w:rsidRPr="00451FC7">
        <w:t xml:space="preserve">To calculate the beta-binomial scores (as part of reliability testing) and conduct analyses related to validity testing and exclusions, the measure developer included Medicare-certified agencies with at least 20 home health quality episodes ending between </w:t>
      </w:r>
      <w:r w:rsidR="008E4E1B">
        <w:t>January 1, 2016 to December 31, 2016</w:t>
      </w:r>
      <w:r w:rsidR="0026347A">
        <w:t xml:space="preserve"> </w:t>
      </w:r>
      <w:r w:rsidRPr="00451FC7">
        <w:t>and meeting the measure denominator criteria. There were 9,</w:t>
      </w:r>
      <w:r w:rsidR="00877CDE">
        <w:t>028</w:t>
      </w:r>
      <w:r w:rsidRPr="00451FC7">
        <w:t xml:space="preserve"> such agencies (</w:t>
      </w:r>
      <w:r w:rsidR="009E7CC7">
        <w:t>8</w:t>
      </w:r>
      <w:r w:rsidR="00877CDE">
        <w:t>0.9</w:t>
      </w:r>
      <w:r w:rsidRPr="00451FC7">
        <w:t xml:space="preserve"> percent of the </w:t>
      </w:r>
      <w:r w:rsidRPr="009E7CC7">
        <w:t>11,</w:t>
      </w:r>
      <w:r w:rsidR="00877CDE">
        <w:t>166</w:t>
      </w:r>
      <w:r w:rsidRPr="00451FC7">
        <w:t xml:space="preserve"> agencies with at least one quality episode </w:t>
      </w:r>
      <w:r w:rsidRPr="00451FC7">
        <w:rPr>
          <w:bCs/>
        </w:rPr>
        <w:t>meeting the measure denominator criteria</w:t>
      </w:r>
      <w:r w:rsidRPr="00451FC7">
        <w:t xml:space="preserve"> ending during the same time period).  The sample included all quality episodes </w:t>
      </w:r>
      <w:r w:rsidRPr="00451FC7">
        <w:rPr>
          <w:bCs/>
        </w:rPr>
        <w:t>meeting the measure denominator criteria</w:t>
      </w:r>
      <w:r w:rsidRPr="00451FC7">
        <w:t xml:space="preserve"> at these agencies (</w:t>
      </w:r>
      <w:r w:rsidR="00877CDE">
        <w:t>3,858,808</w:t>
      </w:r>
      <w:r w:rsidR="008E4E1B" w:rsidRPr="00451FC7">
        <w:t xml:space="preserve"> </w:t>
      </w:r>
      <w:r w:rsidRPr="00451FC7">
        <w:t xml:space="preserve">in total) ending between </w:t>
      </w:r>
      <w:r w:rsidR="008E4E1B">
        <w:t>January 1, 2016 to December 31, 2016</w:t>
      </w:r>
      <w:r w:rsidRPr="00451FC7">
        <w:t>.</w:t>
      </w:r>
      <w:r>
        <w:t xml:space="preserve"> </w:t>
      </w:r>
    </w:p>
    <w:p w14:paraId="0CABCFCB" w14:textId="1488491D" w:rsidR="00E37E1B" w:rsidRDefault="00693DFB" w:rsidP="00693DFB">
      <w:pPr>
        <w:autoSpaceDE w:val="0"/>
        <w:autoSpaceDN w:val="0"/>
        <w:adjustRightInd w:val="0"/>
        <w:spacing w:after="0" w:line="240" w:lineRule="auto"/>
        <w:rPr>
          <w:rFonts w:cstheme="minorHAnsi"/>
          <w:bCs/>
        </w:rPr>
      </w:pPr>
      <w:r>
        <w:t xml:space="preserve">The risk adjustment model was developed using OASIS national repository data from assessments submitted between </w:t>
      </w:r>
      <w:r w:rsidR="008E4E1B">
        <w:t xml:space="preserve">January 1, 2016 </w:t>
      </w:r>
      <w:r w:rsidR="005D55EA">
        <w:t>and</w:t>
      </w:r>
      <w:r w:rsidR="008E4E1B">
        <w:t xml:space="preserve"> December 31, 2016</w:t>
      </w:r>
      <w:r w:rsidR="008E4E1B" w:rsidDel="008E4E1B">
        <w:t xml:space="preserve"> </w:t>
      </w:r>
      <w:r>
        <w:t xml:space="preserve">(which included ~ </w:t>
      </w:r>
      <w:r w:rsidR="008E4E1B">
        <w:t>6.4</w:t>
      </w:r>
      <w:r>
        <w:t xml:space="preserve"> million episodes of care).</w:t>
      </w:r>
    </w:p>
    <w:p w14:paraId="2A7627A5" w14:textId="77777777" w:rsidR="00693DFB" w:rsidRDefault="00693DFB" w:rsidP="00E37E1B">
      <w:pPr>
        <w:autoSpaceDE w:val="0"/>
        <w:autoSpaceDN w:val="0"/>
        <w:adjustRightInd w:val="0"/>
        <w:spacing w:after="0" w:line="240" w:lineRule="auto"/>
        <w:rPr>
          <w:rFonts w:cstheme="minorHAnsi"/>
          <w:bCs/>
        </w:rPr>
      </w:pPr>
    </w:p>
    <w:p w14:paraId="0CABCFCC" w14:textId="7824D2B1"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w:t>
      </w:r>
      <w:r w:rsidRPr="00314E37">
        <w:rPr>
          <w:rFonts w:cstheme="minorHAnsi"/>
          <w:b/>
          <w:bCs/>
        </w:rPr>
        <w:t xml:space="preserve">For example, patient-reported data (e.g., income, education, language), proxy variables when </w:t>
      </w:r>
      <w:r w:rsidR="009C7513" w:rsidRPr="00314E37">
        <w:rPr>
          <w:rFonts w:cstheme="minorHAnsi"/>
          <w:b/>
          <w:bCs/>
        </w:rPr>
        <w:t>social risk</w:t>
      </w:r>
      <w:r w:rsidRPr="00314E37">
        <w:rPr>
          <w:rFonts w:cstheme="minorHAnsi"/>
          <w:b/>
          <w:bCs/>
        </w:rPr>
        <w:t xml:space="preserve"> data are not collected from each patient (e.g. census tract), or patient community characteristics (e.g. percent vacant housing, crime rate)</w:t>
      </w:r>
      <w:r w:rsidR="009C7513" w:rsidRPr="00314E37">
        <w:rPr>
          <w:rFonts w:cstheme="minorHAnsi"/>
          <w:b/>
          <w:bCs/>
        </w:rPr>
        <w:t xml:space="preserve"> which do not have to be a proxy for patient-level data</w:t>
      </w:r>
      <w:r w:rsidRPr="00314E37">
        <w:rPr>
          <w:rFonts w:cstheme="minorHAnsi"/>
          <w:b/>
          <w:bCs/>
        </w:rPr>
        <w:t xml:space="preserve">. </w:t>
      </w:r>
    </w:p>
    <w:p w14:paraId="10344AD1" w14:textId="77777777" w:rsidR="00401085" w:rsidRDefault="00401085" w:rsidP="00E37E1B">
      <w:pPr>
        <w:autoSpaceDE w:val="0"/>
        <w:autoSpaceDN w:val="0"/>
        <w:adjustRightInd w:val="0"/>
        <w:spacing w:after="0" w:line="240" w:lineRule="auto"/>
        <w:rPr>
          <w:rFonts w:cstheme="minorHAnsi"/>
          <w:bCs/>
        </w:rPr>
      </w:pPr>
    </w:p>
    <w:p w14:paraId="7AB72421" w14:textId="51CF63F2" w:rsidR="00401085" w:rsidRDefault="00401085" w:rsidP="00401085">
      <w:r>
        <w:t>We examined social risk factors that are available from the OASIS</w:t>
      </w:r>
      <w:r w:rsidR="00314E37">
        <w:t xml:space="preserve">, as shown below. </w:t>
      </w:r>
      <w:r w:rsidR="00520998">
        <w:t xml:space="preserve">For operational and logistical reasons related to the monthly processing of this measure, drawing risk factors from </w:t>
      </w:r>
      <w:r w:rsidR="00203680">
        <w:t>external</w:t>
      </w:r>
      <w:r w:rsidR="00203680" w:rsidDel="00203680">
        <w:t xml:space="preserve"> </w:t>
      </w:r>
      <w:r w:rsidR="00520998">
        <w:t xml:space="preserve">sources is not currently possible. </w:t>
      </w:r>
    </w:p>
    <w:p w14:paraId="74254FDB" w14:textId="77777777" w:rsidR="00401085" w:rsidRDefault="00401085" w:rsidP="00401085">
      <w:pPr>
        <w:pStyle w:val="ListParagraph"/>
        <w:numPr>
          <w:ilvl w:val="0"/>
          <w:numId w:val="31"/>
        </w:numPr>
      </w:pPr>
      <w:r>
        <w:t>Sex (female, male)</w:t>
      </w:r>
    </w:p>
    <w:p w14:paraId="5BC935B4" w14:textId="77777777" w:rsidR="00401085" w:rsidRDefault="00401085" w:rsidP="00401085">
      <w:pPr>
        <w:pStyle w:val="ListParagraph"/>
        <w:numPr>
          <w:ilvl w:val="0"/>
          <w:numId w:val="31"/>
        </w:numPr>
      </w:pPr>
      <w:r>
        <w:t>Age (in 10 categories)</w:t>
      </w:r>
    </w:p>
    <w:p w14:paraId="7333A6A7" w14:textId="5B584C7A" w:rsidR="00401085" w:rsidRDefault="00401085" w:rsidP="00401085">
      <w:pPr>
        <w:pStyle w:val="ListParagraph"/>
        <w:numPr>
          <w:ilvl w:val="0"/>
          <w:numId w:val="31"/>
        </w:numPr>
      </w:pPr>
      <w:r>
        <w:t>Payment source (proxy for Medicaid coverage and dual eligibility using M0150 - Current Payment Sources for Home Care – see table below for the OASIS item responses).</w:t>
      </w:r>
    </w:p>
    <w:p w14:paraId="2A3A5B78" w14:textId="77777777" w:rsidR="00EF60CA" w:rsidRDefault="00EF60CA" w:rsidP="00EF60CA">
      <w:pPr>
        <w:pStyle w:val="ListParagraph"/>
      </w:pPr>
    </w:p>
    <w:p w14:paraId="091E5BF7" w14:textId="77777777" w:rsidR="00ED2A30" w:rsidRDefault="00ED2A30" w:rsidP="00EF60CA">
      <w:pPr>
        <w:pStyle w:val="ListParagraph"/>
      </w:pPr>
    </w:p>
    <w:p w14:paraId="1BD3E45C" w14:textId="3F1598D6" w:rsidR="00EF60CA" w:rsidRPr="00EF60CA" w:rsidRDefault="00EF60CA" w:rsidP="00EF60CA">
      <w:pPr>
        <w:pStyle w:val="ListParagraph"/>
        <w:spacing w:after="120"/>
        <w:contextualSpacing w:val="0"/>
        <w:rPr>
          <w:b/>
        </w:rPr>
      </w:pPr>
      <w:r w:rsidRPr="00EF60CA">
        <w:rPr>
          <w:b/>
        </w:rPr>
        <w:lastRenderedPageBreak/>
        <w:t>Response for M0150 – Current Payment Sources for Home Care (Mark all that apply)</w:t>
      </w:r>
    </w:p>
    <w:tbl>
      <w:tblPr>
        <w:tblStyle w:val="TableGrid"/>
        <w:tblW w:w="0" w:type="auto"/>
        <w:jc w:val="center"/>
        <w:tblLook w:val="04A0" w:firstRow="1" w:lastRow="0" w:firstColumn="1" w:lastColumn="0" w:noHBand="0" w:noVBand="1"/>
      </w:tblPr>
      <w:tblGrid>
        <w:gridCol w:w="914"/>
        <w:gridCol w:w="5773"/>
      </w:tblGrid>
      <w:tr w:rsidR="00401085" w14:paraId="444BDF0E" w14:textId="77777777" w:rsidTr="00F01E56">
        <w:trPr>
          <w:jc w:val="center"/>
        </w:trPr>
        <w:tc>
          <w:tcPr>
            <w:tcW w:w="914" w:type="dxa"/>
          </w:tcPr>
          <w:p w14:paraId="1F8D54B9" w14:textId="77777777" w:rsidR="00401085" w:rsidRPr="009B16D3" w:rsidRDefault="00401085" w:rsidP="00F01E56">
            <w:pPr>
              <w:rPr>
                <w:b/>
              </w:rPr>
            </w:pPr>
            <w:r>
              <w:rPr>
                <w:b/>
              </w:rPr>
              <w:t>M0150</w:t>
            </w:r>
          </w:p>
        </w:tc>
        <w:tc>
          <w:tcPr>
            <w:tcW w:w="5773" w:type="dxa"/>
          </w:tcPr>
          <w:p w14:paraId="0BF80105" w14:textId="77777777" w:rsidR="00401085" w:rsidRPr="009B16D3" w:rsidRDefault="00401085" w:rsidP="00F01E56">
            <w:pPr>
              <w:rPr>
                <w:b/>
              </w:rPr>
            </w:pPr>
            <w:r>
              <w:rPr>
                <w:b/>
              </w:rPr>
              <w:t>Responses</w:t>
            </w:r>
          </w:p>
        </w:tc>
      </w:tr>
      <w:tr w:rsidR="00401085" w14:paraId="21ED9D03" w14:textId="77777777" w:rsidTr="00F01E56">
        <w:trPr>
          <w:jc w:val="center"/>
        </w:trPr>
        <w:tc>
          <w:tcPr>
            <w:tcW w:w="914" w:type="dxa"/>
          </w:tcPr>
          <w:p w14:paraId="2DB8E571" w14:textId="77777777" w:rsidR="00401085" w:rsidRDefault="00401085" w:rsidP="00EF60CA">
            <w:pPr>
              <w:jc w:val="center"/>
            </w:pPr>
            <w:r>
              <w:t>0</w:t>
            </w:r>
          </w:p>
        </w:tc>
        <w:tc>
          <w:tcPr>
            <w:tcW w:w="5773" w:type="dxa"/>
          </w:tcPr>
          <w:p w14:paraId="2946F339" w14:textId="77777777" w:rsidR="00401085" w:rsidRDefault="00401085" w:rsidP="00F01E56">
            <w:r>
              <w:t>None; no charge for current service</w:t>
            </w:r>
          </w:p>
        </w:tc>
      </w:tr>
      <w:tr w:rsidR="00401085" w14:paraId="22662E00" w14:textId="77777777" w:rsidTr="00F01E56">
        <w:trPr>
          <w:jc w:val="center"/>
        </w:trPr>
        <w:tc>
          <w:tcPr>
            <w:tcW w:w="914" w:type="dxa"/>
          </w:tcPr>
          <w:p w14:paraId="33AD449F" w14:textId="77777777" w:rsidR="00401085" w:rsidRDefault="00401085" w:rsidP="00EF60CA">
            <w:pPr>
              <w:jc w:val="center"/>
            </w:pPr>
            <w:r>
              <w:t>1</w:t>
            </w:r>
          </w:p>
        </w:tc>
        <w:tc>
          <w:tcPr>
            <w:tcW w:w="5773" w:type="dxa"/>
          </w:tcPr>
          <w:p w14:paraId="192E5B02" w14:textId="77777777" w:rsidR="00401085" w:rsidRDefault="00401085" w:rsidP="00F01E56">
            <w:r>
              <w:t>Medicare (traditional fee-for-service)</w:t>
            </w:r>
          </w:p>
        </w:tc>
      </w:tr>
      <w:tr w:rsidR="00401085" w14:paraId="016CEAF5" w14:textId="77777777" w:rsidTr="00F01E56">
        <w:trPr>
          <w:trHeight w:val="80"/>
          <w:jc w:val="center"/>
        </w:trPr>
        <w:tc>
          <w:tcPr>
            <w:tcW w:w="914" w:type="dxa"/>
          </w:tcPr>
          <w:p w14:paraId="44FF7A69" w14:textId="77777777" w:rsidR="00401085" w:rsidRDefault="00401085" w:rsidP="00EF60CA">
            <w:pPr>
              <w:jc w:val="center"/>
            </w:pPr>
            <w:r>
              <w:t>2</w:t>
            </w:r>
          </w:p>
        </w:tc>
        <w:tc>
          <w:tcPr>
            <w:tcW w:w="5773" w:type="dxa"/>
          </w:tcPr>
          <w:p w14:paraId="1807E1C4" w14:textId="77777777" w:rsidR="00401085" w:rsidRDefault="00401085" w:rsidP="00F01E56">
            <w:r>
              <w:t>Medicare (HMO/managed care/Advantage plan)</w:t>
            </w:r>
          </w:p>
        </w:tc>
      </w:tr>
      <w:tr w:rsidR="00401085" w14:paraId="64794F45" w14:textId="77777777" w:rsidTr="00F01E56">
        <w:trPr>
          <w:trHeight w:val="80"/>
          <w:jc w:val="center"/>
        </w:trPr>
        <w:tc>
          <w:tcPr>
            <w:tcW w:w="914" w:type="dxa"/>
          </w:tcPr>
          <w:p w14:paraId="4A7E68CF" w14:textId="77777777" w:rsidR="00401085" w:rsidRDefault="00401085" w:rsidP="00EF60CA">
            <w:pPr>
              <w:jc w:val="center"/>
            </w:pPr>
            <w:r>
              <w:t>3</w:t>
            </w:r>
          </w:p>
        </w:tc>
        <w:tc>
          <w:tcPr>
            <w:tcW w:w="5773" w:type="dxa"/>
          </w:tcPr>
          <w:p w14:paraId="6E87A2B1" w14:textId="77777777" w:rsidR="00401085" w:rsidRDefault="00401085" w:rsidP="00F01E56">
            <w:r>
              <w:t>Medicaid (traditional fee-for-service)</w:t>
            </w:r>
          </w:p>
        </w:tc>
      </w:tr>
      <w:tr w:rsidR="00401085" w14:paraId="2DFA4160" w14:textId="77777777" w:rsidTr="00F01E56">
        <w:trPr>
          <w:trHeight w:val="80"/>
          <w:jc w:val="center"/>
        </w:trPr>
        <w:tc>
          <w:tcPr>
            <w:tcW w:w="914" w:type="dxa"/>
          </w:tcPr>
          <w:p w14:paraId="1CE2E45C" w14:textId="77777777" w:rsidR="00401085" w:rsidRDefault="00401085" w:rsidP="00EF60CA">
            <w:pPr>
              <w:jc w:val="center"/>
            </w:pPr>
            <w:r>
              <w:t>4</w:t>
            </w:r>
          </w:p>
        </w:tc>
        <w:tc>
          <w:tcPr>
            <w:tcW w:w="5773" w:type="dxa"/>
          </w:tcPr>
          <w:p w14:paraId="475F4C2D" w14:textId="77777777" w:rsidR="00401085" w:rsidRDefault="00401085" w:rsidP="00F01E56">
            <w:r>
              <w:t>Medicaid (HMO/managed care)</w:t>
            </w:r>
          </w:p>
        </w:tc>
      </w:tr>
      <w:tr w:rsidR="00401085" w14:paraId="3CDCE44D" w14:textId="77777777" w:rsidTr="00F01E56">
        <w:trPr>
          <w:trHeight w:val="80"/>
          <w:jc w:val="center"/>
        </w:trPr>
        <w:tc>
          <w:tcPr>
            <w:tcW w:w="914" w:type="dxa"/>
          </w:tcPr>
          <w:p w14:paraId="74AAD058" w14:textId="77777777" w:rsidR="00401085" w:rsidRDefault="00401085" w:rsidP="00EF60CA">
            <w:pPr>
              <w:jc w:val="center"/>
            </w:pPr>
            <w:r>
              <w:t>5</w:t>
            </w:r>
          </w:p>
        </w:tc>
        <w:tc>
          <w:tcPr>
            <w:tcW w:w="5773" w:type="dxa"/>
          </w:tcPr>
          <w:p w14:paraId="5807C351" w14:textId="77777777" w:rsidR="00401085" w:rsidRDefault="00401085" w:rsidP="00F01E56">
            <w:r>
              <w:t>Workers’ compensation</w:t>
            </w:r>
          </w:p>
        </w:tc>
      </w:tr>
      <w:tr w:rsidR="00401085" w14:paraId="72298C52" w14:textId="77777777" w:rsidTr="00F01E56">
        <w:trPr>
          <w:trHeight w:val="80"/>
          <w:jc w:val="center"/>
        </w:trPr>
        <w:tc>
          <w:tcPr>
            <w:tcW w:w="914" w:type="dxa"/>
          </w:tcPr>
          <w:p w14:paraId="012F2AB4" w14:textId="77777777" w:rsidR="00401085" w:rsidRDefault="00401085" w:rsidP="00EF60CA">
            <w:pPr>
              <w:jc w:val="center"/>
            </w:pPr>
            <w:r>
              <w:t>6</w:t>
            </w:r>
          </w:p>
        </w:tc>
        <w:tc>
          <w:tcPr>
            <w:tcW w:w="5773" w:type="dxa"/>
          </w:tcPr>
          <w:p w14:paraId="0985EEDF" w14:textId="77777777" w:rsidR="00401085" w:rsidRDefault="00401085" w:rsidP="00F01E56">
            <w:r>
              <w:t>Title programs (for example, Title III, V, or XX)</w:t>
            </w:r>
          </w:p>
        </w:tc>
      </w:tr>
      <w:tr w:rsidR="00401085" w14:paraId="03BEB23A" w14:textId="77777777" w:rsidTr="00F01E56">
        <w:trPr>
          <w:trHeight w:val="80"/>
          <w:jc w:val="center"/>
        </w:trPr>
        <w:tc>
          <w:tcPr>
            <w:tcW w:w="914" w:type="dxa"/>
          </w:tcPr>
          <w:p w14:paraId="3EF90AAE" w14:textId="77777777" w:rsidR="00401085" w:rsidRDefault="00401085" w:rsidP="00EF60CA">
            <w:pPr>
              <w:jc w:val="center"/>
            </w:pPr>
            <w:r>
              <w:t>7</w:t>
            </w:r>
          </w:p>
        </w:tc>
        <w:tc>
          <w:tcPr>
            <w:tcW w:w="5773" w:type="dxa"/>
          </w:tcPr>
          <w:p w14:paraId="731B920B" w14:textId="77777777" w:rsidR="00401085" w:rsidRDefault="00401085" w:rsidP="00F01E56">
            <w:r>
              <w:t>Other government (for example, TriCare, VA)</w:t>
            </w:r>
          </w:p>
        </w:tc>
      </w:tr>
      <w:tr w:rsidR="00401085" w14:paraId="59A3FA12" w14:textId="77777777" w:rsidTr="00F01E56">
        <w:trPr>
          <w:trHeight w:val="80"/>
          <w:jc w:val="center"/>
        </w:trPr>
        <w:tc>
          <w:tcPr>
            <w:tcW w:w="914" w:type="dxa"/>
          </w:tcPr>
          <w:p w14:paraId="45C802B5" w14:textId="77777777" w:rsidR="00401085" w:rsidRDefault="00401085" w:rsidP="00EF60CA">
            <w:pPr>
              <w:jc w:val="center"/>
            </w:pPr>
            <w:r>
              <w:t>8</w:t>
            </w:r>
          </w:p>
        </w:tc>
        <w:tc>
          <w:tcPr>
            <w:tcW w:w="5773" w:type="dxa"/>
          </w:tcPr>
          <w:p w14:paraId="251CB6F7" w14:textId="77777777" w:rsidR="00401085" w:rsidRDefault="00401085" w:rsidP="00F01E56">
            <w:r>
              <w:t>Private insurance</w:t>
            </w:r>
          </w:p>
        </w:tc>
      </w:tr>
      <w:tr w:rsidR="00401085" w14:paraId="224AF167" w14:textId="77777777" w:rsidTr="00F01E56">
        <w:trPr>
          <w:trHeight w:val="80"/>
          <w:jc w:val="center"/>
        </w:trPr>
        <w:tc>
          <w:tcPr>
            <w:tcW w:w="914" w:type="dxa"/>
          </w:tcPr>
          <w:p w14:paraId="02BD644D" w14:textId="77777777" w:rsidR="00401085" w:rsidRDefault="00401085" w:rsidP="00EF60CA">
            <w:pPr>
              <w:jc w:val="center"/>
            </w:pPr>
            <w:r>
              <w:t>9</w:t>
            </w:r>
          </w:p>
        </w:tc>
        <w:tc>
          <w:tcPr>
            <w:tcW w:w="5773" w:type="dxa"/>
          </w:tcPr>
          <w:p w14:paraId="36BD96B2" w14:textId="77777777" w:rsidR="00401085" w:rsidRDefault="00401085" w:rsidP="00F01E56">
            <w:r>
              <w:t>Private HMO/managed care</w:t>
            </w:r>
          </w:p>
        </w:tc>
      </w:tr>
      <w:tr w:rsidR="00401085" w14:paraId="54E932D9" w14:textId="77777777" w:rsidTr="00F01E56">
        <w:trPr>
          <w:trHeight w:val="80"/>
          <w:jc w:val="center"/>
        </w:trPr>
        <w:tc>
          <w:tcPr>
            <w:tcW w:w="914" w:type="dxa"/>
          </w:tcPr>
          <w:p w14:paraId="301BB284" w14:textId="77777777" w:rsidR="00401085" w:rsidRDefault="00401085" w:rsidP="00EF60CA">
            <w:pPr>
              <w:jc w:val="center"/>
            </w:pPr>
            <w:r>
              <w:t>10</w:t>
            </w:r>
          </w:p>
        </w:tc>
        <w:tc>
          <w:tcPr>
            <w:tcW w:w="5773" w:type="dxa"/>
          </w:tcPr>
          <w:p w14:paraId="319C5157" w14:textId="77777777" w:rsidR="00401085" w:rsidRDefault="00401085" w:rsidP="00F01E56">
            <w:r>
              <w:t>Self-pay</w:t>
            </w:r>
          </w:p>
        </w:tc>
      </w:tr>
      <w:tr w:rsidR="00401085" w14:paraId="54CB1DBC" w14:textId="77777777" w:rsidTr="00F01E56">
        <w:trPr>
          <w:trHeight w:val="80"/>
          <w:jc w:val="center"/>
        </w:trPr>
        <w:tc>
          <w:tcPr>
            <w:tcW w:w="914" w:type="dxa"/>
          </w:tcPr>
          <w:p w14:paraId="11508A2C" w14:textId="77777777" w:rsidR="00401085" w:rsidRDefault="00401085" w:rsidP="00EF60CA">
            <w:pPr>
              <w:jc w:val="center"/>
            </w:pPr>
            <w:r>
              <w:t>11</w:t>
            </w:r>
          </w:p>
        </w:tc>
        <w:tc>
          <w:tcPr>
            <w:tcW w:w="5773" w:type="dxa"/>
          </w:tcPr>
          <w:p w14:paraId="59D17D92" w14:textId="77777777" w:rsidR="00401085" w:rsidRDefault="00401085" w:rsidP="00F01E56">
            <w:r>
              <w:t>Other (specify)</w:t>
            </w:r>
          </w:p>
        </w:tc>
      </w:tr>
      <w:tr w:rsidR="00401085" w14:paraId="422E065E" w14:textId="77777777" w:rsidTr="00F01E56">
        <w:trPr>
          <w:trHeight w:val="80"/>
          <w:jc w:val="center"/>
        </w:trPr>
        <w:tc>
          <w:tcPr>
            <w:tcW w:w="914" w:type="dxa"/>
          </w:tcPr>
          <w:p w14:paraId="0F408B05" w14:textId="77777777" w:rsidR="00401085" w:rsidRDefault="00401085" w:rsidP="00EF60CA">
            <w:pPr>
              <w:jc w:val="center"/>
            </w:pPr>
            <w:r>
              <w:t>UK</w:t>
            </w:r>
          </w:p>
        </w:tc>
        <w:tc>
          <w:tcPr>
            <w:tcW w:w="5773" w:type="dxa"/>
          </w:tcPr>
          <w:p w14:paraId="3A21EA80" w14:textId="77777777" w:rsidR="00401085" w:rsidRDefault="00401085" w:rsidP="00F01E56">
            <w:r>
              <w:t>Unknown</w:t>
            </w:r>
          </w:p>
        </w:tc>
      </w:tr>
    </w:tbl>
    <w:p w14:paraId="4126FD22" w14:textId="77777777" w:rsidR="00401085" w:rsidRDefault="00401085"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2AE6AFB0" w14:textId="77777777" w:rsidR="00D57727" w:rsidRPr="00A25024" w:rsidRDefault="00092566" w:rsidP="00D57727">
      <w:pPr>
        <w:autoSpaceDE w:val="0"/>
        <w:autoSpaceDN w:val="0"/>
        <w:adjustRightInd w:val="0"/>
        <w:spacing w:after="0"/>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D5772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D5772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D57727" w:rsidRPr="00A25024">
        <w:rPr>
          <w:rFonts w:cstheme="minorHAnsi"/>
          <w:bCs/>
          <w:u w:val="single"/>
        </w:rPr>
        <w:br/>
      </w:r>
      <w:r w:rsidR="00D57727">
        <w:rPr>
          <w:rFonts w:cstheme="minorHAnsi"/>
          <w:b/>
          <w:bCs/>
        </w:rPr>
        <w:t>2a2.</w:t>
      </w:r>
      <w:r w:rsidR="00D57727" w:rsidRPr="00A25024">
        <w:rPr>
          <w:rFonts w:cstheme="minorHAnsi"/>
          <w:b/>
          <w:bCs/>
        </w:rPr>
        <w:t>2. For each level checked above, describe the method of reliability testing and what it tests</w:t>
      </w:r>
      <w:r w:rsidR="00D57727" w:rsidRPr="00A25024">
        <w:rPr>
          <w:rFonts w:cstheme="minorHAnsi"/>
          <w:bCs/>
        </w:rPr>
        <w:t xml:space="preserve"> </w:t>
      </w:r>
      <w:r w:rsidR="00D57727" w:rsidRPr="00CD2B78">
        <w:rPr>
          <w:rFonts w:cstheme="minorHAnsi"/>
          <w:b/>
          <w:bCs/>
        </w:rPr>
        <w:t>(</w:t>
      </w:r>
      <w:r w:rsidR="00D57727" w:rsidRPr="00CD2B78">
        <w:rPr>
          <w:rFonts w:cstheme="minorHAnsi"/>
          <w:b/>
          <w:bCs/>
          <w:i/>
        </w:rPr>
        <w:t>describe the steps―do not just name a method; what type of error does it test; what statistical analysis was used</w:t>
      </w:r>
      <w:r w:rsidR="00D57727" w:rsidRPr="00CD2B78">
        <w:rPr>
          <w:rFonts w:cstheme="minorHAnsi"/>
          <w:b/>
          <w:bCs/>
        </w:rPr>
        <w:t>)</w:t>
      </w:r>
    </w:p>
    <w:p w14:paraId="1A8E520B" w14:textId="77777777" w:rsidR="00E2456D" w:rsidRPr="006A227A" w:rsidRDefault="00E2456D" w:rsidP="00D57727">
      <w:pPr>
        <w:rPr>
          <w:b/>
        </w:rPr>
      </w:pPr>
    </w:p>
    <w:p w14:paraId="29DF55A0" w14:textId="6C3CFE63" w:rsidR="00E2456D" w:rsidRPr="006A227A" w:rsidRDefault="00881C08" w:rsidP="00D57727">
      <w:r w:rsidRPr="006A227A">
        <w:t>Below, w</w:t>
      </w:r>
      <w:r w:rsidR="00E2456D" w:rsidRPr="006A227A">
        <w:t>e address reliability</w:t>
      </w:r>
      <w:r w:rsidR="00490479" w:rsidRPr="006A227A">
        <w:t xml:space="preserve"> at two levels</w:t>
      </w:r>
      <w:r w:rsidRPr="006A227A">
        <w:t>: (1)</w:t>
      </w:r>
      <w:r w:rsidR="00E2456D" w:rsidRPr="006A227A">
        <w:t xml:space="preserve"> the performance measure and </w:t>
      </w:r>
      <w:r w:rsidRPr="006A227A">
        <w:t xml:space="preserve">(2) </w:t>
      </w:r>
      <w:r w:rsidR="00E2456D" w:rsidRPr="006A227A">
        <w:t xml:space="preserve">the underlying </w:t>
      </w:r>
      <w:r w:rsidR="005B1C7D" w:rsidRPr="006A227A">
        <w:t xml:space="preserve">data element - </w:t>
      </w:r>
      <w:r w:rsidR="00E2456D" w:rsidRPr="006A227A">
        <w:t>OASIS item M</w:t>
      </w:r>
      <w:r w:rsidR="00CF71DA" w:rsidRPr="006A227A">
        <w:t>1242</w:t>
      </w:r>
      <w:r w:rsidR="00E2456D" w:rsidRPr="006A227A">
        <w:t xml:space="preserve"> </w:t>
      </w:r>
      <w:r w:rsidR="006A227A">
        <w:t>(Frequency of p</w:t>
      </w:r>
      <w:r w:rsidR="00CF71DA" w:rsidRPr="006A227A">
        <w:t xml:space="preserve">ain </w:t>
      </w:r>
      <w:r w:rsidR="006A227A">
        <w:t>i</w:t>
      </w:r>
      <w:r w:rsidR="00CF71DA" w:rsidRPr="006A227A">
        <w:t xml:space="preserve">nterfering with </w:t>
      </w:r>
      <w:r w:rsidR="006A227A">
        <w:t>patient’s activity or movement)</w:t>
      </w:r>
      <w:r w:rsidR="00E2456D" w:rsidRPr="006A227A">
        <w:t xml:space="preserve">. </w:t>
      </w:r>
    </w:p>
    <w:p w14:paraId="0B004440" w14:textId="1B03525A" w:rsidR="00D57727" w:rsidRDefault="00E2456D" w:rsidP="00CD2B78">
      <w:pPr>
        <w:pStyle w:val="ListParagraph"/>
        <w:numPr>
          <w:ilvl w:val="0"/>
          <w:numId w:val="34"/>
        </w:numPr>
      </w:pPr>
      <w:r>
        <w:rPr>
          <w:b/>
          <w:u w:val="single"/>
        </w:rPr>
        <w:t xml:space="preserve">Reliability of the </w:t>
      </w:r>
      <w:r w:rsidR="00D57727" w:rsidRPr="00E2456D">
        <w:rPr>
          <w:b/>
          <w:u w:val="single"/>
        </w:rPr>
        <w:t>Performance Measure Score</w:t>
      </w:r>
      <w:r>
        <w:rPr>
          <w:b/>
          <w:u w:val="single"/>
        </w:rPr>
        <w:t>:</w:t>
      </w:r>
      <w:r w:rsidR="00D57727">
        <w:t xml:space="preserve"> </w:t>
      </w:r>
      <w:r w:rsidR="0058046B">
        <w:t>Abt</w:t>
      </w:r>
      <w:r w:rsidR="00D57727">
        <w:t xml:space="preserve"> measured the extent to which differences in each quality measure were due to actual differences in agency performance versus variation that arises from measurement error.  Statistically, reliability depends on performance variation for a measure across agencies, the random variation in performance for a measure within an agency’s panel of attributed beneficiaries, and the number of beneficiaries attributed to the agency.  High reliability for a measure suggests that comparisons of relative performance across agencies are likely to be stable over different performance periods, and that the performance of one agency on the quality measure can confidently be distinguished from another.  Potential reliability values range from zero to one, where one (highest possible reliability) means that all </w:t>
      </w:r>
      <w:r w:rsidR="00D57727">
        <w:lastRenderedPageBreak/>
        <w:t>variation in the measure’s rates is the result of variation in differences in performance across agencies, while zero (lowest possible reliability) means that all variation is a result of measurement error.</w:t>
      </w:r>
    </w:p>
    <w:p w14:paraId="24471090" w14:textId="779B6C36" w:rsidR="00D57727" w:rsidRDefault="00D57727" w:rsidP="00CD2B78">
      <w:pPr>
        <w:ind w:left="720"/>
      </w:pPr>
      <w:r>
        <w:t>Following the approach described by Adams,</w:t>
      </w:r>
      <w:r>
        <w:rPr>
          <w:rStyle w:val="FootnoteReference"/>
        </w:rPr>
        <w:footnoteReference w:id="2"/>
      </w:r>
      <w:r>
        <w:t xml:space="preserve"> </w:t>
      </w:r>
      <w:r w:rsidR="0058046B">
        <w:t>Abt</w:t>
      </w:r>
      <w:r w:rsidRPr="002413C2">
        <w:t xml:space="preserve"> fit a beta-binomial model</w:t>
      </w:r>
      <w:r>
        <w:t xml:space="preserve"> to estimate measure reliability. The beta-binomial model is appropriate because a particular agency’s measure rate follows a binomial distribution (i.e., all measures are pass/fail), and it is reasonable to assume that the agencies’ true measure rates vary and follow a beta distribution. It is reasonable to use the beta distribution to fit the true measure rates because it is a flexible distribution on the interval from 0 to 1, can have any mean on the interval, and can be skewed left, right, or U-shaped. </w:t>
      </w:r>
    </w:p>
    <w:p w14:paraId="55531876" w14:textId="77777777" w:rsidR="00D57727" w:rsidRDefault="00D57727" w:rsidP="00CD2B78">
      <w:pPr>
        <w:ind w:left="720"/>
      </w:pPr>
      <w:r>
        <w:t>Equation (1), which is based on the beta-binomial model, shows that reliability is dependent on two variance components: the variation across agencies, and variation within agencies. In general, reliability for agencies will be higher when the measure rates across agencies are more heterogeneous (as measured by the agency-to-agency variation).  Agencies with larger samples (</w:t>
      </w:r>
      <w:r w:rsidRPr="007E04A2">
        <w:t>n</w:t>
      </w:r>
      <w:r>
        <w:t>) and pass rates (</w:t>
      </w:r>
      <w:r w:rsidRPr="007E04A2">
        <w:t>p</w:t>
      </w:r>
      <w:r>
        <w:t xml:space="preserve">) nearer to 0 or 1 will have higher levels of reliability because the agency-specific error is reduced (i.e. the estimated agency rates are more precise).    </w:t>
      </w:r>
    </w:p>
    <w:p w14:paraId="6FDE50E3" w14:textId="77777777" w:rsidR="00D57727" w:rsidRDefault="00D57727" w:rsidP="00D57727">
      <w:pPr>
        <w:pStyle w:val="Body125"/>
      </w:pPr>
      <m:oMath>
        <m:r>
          <m:rPr>
            <m:sty m:val="p"/>
          </m:rPr>
          <w:rPr>
            <w:rFonts w:ascii="Cambria Math" w:hAnsi="Cambria Math"/>
          </w:rPr>
          <m:t xml:space="preserve">Reliability= </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agency-specific-error</m:t>
                </m:r>
              </m:sub>
              <m:sup>
                <m:r>
                  <m:rPr>
                    <m:sty m:val="p"/>
                  </m:rPr>
                  <w:rPr>
                    <w:rFonts w:ascii="Cambria Math" w:hAnsi="Cambria Math"/>
                  </w:rPr>
                  <m:t>2</m:t>
                </m:r>
              </m:sup>
            </m:sSubSup>
          </m:den>
        </m:f>
        <m:r>
          <m:rPr>
            <m:sty m:val="p"/>
          </m:rPr>
          <w:rPr>
            <w:rFonts w:ascii="Cambria Math" w:hAnsi="Cambria Math"/>
          </w:rPr>
          <m:t>=</m:t>
        </m:r>
        <m:f>
          <m:fPr>
            <m:ctrlPr>
              <w:rPr>
                <w:rFonts w:ascii="Cambria Math" w:hAnsi="Cambria Math"/>
              </w:rPr>
            </m:ctrlPr>
          </m:fPr>
          <m:num>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num>
          <m:den>
            <m:sSubSup>
              <m:sSubSupPr>
                <m:ctrlPr>
                  <w:rPr>
                    <w:rFonts w:ascii="Cambria Math" w:hAnsi="Cambria Math"/>
                  </w:rPr>
                </m:ctrlPr>
              </m:sSubSupPr>
              <m:e>
                <m:r>
                  <m:rPr>
                    <m:sty m:val="p"/>
                  </m:rPr>
                  <w:rPr>
                    <w:rFonts w:ascii="Cambria Math" w:hAnsi="Cambria Math"/>
                  </w:rPr>
                  <m:t>σ</m:t>
                </m:r>
              </m:e>
              <m:sub>
                <m:r>
                  <m:rPr>
                    <m:sty m:val="p"/>
                  </m:rPr>
                  <w:rPr>
                    <w:rFonts w:ascii="Cambria Math" w:hAnsi="Cambria Math"/>
                  </w:rPr>
                  <m:t>agency-to-agency</m:t>
                </m:r>
              </m:sub>
              <m:sup>
                <m:r>
                  <m:rPr>
                    <m:sty m:val="p"/>
                  </m:rPr>
                  <w:rPr>
                    <w:rFonts w:ascii="Cambria Math" w:hAnsi="Cambria Math"/>
                  </w:rPr>
                  <m:t>2</m:t>
                </m:r>
              </m:sup>
            </m:sSubSup>
            <m:r>
              <m:rPr>
                <m:sty m:val="p"/>
              </m:rPr>
              <w:rPr>
                <w:rFonts w:ascii="Cambria Math" w:hAnsi="Cambria Math"/>
              </w:rPr>
              <m:t>+</m:t>
            </m:r>
            <m:f>
              <m:fPr>
                <m:ctrlPr>
                  <w:rPr>
                    <w:rFonts w:ascii="Cambria Math" w:hAnsi="Cambria Math"/>
                  </w:rPr>
                </m:ctrlPr>
              </m:fPr>
              <m:num>
                <m:r>
                  <m:rPr>
                    <m:sty m:val="p"/>
                  </m:rPr>
                  <w:rPr>
                    <w:rFonts w:ascii="Cambria Math" w:hAnsi="Cambria Math"/>
                  </w:rPr>
                  <m:t>p(1-p)</m:t>
                </m:r>
              </m:num>
              <m:den>
                <m:r>
                  <m:rPr>
                    <m:sty m:val="p"/>
                  </m:rPr>
                  <w:rPr>
                    <w:rFonts w:ascii="Cambria Math" w:hAnsi="Cambria Math"/>
                  </w:rPr>
                  <m:t>n</m:t>
                </m:r>
              </m:den>
            </m:f>
          </m:den>
        </m:f>
      </m:oMath>
      <w:r w:rsidRPr="00D41096">
        <w:rPr>
          <w:rFonts w:eastAsia="Times New Roman"/>
        </w:rPr>
        <w:t xml:space="preserve">   (1)</w:t>
      </w:r>
    </w:p>
    <w:p w14:paraId="3ED2157E" w14:textId="7BA25C25" w:rsidR="00D57727" w:rsidRDefault="0058046B" w:rsidP="00CD2B78">
      <w:pPr>
        <w:ind w:left="720"/>
      </w:pPr>
      <w:r>
        <w:t>Abt</w:t>
      </w:r>
      <w:r w:rsidR="00D57727">
        <w:t xml:space="preserve"> also calculated the test-retest reliability using the ICC to measure between-agency variation and within-agency variation.  </w:t>
      </w:r>
      <w:r w:rsidR="00472334">
        <w:t>First, we randomly divided home</w:t>
      </w:r>
      <w:r w:rsidR="00D57727">
        <w:t xml:space="preserve"> health episodes within each agency into two separate equally-sized groups. </w:t>
      </w:r>
      <w:r w:rsidR="00472334">
        <w:t xml:space="preserve">Then, we calculated performance </w:t>
      </w:r>
      <w:r w:rsidR="00D57727">
        <w:t xml:space="preserve">rates for each </w:t>
      </w:r>
      <w:r w:rsidR="00472334">
        <w:t>group</w:t>
      </w:r>
      <w:r w:rsidR="00D57727">
        <w:t>. Then,</w:t>
      </w:r>
      <w:r w:rsidR="00472334">
        <w:t xml:space="preserve"> using the paired performance rates,</w:t>
      </w:r>
      <w:r w:rsidR="00D57727">
        <w:t xml:space="preserve"> </w:t>
      </w:r>
      <w:r w:rsidR="00472334">
        <w:t>we calculated the statistics absolute</w:t>
      </w:r>
      <w:r w:rsidR="00686D04">
        <w:t>-</w:t>
      </w:r>
      <w:r w:rsidR="00472334">
        <w:t xml:space="preserve">agreement ICC (AA-ICC or </w:t>
      </w:r>
      <w:proofErr w:type="gramStart"/>
      <w:r w:rsidR="00472334">
        <w:t>ICC(</w:t>
      </w:r>
      <w:proofErr w:type="gramEnd"/>
      <w:r w:rsidR="00472334">
        <w:t xml:space="preserve">2,1)) and </w:t>
      </w:r>
      <w:r w:rsidR="00686D04">
        <w:t>consistency-of-</w:t>
      </w:r>
      <w:r w:rsidR="00472334">
        <w:t>agreement ICC (CA-ICC or ICC(3,1))</w:t>
      </w:r>
      <w:r w:rsidR="00472334" w:rsidDel="00472334">
        <w:t xml:space="preserve"> </w:t>
      </w:r>
      <w:r w:rsidR="00D57727">
        <w:t>.  ICC values that approach 1 indicate that the fraction of the total variance due to between-agency variation is high.</w:t>
      </w:r>
    </w:p>
    <w:p w14:paraId="3D174003" w14:textId="77777777" w:rsidR="008D32F7" w:rsidRDefault="008D32F7" w:rsidP="00D57727">
      <w:pPr>
        <w:spacing w:after="0"/>
        <w:rPr>
          <w:b/>
          <w:u w:val="single"/>
        </w:rPr>
      </w:pPr>
    </w:p>
    <w:p w14:paraId="3E3280F4" w14:textId="7BD63ACC" w:rsidR="00D57727" w:rsidRDefault="008D32F7" w:rsidP="008D32F7">
      <w:pPr>
        <w:pStyle w:val="ListParagraph"/>
        <w:numPr>
          <w:ilvl w:val="0"/>
          <w:numId w:val="34"/>
        </w:numPr>
        <w:spacing w:after="0"/>
      </w:pPr>
      <w:r>
        <w:rPr>
          <w:b/>
          <w:u w:val="single"/>
        </w:rPr>
        <w:t xml:space="preserve">Reliability of the Underlying </w:t>
      </w:r>
      <w:r w:rsidR="005B1C7D">
        <w:rPr>
          <w:b/>
          <w:u w:val="single"/>
        </w:rPr>
        <w:t>Data Element</w:t>
      </w:r>
      <w:r w:rsidR="00E2456D" w:rsidRPr="008D32F7">
        <w:rPr>
          <w:b/>
          <w:u w:val="single"/>
        </w:rPr>
        <w:t xml:space="preserve">: </w:t>
      </w:r>
      <w:r w:rsidRPr="008D32F7">
        <w:rPr>
          <w:b/>
          <w:u w:val="single"/>
        </w:rPr>
        <w:t xml:space="preserve"> </w:t>
      </w:r>
      <w:r w:rsidR="00203680">
        <w:t xml:space="preserve">The </w:t>
      </w:r>
      <w:r w:rsidR="00D57727">
        <w:t>measure is calculated by comparing patient functioning at the start and end of a home health quality episode, as reported by the home health OASIS-C</w:t>
      </w:r>
      <w:r w:rsidR="00CA4D00">
        <w:t>2</w:t>
      </w:r>
      <w:r w:rsidR="00D57727">
        <w:t xml:space="preserve"> data set. </w:t>
      </w:r>
      <w:r w:rsidR="00DF4CC6">
        <w:t>Pain interfering with activity</w:t>
      </w:r>
      <w:r w:rsidR="00D57727">
        <w:t xml:space="preserve"> is based on response to OASIS-C</w:t>
      </w:r>
      <w:r>
        <w:t>2</w:t>
      </w:r>
      <w:r w:rsidR="00D57727">
        <w:t xml:space="preserve"> item </w:t>
      </w:r>
      <w:r w:rsidR="00D57727" w:rsidRPr="006A227A">
        <w:t>M</w:t>
      </w:r>
      <w:r w:rsidR="00924770" w:rsidRPr="006A227A">
        <w:t>1242</w:t>
      </w:r>
      <w:r w:rsidR="006A227A">
        <w:t xml:space="preserve"> (Frequency of p</w:t>
      </w:r>
      <w:r w:rsidR="006A227A" w:rsidRPr="006A227A">
        <w:t xml:space="preserve">ain </w:t>
      </w:r>
      <w:r w:rsidR="006A227A">
        <w:t>i</w:t>
      </w:r>
      <w:r w:rsidR="006A227A" w:rsidRPr="006A227A">
        <w:t xml:space="preserve">nterfering with </w:t>
      </w:r>
      <w:r w:rsidR="006A227A">
        <w:t>patient’s activity or movement)</w:t>
      </w:r>
      <w:r w:rsidR="00203680">
        <w:t>:</w:t>
      </w:r>
      <w:r w:rsidR="00D57727" w:rsidRPr="006A227A">
        <w:t xml:space="preserve"> </w:t>
      </w:r>
    </w:p>
    <w:p w14:paraId="38F01D16" w14:textId="77777777" w:rsidR="006A227A" w:rsidRPr="006A227A" w:rsidRDefault="006A227A" w:rsidP="006A227A">
      <w:pPr>
        <w:pStyle w:val="ListParagraph"/>
        <w:spacing w:after="0"/>
      </w:pPr>
    </w:p>
    <w:p w14:paraId="3289DCC5" w14:textId="74EB64DA" w:rsidR="00D57727" w:rsidRDefault="00D57727" w:rsidP="008D32F7">
      <w:pPr>
        <w:spacing w:after="0"/>
        <w:ind w:left="1440"/>
      </w:pPr>
      <w:r>
        <w:t xml:space="preserve">0 - </w:t>
      </w:r>
      <w:r w:rsidR="00924770">
        <w:t>Patient has no pain.</w:t>
      </w:r>
      <w:r>
        <w:t xml:space="preserve"> </w:t>
      </w:r>
    </w:p>
    <w:p w14:paraId="6DE73A05" w14:textId="0588E780" w:rsidR="00D57727" w:rsidRDefault="00D57727" w:rsidP="008D32F7">
      <w:pPr>
        <w:spacing w:after="0"/>
        <w:ind w:left="1440"/>
      </w:pPr>
      <w:r>
        <w:t xml:space="preserve">1 - </w:t>
      </w:r>
      <w:r w:rsidR="00924770">
        <w:t>Patient has pain that does not interfere with activity or movement.</w:t>
      </w:r>
      <w:r>
        <w:t xml:space="preserve"> </w:t>
      </w:r>
    </w:p>
    <w:p w14:paraId="5AA9C475" w14:textId="744F6ED6" w:rsidR="00D57727" w:rsidRDefault="00D57727" w:rsidP="008D32F7">
      <w:pPr>
        <w:spacing w:after="0"/>
        <w:ind w:left="1440"/>
      </w:pPr>
      <w:r>
        <w:t xml:space="preserve">2 - </w:t>
      </w:r>
      <w:r w:rsidR="00924770">
        <w:t>Less often than daily.</w:t>
      </w:r>
      <w:r>
        <w:t xml:space="preserve"> </w:t>
      </w:r>
    </w:p>
    <w:p w14:paraId="3DE2930C" w14:textId="31427C56" w:rsidR="00D57727" w:rsidRDefault="00D57727" w:rsidP="008D32F7">
      <w:pPr>
        <w:spacing w:after="0"/>
        <w:ind w:left="1440"/>
      </w:pPr>
      <w:r>
        <w:t xml:space="preserve">3 - </w:t>
      </w:r>
      <w:r w:rsidR="00924770">
        <w:t>Daily, but not constantly.</w:t>
      </w:r>
      <w:r>
        <w:t xml:space="preserve"> </w:t>
      </w:r>
    </w:p>
    <w:p w14:paraId="38300555" w14:textId="5EA8CF26" w:rsidR="00D57727" w:rsidRDefault="00D57727" w:rsidP="008D32F7">
      <w:pPr>
        <w:spacing w:after="0"/>
        <w:ind w:left="1440"/>
      </w:pPr>
      <w:r>
        <w:lastRenderedPageBreak/>
        <w:t xml:space="preserve">4 - </w:t>
      </w:r>
      <w:r w:rsidR="00924770">
        <w:t>All of the time.</w:t>
      </w:r>
      <w:r>
        <w:t xml:space="preserve"> </w:t>
      </w:r>
    </w:p>
    <w:p w14:paraId="6429704E" w14:textId="77777777" w:rsidR="00D57727" w:rsidRDefault="00D57727" w:rsidP="00D57727">
      <w:pPr>
        <w:spacing w:after="0"/>
      </w:pPr>
    </w:p>
    <w:p w14:paraId="6C4FE5EF" w14:textId="00A93511" w:rsidR="00C23075" w:rsidRDefault="00CA4D00" w:rsidP="008D32F7">
      <w:pPr>
        <w:autoSpaceDE w:val="0"/>
        <w:autoSpaceDN w:val="0"/>
        <w:adjustRightInd w:val="0"/>
        <w:spacing w:after="0"/>
        <w:ind w:left="720"/>
      </w:pPr>
      <w:r>
        <w:t xml:space="preserve">In </w:t>
      </w:r>
      <w:r w:rsidR="008D32F7">
        <w:t xml:space="preserve">2016 and </w:t>
      </w:r>
      <w:r>
        <w:t>2017, Abt</w:t>
      </w:r>
      <w:r w:rsidR="008D32F7">
        <w:t xml:space="preserve"> and partners</w:t>
      </w:r>
      <w:r>
        <w:t xml:space="preserve"> conduct</w:t>
      </w:r>
      <w:r w:rsidR="002132D3">
        <w:t>ed</w:t>
      </w:r>
      <w:r w:rsidR="008D32F7">
        <w:t xml:space="preserve"> a</w:t>
      </w:r>
      <w:r>
        <w:t xml:space="preserve"> field test </w:t>
      </w:r>
      <w:r w:rsidR="008D32F7">
        <w:t xml:space="preserve">of </w:t>
      </w:r>
      <w:r>
        <w:t xml:space="preserve">new and existing OASIS items on </w:t>
      </w:r>
      <w:r w:rsidR="00847701">
        <w:t xml:space="preserve">12 HHAs in four states for </w:t>
      </w:r>
      <w:r>
        <w:t>213 home health patients.</w:t>
      </w:r>
      <w:r w:rsidR="002132D3">
        <w:rPr>
          <w:rStyle w:val="FootnoteReference"/>
        </w:rPr>
        <w:footnoteReference w:id="3"/>
      </w:r>
      <w:r>
        <w:t xml:space="preserve"> </w:t>
      </w:r>
      <w:proofErr w:type="gramStart"/>
      <w:r w:rsidR="00203680">
        <w:t xml:space="preserve">Home health </w:t>
      </w:r>
      <w:r w:rsidR="00847701">
        <w:t>registered nurses and physical therapists, trained by the study team, collected data during home visits at start of care (SOC) or resumption of care (ROC), and/or at discharge.</w:t>
      </w:r>
      <w:proofErr w:type="gramEnd"/>
      <w:r w:rsidR="00847701">
        <w:t xml:space="preserve"> Follow-up visits were conducted within 24 hours of the initial field test visit, by a different registered nurse or physical therapist to test interrater reliability.  </w:t>
      </w:r>
      <w:r w:rsidRPr="006A227A">
        <w:t>M</w:t>
      </w:r>
      <w:r w:rsidR="00924770" w:rsidRPr="006A227A">
        <w:t>1242</w:t>
      </w:r>
      <w:r w:rsidRPr="006A227A">
        <w:t xml:space="preserve"> was one of the existing OASIS-C2 items that was tested</w:t>
      </w:r>
      <w:r>
        <w:t xml:space="preserve">. Interrater reliability </w:t>
      </w:r>
      <w:r w:rsidR="00847701">
        <w:t xml:space="preserve">was assessed for </w:t>
      </w:r>
      <w:r w:rsidR="0040413C">
        <w:t xml:space="preserve">SOC </w:t>
      </w:r>
      <w:r>
        <w:t xml:space="preserve">or </w:t>
      </w:r>
      <w:r w:rsidR="0040413C">
        <w:t xml:space="preserve">ROC </w:t>
      </w:r>
      <w:r>
        <w:t>and at Discharge with a linear weighted kappa.</w:t>
      </w:r>
      <w:r w:rsidR="002132D3">
        <w:t xml:space="preserve"> The number patients for which inter-rater reliability could be tested was 105 at SOC/ROC and 84 at discharge.</w:t>
      </w:r>
    </w:p>
    <w:p w14:paraId="19CCF8A0" w14:textId="77777777" w:rsidR="00C23075" w:rsidRDefault="00C23075" w:rsidP="008D32F7">
      <w:pPr>
        <w:autoSpaceDE w:val="0"/>
        <w:autoSpaceDN w:val="0"/>
        <w:adjustRightInd w:val="0"/>
        <w:spacing w:after="0"/>
        <w:ind w:left="720"/>
      </w:pPr>
    </w:p>
    <w:p w14:paraId="1A2F625C" w14:textId="15A34E88" w:rsidR="00C23075" w:rsidRDefault="00C23075" w:rsidP="008D32F7">
      <w:pPr>
        <w:autoSpaceDE w:val="0"/>
        <w:autoSpaceDN w:val="0"/>
        <w:adjustRightInd w:val="0"/>
        <w:spacing w:after="0"/>
        <w:ind w:left="720"/>
      </w:pPr>
      <w:r>
        <w:t>The kappa statistic is generally considered to be the “gold standard” statistic associated with item reliability as it factors in the possibility of chance agreement. Kappa values are reported as decimal values between 0.00 (poor) and 1.00 (perfect). These can be interpreted using the following seven categories:</w:t>
      </w:r>
      <w:r>
        <w:rPr>
          <w:rStyle w:val="FootnoteReference"/>
        </w:rPr>
        <w:footnoteReference w:id="4"/>
      </w:r>
    </w:p>
    <w:p w14:paraId="225CD6A9" w14:textId="77777777" w:rsidR="00C23075" w:rsidRPr="00C23075" w:rsidRDefault="00C23075" w:rsidP="00CD2B78">
      <w:pPr>
        <w:pStyle w:val="ListParagraph"/>
        <w:numPr>
          <w:ilvl w:val="0"/>
          <w:numId w:val="35"/>
        </w:numPr>
        <w:autoSpaceDE w:val="0"/>
        <w:autoSpaceDN w:val="0"/>
        <w:adjustRightInd w:val="0"/>
        <w:spacing w:after="0"/>
        <w:rPr>
          <w:rFonts w:cstheme="minorHAnsi"/>
          <w:bCs/>
        </w:rPr>
      </w:pPr>
      <w:r>
        <w:t>Poor &lt; 0.10</w:t>
      </w:r>
    </w:p>
    <w:p w14:paraId="7E0A2076" w14:textId="77777777" w:rsidR="00C23075" w:rsidRPr="00C23075" w:rsidRDefault="00C23075" w:rsidP="00CD2B78">
      <w:pPr>
        <w:pStyle w:val="ListParagraph"/>
        <w:numPr>
          <w:ilvl w:val="0"/>
          <w:numId w:val="35"/>
        </w:numPr>
        <w:autoSpaceDE w:val="0"/>
        <w:autoSpaceDN w:val="0"/>
        <w:adjustRightInd w:val="0"/>
        <w:spacing w:after="0"/>
        <w:rPr>
          <w:rFonts w:cstheme="minorHAnsi"/>
          <w:bCs/>
        </w:rPr>
      </w:pPr>
      <w:r>
        <w:t>Slight = 0.10 to 0.20</w:t>
      </w:r>
    </w:p>
    <w:p w14:paraId="16FEF96D" w14:textId="77777777" w:rsidR="00C23075" w:rsidRPr="00C23075" w:rsidRDefault="00C23075" w:rsidP="00CD2B78">
      <w:pPr>
        <w:pStyle w:val="ListParagraph"/>
        <w:numPr>
          <w:ilvl w:val="0"/>
          <w:numId w:val="35"/>
        </w:numPr>
        <w:autoSpaceDE w:val="0"/>
        <w:autoSpaceDN w:val="0"/>
        <w:adjustRightInd w:val="0"/>
        <w:spacing w:after="0"/>
        <w:rPr>
          <w:rFonts w:cstheme="minorHAnsi"/>
          <w:bCs/>
        </w:rPr>
      </w:pPr>
      <w:r>
        <w:t>Fair = 0.21 to 0.40</w:t>
      </w:r>
    </w:p>
    <w:p w14:paraId="726F8779" w14:textId="77777777" w:rsidR="00C23075" w:rsidRPr="00C23075" w:rsidRDefault="00C23075" w:rsidP="00CD2B78">
      <w:pPr>
        <w:pStyle w:val="ListParagraph"/>
        <w:numPr>
          <w:ilvl w:val="0"/>
          <w:numId w:val="35"/>
        </w:numPr>
        <w:autoSpaceDE w:val="0"/>
        <w:autoSpaceDN w:val="0"/>
        <w:adjustRightInd w:val="0"/>
        <w:spacing w:after="0"/>
        <w:rPr>
          <w:rFonts w:cstheme="minorHAnsi"/>
          <w:bCs/>
        </w:rPr>
      </w:pPr>
      <w:r>
        <w:t>Moderate = 0.41 to 0.60</w:t>
      </w:r>
    </w:p>
    <w:p w14:paraId="56D87B11" w14:textId="77777777" w:rsidR="00C23075" w:rsidRPr="00C23075" w:rsidRDefault="00C23075" w:rsidP="00CD2B78">
      <w:pPr>
        <w:pStyle w:val="ListParagraph"/>
        <w:numPr>
          <w:ilvl w:val="0"/>
          <w:numId w:val="35"/>
        </w:numPr>
        <w:autoSpaceDE w:val="0"/>
        <w:autoSpaceDN w:val="0"/>
        <w:adjustRightInd w:val="0"/>
        <w:spacing w:after="0"/>
        <w:rPr>
          <w:rFonts w:cstheme="minorHAnsi"/>
          <w:bCs/>
        </w:rPr>
      </w:pPr>
      <w:r>
        <w:t>Substantial = 0.61 to 0.80</w:t>
      </w:r>
    </w:p>
    <w:p w14:paraId="654E5356" w14:textId="77777777" w:rsidR="00C23075" w:rsidRPr="00C23075" w:rsidRDefault="00C23075" w:rsidP="00CD2B78">
      <w:pPr>
        <w:pStyle w:val="ListParagraph"/>
        <w:numPr>
          <w:ilvl w:val="0"/>
          <w:numId w:val="35"/>
        </w:numPr>
        <w:autoSpaceDE w:val="0"/>
        <w:autoSpaceDN w:val="0"/>
        <w:adjustRightInd w:val="0"/>
        <w:spacing w:after="0"/>
        <w:rPr>
          <w:rFonts w:cstheme="minorHAnsi"/>
          <w:bCs/>
        </w:rPr>
      </w:pPr>
      <w:r>
        <w:t>Near perfect= 0.81 to 0.99</w:t>
      </w:r>
    </w:p>
    <w:p w14:paraId="5D8FC64A" w14:textId="08DFF46B" w:rsidR="00CA4D00" w:rsidRPr="00C23075" w:rsidRDefault="00C23075" w:rsidP="00CD2B78">
      <w:pPr>
        <w:pStyle w:val="ListParagraph"/>
        <w:numPr>
          <w:ilvl w:val="0"/>
          <w:numId w:val="35"/>
        </w:numPr>
        <w:autoSpaceDE w:val="0"/>
        <w:autoSpaceDN w:val="0"/>
        <w:adjustRightInd w:val="0"/>
        <w:spacing w:after="0"/>
        <w:rPr>
          <w:rFonts w:cstheme="minorHAnsi"/>
          <w:bCs/>
        </w:rPr>
      </w:pPr>
      <w:r>
        <w:t>Perfect = 1.00</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77777777" w:rsidR="007422FD" w:rsidRPr="00A25024"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4196D49F" w14:textId="7EB5214D" w:rsidR="00D57727" w:rsidRPr="00E8575A" w:rsidRDefault="00847701" w:rsidP="00CD2B78">
      <w:pPr>
        <w:pStyle w:val="ListParagraph"/>
        <w:numPr>
          <w:ilvl w:val="0"/>
          <w:numId w:val="34"/>
        </w:numPr>
        <w:spacing w:after="0"/>
      </w:pPr>
      <w:r w:rsidRPr="00847701">
        <w:rPr>
          <w:b/>
          <w:u w:val="single"/>
        </w:rPr>
        <w:t>Reliability of the Performance Measure Score:</w:t>
      </w:r>
      <w:r>
        <w:t xml:space="preserve"> </w:t>
      </w:r>
      <w:r w:rsidR="00D57727" w:rsidRPr="00847701">
        <w:rPr>
          <w:b/>
        </w:rPr>
        <w:t xml:space="preserve"> </w:t>
      </w:r>
      <w:r w:rsidR="00D57727">
        <w:t xml:space="preserve">The table below summarizes the distribution of reliability scores </w:t>
      </w:r>
      <w:r w:rsidR="00D57727" w:rsidRPr="00E8575A">
        <w:t xml:space="preserve">for the </w:t>
      </w:r>
      <w:r w:rsidR="00BB579C" w:rsidRPr="00E8575A">
        <w:t>9,</w:t>
      </w:r>
      <w:r w:rsidR="00B17DF6" w:rsidRPr="00E8575A">
        <w:t>028</w:t>
      </w:r>
      <w:r w:rsidR="00D57727" w:rsidRPr="00E8575A">
        <w:t xml:space="preserve"> agencies that had at least 20 valid episodes. </w:t>
      </w:r>
    </w:p>
    <w:p w14:paraId="5267BF03" w14:textId="77777777" w:rsidR="00D57727" w:rsidRPr="00E8575A" w:rsidRDefault="00D57727" w:rsidP="00D57727">
      <w:pPr>
        <w:spacing w:after="0"/>
        <w:jc w:val="center"/>
        <w:rPr>
          <w:b/>
        </w:rPr>
      </w:pPr>
      <w:r w:rsidRPr="00E8575A">
        <w:rPr>
          <w:b/>
        </w:rPr>
        <w:t>Distribution of Beta Binomial Reliability Scores for Agencies with at Least 20 Valid Episodes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030"/>
        <w:gridCol w:w="1069"/>
        <w:gridCol w:w="1091"/>
        <w:gridCol w:w="1003"/>
        <w:gridCol w:w="1091"/>
        <w:gridCol w:w="1163"/>
        <w:gridCol w:w="1163"/>
      </w:tblGrid>
      <w:tr w:rsidR="00D57727" w:rsidRPr="00E8575A" w14:paraId="2E0175F9" w14:textId="77777777" w:rsidTr="00F01E56">
        <w:trPr>
          <w:trHeight w:val="330"/>
          <w:jc w:val="center"/>
        </w:trPr>
        <w:tc>
          <w:tcPr>
            <w:tcW w:w="798" w:type="dxa"/>
            <w:shd w:val="clear" w:color="auto" w:fill="CDECFF"/>
            <w:vAlign w:val="center"/>
          </w:tcPr>
          <w:p w14:paraId="7117BB77" w14:textId="77777777" w:rsidR="00D57727" w:rsidRPr="00E8575A" w:rsidRDefault="00D57727" w:rsidP="00F01E56">
            <w:pPr>
              <w:spacing w:after="0" w:line="240" w:lineRule="auto"/>
              <w:rPr>
                <w:b/>
                <w:sz w:val="20"/>
                <w:szCs w:val="20"/>
              </w:rPr>
            </w:pPr>
            <w:r w:rsidRPr="00E8575A">
              <w:rPr>
                <w:b/>
                <w:sz w:val="20"/>
                <w:szCs w:val="20"/>
              </w:rPr>
              <w:t>Mean</w:t>
            </w:r>
          </w:p>
        </w:tc>
        <w:tc>
          <w:tcPr>
            <w:tcW w:w="1030" w:type="dxa"/>
            <w:shd w:val="clear" w:color="auto" w:fill="CDECFF"/>
            <w:vAlign w:val="center"/>
          </w:tcPr>
          <w:p w14:paraId="367FBB38" w14:textId="77777777" w:rsidR="00D57727" w:rsidRPr="00E8575A" w:rsidRDefault="00D57727" w:rsidP="00F01E56">
            <w:pPr>
              <w:pStyle w:val="tt"/>
              <w:spacing w:before="0" w:after="0"/>
              <w:ind w:left="0"/>
              <w:jc w:val="center"/>
              <w:rPr>
                <w:rFonts w:ascii="Calibri" w:hAnsi="Calibri"/>
                <w:b/>
                <w:sz w:val="20"/>
              </w:rPr>
            </w:pPr>
            <w:r w:rsidRPr="00E8575A">
              <w:rPr>
                <w:rFonts w:ascii="Calibri" w:hAnsi="Calibri"/>
                <w:b/>
                <w:sz w:val="20"/>
              </w:rPr>
              <w:t>Minimum</w:t>
            </w:r>
          </w:p>
        </w:tc>
        <w:tc>
          <w:tcPr>
            <w:tcW w:w="1069" w:type="dxa"/>
            <w:shd w:val="clear" w:color="auto" w:fill="CDECFF"/>
            <w:vAlign w:val="center"/>
          </w:tcPr>
          <w:p w14:paraId="5D3E17E7" w14:textId="77777777" w:rsidR="00D57727" w:rsidRPr="00E8575A" w:rsidRDefault="00D57727" w:rsidP="00F01E56">
            <w:pPr>
              <w:pStyle w:val="tt"/>
              <w:spacing w:before="0" w:after="0"/>
              <w:ind w:left="0"/>
              <w:jc w:val="center"/>
              <w:rPr>
                <w:rFonts w:ascii="Calibri" w:hAnsi="Calibri"/>
                <w:b/>
                <w:sz w:val="20"/>
              </w:rPr>
            </w:pPr>
            <w:r w:rsidRPr="00E8575A">
              <w:rPr>
                <w:rFonts w:ascii="Calibri" w:hAnsi="Calibri"/>
                <w:b/>
                <w:sz w:val="20"/>
              </w:rPr>
              <w:t>10</w:t>
            </w:r>
            <w:r w:rsidRPr="00E8575A">
              <w:rPr>
                <w:rFonts w:ascii="Calibri" w:hAnsi="Calibri"/>
                <w:b/>
                <w:sz w:val="20"/>
                <w:vertAlign w:val="superscript"/>
              </w:rPr>
              <w:t>th</w:t>
            </w:r>
            <w:r w:rsidRPr="00E8575A">
              <w:rPr>
                <w:rFonts w:ascii="Calibri" w:hAnsi="Calibri"/>
                <w:b/>
                <w:sz w:val="20"/>
              </w:rPr>
              <w:t xml:space="preserve"> Percentile</w:t>
            </w:r>
          </w:p>
        </w:tc>
        <w:tc>
          <w:tcPr>
            <w:tcW w:w="1091" w:type="dxa"/>
            <w:shd w:val="clear" w:color="auto" w:fill="CDECFF"/>
            <w:vAlign w:val="center"/>
          </w:tcPr>
          <w:p w14:paraId="3227DA7A" w14:textId="77777777" w:rsidR="00D57727" w:rsidRPr="00E8575A" w:rsidRDefault="00D57727" w:rsidP="00F01E56">
            <w:pPr>
              <w:pStyle w:val="tt"/>
              <w:spacing w:before="0" w:after="0"/>
              <w:ind w:left="0"/>
              <w:jc w:val="center"/>
              <w:rPr>
                <w:rFonts w:ascii="Calibri" w:hAnsi="Calibri"/>
                <w:b/>
                <w:sz w:val="20"/>
              </w:rPr>
            </w:pPr>
            <w:r w:rsidRPr="00E8575A">
              <w:rPr>
                <w:rFonts w:ascii="Calibri" w:hAnsi="Calibri"/>
                <w:b/>
                <w:sz w:val="20"/>
              </w:rPr>
              <w:t>25th Percentile</w:t>
            </w:r>
          </w:p>
        </w:tc>
        <w:tc>
          <w:tcPr>
            <w:tcW w:w="1003" w:type="dxa"/>
            <w:shd w:val="clear" w:color="auto" w:fill="CDECFF"/>
            <w:vAlign w:val="center"/>
          </w:tcPr>
          <w:p w14:paraId="3DF540D4" w14:textId="77777777" w:rsidR="00D57727" w:rsidRPr="00E8575A" w:rsidRDefault="00D57727" w:rsidP="00F01E56">
            <w:pPr>
              <w:pStyle w:val="tt"/>
              <w:spacing w:before="0" w:after="0"/>
              <w:ind w:left="0"/>
              <w:jc w:val="center"/>
              <w:rPr>
                <w:rFonts w:ascii="Calibri" w:hAnsi="Calibri"/>
                <w:b/>
                <w:sz w:val="20"/>
              </w:rPr>
            </w:pPr>
            <w:r w:rsidRPr="00E8575A">
              <w:rPr>
                <w:rFonts w:ascii="Calibri" w:hAnsi="Calibri"/>
                <w:b/>
                <w:sz w:val="20"/>
              </w:rPr>
              <w:t>Median</w:t>
            </w:r>
          </w:p>
        </w:tc>
        <w:tc>
          <w:tcPr>
            <w:tcW w:w="1091" w:type="dxa"/>
            <w:shd w:val="clear" w:color="auto" w:fill="CDECFF"/>
            <w:vAlign w:val="center"/>
          </w:tcPr>
          <w:p w14:paraId="04C4DBF0" w14:textId="77777777" w:rsidR="00D57727" w:rsidRPr="00E8575A" w:rsidRDefault="00D57727" w:rsidP="00F01E56">
            <w:pPr>
              <w:pStyle w:val="tt"/>
              <w:spacing w:before="0" w:after="0"/>
              <w:ind w:left="0"/>
              <w:jc w:val="center"/>
              <w:rPr>
                <w:rFonts w:ascii="Calibri" w:hAnsi="Calibri"/>
                <w:b/>
                <w:sz w:val="20"/>
              </w:rPr>
            </w:pPr>
            <w:r w:rsidRPr="00E8575A">
              <w:rPr>
                <w:rFonts w:ascii="Calibri" w:hAnsi="Calibri"/>
                <w:b/>
                <w:sz w:val="20"/>
              </w:rPr>
              <w:t>75th Percentile</w:t>
            </w:r>
          </w:p>
        </w:tc>
        <w:tc>
          <w:tcPr>
            <w:tcW w:w="1163" w:type="dxa"/>
            <w:shd w:val="clear" w:color="auto" w:fill="CDECFF"/>
          </w:tcPr>
          <w:p w14:paraId="0F362E47" w14:textId="77777777" w:rsidR="00D57727" w:rsidRPr="00E8575A" w:rsidRDefault="00D57727" w:rsidP="00F01E56">
            <w:pPr>
              <w:pStyle w:val="tt"/>
              <w:spacing w:before="0" w:after="0"/>
              <w:ind w:left="0"/>
              <w:jc w:val="center"/>
              <w:rPr>
                <w:rFonts w:ascii="Calibri" w:hAnsi="Calibri"/>
                <w:b/>
                <w:sz w:val="20"/>
              </w:rPr>
            </w:pPr>
            <w:r w:rsidRPr="00E8575A">
              <w:rPr>
                <w:rFonts w:ascii="Calibri" w:hAnsi="Calibri"/>
                <w:b/>
                <w:sz w:val="20"/>
              </w:rPr>
              <w:t>90th Percentile</w:t>
            </w:r>
          </w:p>
        </w:tc>
        <w:tc>
          <w:tcPr>
            <w:tcW w:w="1163" w:type="dxa"/>
            <w:shd w:val="clear" w:color="auto" w:fill="CDECFF"/>
            <w:vAlign w:val="center"/>
          </w:tcPr>
          <w:p w14:paraId="2C9A1417" w14:textId="77777777" w:rsidR="00D57727" w:rsidRPr="00E8575A" w:rsidRDefault="00D57727" w:rsidP="00F01E56">
            <w:pPr>
              <w:pStyle w:val="tt"/>
              <w:spacing w:before="0" w:after="0"/>
              <w:ind w:left="0"/>
              <w:jc w:val="center"/>
              <w:rPr>
                <w:rFonts w:ascii="Calibri" w:hAnsi="Calibri"/>
                <w:b/>
                <w:sz w:val="20"/>
              </w:rPr>
            </w:pPr>
            <w:r w:rsidRPr="00E8575A">
              <w:rPr>
                <w:rFonts w:ascii="Calibri" w:hAnsi="Calibri"/>
                <w:b/>
                <w:sz w:val="20"/>
              </w:rPr>
              <w:t>Maximum</w:t>
            </w:r>
          </w:p>
        </w:tc>
      </w:tr>
      <w:tr w:rsidR="00D57727" w:rsidRPr="00E8575A" w14:paraId="05A3DEB3" w14:textId="77777777" w:rsidTr="00F01E56">
        <w:trPr>
          <w:trHeight w:val="260"/>
          <w:jc w:val="center"/>
        </w:trPr>
        <w:tc>
          <w:tcPr>
            <w:tcW w:w="798" w:type="dxa"/>
            <w:shd w:val="clear" w:color="auto" w:fill="auto"/>
            <w:vAlign w:val="bottom"/>
          </w:tcPr>
          <w:p w14:paraId="09178D1B" w14:textId="6D49CCDE" w:rsidR="00D57727" w:rsidRPr="00E8575A" w:rsidRDefault="00E8575A" w:rsidP="00E8575A">
            <w:pPr>
              <w:jc w:val="center"/>
              <w:rPr>
                <w:rFonts w:ascii="Calibri" w:hAnsi="Calibri"/>
                <w:color w:val="000000"/>
              </w:rPr>
            </w:pPr>
            <w:r>
              <w:rPr>
                <w:rFonts w:ascii="Calibri" w:hAnsi="Calibri"/>
                <w:color w:val="000000"/>
              </w:rPr>
              <w:t>0.95</w:t>
            </w:r>
          </w:p>
        </w:tc>
        <w:tc>
          <w:tcPr>
            <w:tcW w:w="1030" w:type="dxa"/>
            <w:shd w:val="clear" w:color="auto" w:fill="auto"/>
            <w:vAlign w:val="bottom"/>
          </w:tcPr>
          <w:p w14:paraId="678CE866" w14:textId="4345480D" w:rsidR="00D57727" w:rsidRPr="00E8575A" w:rsidRDefault="00E8575A" w:rsidP="00BB579C">
            <w:pPr>
              <w:jc w:val="center"/>
              <w:rPr>
                <w:rFonts w:ascii="Calibri" w:hAnsi="Calibri"/>
                <w:color w:val="000000"/>
              </w:rPr>
            </w:pPr>
            <w:r>
              <w:rPr>
                <w:rFonts w:ascii="Calibri" w:hAnsi="Calibri"/>
                <w:color w:val="000000"/>
              </w:rPr>
              <w:t>0.74</w:t>
            </w:r>
          </w:p>
        </w:tc>
        <w:tc>
          <w:tcPr>
            <w:tcW w:w="1069" w:type="dxa"/>
            <w:shd w:val="clear" w:color="auto" w:fill="auto"/>
            <w:vAlign w:val="bottom"/>
          </w:tcPr>
          <w:p w14:paraId="23BC759C" w14:textId="53E9E7AC" w:rsidR="00D57727" w:rsidRPr="00E8575A" w:rsidRDefault="00E8575A" w:rsidP="00BB579C">
            <w:pPr>
              <w:jc w:val="center"/>
              <w:rPr>
                <w:rFonts w:ascii="Calibri" w:hAnsi="Calibri"/>
                <w:color w:val="000000"/>
              </w:rPr>
            </w:pPr>
            <w:r>
              <w:rPr>
                <w:rFonts w:ascii="Calibri" w:hAnsi="Calibri"/>
                <w:color w:val="000000"/>
              </w:rPr>
              <w:t>0.87</w:t>
            </w:r>
          </w:p>
        </w:tc>
        <w:tc>
          <w:tcPr>
            <w:tcW w:w="1091" w:type="dxa"/>
            <w:shd w:val="clear" w:color="auto" w:fill="auto"/>
            <w:vAlign w:val="bottom"/>
          </w:tcPr>
          <w:p w14:paraId="0FF8B25F" w14:textId="4F69A03A" w:rsidR="00D57727" w:rsidRPr="00E8575A" w:rsidRDefault="00E8575A" w:rsidP="00BB579C">
            <w:pPr>
              <w:jc w:val="center"/>
              <w:rPr>
                <w:rFonts w:ascii="Calibri" w:hAnsi="Calibri"/>
                <w:color w:val="000000"/>
              </w:rPr>
            </w:pPr>
            <w:r>
              <w:rPr>
                <w:rFonts w:ascii="Calibri" w:hAnsi="Calibri"/>
                <w:color w:val="000000"/>
              </w:rPr>
              <w:t>0.93</w:t>
            </w:r>
          </w:p>
        </w:tc>
        <w:tc>
          <w:tcPr>
            <w:tcW w:w="1003" w:type="dxa"/>
            <w:shd w:val="clear" w:color="auto" w:fill="auto"/>
            <w:vAlign w:val="bottom"/>
          </w:tcPr>
          <w:p w14:paraId="52DFB20A" w14:textId="2234BCBF" w:rsidR="00D57727" w:rsidRPr="00E8575A" w:rsidRDefault="00E8575A" w:rsidP="00F01E56">
            <w:pPr>
              <w:jc w:val="center"/>
              <w:rPr>
                <w:rFonts w:ascii="Calibri" w:hAnsi="Calibri"/>
                <w:color w:val="000000"/>
              </w:rPr>
            </w:pPr>
            <w:r>
              <w:rPr>
                <w:rFonts w:ascii="Calibri" w:hAnsi="Calibri"/>
                <w:color w:val="000000"/>
              </w:rPr>
              <w:t>0.97</w:t>
            </w:r>
          </w:p>
        </w:tc>
        <w:tc>
          <w:tcPr>
            <w:tcW w:w="1091" w:type="dxa"/>
            <w:shd w:val="clear" w:color="auto" w:fill="auto"/>
            <w:vAlign w:val="bottom"/>
          </w:tcPr>
          <w:p w14:paraId="6ABE0711" w14:textId="5C399F89" w:rsidR="00D57727" w:rsidRPr="00E8575A" w:rsidRDefault="00E8575A" w:rsidP="00F01E56">
            <w:pPr>
              <w:jc w:val="center"/>
              <w:rPr>
                <w:rFonts w:ascii="Calibri" w:hAnsi="Calibri"/>
                <w:color w:val="000000"/>
              </w:rPr>
            </w:pPr>
            <w:r>
              <w:rPr>
                <w:rFonts w:ascii="Calibri" w:hAnsi="Calibri"/>
                <w:color w:val="000000"/>
              </w:rPr>
              <w:t>0.99</w:t>
            </w:r>
          </w:p>
        </w:tc>
        <w:tc>
          <w:tcPr>
            <w:tcW w:w="1163" w:type="dxa"/>
            <w:vAlign w:val="bottom"/>
          </w:tcPr>
          <w:p w14:paraId="1722046D" w14:textId="62BB04C9" w:rsidR="00D57727" w:rsidRPr="00E8575A" w:rsidRDefault="00BB579C" w:rsidP="00BB579C">
            <w:pPr>
              <w:jc w:val="center"/>
              <w:rPr>
                <w:rFonts w:ascii="Calibri" w:hAnsi="Calibri"/>
                <w:color w:val="000000"/>
              </w:rPr>
            </w:pPr>
            <w:r w:rsidRPr="00E8575A">
              <w:rPr>
                <w:rFonts w:ascii="Calibri" w:hAnsi="Calibri"/>
                <w:color w:val="000000"/>
              </w:rPr>
              <w:t>1.00</w:t>
            </w:r>
          </w:p>
        </w:tc>
        <w:tc>
          <w:tcPr>
            <w:tcW w:w="1163" w:type="dxa"/>
            <w:shd w:val="clear" w:color="auto" w:fill="auto"/>
            <w:vAlign w:val="bottom"/>
          </w:tcPr>
          <w:p w14:paraId="0F1076A2" w14:textId="77777777" w:rsidR="00D57727" w:rsidRPr="00E8575A" w:rsidRDefault="00D57727" w:rsidP="00F01E56">
            <w:pPr>
              <w:jc w:val="center"/>
              <w:rPr>
                <w:rFonts w:ascii="Calibri" w:hAnsi="Calibri"/>
                <w:color w:val="000000"/>
              </w:rPr>
            </w:pPr>
            <w:r w:rsidRPr="00E8575A">
              <w:rPr>
                <w:rFonts w:ascii="Calibri" w:hAnsi="Calibri"/>
                <w:color w:val="000000"/>
              </w:rPr>
              <w:t>1.00</w:t>
            </w:r>
          </w:p>
        </w:tc>
      </w:tr>
    </w:tbl>
    <w:p w14:paraId="7AA33531" w14:textId="77777777" w:rsidR="00D57727" w:rsidRPr="00E8575A" w:rsidRDefault="00D57727" w:rsidP="00D57727">
      <w:pPr>
        <w:rPr>
          <w:b/>
        </w:rPr>
      </w:pPr>
    </w:p>
    <w:p w14:paraId="45CB74D1" w14:textId="01B82A6A" w:rsidR="00686D04" w:rsidRDefault="00686D04" w:rsidP="00686D04">
      <w:pPr>
        <w:ind w:left="720"/>
        <w:rPr>
          <w:b/>
        </w:rPr>
      </w:pPr>
      <w:r w:rsidRPr="00E8575A">
        <w:t>For agencies with at least 40 valid episodes (recall that an ICC statistic is derived from paired performance rates), the AA-ICC is</w:t>
      </w:r>
      <w:r w:rsidRPr="00E8575A">
        <w:rPr>
          <w:b/>
        </w:rPr>
        <w:t xml:space="preserve"> </w:t>
      </w:r>
      <w:r w:rsidR="00E8575A">
        <w:rPr>
          <w:b/>
        </w:rPr>
        <w:t>0.900</w:t>
      </w:r>
      <w:r w:rsidRPr="00E8575A">
        <w:t>, and the CA-ICC is also</w:t>
      </w:r>
      <w:r w:rsidRPr="00E8575A">
        <w:rPr>
          <w:b/>
        </w:rPr>
        <w:t xml:space="preserve"> </w:t>
      </w:r>
      <w:r w:rsidR="00E8575A">
        <w:rPr>
          <w:b/>
        </w:rPr>
        <w:t>0.900</w:t>
      </w:r>
      <w:r w:rsidRPr="00E8575A">
        <w:t>.</w:t>
      </w:r>
      <w:r w:rsidR="00774C66">
        <w:t xml:space="preserve"> </w:t>
      </w:r>
    </w:p>
    <w:p w14:paraId="48F4B6A0" w14:textId="456B3B83" w:rsidR="00D57727" w:rsidRDefault="00847701" w:rsidP="00D57727">
      <w:pPr>
        <w:pStyle w:val="ListParagraph"/>
        <w:numPr>
          <w:ilvl w:val="0"/>
          <w:numId w:val="34"/>
        </w:numPr>
        <w:spacing w:after="0"/>
      </w:pPr>
      <w:r w:rsidRPr="00CD2B78">
        <w:rPr>
          <w:b/>
          <w:u w:val="single"/>
        </w:rPr>
        <w:lastRenderedPageBreak/>
        <w:t xml:space="preserve">Reliability of the Underlying </w:t>
      </w:r>
      <w:r w:rsidR="005B1C7D">
        <w:rPr>
          <w:b/>
          <w:u w:val="single"/>
        </w:rPr>
        <w:t>Data Element</w:t>
      </w:r>
      <w:r w:rsidRPr="00847701">
        <w:rPr>
          <w:b/>
          <w:u w:val="single"/>
        </w:rPr>
        <w:t xml:space="preserve">: </w:t>
      </w:r>
      <w:r w:rsidR="00D57727" w:rsidRPr="008F6DAE">
        <w:t xml:space="preserve"> </w:t>
      </w:r>
      <w:r w:rsidR="00D57727" w:rsidRPr="00847701">
        <w:rPr>
          <w:rFonts w:ascii="Calibri" w:eastAsia="Calibri" w:hAnsi="Calibri" w:cs="Times New Roman"/>
        </w:rPr>
        <w:t>The inter-rater reliability (weighted kappa) values for M</w:t>
      </w:r>
      <w:r w:rsidR="00B17DF6">
        <w:rPr>
          <w:rFonts w:ascii="Calibri" w:eastAsia="Calibri" w:hAnsi="Calibri" w:cs="Times New Roman"/>
        </w:rPr>
        <w:t>1242</w:t>
      </w:r>
      <w:r w:rsidR="006A227A">
        <w:rPr>
          <w:rFonts w:ascii="Calibri" w:eastAsia="Calibri" w:hAnsi="Calibri" w:cs="Times New Roman"/>
        </w:rPr>
        <w:t xml:space="preserve"> (</w:t>
      </w:r>
      <w:r w:rsidR="00770FCB">
        <w:rPr>
          <w:rFonts w:ascii="Calibri" w:eastAsia="Calibri" w:hAnsi="Calibri" w:cs="Times New Roman"/>
        </w:rPr>
        <w:t>f</w:t>
      </w:r>
      <w:r w:rsidR="00B17DF6">
        <w:rPr>
          <w:rFonts w:ascii="Calibri" w:eastAsia="Calibri" w:hAnsi="Calibri" w:cs="Times New Roman"/>
        </w:rPr>
        <w:t xml:space="preserve">requency of </w:t>
      </w:r>
      <w:r w:rsidR="006A227A">
        <w:rPr>
          <w:rFonts w:ascii="Calibri" w:eastAsia="Calibri" w:hAnsi="Calibri" w:cs="Times New Roman"/>
        </w:rPr>
        <w:t>p</w:t>
      </w:r>
      <w:r w:rsidR="00B17DF6">
        <w:rPr>
          <w:rFonts w:ascii="Calibri" w:eastAsia="Calibri" w:hAnsi="Calibri" w:cs="Times New Roman"/>
        </w:rPr>
        <w:t xml:space="preserve">ain </w:t>
      </w:r>
      <w:r w:rsidR="006A227A">
        <w:rPr>
          <w:rFonts w:ascii="Calibri" w:eastAsia="Calibri" w:hAnsi="Calibri" w:cs="Times New Roman"/>
        </w:rPr>
        <w:t>i</w:t>
      </w:r>
      <w:r w:rsidR="00B17DF6">
        <w:rPr>
          <w:rFonts w:ascii="Calibri" w:eastAsia="Calibri" w:hAnsi="Calibri" w:cs="Times New Roman"/>
        </w:rPr>
        <w:t>nterfering</w:t>
      </w:r>
      <w:r w:rsidR="006A227A">
        <w:rPr>
          <w:rFonts w:ascii="Calibri" w:eastAsia="Calibri" w:hAnsi="Calibri" w:cs="Times New Roman"/>
        </w:rPr>
        <w:t xml:space="preserve"> with patient’s activity or movement)</w:t>
      </w:r>
      <w:r w:rsidR="00D57727" w:rsidRPr="00847701">
        <w:rPr>
          <w:rFonts w:ascii="Calibri" w:eastAsia="Calibri" w:hAnsi="Calibri" w:cs="Times New Roman"/>
        </w:rPr>
        <w:t xml:space="preserve"> </w:t>
      </w:r>
      <w:r w:rsidR="0040413C">
        <w:t>wa</w:t>
      </w:r>
      <w:r w:rsidR="0040413C" w:rsidRPr="006A227A">
        <w:t>s 0.</w:t>
      </w:r>
      <w:r w:rsidR="006A227A" w:rsidRPr="006A227A">
        <w:t>5</w:t>
      </w:r>
      <w:r w:rsidR="0040413C" w:rsidRPr="006A227A">
        <w:t>3 at SOC/ROC and 0.</w:t>
      </w:r>
      <w:r w:rsidR="006A227A" w:rsidRPr="006A227A">
        <w:t>45</w:t>
      </w:r>
      <w:r w:rsidR="0040413C" w:rsidRPr="006A227A">
        <w:t xml:space="preserve"> at discharge.</w:t>
      </w:r>
      <w:r w:rsidR="00222D7D">
        <w:t xml:space="preserve"> </w:t>
      </w:r>
    </w:p>
    <w:p w14:paraId="1859AEB1" w14:textId="77777777" w:rsidR="00203680" w:rsidRDefault="00203680" w:rsidP="00ED2A30">
      <w:pPr>
        <w:pStyle w:val="ListParagraph"/>
        <w:spacing w:after="0"/>
      </w:pPr>
    </w:p>
    <w:p w14:paraId="77E4932B" w14:textId="77777777" w:rsidR="00E2456D" w:rsidRPr="00203680" w:rsidRDefault="00092566" w:rsidP="00BB579C">
      <w:pPr>
        <w:rPr>
          <w:b/>
          <w:u w:val="single"/>
        </w:rPr>
      </w:pPr>
      <w:r w:rsidRPr="00203680">
        <w:rPr>
          <w:rFonts w:cstheme="minorHAnsi"/>
          <w:b/>
          <w:bCs/>
        </w:rPr>
        <w:t xml:space="preserve">2a2.4 </w:t>
      </w:r>
      <w:proofErr w:type="gramStart"/>
      <w:r w:rsidR="007422FD" w:rsidRPr="00203680">
        <w:rPr>
          <w:rFonts w:cstheme="minorHAnsi"/>
          <w:b/>
          <w:bCs/>
        </w:rPr>
        <w:t>What</w:t>
      </w:r>
      <w:proofErr w:type="gramEnd"/>
      <w:r w:rsidR="007422FD" w:rsidRPr="00203680">
        <w:rPr>
          <w:rFonts w:cstheme="minorHAnsi"/>
          <w:b/>
          <w:bCs/>
        </w:rPr>
        <w:t xml:space="preserve"> </w:t>
      </w:r>
      <w:r w:rsidR="000B2DF7" w:rsidRPr="00203680">
        <w:rPr>
          <w:rFonts w:cstheme="minorHAnsi"/>
          <w:b/>
          <w:bCs/>
        </w:rPr>
        <w:t>is your interpretation of the results in terms of</w:t>
      </w:r>
      <w:r w:rsidR="007422FD" w:rsidRPr="00203680">
        <w:rPr>
          <w:rFonts w:cstheme="minorHAnsi"/>
          <w:b/>
          <w:bCs/>
        </w:rPr>
        <w:t xml:space="preserve"> demonstrating reliability</w:t>
      </w:r>
      <w:r w:rsidR="007422FD" w:rsidRPr="00ED2A30">
        <w:rPr>
          <w:rFonts w:cstheme="minorHAnsi"/>
          <w:b/>
          <w:bCs/>
        </w:rPr>
        <w:t xml:space="preserve">? </w:t>
      </w:r>
      <w:r w:rsidR="000B2DF7" w:rsidRPr="00ED2A30">
        <w:rPr>
          <w:rFonts w:cstheme="minorHAnsi"/>
          <w:b/>
          <w:bCs/>
        </w:rPr>
        <w:t>(i</w:t>
      </w:r>
      <w:r w:rsidR="000B2DF7" w:rsidRPr="00ED2A30">
        <w:rPr>
          <w:rFonts w:cstheme="minorHAnsi"/>
          <w:b/>
          <w:bCs/>
          <w:i/>
        </w:rPr>
        <w:t>.e., what do the results mean and what are the norms for the test conducted</w:t>
      </w:r>
      <w:r w:rsidR="007757CE" w:rsidRPr="00ED2A30">
        <w:rPr>
          <w:rFonts w:cstheme="minorHAnsi"/>
          <w:b/>
          <w:bCs/>
          <w:i/>
        </w:rPr>
        <w:t>?</w:t>
      </w:r>
      <w:r w:rsidR="000B2DF7" w:rsidRPr="00ED2A30">
        <w:rPr>
          <w:rFonts w:cstheme="minorHAnsi"/>
          <w:b/>
          <w:bCs/>
        </w:rPr>
        <w:t>)</w:t>
      </w:r>
      <w:r w:rsidR="007422FD" w:rsidRPr="00ED2A30">
        <w:rPr>
          <w:rFonts w:cstheme="minorHAnsi"/>
          <w:b/>
          <w:bCs/>
        </w:rPr>
        <w:br/>
      </w:r>
    </w:p>
    <w:p w14:paraId="3D7BCE7F" w14:textId="58117E72" w:rsidR="00BB579C" w:rsidRPr="00E8575A" w:rsidRDefault="003C6994" w:rsidP="00CD2B78">
      <w:pPr>
        <w:pStyle w:val="ListParagraph"/>
        <w:numPr>
          <w:ilvl w:val="0"/>
          <w:numId w:val="34"/>
        </w:numPr>
      </w:pPr>
      <w:r w:rsidRPr="003C6994">
        <w:rPr>
          <w:b/>
          <w:u w:val="single"/>
        </w:rPr>
        <w:t>Reliability of the Performance Measure Score:</w:t>
      </w:r>
      <w:r>
        <w:t xml:space="preserve"> </w:t>
      </w:r>
      <w:r w:rsidR="00BB579C">
        <w:t xml:space="preserve"> Using the beta-</w:t>
      </w:r>
      <w:r w:rsidR="00BB579C" w:rsidRPr="00E8575A">
        <w:t xml:space="preserve">binomial model, </w:t>
      </w:r>
      <w:r w:rsidR="0058046B" w:rsidRPr="00E8575A">
        <w:t>Abt</w:t>
      </w:r>
      <w:r w:rsidR="00BB579C" w:rsidRPr="00E8575A">
        <w:t xml:space="preserve"> concluded that the measure reliability was high.  The mean and median reliability scores of </w:t>
      </w:r>
      <w:r w:rsidR="00E8575A" w:rsidRPr="00E8575A">
        <w:rPr>
          <w:b/>
        </w:rPr>
        <w:t>0.95</w:t>
      </w:r>
      <w:r w:rsidR="00BB579C" w:rsidRPr="00E8575A">
        <w:rPr>
          <w:b/>
        </w:rPr>
        <w:t xml:space="preserve"> </w:t>
      </w:r>
      <w:r w:rsidR="00BB579C" w:rsidRPr="00E8575A">
        <w:t xml:space="preserve">and </w:t>
      </w:r>
      <w:r w:rsidR="00E8575A" w:rsidRPr="00E8575A">
        <w:rPr>
          <w:b/>
        </w:rPr>
        <w:t>0.97</w:t>
      </w:r>
      <w:r w:rsidR="00BB579C" w:rsidRPr="00E8575A">
        <w:t xml:space="preserve">, respectively, are above the range considered acceptable (0.70 – 0.80) for drawing inferences about home health agencies.  </w:t>
      </w:r>
    </w:p>
    <w:p w14:paraId="51ADA1DF" w14:textId="75613724" w:rsidR="00BB579C" w:rsidRDefault="00774C66" w:rsidP="00CD2B78">
      <w:pPr>
        <w:spacing w:after="120"/>
        <w:ind w:left="720"/>
      </w:pPr>
      <w:r w:rsidRPr="00E8575A">
        <w:t xml:space="preserve">The ICC statistics also </w:t>
      </w:r>
      <w:r w:rsidR="00BB579C" w:rsidRPr="00E8575A">
        <w:t>suggest acceptable test-retest reliability.</w:t>
      </w:r>
    </w:p>
    <w:p w14:paraId="0D27C9A6" w14:textId="5A59E1D5" w:rsidR="00BB579C" w:rsidRPr="003C6994" w:rsidRDefault="003C6994" w:rsidP="00CD2B78">
      <w:pPr>
        <w:pStyle w:val="ListParagraph"/>
        <w:numPr>
          <w:ilvl w:val="0"/>
          <w:numId w:val="34"/>
        </w:numPr>
        <w:spacing w:after="0"/>
        <w:rPr>
          <w:b/>
          <w:u w:val="single"/>
        </w:rPr>
      </w:pPr>
      <w:r w:rsidRPr="003C6994">
        <w:rPr>
          <w:b/>
          <w:u w:val="single"/>
        </w:rPr>
        <w:t xml:space="preserve">Reliability of the Underlying </w:t>
      </w:r>
      <w:r w:rsidR="005B1C7D">
        <w:rPr>
          <w:b/>
          <w:u w:val="single"/>
        </w:rPr>
        <w:t>Data Element</w:t>
      </w:r>
      <w:r w:rsidR="00BB579C">
        <w:t xml:space="preserve">   </w:t>
      </w:r>
      <w:proofErr w:type="gramStart"/>
      <w:r w:rsidR="00BB579C">
        <w:t>T</w:t>
      </w:r>
      <w:r w:rsidR="00BB579C" w:rsidRPr="008F6DAE">
        <w:t>he</w:t>
      </w:r>
      <w:proofErr w:type="gramEnd"/>
      <w:r w:rsidR="00BB579C" w:rsidRPr="008F6DAE">
        <w:t xml:space="preserve"> </w:t>
      </w:r>
      <w:r w:rsidR="00ED2A30">
        <w:t xml:space="preserve">weighted kappa statistic for </w:t>
      </w:r>
      <w:r w:rsidR="00BB579C" w:rsidRPr="008F6DAE">
        <w:t xml:space="preserve">inter-rater </w:t>
      </w:r>
      <w:r w:rsidR="00ED2A30">
        <w:t xml:space="preserve">reliability </w:t>
      </w:r>
      <w:r w:rsidR="002132D3">
        <w:t xml:space="preserve">indicated moderate agreement at SOC/ROC (0.53) and EOC (0.45).  </w:t>
      </w:r>
      <w:r w:rsidR="006A227A" w:rsidRPr="006A227A">
        <w:t>W</w:t>
      </w:r>
      <w:r w:rsidR="00881138" w:rsidRPr="006A227A">
        <w:t xml:space="preserve">e conclude that </w:t>
      </w:r>
      <w:r w:rsidR="002132D3">
        <w:t xml:space="preserve">the </w:t>
      </w:r>
      <w:r w:rsidR="00881138" w:rsidRPr="006A227A">
        <w:t>item achieves sufficient reliability.</w:t>
      </w:r>
      <w:r w:rsidR="00881138">
        <w:t xml:space="preserve"> </w:t>
      </w:r>
    </w:p>
    <w:p w14:paraId="0CABCFD4" w14:textId="77777777"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203680" w:rsidRDefault="00021170" w:rsidP="00DB3627">
      <w:pPr>
        <w:autoSpaceDE w:val="0"/>
        <w:autoSpaceDN w:val="0"/>
        <w:adjustRightInd w:val="0"/>
        <w:spacing w:after="0" w:line="240" w:lineRule="auto"/>
        <w:rPr>
          <w:rFonts w:cstheme="minorHAnsi"/>
          <w:b/>
          <w:bCs/>
        </w:rPr>
      </w:pPr>
      <w:r w:rsidRPr="00203680">
        <w:rPr>
          <w:rFonts w:cstheme="minorHAnsi"/>
          <w:b/>
          <w:noProof/>
        </w:rPr>
        <w:t>2</w:t>
      </w:r>
      <w:r w:rsidR="00EA5F47" w:rsidRPr="00203680">
        <w:rPr>
          <w:rFonts w:cstheme="minorHAnsi"/>
          <w:b/>
          <w:noProof/>
        </w:rPr>
        <w:t>b</w:t>
      </w:r>
      <w:r w:rsidR="009C7513" w:rsidRPr="00203680">
        <w:rPr>
          <w:rFonts w:cstheme="minorHAnsi"/>
          <w:b/>
          <w:noProof/>
        </w:rPr>
        <w:t>1</w:t>
      </w:r>
      <w:r w:rsidRPr="00203680">
        <w:rPr>
          <w:rFonts w:cstheme="minorHAnsi"/>
          <w:b/>
          <w:noProof/>
        </w:rPr>
        <w:t xml:space="preserve">. </w:t>
      </w:r>
      <w:r w:rsidRPr="00203680">
        <w:rPr>
          <w:rFonts w:cstheme="minorHAnsi"/>
          <w:b/>
          <w:bCs/>
        </w:rPr>
        <w:t xml:space="preserve">VALIDITY TESTING </w:t>
      </w:r>
    </w:p>
    <w:p w14:paraId="0CABCFD7" w14:textId="0DE0ACB5" w:rsidR="00696262" w:rsidRPr="00ED2A30" w:rsidRDefault="009C7513" w:rsidP="00DB3627">
      <w:pPr>
        <w:autoSpaceDE w:val="0"/>
        <w:autoSpaceDN w:val="0"/>
        <w:adjustRightInd w:val="0"/>
        <w:spacing w:after="0" w:line="240" w:lineRule="auto"/>
        <w:rPr>
          <w:rFonts w:cstheme="minorHAnsi"/>
          <w:b/>
          <w:bCs/>
        </w:rPr>
      </w:pPr>
      <w:r w:rsidRPr="00203680">
        <w:rPr>
          <w:rFonts w:cstheme="minorHAnsi"/>
          <w:b/>
          <w:bCs/>
        </w:rPr>
        <w:t>2b1</w:t>
      </w:r>
      <w:r w:rsidR="00092566" w:rsidRPr="00203680">
        <w:rPr>
          <w:rFonts w:cstheme="minorHAnsi"/>
          <w:b/>
          <w:bCs/>
        </w:rPr>
        <w:t>.</w:t>
      </w:r>
      <w:r w:rsidR="007757CE" w:rsidRPr="00203680">
        <w:rPr>
          <w:rFonts w:cstheme="minorHAnsi"/>
          <w:b/>
          <w:bCs/>
        </w:rPr>
        <w:t xml:space="preserve">1. </w:t>
      </w:r>
      <w:proofErr w:type="gramStart"/>
      <w:r w:rsidR="000968F8" w:rsidRPr="00203680">
        <w:rPr>
          <w:rFonts w:cstheme="minorHAnsi"/>
          <w:b/>
          <w:bCs/>
        </w:rPr>
        <w:t>What</w:t>
      </w:r>
      <w:proofErr w:type="gramEnd"/>
      <w:r w:rsidR="000968F8" w:rsidRPr="00203680">
        <w:rPr>
          <w:rFonts w:cstheme="minorHAnsi"/>
          <w:b/>
          <w:bCs/>
        </w:rPr>
        <w:t xml:space="preserve"> level of validity testing was conducted?</w:t>
      </w:r>
      <w:r w:rsidR="00D50704" w:rsidRPr="00ED2A30">
        <w:rPr>
          <w:rFonts w:cstheme="minorHAnsi"/>
          <w:b/>
          <w:bCs/>
        </w:rPr>
        <w:t xml:space="preserve"> (</w:t>
      </w:r>
      <w:proofErr w:type="gramStart"/>
      <w:r w:rsidR="00696262" w:rsidRPr="00ED2A30">
        <w:rPr>
          <w:rFonts w:cstheme="minorHAnsi"/>
          <w:b/>
          <w:bCs/>
          <w:i/>
        </w:rPr>
        <w:t>may</w:t>
      </w:r>
      <w:proofErr w:type="gramEnd"/>
      <w:r w:rsidR="00D50704" w:rsidRPr="00ED2A30">
        <w:rPr>
          <w:rFonts w:cstheme="minorHAnsi"/>
          <w:b/>
          <w:bCs/>
          <w:i/>
        </w:rPr>
        <w:t xml:space="preserve"> be one or both levels</w:t>
      </w:r>
      <w:r w:rsidR="00D50704" w:rsidRPr="00ED2A30">
        <w:rPr>
          <w:rFonts w:cstheme="minorHAnsi"/>
          <w:b/>
          <w:bCs/>
        </w:rPr>
        <w:t>)</w:t>
      </w:r>
      <w:r w:rsidR="0048008A" w:rsidRPr="00ED2A30">
        <w:rPr>
          <w:rFonts w:cstheme="minorHAnsi"/>
          <w:b/>
          <w:bCs/>
        </w:rPr>
        <w:br/>
      </w:r>
      <w:sdt>
        <w:sdtPr>
          <w:rPr>
            <w:rFonts w:cstheme="minorHAnsi"/>
            <w:b/>
            <w:bCs/>
            <w:color w:val="0000FF"/>
          </w:rPr>
          <w:id w:val="-297760991"/>
          <w14:checkbox>
            <w14:checked w14:val="1"/>
            <w14:checkedState w14:val="2612" w14:font="MS Gothic"/>
            <w14:uncheckedState w14:val="2610" w14:font="MS Gothic"/>
          </w14:checkbox>
        </w:sdtPr>
        <w:sdtEndPr/>
        <w:sdtContent>
          <w:r w:rsidR="00BB579C" w:rsidRPr="00ED2A30">
            <w:rPr>
              <w:rFonts w:ascii="MS Gothic" w:eastAsia="MS Gothic" w:hAnsi="MS Gothic" w:cstheme="minorHAnsi"/>
              <w:b/>
              <w:bCs/>
              <w:color w:val="0000FF"/>
            </w:rPr>
            <w:t>☒</w:t>
          </w:r>
        </w:sdtContent>
      </w:sdt>
      <w:r w:rsidR="00A25024" w:rsidRPr="00203680">
        <w:rPr>
          <w:rFonts w:eastAsia="MS Mincho" w:cstheme="minorHAnsi"/>
          <w:b/>
          <w:bCs/>
          <w:color w:val="0000FF"/>
        </w:rPr>
        <w:t xml:space="preserve"> </w:t>
      </w:r>
      <w:r w:rsidR="005232D6" w:rsidRPr="00203680">
        <w:rPr>
          <w:rFonts w:cstheme="minorHAnsi"/>
          <w:b/>
          <w:bCs/>
        </w:rPr>
        <w:t>C</w:t>
      </w:r>
      <w:r w:rsidR="00D1754D" w:rsidRPr="00203680">
        <w:rPr>
          <w:rFonts w:cstheme="minorHAnsi"/>
          <w:b/>
          <w:bCs/>
        </w:rPr>
        <w:t xml:space="preserve">ritical </w:t>
      </w:r>
      <w:r w:rsidR="00B037BA" w:rsidRPr="00203680">
        <w:rPr>
          <w:rFonts w:cstheme="minorHAnsi"/>
          <w:b/>
          <w:bCs/>
        </w:rPr>
        <w:t>data</w:t>
      </w:r>
      <w:r w:rsidR="00A41377" w:rsidRPr="00203680">
        <w:rPr>
          <w:rFonts w:cstheme="minorHAnsi"/>
          <w:b/>
          <w:bCs/>
        </w:rPr>
        <w:t xml:space="preserve"> elements</w:t>
      </w:r>
      <w:r w:rsidR="000414E8" w:rsidRPr="00203680">
        <w:rPr>
          <w:rFonts w:cstheme="minorHAnsi"/>
          <w:b/>
          <w:bCs/>
        </w:rPr>
        <w:t xml:space="preserve"> (</w:t>
      </w:r>
      <w:r w:rsidR="000414E8" w:rsidRPr="00ED2A30">
        <w:rPr>
          <w:rFonts w:cstheme="minorHAnsi"/>
          <w:b/>
          <w:bCs/>
          <w:i/>
        </w:rPr>
        <w:t>data element validity must address ALL critical data elements</w:t>
      </w:r>
      <w:r w:rsidR="000414E8" w:rsidRPr="00ED2A30">
        <w:rPr>
          <w:rFonts w:cstheme="minorHAnsi"/>
          <w:b/>
          <w:bCs/>
        </w:rPr>
        <w:t>)</w:t>
      </w:r>
    </w:p>
    <w:p w14:paraId="0CABCFD8" w14:textId="7A311CE1" w:rsidR="00696262" w:rsidRPr="00203680" w:rsidRDefault="00ED2A30" w:rsidP="00696262">
      <w:pPr>
        <w:autoSpaceDE w:val="0"/>
        <w:autoSpaceDN w:val="0"/>
        <w:adjustRightInd w:val="0"/>
        <w:spacing w:after="0" w:line="240" w:lineRule="auto"/>
        <w:rPr>
          <w:rFonts w:cstheme="minorHAnsi"/>
          <w:b/>
          <w:bCs/>
        </w:rPr>
      </w:pPr>
      <w:sdt>
        <w:sdtPr>
          <w:rPr>
            <w:rFonts w:cstheme="minorHAnsi"/>
            <w:b/>
            <w:bCs/>
            <w:color w:val="0000FF"/>
          </w:rPr>
          <w:id w:val="-1767844731"/>
          <w14:checkbox>
            <w14:checked w14:val="1"/>
            <w14:checkedState w14:val="2612" w14:font="MS Gothic"/>
            <w14:uncheckedState w14:val="2610" w14:font="MS Gothic"/>
          </w14:checkbox>
        </w:sdtPr>
        <w:sdtEndPr/>
        <w:sdtContent>
          <w:r w:rsidR="00BB579C" w:rsidRPr="00ED2A30">
            <w:rPr>
              <w:rFonts w:ascii="MS Gothic" w:eastAsia="MS Gothic" w:hAnsi="MS Gothic" w:cstheme="minorHAnsi"/>
              <w:b/>
              <w:bCs/>
              <w:color w:val="0000FF"/>
            </w:rPr>
            <w:t>☒</w:t>
          </w:r>
        </w:sdtContent>
      </w:sdt>
      <w:r w:rsidR="000414E8" w:rsidRPr="00203680">
        <w:rPr>
          <w:rFonts w:eastAsia="MS Mincho" w:cstheme="minorHAnsi"/>
          <w:b/>
          <w:bCs/>
          <w:color w:val="0000FF"/>
        </w:rPr>
        <w:t xml:space="preserve"> </w:t>
      </w:r>
      <w:r w:rsidR="005232D6" w:rsidRPr="00203680">
        <w:rPr>
          <w:rFonts w:eastAsia="MS Gothic" w:cstheme="minorHAnsi"/>
          <w:b/>
          <w:bCs/>
        </w:rPr>
        <w:t>P</w:t>
      </w:r>
      <w:r w:rsidR="00696262" w:rsidRPr="00203680">
        <w:rPr>
          <w:rFonts w:eastAsia="MS Gothic" w:cstheme="minorHAnsi"/>
          <w:b/>
          <w:bCs/>
        </w:rPr>
        <w:t xml:space="preserve">erformance </w:t>
      </w:r>
      <w:r w:rsidR="00696262" w:rsidRPr="00203680">
        <w:rPr>
          <w:rFonts w:cstheme="minorHAnsi"/>
          <w:b/>
          <w:bCs/>
        </w:rPr>
        <w:t>measure score</w:t>
      </w:r>
    </w:p>
    <w:p w14:paraId="0CABCFD9" w14:textId="7E71FE9B" w:rsidR="000574AB" w:rsidRPr="00ED2A30" w:rsidRDefault="00ED2A30" w:rsidP="00696262">
      <w:pPr>
        <w:autoSpaceDE w:val="0"/>
        <w:autoSpaceDN w:val="0"/>
        <w:adjustRightInd w:val="0"/>
        <w:spacing w:after="0" w:line="240" w:lineRule="auto"/>
        <w:ind w:left="255"/>
        <w:rPr>
          <w:rFonts w:cstheme="minorHAnsi"/>
          <w:b/>
          <w:bCs/>
        </w:rPr>
      </w:pPr>
      <w:sdt>
        <w:sdtPr>
          <w:rPr>
            <w:rFonts w:cstheme="minorHAnsi"/>
            <w:b/>
            <w:bCs/>
            <w:color w:val="0000FF"/>
          </w:rPr>
          <w:id w:val="-114983144"/>
          <w14:checkbox>
            <w14:checked w14:val="1"/>
            <w14:checkedState w14:val="2612" w14:font="MS Gothic"/>
            <w14:uncheckedState w14:val="2610" w14:font="MS Gothic"/>
          </w14:checkbox>
        </w:sdtPr>
        <w:sdtEndPr/>
        <w:sdtContent>
          <w:r w:rsidR="00BB579C" w:rsidRPr="00ED2A30">
            <w:rPr>
              <w:rFonts w:ascii="MS Gothic" w:eastAsia="MS Gothic" w:hAnsi="MS Gothic" w:cstheme="minorHAnsi"/>
              <w:b/>
              <w:bCs/>
              <w:color w:val="0000FF"/>
            </w:rPr>
            <w:t>☒</w:t>
          </w:r>
        </w:sdtContent>
      </w:sdt>
      <w:r w:rsidR="000414E8" w:rsidRPr="00203680">
        <w:rPr>
          <w:rFonts w:eastAsia="MS Mincho" w:cstheme="minorHAnsi"/>
          <w:b/>
          <w:bCs/>
          <w:color w:val="0000FF"/>
        </w:rPr>
        <w:t xml:space="preserve"> </w:t>
      </w:r>
      <w:r w:rsidR="005232D6" w:rsidRPr="00203680">
        <w:rPr>
          <w:rFonts w:eastAsia="MS Mincho" w:cstheme="minorHAnsi"/>
          <w:b/>
          <w:bCs/>
        </w:rPr>
        <w:t>E</w:t>
      </w:r>
      <w:r w:rsidR="00696262" w:rsidRPr="00203680">
        <w:rPr>
          <w:rFonts w:eastAsia="MS Mincho" w:cstheme="minorHAnsi"/>
          <w:b/>
          <w:bCs/>
        </w:rPr>
        <w:t>mpirical validity testing</w:t>
      </w:r>
      <w:r w:rsidR="004B6CEE" w:rsidRPr="00203680">
        <w:rPr>
          <w:rFonts w:cstheme="minorHAnsi"/>
          <w:b/>
          <w:bCs/>
        </w:rPr>
        <w:br/>
      </w:r>
      <w:sdt>
        <w:sdtPr>
          <w:rPr>
            <w:rFonts w:cstheme="minorHAnsi"/>
            <w:b/>
            <w:bCs/>
            <w:color w:val="0000FF"/>
          </w:rPr>
          <w:id w:val="-1042279617"/>
          <w14:checkbox>
            <w14:checked w14:val="0"/>
            <w14:checkedState w14:val="2612" w14:font="MS Gothic"/>
            <w14:uncheckedState w14:val="2610" w14:font="MS Gothic"/>
          </w14:checkbox>
        </w:sdtPr>
        <w:sdtEndPr/>
        <w:sdtContent>
          <w:r w:rsidR="006574D2" w:rsidRPr="00ED2A30">
            <w:rPr>
              <w:rFonts w:ascii="MS Gothic" w:eastAsia="MS Gothic" w:cstheme="minorHAnsi"/>
              <w:b/>
              <w:bCs/>
              <w:color w:val="0000FF"/>
            </w:rPr>
            <w:t>☐</w:t>
          </w:r>
        </w:sdtContent>
      </w:sdt>
      <w:r w:rsidR="00A25024" w:rsidRPr="00203680">
        <w:rPr>
          <w:rFonts w:eastAsia="MS Mincho" w:cstheme="minorHAnsi"/>
          <w:b/>
          <w:bCs/>
          <w:color w:val="0000FF"/>
        </w:rPr>
        <w:t xml:space="preserve"> </w:t>
      </w:r>
      <w:r w:rsidR="005232D6" w:rsidRPr="00203680">
        <w:rPr>
          <w:rFonts w:cstheme="minorHAnsi"/>
          <w:b/>
          <w:bCs/>
        </w:rPr>
        <w:t>S</w:t>
      </w:r>
      <w:r w:rsidR="00D50704" w:rsidRPr="00203680">
        <w:rPr>
          <w:rFonts w:cstheme="minorHAnsi"/>
          <w:b/>
          <w:bCs/>
        </w:rPr>
        <w:t xml:space="preserve">ystematic assessment of </w:t>
      </w:r>
      <w:r w:rsidR="004B6CEE" w:rsidRPr="00203680">
        <w:rPr>
          <w:rFonts w:cstheme="minorHAnsi"/>
          <w:b/>
          <w:bCs/>
        </w:rPr>
        <w:t xml:space="preserve">face </w:t>
      </w:r>
      <w:r w:rsidR="004B6CEE" w:rsidRPr="00203680">
        <w:rPr>
          <w:rFonts w:eastAsia="MS Gothic" w:cstheme="minorHAnsi"/>
          <w:b/>
          <w:bCs/>
        </w:rPr>
        <w:t xml:space="preserve">validity of </w:t>
      </w:r>
      <w:r w:rsidR="00D1754D" w:rsidRPr="00203680">
        <w:rPr>
          <w:rFonts w:eastAsia="MS Gothic" w:cstheme="minorHAnsi"/>
          <w:b/>
          <w:bCs/>
          <w:u w:val="single"/>
        </w:rPr>
        <w:t xml:space="preserve">performance </w:t>
      </w:r>
      <w:r w:rsidR="004B6CEE" w:rsidRPr="00203680">
        <w:rPr>
          <w:rFonts w:eastAsia="MS Gothic" w:cstheme="minorHAnsi"/>
          <w:b/>
          <w:bCs/>
          <w:u w:val="single"/>
        </w:rPr>
        <w:t>measure score</w:t>
      </w:r>
      <w:r w:rsidR="00CA06D8" w:rsidRPr="00203680">
        <w:rPr>
          <w:rFonts w:eastAsia="MS Gothic" w:cstheme="minorHAnsi"/>
          <w:b/>
          <w:bCs/>
        </w:rPr>
        <w:t xml:space="preserve"> </w:t>
      </w:r>
      <w:r w:rsidR="00A41377" w:rsidRPr="00203680">
        <w:rPr>
          <w:rFonts w:eastAsia="MS Gothic" w:cstheme="minorHAnsi"/>
          <w:b/>
          <w:bCs/>
        </w:rPr>
        <w:t>as a</w:t>
      </w:r>
      <w:r w:rsidR="00241591" w:rsidRPr="00203680">
        <w:rPr>
          <w:rFonts w:eastAsia="MS Gothic" w:cstheme="minorHAnsi"/>
          <w:b/>
          <w:bCs/>
        </w:rPr>
        <w:t>n</w:t>
      </w:r>
      <w:r w:rsidR="00A41377" w:rsidRPr="00203680">
        <w:rPr>
          <w:rFonts w:eastAsia="MS Gothic" w:cstheme="minorHAnsi"/>
          <w:b/>
          <w:bCs/>
        </w:rPr>
        <w:t xml:space="preserve"> indicator </w:t>
      </w:r>
      <w:r w:rsidR="00241591" w:rsidRPr="00ED2A30">
        <w:rPr>
          <w:rFonts w:eastAsia="MS Gothic" w:cstheme="minorHAnsi"/>
          <w:b/>
          <w:bCs/>
        </w:rPr>
        <w:t xml:space="preserve">of quality or resource use </w:t>
      </w:r>
      <w:r w:rsidR="00A41377" w:rsidRPr="00ED2A30">
        <w:rPr>
          <w:rFonts w:eastAsia="MS Gothic" w:cstheme="minorHAnsi"/>
          <w:b/>
          <w:bCs/>
        </w:rPr>
        <w:t>(</w:t>
      </w:r>
      <w:r w:rsidR="00D1754D" w:rsidRPr="00ED2A30">
        <w:rPr>
          <w:rFonts w:eastAsia="MS Gothic" w:cstheme="minorHAnsi"/>
          <w:b/>
          <w:bCs/>
          <w:i/>
        </w:rPr>
        <w:t xml:space="preserve">i.e., is an </w:t>
      </w:r>
      <w:r w:rsidR="00A41377" w:rsidRPr="00ED2A30">
        <w:rPr>
          <w:rFonts w:eastAsia="MS Gothic" w:cstheme="minorHAnsi"/>
          <w:b/>
          <w:bCs/>
          <w:i/>
        </w:rPr>
        <w:t>accurate reflection of</w:t>
      </w:r>
      <w:r w:rsidR="006D6BC1" w:rsidRPr="00ED2A30">
        <w:rPr>
          <w:rFonts w:eastAsia="MS Gothic" w:cstheme="minorHAnsi"/>
          <w:b/>
          <w:bCs/>
          <w:i/>
        </w:rPr>
        <w:t xml:space="preserve"> </w:t>
      </w:r>
      <w:r w:rsidR="005149E7" w:rsidRPr="00ED2A30">
        <w:rPr>
          <w:rFonts w:eastAsia="MS Gothic" w:cstheme="minorHAnsi"/>
          <w:b/>
          <w:bCs/>
          <w:i/>
        </w:rPr>
        <w:t>performance</w:t>
      </w:r>
      <w:r w:rsidR="00A41377" w:rsidRPr="00ED2A30">
        <w:rPr>
          <w:rFonts w:eastAsia="MS Gothic" w:cstheme="minorHAnsi"/>
          <w:b/>
          <w:bCs/>
          <w:i/>
        </w:rPr>
        <w:t xml:space="preserve"> </w:t>
      </w:r>
      <w:r w:rsidR="000414E8" w:rsidRPr="00ED2A30">
        <w:rPr>
          <w:rFonts w:eastAsia="MS Gothic" w:cstheme="minorHAnsi"/>
          <w:b/>
          <w:bCs/>
          <w:i/>
        </w:rPr>
        <w:t xml:space="preserve">on </w:t>
      </w:r>
      <w:r w:rsidR="00241591" w:rsidRPr="00ED2A30">
        <w:rPr>
          <w:rFonts w:eastAsia="MS Gothic" w:cstheme="minorHAnsi"/>
          <w:b/>
          <w:bCs/>
          <w:i/>
        </w:rPr>
        <w:t xml:space="preserve">quality or resource use </w:t>
      </w:r>
      <w:r w:rsidR="00A41377" w:rsidRPr="00ED2A30">
        <w:rPr>
          <w:rFonts w:eastAsia="MS Gothic" w:cstheme="minorHAnsi"/>
          <w:b/>
          <w:bCs/>
          <w:i/>
        </w:rPr>
        <w:t xml:space="preserve">and can distinguish </w:t>
      </w:r>
      <w:r w:rsidR="000414E8" w:rsidRPr="00ED2A30">
        <w:rPr>
          <w:rFonts w:eastAsia="MS Gothic" w:cstheme="minorHAnsi"/>
          <w:b/>
          <w:bCs/>
          <w:i/>
        </w:rPr>
        <w:t>good from poor p</w:t>
      </w:r>
      <w:r w:rsidR="005149E7" w:rsidRPr="00ED2A30">
        <w:rPr>
          <w:rFonts w:eastAsia="MS Gothic" w:cstheme="minorHAnsi"/>
          <w:b/>
          <w:bCs/>
          <w:i/>
        </w:rPr>
        <w:t>erformance</w:t>
      </w:r>
      <w:r w:rsidR="00A41377" w:rsidRPr="00ED2A30">
        <w:rPr>
          <w:rFonts w:eastAsia="MS Gothic" w:cstheme="minorHAnsi"/>
          <w:b/>
          <w:bCs/>
        </w:rPr>
        <w:t>)</w:t>
      </w:r>
      <w:r w:rsidR="00275563" w:rsidRPr="00ED2A30">
        <w:rPr>
          <w:rFonts w:eastAsia="MS Gothic" w:cstheme="minorHAnsi"/>
          <w:b/>
          <w:bCs/>
        </w:rPr>
        <w:t xml:space="preserve">  </w:t>
      </w:r>
      <w:r w:rsidR="00275563" w:rsidRPr="00203680">
        <w:rPr>
          <w:rFonts w:eastAsia="MS Gothic" w:cstheme="minorHAnsi"/>
          <w:b/>
          <w:bCs/>
        </w:rPr>
        <w:t>NOTE</w:t>
      </w:r>
      <w:r w:rsidR="00275563" w:rsidRPr="00ED2A30">
        <w:rPr>
          <w:rFonts w:eastAsia="MS Gothic" w:cstheme="minorHAnsi"/>
          <w:b/>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2B484145" w14:textId="77777777" w:rsidR="005B1C7D" w:rsidRPr="00CD2B78" w:rsidRDefault="009C7513" w:rsidP="00BB579C">
      <w:pPr>
        <w:spacing w:after="120"/>
        <w:rPr>
          <w:rFonts w:cstheme="minorHAnsi"/>
          <w:b/>
          <w:bCs/>
          <w:i/>
        </w:rPr>
      </w:pPr>
      <w:r w:rsidRPr="005B1C7D">
        <w:rPr>
          <w:rFonts w:cstheme="minorHAnsi"/>
          <w:b/>
          <w:bCs/>
        </w:rPr>
        <w:t>2b1</w:t>
      </w:r>
      <w:r w:rsidR="00092566" w:rsidRPr="005B1C7D">
        <w:rPr>
          <w:rFonts w:cstheme="minorHAnsi"/>
          <w:b/>
          <w:bCs/>
        </w:rPr>
        <w:t>.</w:t>
      </w:r>
      <w:r w:rsidR="007757CE" w:rsidRPr="005B1C7D">
        <w:rPr>
          <w:rFonts w:cstheme="minorHAnsi"/>
          <w:b/>
          <w:bCs/>
        </w:rPr>
        <w:t xml:space="preserve">2. For each level </w:t>
      </w:r>
      <w:r w:rsidR="008F7E67" w:rsidRPr="005B1C7D">
        <w:rPr>
          <w:rFonts w:cstheme="minorHAnsi"/>
          <w:b/>
          <w:bCs/>
        </w:rPr>
        <w:t xml:space="preserve">of testing </w:t>
      </w:r>
      <w:r w:rsidR="007757CE" w:rsidRPr="005B1C7D">
        <w:rPr>
          <w:rFonts w:cstheme="minorHAnsi"/>
          <w:b/>
          <w:bCs/>
        </w:rPr>
        <w:t>checked above, describe the method of validity testing and what it tests</w:t>
      </w:r>
      <w:r w:rsidR="00833325" w:rsidRPr="00CD2B78">
        <w:rPr>
          <w:rFonts w:cstheme="minorHAnsi"/>
          <w:b/>
          <w:bCs/>
        </w:rPr>
        <w:t xml:space="preserve"> (</w:t>
      </w:r>
      <w:r w:rsidR="007757CE" w:rsidRPr="00CD2B78">
        <w:rPr>
          <w:rFonts w:cstheme="minorHAnsi"/>
          <w:b/>
          <w:bCs/>
          <w:i/>
        </w:rPr>
        <w:t>describe the steps―</w:t>
      </w:r>
      <w:r w:rsidR="00696262" w:rsidRPr="00CD2B78">
        <w:rPr>
          <w:rFonts w:cstheme="minorHAnsi"/>
          <w:b/>
          <w:bCs/>
          <w:i/>
        </w:rPr>
        <w:t xml:space="preserve">do </w:t>
      </w:r>
      <w:r w:rsidR="00A25024" w:rsidRPr="00CD2B78">
        <w:rPr>
          <w:rFonts w:cstheme="minorHAnsi"/>
          <w:b/>
          <w:bCs/>
          <w:i/>
        </w:rPr>
        <w:t xml:space="preserve">not just name a method; what was </w:t>
      </w:r>
      <w:r w:rsidR="00696262" w:rsidRPr="00CD2B78">
        <w:rPr>
          <w:rFonts w:cstheme="minorHAnsi"/>
          <w:b/>
          <w:bCs/>
          <w:i/>
        </w:rPr>
        <w:t>tested, e.g., accuracy of data elements compared to authoritative source, relationship to a</w:t>
      </w:r>
      <w:r w:rsidR="0022691B" w:rsidRPr="00CD2B78">
        <w:rPr>
          <w:rFonts w:cstheme="minorHAnsi"/>
          <w:b/>
          <w:bCs/>
          <w:i/>
        </w:rPr>
        <w:t>nother measure as expected; what statistical analysis was used</w:t>
      </w:r>
      <w:r w:rsidR="00696262" w:rsidRPr="00CD2B78">
        <w:rPr>
          <w:rFonts w:cstheme="minorHAnsi"/>
          <w:b/>
          <w:bCs/>
          <w:i/>
        </w:rPr>
        <w:t>)</w:t>
      </w:r>
    </w:p>
    <w:p w14:paraId="0E6D540D" w14:textId="0DD2908F" w:rsidR="005B1C7D" w:rsidRPr="006A227A" w:rsidRDefault="005B1C7D" w:rsidP="005B1C7D">
      <w:r w:rsidRPr="006A227A">
        <w:t>Below, we address validity at two levels: (1) the performance measure and (2) the underlying data element - OASIS item</w:t>
      </w:r>
      <w:r w:rsidR="00770FCB">
        <w:t xml:space="preserve"> </w:t>
      </w:r>
      <w:r w:rsidRPr="006A227A">
        <w:t>M</w:t>
      </w:r>
      <w:r w:rsidR="00B17DF6" w:rsidRPr="006A227A">
        <w:t>1242</w:t>
      </w:r>
      <w:r w:rsidRPr="006A227A">
        <w:t xml:space="preserve"> </w:t>
      </w:r>
      <w:r w:rsidR="00770FCB">
        <w:t>(frequency of</w:t>
      </w:r>
      <w:r w:rsidRPr="006A227A">
        <w:t xml:space="preserve"> </w:t>
      </w:r>
      <w:r w:rsidR="00770FCB">
        <w:t>p</w:t>
      </w:r>
      <w:r w:rsidR="00B17DF6" w:rsidRPr="006A227A">
        <w:t xml:space="preserve">ain </w:t>
      </w:r>
      <w:r w:rsidR="00770FCB">
        <w:t>i</w:t>
      </w:r>
      <w:r w:rsidR="00B17DF6" w:rsidRPr="006A227A">
        <w:t xml:space="preserve">nterfering with </w:t>
      </w:r>
      <w:r w:rsidR="00770FCB">
        <w:t>patient’s activity or movement).</w:t>
      </w:r>
      <w:r w:rsidRPr="006A227A">
        <w:t xml:space="preserve"> </w:t>
      </w:r>
    </w:p>
    <w:p w14:paraId="6D90E777" w14:textId="322CC4C4" w:rsidR="008C22CF" w:rsidRDefault="005B1C7D" w:rsidP="00CD2B78">
      <w:pPr>
        <w:pStyle w:val="ListParagraph"/>
        <w:numPr>
          <w:ilvl w:val="0"/>
          <w:numId w:val="36"/>
        </w:numPr>
        <w:spacing w:after="120"/>
      </w:pPr>
      <w:r>
        <w:rPr>
          <w:b/>
          <w:u w:val="single"/>
        </w:rPr>
        <w:t xml:space="preserve">Validity </w:t>
      </w:r>
      <w:r w:rsidRPr="003C6994">
        <w:rPr>
          <w:b/>
          <w:u w:val="single"/>
        </w:rPr>
        <w:t>of the Performance Measure Score:</w:t>
      </w:r>
      <w:r>
        <w:t xml:space="preserve"> </w:t>
      </w:r>
      <w:r>
        <w:rPr>
          <w:b/>
          <w:bCs/>
          <w:u w:val="single"/>
        </w:rPr>
        <w:t xml:space="preserve"> </w:t>
      </w:r>
      <w:r>
        <w:t>Abt</w:t>
      </w:r>
      <w:r w:rsidR="00BB579C">
        <w:t xml:space="preserve"> assessed the convergent validity of the measure.  Convergent validity refers to the extent to which measures that are designed to assess the same construct are related to each other.  To evaluate the convergent validity of the measure, </w:t>
      </w:r>
      <w:r w:rsidR="0058046B">
        <w:t>Abt</w:t>
      </w:r>
      <w:r w:rsidR="00BB579C">
        <w:t xml:space="preserve"> calculated the Spearman rank correlations of </w:t>
      </w:r>
      <w:r w:rsidR="00BB579C" w:rsidRPr="00451FC7">
        <w:t xml:space="preserve">the </w:t>
      </w:r>
      <w:r w:rsidR="00BB579C" w:rsidRPr="005B1C7D">
        <w:rPr>
          <w:i/>
        </w:rPr>
        <w:t xml:space="preserve">Improvement in </w:t>
      </w:r>
      <w:r w:rsidR="00B17DF6">
        <w:rPr>
          <w:i/>
        </w:rPr>
        <w:t>Pain Interfering with Activity</w:t>
      </w:r>
      <w:r w:rsidR="00BB579C" w:rsidRPr="005B1C7D">
        <w:rPr>
          <w:i/>
        </w:rPr>
        <w:t xml:space="preserve"> </w:t>
      </w:r>
      <w:r w:rsidR="00BB579C">
        <w:t xml:space="preserve">measure with other relevant measures, including the publicly-reported measures of home health quality derived from OASIS assessments. </w:t>
      </w:r>
    </w:p>
    <w:p w14:paraId="713B9DAA" w14:textId="6BD6C3D2" w:rsidR="00BB579C" w:rsidRPr="00DF5B31" w:rsidRDefault="00B67A96" w:rsidP="00394DC3">
      <w:pPr>
        <w:spacing w:after="120"/>
        <w:ind w:left="1080"/>
      </w:pPr>
      <w:r w:rsidRPr="00E8575A">
        <w:lastRenderedPageBreak/>
        <w:t xml:space="preserve">Abt also calculates and reports the Spearman rank correlation of the </w:t>
      </w:r>
      <w:r w:rsidRPr="00E8575A">
        <w:rPr>
          <w:i/>
        </w:rPr>
        <w:t xml:space="preserve">Improvement in </w:t>
      </w:r>
      <w:r w:rsidR="00B17DF6" w:rsidRPr="00E8575A">
        <w:rPr>
          <w:i/>
        </w:rPr>
        <w:t>Pain Interfering with Activity</w:t>
      </w:r>
      <w:r w:rsidRPr="00E8575A">
        <w:t xml:space="preserve"> measure with </w:t>
      </w:r>
      <w:r w:rsidR="007A09EE" w:rsidRPr="00E8575A">
        <w:t>the Quality of Patient Care Star Rating</w:t>
      </w:r>
      <w:r>
        <w:t>.</w:t>
      </w:r>
      <w:r w:rsidR="008C22CF">
        <w:t xml:space="preserve"> The Spearman rank correlation assesses the statistical dependence between the rankings of two variables. In our case, we rank HHAs according to the </w:t>
      </w:r>
      <w:r w:rsidR="008C22CF">
        <w:rPr>
          <w:i/>
        </w:rPr>
        <w:t xml:space="preserve">Improvement in </w:t>
      </w:r>
      <w:r w:rsidR="00B17DF6">
        <w:rPr>
          <w:i/>
        </w:rPr>
        <w:t>Pain Interfering with Activity</w:t>
      </w:r>
      <w:r w:rsidR="008C22CF">
        <w:rPr>
          <w:i/>
        </w:rPr>
        <w:t xml:space="preserve"> </w:t>
      </w:r>
      <w:r w:rsidR="008C22CF">
        <w:t>measure and other OASIS-based measures. High</w:t>
      </w:r>
      <w:r w:rsidR="00DF5B31">
        <w:t xml:space="preserve"> correlation or association between the </w:t>
      </w:r>
      <w:r w:rsidR="00DF5B31">
        <w:rPr>
          <w:i/>
        </w:rPr>
        <w:t xml:space="preserve">Improvement in </w:t>
      </w:r>
      <w:r w:rsidR="00B17DF6">
        <w:rPr>
          <w:i/>
        </w:rPr>
        <w:t>Pain Interfering with Activity</w:t>
      </w:r>
      <w:r w:rsidR="00DF5B31">
        <w:rPr>
          <w:i/>
        </w:rPr>
        <w:t xml:space="preserve"> </w:t>
      </w:r>
      <w:r w:rsidR="00DF5B31">
        <w:t>measure and other functional measures of improvement would be expected and desired. Low correlation would indicate that the measure may not be valid (is not measuring what we think it is measuring).</w:t>
      </w:r>
    </w:p>
    <w:p w14:paraId="5ACA9CF8" w14:textId="7D58EF79" w:rsidR="005B1C7D" w:rsidRDefault="005B1C7D" w:rsidP="00CD2B78">
      <w:pPr>
        <w:pStyle w:val="ListParagraph"/>
        <w:numPr>
          <w:ilvl w:val="0"/>
          <w:numId w:val="36"/>
        </w:numPr>
        <w:autoSpaceDE w:val="0"/>
        <w:autoSpaceDN w:val="0"/>
        <w:adjustRightInd w:val="0"/>
        <w:rPr>
          <w:rFonts w:ascii="Calibri" w:eastAsia="Calibri" w:hAnsi="Calibri" w:cs="Times New Roman"/>
        </w:rPr>
      </w:pPr>
      <w:r>
        <w:rPr>
          <w:b/>
          <w:u w:val="single"/>
        </w:rPr>
        <w:t>Validity</w:t>
      </w:r>
      <w:r w:rsidRPr="003C6994">
        <w:rPr>
          <w:b/>
          <w:u w:val="single"/>
        </w:rPr>
        <w:t xml:space="preserve"> of the Underlying </w:t>
      </w:r>
      <w:r>
        <w:rPr>
          <w:b/>
          <w:u w:val="single"/>
        </w:rPr>
        <w:t>Data Element:</w:t>
      </w:r>
      <w:r w:rsidR="00BB579C" w:rsidRPr="005B1C7D">
        <w:rPr>
          <w:b/>
          <w:u w:val="single"/>
        </w:rPr>
        <w:t xml:space="preserve"> </w:t>
      </w:r>
      <w:r w:rsidRPr="005B1C7D">
        <w:rPr>
          <w:rFonts w:ascii="Calibri" w:eastAsia="Calibri" w:hAnsi="Calibri" w:cs="Times New Roman"/>
        </w:rPr>
        <w:t xml:space="preserve"> </w:t>
      </w:r>
      <w:r w:rsidR="00DB1481">
        <w:rPr>
          <w:rFonts w:ascii="Calibri" w:eastAsia="Calibri" w:hAnsi="Calibri" w:cs="Times New Roman"/>
        </w:rPr>
        <w:t xml:space="preserve">The </w:t>
      </w:r>
      <w:r w:rsidR="00B17DF6">
        <w:rPr>
          <w:rFonts w:ascii="Calibri" w:eastAsia="Calibri" w:hAnsi="Calibri" w:cs="Times New Roman"/>
        </w:rPr>
        <w:t>Pain Interfering with Activity</w:t>
      </w:r>
      <w:r w:rsidR="00DB1481">
        <w:rPr>
          <w:rFonts w:ascii="Calibri" w:eastAsia="Calibri" w:hAnsi="Calibri" w:cs="Times New Roman"/>
        </w:rPr>
        <w:t xml:space="preserve"> item</w:t>
      </w:r>
      <w:r>
        <w:rPr>
          <w:rFonts w:ascii="Calibri" w:eastAsia="Calibri" w:hAnsi="Calibri" w:cs="Times New Roman"/>
        </w:rPr>
        <w:t xml:space="preserve"> ha</w:t>
      </w:r>
      <w:r w:rsidR="00DB1481">
        <w:rPr>
          <w:rFonts w:ascii="Calibri" w:eastAsia="Calibri" w:hAnsi="Calibri" w:cs="Times New Roman"/>
        </w:rPr>
        <w:t>s</w:t>
      </w:r>
      <w:r>
        <w:rPr>
          <w:rFonts w:ascii="Calibri" w:eastAsia="Calibri" w:hAnsi="Calibri" w:cs="Times New Roman"/>
        </w:rPr>
        <w:t xml:space="preserve"> been used continuously as part of the OASIS since 2001</w:t>
      </w:r>
      <w:r w:rsidR="00DB1481">
        <w:rPr>
          <w:rFonts w:ascii="Calibri" w:eastAsia="Calibri" w:hAnsi="Calibri" w:cs="Times New Roman"/>
        </w:rPr>
        <w:t xml:space="preserve">. The behaviorally benchmarked responses </w:t>
      </w:r>
      <w:r w:rsidR="00774C66">
        <w:rPr>
          <w:rFonts w:ascii="Calibri" w:eastAsia="Calibri" w:hAnsi="Calibri" w:cs="Times New Roman"/>
        </w:rPr>
        <w:t>were</w:t>
      </w:r>
      <w:r>
        <w:rPr>
          <w:rFonts w:ascii="Calibri" w:eastAsia="Calibri" w:hAnsi="Calibri" w:cs="Times New Roman"/>
        </w:rPr>
        <w:t xml:space="preserve"> update</w:t>
      </w:r>
      <w:r w:rsidR="00DB1481">
        <w:rPr>
          <w:rFonts w:ascii="Calibri" w:eastAsia="Calibri" w:hAnsi="Calibri" w:cs="Times New Roman"/>
        </w:rPr>
        <w:t>d and improved based on input from clinicians and technical experts</w:t>
      </w:r>
      <w:r>
        <w:rPr>
          <w:rFonts w:ascii="Calibri" w:eastAsia="Calibri" w:hAnsi="Calibri" w:cs="Times New Roman"/>
        </w:rPr>
        <w:t xml:space="preserve">. The </w:t>
      </w:r>
      <w:r w:rsidR="00DB1481">
        <w:rPr>
          <w:rFonts w:ascii="Calibri" w:eastAsia="Calibri" w:hAnsi="Calibri" w:cs="Times New Roman"/>
        </w:rPr>
        <w:t xml:space="preserve">OASIS </w:t>
      </w:r>
      <w:r>
        <w:rPr>
          <w:rFonts w:ascii="Calibri" w:eastAsia="Calibri" w:hAnsi="Calibri" w:cs="Times New Roman"/>
        </w:rPr>
        <w:t xml:space="preserve">instrument has been published in the </w:t>
      </w:r>
      <w:r w:rsidR="008F27F1">
        <w:rPr>
          <w:rFonts w:ascii="Calibri" w:eastAsia="Calibri" w:hAnsi="Calibri" w:cs="Times New Roman"/>
        </w:rPr>
        <w:t xml:space="preserve">Federal Register </w:t>
      </w:r>
      <w:r>
        <w:rPr>
          <w:rFonts w:ascii="Calibri" w:eastAsia="Calibri" w:hAnsi="Calibri" w:cs="Times New Roman"/>
        </w:rPr>
        <w:t>for comment (</w:t>
      </w:r>
      <w:r w:rsidR="00DB1481">
        <w:rPr>
          <w:rFonts w:ascii="Calibri" w:eastAsia="Calibri" w:hAnsi="Calibri" w:cs="Times New Roman"/>
        </w:rPr>
        <w:t xml:space="preserve">both </w:t>
      </w:r>
      <w:r>
        <w:rPr>
          <w:rFonts w:ascii="Calibri" w:eastAsia="Calibri" w:hAnsi="Calibri" w:cs="Times New Roman"/>
        </w:rPr>
        <w:t>items and measures</w:t>
      </w:r>
      <w:r w:rsidR="00DB1481">
        <w:rPr>
          <w:rFonts w:ascii="Calibri" w:eastAsia="Calibri" w:hAnsi="Calibri" w:cs="Times New Roman"/>
        </w:rPr>
        <w:t xml:space="preserve"> based off those items</w:t>
      </w:r>
      <w:r>
        <w:rPr>
          <w:rFonts w:ascii="Calibri" w:eastAsia="Calibri" w:hAnsi="Calibri" w:cs="Times New Roman"/>
        </w:rPr>
        <w:t xml:space="preserve">) and </w:t>
      </w:r>
      <w:r w:rsidR="00DB1481">
        <w:rPr>
          <w:rFonts w:ascii="Calibri" w:eastAsia="Calibri" w:hAnsi="Calibri" w:cs="Times New Roman"/>
        </w:rPr>
        <w:t xml:space="preserve">no </w:t>
      </w:r>
      <w:r>
        <w:rPr>
          <w:rFonts w:ascii="Calibri" w:eastAsia="Calibri" w:hAnsi="Calibri" w:cs="Times New Roman"/>
        </w:rPr>
        <w:t>objections</w:t>
      </w:r>
      <w:r w:rsidR="00AD1313">
        <w:rPr>
          <w:rFonts w:ascii="Calibri" w:eastAsia="Calibri" w:hAnsi="Calibri" w:cs="Times New Roman"/>
        </w:rPr>
        <w:t xml:space="preserve"> or suggestions for revision</w:t>
      </w:r>
      <w:r>
        <w:rPr>
          <w:rFonts w:ascii="Calibri" w:eastAsia="Calibri" w:hAnsi="Calibri" w:cs="Times New Roman"/>
        </w:rPr>
        <w:t xml:space="preserve"> </w:t>
      </w:r>
      <w:r w:rsidR="00DB1481">
        <w:rPr>
          <w:rFonts w:ascii="Calibri" w:eastAsia="Calibri" w:hAnsi="Calibri" w:cs="Times New Roman"/>
        </w:rPr>
        <w:t>have been noted regarding the</w:t>
      </w:r>
      <w:r>
        <w:rPr>
          <w:rFonts w:ascii="Calibri" w:eastAsia="Calibri" w:hAnsi="Calibri" w:cs="Times New Roman"/>
        </w:rPr>
        <w:t xml:space="preserve"> response options.</w:t>
      </w:r>
    </w:p>
    <w:p w14:paraId="2D94F866" w14:textId="77777777" w:rsidR="005B1C7D" w:rsidRDefault="005B1C7D" w:rsidP="00CD2B78">
      <w:pPr>
        <w:pStyle w:val="ListParagraph"/>
        <w:autoSpaceDE w:val="0"/>
        <w:autoSpaceDN w:val="0"/>
        <w:adjustRightInd w:val="0"/>
        <w:rPr>
          <w:b/>
          <w:u w:val="single"/>
        </w:rPr>
      </w:pPr>
    </w:p>
    <w:p w14:paraId="171C6B6F" w14:textId="697505CB" w:rsidR="00BB579C" w:rsidRPr="005B1C7D" w:rsidRDefault="00203680" w:rsidP="00394DC3">
      <w:pPr>
        <w:pStyle w:val="ListParagraph"/>
        <w:autoSpaceDE w:val="0"/>
        <w:autoSpaceDN w:val="0"/>
        <w:adjustRightInd w:val="0"/>
        <w:ind w:left="1080"/>
        <w:rPr>
          <w:rFonts w:ascii="Calibri" w:eastAsia="Calibri" w:hAnsi="Calibri" w:cs="Times New Roman"/>
        </w:rPr>
      </w:pPr>
      <w:r>
        <w:rPr>
          <w:rFonts w:ascii="Calibri" w:eastAsia="Calibri" w:hAnsi="Calibri" w:cs="Times New Roman"/>
        </w:rPr>
        <w:t xml:space="preserve">The original </w:t>
      </w:r>
      <w:r w:rsidR="00BB579C" w:rsidRPr="005B1C7D">
        <w:rPr>
          <w:rFonts w:ascii="Calibri" w:eastAsia="Calibri" w:hAnsi="Calibri" w:cs="Times New Roman"/>
        </w:rPr>
        <w:t xml:space="preserve">OASIS item was </w:t>
      </w:r>
      <w:r w:rsidR="00DB1481">
        <w:rPr>
          <w:rFonts w:ascii="Calibri" w:eastAsia="Calibri" w:hAnsi="Calibri" w:cs="Times New Roman"/>
        </w:rPr>
        <w:t xml:space="preserve">originally </w:t>
      </w:r>
      <w:r w:rsidR="00BB579C" w:rsidRPr="005B1C7D">
        <w:rPr>
          <w:rFonts w:ascii="Calibri" w:eastAsia="Calibri" w:hAnsi="Calibri" w:cs="Times New Roman"/>
        </w:rPr>
        <w:t xml:space="preserve">carefully designed for measuring and ultimately enhancing patient outcomes as part of the National OBQI Demonstration project (1995 – 2000). OASIS items were derived by first specifying a set of patient outcomes considered critical by home care experts (e.g., nurses, physicians, therapists, social workers, administrators) for evaluating the effectiveness of care. These outcomes were chosen from the most important domains of health status addressed by home care providers. OASIS data items were developed, tested in hundreds of agencies, and refined for measuring outcomes in order to evaluate and enhance the effectiveness of home care. OASIS data items and measurement methods were reviewed by multidisciplinary panels of research methodologists, clinicians, home care managers, and policy analysts. Several tests of validity were conducted for each OASIS item, including </w:t>
      </w:r>
      <w:r w:rsidR="00B17DF6">
        <w:rPr>
          <w:rFonts w:ascii="Calibri" w:eastAsia="Calibri" w:hAnsi="Calibri" w:cs="Times New Roman"/>
        </w:rPr>
        <w:t>Pain Interfering with Activity</w:t>
      </w:r>
      <w:r w:rsidR="00BB579C" w:rsidRPr="005B1C7D">
        <w:rPr>
          <w:rFonts w:ascii="Calibri" w:eastAsia="Calibri" w:hAnsi="Calibri" w:cs="Times New Roman"/>
        </w:rPr>
        <w:t xml:space="preserve">. Validity testing included:  </w:t>
      </w:r>
    </w:p>
    <w:p w14:paraId="385251B9" w14:textId="77777777" w:rsidR="00BB579C" w:rsidRPr="008F6DAE" w:rsidRDefault="00BB579C" w:rsidP="00CD2B78">
      <w:pPr>
        <w:autoSpaceDE w:val="0"/>
        <w:autoSpaceDN w:val="0"/>
        <w:adjustRightInd w:val="0"/>
        <w:spacing w:after="0" w:line="240" w:lineRule="auto"/>
        <w:ind w:left="1440"/>
        <w:rPr>
          <w:rFonts w:ascii="Calibri" w:eastAsia="Calibri" w:hAnsi="Calibri" w:cs="Times New Roman"/>
        </w:rPr>
      </w:pPr>
      <w:r w:rsidRPr="008F6DAE">
        <w:rPr>
          <w:rFonts w:ascii="Calibri" w:eastAsia="Calibri" w:hAnsi="Calibri" w:cs="Times New Roman"/>
        </w:rPr>
        <w:t>1) Consensus validity by expert researcher/clinical panels for outcome measurement and risk factor measurement</w:t>
      </w:r>
    </w:p>
    <w:p w14:paraId="4915FC39" w14:textId="77777777" w:rsidR="00BB579C" w:rsidRPr="008F6DAE" w:rsidRDefault="00BB579C" w:rsidP="00CD2B78">
      <w:pPr>
        <w:autoSpaceDE w:val="0"/>
        <w:autoSpaceDN w:val="0"/>
        <w:adjustRightInd w:val="0"/>
        <w:spacing w:after="0" w:line="240" w:lineRule="auto"/>
        <w:ind w:left="1440"/>
        <w:rPr>
          <w:rFonts w:ascii="Calibri" w:eastAsia="Calibri" w:hAnsi="Calibri" w:cs="Times New Roman"/>
        </w:rPr>
      </w:pPr>
      <w:r w:rsidRPr="008F6DAE">
        <w:rPr>
          <w:rFonts w:ascii="Calibri" w:eastAsia="Calibri" w:hAnsi="Calibri" w:cs="Times New Roman"/>
        </w:rPr>
        <w:t>2) Consensus validity by expert clinical panels for patient assessment and care planning</w:t>
      </w:r>
    </w:p>
    <w:p w14:paraId="6B7A04A0" w14:textId="77777777" w:rsidR="00BB579C" w:rsidRPr="008F6DAE" w:rsidRDefault="00BB579C" w:rsidP="00CD2B78">
      <w:pPr>
        <w:autoSpaceDE w:val="0"/>
        <w:autoSpaceDN w:val="0"/>
        <w:adjustRightInd w:val="0"/>
        <w:spacing w:after="0" w:line="240" w:lineRule="auto"/>
        <w:ind w:left="1440"/>
        <w:rPr>
          <w:rFonts w:ascii="Calibri" w:eastAsia="Calibri" w:hAnsi="Calibri" w:cs="Times New Roman"/>
        </w:rPr>
      </w:pPr>
      <w:r w:rsidRPr="008F6DAE">
        <w:rPr>
          <w:rFonts w:ascii="Calibri" w:eastAsia="Calibri" w:hAnsi="Calibri" w:cs="Times New Roman"/>
        </w:rPr>
        <w:t>3) Criterion or convergent/predictive validity for outcome measurement/risk factor measurement</w:t>
      </w:r>
    </w:p>
    <w:p w14:paraId="431059DF" w14:textId="77777777" w:rsidR="00BB579C" w:rsidRDefault="00BB579C" w:rsidP="00CD2B78">
      <w:pPr>
        <w:autoSpaceDE w:val="0"/>
        <w:autoSpaceDN w:val="0"/>
        <w:adjustRightInd w:val="0"/>
        <w:spacing w:after="0" w:line="240" w:lineRule="auto"/>
        <w:ind w:left="1440"/>
        <w:rPr>
          <w:rFonts w:ascii="Calibri" w:eastAsia="Calibri" w:hAnsi="Calibri" w:cs="Times New Roman"/>
        </w:rPr>
      </w:pPr>
      <w:r w:rsidRPr="008F6DAE">
        <w:rPr>
          <w:rFonts w:ascii="Calibri" w:eastAsia="Calibri" w:hAnsi="Calibri" w:cs="Times New Roman"/>
        </w:rPr>
        <w:t>4) Convergent/predictive validity: case mix adjustment for payment</w:t>
      </w:r>
    </w:p>
    <w:p w14:paraId="33184FAB" w14:textId="55139A5D" w:rsidR="00BB579C" w:rsidRDefault="00BB579C" w:rsidP="00394DC3">
      <w:pPr>
        <w:autoSpaceDE w:val="0"/>
        <w:autoSpaceDN w:val="0"/>
        <w:adjustRightInd w:val="0"/>
        <w:spacing w:after="0" w:line="240" w:lineRule="auto"/>
        <w:ind w:left="720" w:firstLine="720"/>
        <w:rPr>
          <w:rFonts w:ascii="Calibri" w:eastAsia="Calibri" w:hAnsi="Calibri" w:cs="Times New Roman"/>
        </w:rPr>
      </w:pPr>
      <w:r w:rsidRPr="008F6DAE">
        <w:rPr>
          <w:rFonts w:ascii="Calibri" w:eastAsia="Calibri" w:hAnsi="Calibri" w:cs="Times New Roman"/>
        </w:rPr>
        <w:t>5) Validation by patient assessment and care planning</w:t>
      </w:r>
    </w:p>
    <w:p w14:paraId="10EC7952" w14:textId="77777777" w:rsidR="00394DC3" w:rsidRDefault="00394DC3" w:rsidP="00CD2B78">
      <w:pPr>
        <w:autoSpaceDE w:val="0"/>
        <w:autoSpaceDN w:val="0"/>
        <w:adjustRightInd w:val="0"/>
        <w:spacing w:after="0" w:line="240" w:lineRule="auto"/>
        <w:ind w:left="720"/>
        <w:rPr>
          <w:rFonts w:ascii="Calibri" w:eastAsia="Calibri" w:hAnsi="Calibri" w:cs="Times New Roman"/>
        </w:rPr>
      </w:pPr>
    </w:p>
    <w:p w14:paraId="46B52205" w14:textId="77777777" w:rsidR="00BB579C" w:rsidRDefault="00BB579C" w:rsidP="00CD2B78">
      <w:pPr>
        <w:autoSpaceDE w:val="0"/>
        <w:autoSpaceDN w:val="0"/>
        <w:adjustRightInd w:val="0"/>
        <w:spacing w:after="0" w:line="240" w:lineRule="auto"/>
        <w:ind w:left="720"/>
        <w:rPr>
          <w:rFonts w:ascii="Calibri" w:eastAsia="Calibri" w:hAnsi="Calibri" w:cs="Times New Roman"/>
        </w:rPr>
      </w:pPr>
      <w:r w:rsidRPr="008F6DAE">
        <w:rPr>
          <w:rFonts w:ascii="Calibri" w:eastAsia="Calibri" w:hAnsi="Calibri" w:cs="Times New Roman"/>
        </w:rPr>
        <w:t>Descriptions for these validation assessments are taken from the “Volume 4 : OASIS Chronicle and Recommendation” OASIS and Outcome-Based Quality Improvement in Home Health Care, November 2001, Center for Health Services Research, University of Colorado Health Sciences Center, Denver, CO.</w:t>
      </w:r>
    </w:p>
    <w:p w14:paraId="45399579" w14:textId="77777777" w:rsidR="00ED2A30" w:rsidRPr="008F6DAE" w:rsidRDefault="00ED2A30" w:rsidP="00CD2B78">
      <w:pPr>
        <w:autoSpaceDE w:val="0"/>
        <w:autoSpaceDN w:val="0"/>
        <w:adjustRightInd w:val="0"/>
        <w:spacing w:after="0" w:line="240" w:lineRule="auto"/>
        <w:ind w:left="720"/>
        <w:rPr>
          <w:rFonts w:ascii="Calibri" w:eastAsia="Calibri" w:hAnsi="Calibri" w:cs="Times New Roman"/>
        </w:rPr>
      </w:pP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049458B7" w14:textId="77777777" w:rsidR="005B1C7D" w:rsidRDefault="009C7513" w:rsidP="00BB579C">
      <w:pPr>
        <w:spacing w:after="0"/>
        <w:rPr>
          <w:b/>
          <w:bCs/>
          <w:u w:val="single"/>
        </w:rPr>
      </w:pPr>
      <w:r>
        <w:rPr>
          <w:rFonts w:cstheme="minorHAnsi"/>
          <w:b/>
          <w:bCs/>
        </w:rPr>
        <w:lastRenderedPageBreak/>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69E08AD4" w14:textId="51708D14" w:rsidR="00BB579C" w:rsidRDefault="00CF389A" w:rsidP="00CD2B78">
      <w:pPr>
        <w:pStyle w:val="ListParagraph"/>
        <w:numPr>
          <w:ilvl w:val="0"/>
          <w:numId w:val="36"/>
        </w:numPr>
        <w:spacing w:after="0"/>
      </w:pPr>
      <w:r w:rsidRPr="00CF389A">
        <w:rPr>
          <w:b/>
          <w:u w:val="single"/>
        </w:rPr>
        <w:t xml:space="preserve">Validity of the Performance Measure Score: </w:t>
      </w:r>
      <w:r w:rsidR="00BB579C">
        <w:t xml:space="preserve">The table below shows the Spearman rank correlations of the </w:t>
      </w:r>
      <w:r w:rsidR="00BB579C" w:rsidRPr="00CF389A">
        <w:rPr>
          <w:i/>
        </w:rPr>
        <w:t xml:space="preserve">Improvement in </w:t>
      </w:r>
      <w:r w:rsidR="00750DC0">
        <w:rPr>
          <w:i/>
        </w:rPr>
        <w:t>Pain Interfering with Activity</w:t>
      </w:r>
      <w:r w:rsidR="00BB579C" w:rsidRPr="00CF389A">
        <w:rPr>
          <w:i/>
        </w:rPr>
        <w:t xml:space="preserve"> </w:t>
      </w:r>
      <w:r w:rsidR="00BB579C">
        <w:t>measure with other publicly-reported measures of home health quality derived from OASIS assessments</w:t>
      </w:r>
      <w:r w:rsidR="008C22CF">
        <w:t>.</w:t>
      </w:r>
      <w:r w:rsidR="00BB579C">
        <w:t xml:space="preserve"> </w:t>
      </w:r>
    </w:p>
    <w:p w14:paraId="4DA64605" w14:textId="77777777" w:rsidR="00BB579C" w:rsidRDefault="00BB579C" w:rsidP="00BB579C">
      <w:pPr>
        <w:spacing w:after="0" w:line="240" w:lineRule="auto"/>
        <w:jc w:val="center"/>
        <w:rPr>
          <w:b/>
        </w:rPr>
      </w:pPr>
    </w:p>
    <w:p w14:paraId="7ED907CD" w14:textId="0674E800" w:rsidR="00BB579C" w:rsidRDefault="00BB579C" w:rsidP="00BB579C">
      <w:pPr>
        <w:spacing w:after="0" w:line="240" w:lineRule="auto"/>
        <w:jc w:val="center"/>
        <w:rPr>
          <w:b/>
        </w:rPr>
      </w:pPr>
      <w:r>
        <w:rPr>
          <w:b/>
        </w:rPr>
        <w:t xml:space="preserve">Spearman Rank Correlations of </w:t>
      </w:r>
      <w:r>
        <w:rPr>
          <w:b/>
          <w:i/>
        </w:rPr>
        <w:t xml:space="preserve">Improvement in </w:t>
      </w:r>
      <w:r w:rsidR="00750DC0">
        <w:rPr>
          <w:b/>
          <w:i/>
        </w:rPr>
        <w:t>Pain Interfering with Activity</w:t>
      </w:r>
      <w:r>
        <w:rPr>
          <w:b/>
          <w:i/>
        </w:rPr>
        <w:t xml:space="preserve"> </w:t>
      </w:r>
      <w:r>
        <w:rPr>
          <w:b/>
        </w:rPr>
        <w:t>Measure with Other Measures of Home Health Quality</w:t>
      </w:r>
    </w:p>
    <w:p w14:paraId="670D4971" w14:textId="77777777" w:rsidR="00BB579C" w:rsidRPr="006F082D" w:rsidRDefault="00BB579C" w:rsidP="00BB579C">
      <w:pPr>
        <w:spacing w:after="0" w:line="240" w:lineRule="auto"/>
        <w:jc w:val="center"/>
        <w:rPr>
          <w:b/>
        </w:rPr>
      </w:pPr>
    </w:p>
    <w:tbl>
      <w:tblPr>
        <w:tblW w:w="94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3"/>
        <w:gridCol w:w="1789"/>
      </w:tblGrid>
      <w:tr w:rsidR="00BB579C" w:rsidRPr="006F082D" w14:paraId="17D9D598" w14:textId="77777777" w:rsidTr="00F01E56">
        <w:trPr>
          <w:trHeight w:val="206"/>
          <w:jc w:val="center"/>
        </w:trPr>
        <w:tc>
          <w:tcPr>
            <w:tcW w:w="7673" w:type="dxa"/>
            <w:shd w:val="clear" w:color="auto" w:fill="CDECFF"/>
            <w:noWrap/>
            <w:vAlign w:val="center"/>
            <w:hideMark/>
          </w:tcPr>
          <w:p w14:paraId="03C76B91" w14:textId="77777777" w:rsidR="00BB579C" w:rsidRPr="00D41096" w:rsidRDefault="00BB579C" w:rsidP="00F01E56">
            <w:pPr>
              <w:spacing w:after="0" w:line="240" w:lineRule="auto"/>
              <w:jc w:val="center"/>
              <w:rPr>
                <w:rFonts w:ascii="Calibri" w:hAnsi="Calibri"/>
                <w:b/>
                <w:bCs/>
                <w:color w:val="000000"/>
                <w:sz w:val="20"/>
                <w:szCs w:val="20"/>
              </w:rPr>
            </w:pPr>
            <w:r>
              <w:rPr>
                <w:rFonts w:ascii="Calibri" w:hAnsi="Calibri"/>
                <w:b/>
                <w:bCs/>
                <w:color w:val="000000"/>
                <w:sz w:val="20"/>
                <w:szCs w:val="20"/>
              </w:rPr>
              <w:t xml:space="preserve">Home Health Quality </w:t>
            </w:r>
            <w:r w:rsidRPr="00D41096">
              <w:rPr>
                <w:rFonts w:ascii="Calibri" w:hAnsi="Calibri"/>
                <w:b/>
                <w:bCs/>
                <w:color w:val="000000"/>
                <w:sz w:val="20"/>
                <w:szCs w:val="20"/>
              </w:rPr>
              <w:t>Measure</w:t>
            </w:r>
            <w:r>
              <w:rPr>
                <w:rFonts w:ascii="Calibri" w:hAnsi="Calibri"/>
                <w:b/>
                <w:bCs/>
                <w:color w:val="000000"/>
                <w:sz w:val="20"/>
                <w:szCs w:val="20"/>
              </w:rPr>
              <w:t>s</w:t>
            </w:r>
          </w:p>
        </w:tc>
        <w:tc>
          <w:tcPr>
            <w:tcW w:w="1789" w:type="dxa"/>
            <w:shd w:val="clear" w:color="auto" w:fill="CDECFF"/>
            <w:vAlign w:val="center"/>
            <w:hideMark/>
          </w:tcPr>
          <w:p w14:paraId="1476424A" w14:textId="77777777" w:rsidR="00BB579C" w:rsidRPr="00D41096" w:rsidRDefault="00BB579C" w:rsidP="00F01E56">
            <w:pPr>
              <w:spacing w:after="0" w:line="240" w:lineRule="auto"/>
              <w:jc w:val="center"/>
              <w:rPr>
                <w:rFonts w:ascii="Calibri" w:hAnsi="Calibri"/>
                <w:b/>
                <w:bCs/>
                <w:color w:val="000000"/>
                <w:sz w:val="20"/>
                <w:szCs w:val="20"/>
              </w:rPr>
            </w:pPr>
            <w:r w:rsidRPr="00D41096">
              <w:rPr>
                <w:rFonts w:ascii="Calibri" w:hAnsi="Calibri"/>
                <w:b/>
                <w:bCs/>
                <w:color w:val="000000"/>
                <w:sz w:val="20"/>
                <w:szCs w:val="20"/>
              </w:rPr>
              <w:t>Spearman Rank Correlations</w:t>
            </w:r>
          </w:p>
        </w:tc>
      </w:tr>
      <w:tr w:rsidR="00857EA3" w14:paraId="47345DCF" w14:textId="77777777" w:rsidTr="00F01E56">
        <w:trPr>
          <w:trHeight w:val="300"/>
          <w:jc w:val="center"/>
        </w:trPr>
        <w:tc>
          <w:tcPr>
            <w:tcW w:w="7673" w:type="dxa"/>
            <w:shd w:val="clear" w:color="auto" w:fill="auto"/>
            <w:noWrap/>
            <w:vAlign w:val="bottom"/>
          </w:tcPr>
          <w:p w14:paraId="31F22BD8" w14:textId="4DF50B83" w:rsidR="00857EA3" w:rsidRPr="00E8575A" w:rsidRDefault="00857EA3" w:rsidP="00E8575A">
            <w:pPr>
              <w:rPr>
                <w:rFonts w:ascii="Calibri" w:hAnsi="Calibri"/>
                <w:color w:val="000000"/>
              </w:rPr>
            </w:pPr>
            <w:r w:rsidRPr="00E8575A">
              <w:rPr>
                <w:rFonts w:ascii="Calibri" w:hAnsi="Calibri"/>
                <w:color w:val="000000"/>
              </w:rPr>
              <w:t xml:space="preserve">Improvement in </w:t>
            </w:r>
            <w:r w:rsidR="00E8575A">
              <w:rPr>
                <w:rFonts w:ascii="Calibri" w:hAnsi="Calibri"/>
                <w:color w:val="000000"/>
              </w:rPr>
              <w:t>Ambulation/Locomotion</w:t>
            </w:r>
          </w:p>
        </w:tc>
        <w:tc>
          <w:tcPr>
            <w:tcW w:w="1789" w:type="dxa"/>
            <w:shd w:val="clear" w:color="auto" w:fill="auto"/>
            <w:noWrap/>
            <w:vAlign w:val="bottom"/>
          </w:tcPr>
          <w:p w14:paraId="3288DA88" w14:textId="4CC76D51" w:rsidR="00857EA3" w:rsidRPr="00E8575A" w:rsidRDefault="00E8575A" w:rsidP="00857EA3">
            <w:pPr>
              <w:jc w:val="center"/>
              <w:rPr>
                <w:rFonts w:ascii="Calibri" w:hAnsi="Calibri"/>
                <w:color w:val="000000"/>
              </w:rPr>
            </w:pPr>
            <w:r>
              <w:rPr>
                <w:rFonts w:ascii="Calibri" w:hAnsi="Calibri"/>
                <w:color w:val="000000"/>
              </w:rPr>
              <w:t>0.6163</w:t>
            </w:r>
          </w:p>
        </w:tc>
      </w:tr>
      <w:tr w:rsidR="00BB579C" w:rsidRPr="006F082D" w14:paraId="0D3A0009" w14:textId="77777777" w:rsidTr="00F01E56">
        <w:trPr>
          <w:trHeight w:val="300"/>
          <w:jc w:val="center"/>
        </w:trPr>
        <w:tc>
          <w:tcPr>
            <w:tcW w:w="7673" w:type="dxa"/>
            <w:shd w:val="clear" w:color="auto" w:fill="auto"/>
            <w:noWrap/>
            <w:vAlign w:val="bottom"/>
          </w:tcPr>
          <w:p w14:paraId="1AE3F15A" w14:textId="19B99644" w:rsidR="00BB579C" w:rsidRPr="00E8575A" w:rsidRDefault="00BB579C" w:rsidP="00E8575A">
            <w:pPr>
              <w:rPr>
                <w:rFonts w:ascii="Calibri" w:hAnsi="Calibri"/>
                <w:color w:val="000000"/>
              </w:rPr>
            </w:pPr>
            <w:r w:rsidRPr="00E8575A">
              <w:rPr>
                <w:rFonts w:ascii="Calibri" w:hAnsi="Calibri"/>
                <w:color w:val="000000"/>
              </w:rPr>
              <w:t xml:space="preserve">Improvement in </w:t>
            </w:r>
            <w:r w:rsidR="00E8575A">
              <w:rPr>
                <w:rFonts w:ascii="Calibri" w:hAnsi="Calibri"/>
                <w:color w:val="000000"/>
              </w:rPr>
              <w:t>Bathing</w:t>
            </w:r>
          </w:p>
        </w:tc>
        <w:tc>
          <w:tcPr>
            <w:tcW w:w="1789" w:type="dxa"/>
            <w:shd w:val="clear" w:color="auto" w:fill="auto"/>
            <w:noWrap/>
            <w:vAlign w:val="bottom"/>
          </w:tcPr>
          <w:p w14:paraId="35AEC7F6" w14:textId="7FC6805F" w:rsidR="00BB579C" w:rsidRPr="00E8575A" w:rsidRDefault="00E8575A" w:rsidP="00F01E56">
            <w:pPr>
              <w:jc w:val="center"/>
              <w:rPr>
                <w:rFonts w:ascii="Calibri" w:hAnsi="Calibri"/>
                <w:color w:val="000000"/>
              </w:rPr>
            </w:pPr>
            <w:r>
              <w:rPr>
                <w:rFonts w:ascii="Calibri" w:hAnsi="Calibri"/>
                <w:color w:val="000000"/>
              </w:rPr>
              <w:t>0.6861</w:t>
            </w:r>
          </w:p>
        </w:tc>
      </w:tr>
      <w:tr w:rsidR="00857EA3" w:rsidRPr="006F082D" w14:paraId="581298C1" w14:textId="77777777" w:rsidTr="00F01E56">
        <w:trPr>
          <w:trHeight w:val="300"/>
          <w:jc w:val="center"/>
        </w:trPr>
        <w:tc>
          <w:tcPr>
            <w:tcW w:w="7673" w:type="dxa"/>
            <w:shd w:val="clear" w:color="auto" w:fill="auto"/>
            <w:noWrap/>
            <w:vAlign w:val="bottom"/>
          </w:tcPr>
          <w:p w14:paraId="052020AE" w14:textId="5E3E4B00" w:rsidR="00857EA3" w:rsidRPr="00E8575A" w:rsidRDefault="00857EA3" w:rsidP="00E8575A">
            <w:pPr>
              <w:rPr>
                <w:rFonts w:ascii="Calibri" w:hAnsi="Calibri"/>
                <w:color w:val="000000"/>
              </w:rPr>
            </w:pPr>
            <w:r w:rsidRPr="00E8575A">
              <w:rPr>
                <w:rFonts w:ascii="Calibri" w:hAnsi="Calibri"/>
                <w:color w:val="000000"/>
              </w:rPr>
              <w:t xml:space="preserve">Improvement in </w:t>
            </w:r>
            <w:r w:rsidR="00E8575A">
              <w:rPr>
                <w:rFonts w:ascii="Calibri" w:hAnsi="Calibri"/>
                <w:color w:val="000000"/>
              </w:rPr>
              <w:t>Bed Transfer</w:t>
            </w:r>
          </w:p>
        </w:tc>
        <w:tc>
          <w:tcPr>
            <w:tcW w:w="1789" w:type="dxa"/>
            <w:shd w:val="clear" w:color="auto" w:fill="auto"/>
            <w:noWrap/>
            <w:vAlign w:val="bottom"/>
          </w:tcPr>
          <w:p w14:paraId="3C926AA9" w14:textId="16D03829" w:rsidR="00857EA3" w:rsidRPr="00E8575A" w:rsidRDefault="00E8575A" w:rsidP="00857EA3">
            <w:pPr>
              <w:jc w:val="center"/>
              <w:rPr>
                <w:rFonts w:ascii="Calibri" w:hAnsi="Calibri"/>
                <w:color w:val="000000"/>
              </w:rPr>
            </w:pPr>
            <w:r>
              <w:rPr>
                <w:rFonts w:ascii="Calibri" w:hAnsi="Calibri"/>
                <w:color w:val="000000"/>
              </w:rPr>
              <w:t>0.5221</w:t>
            </w:r>
          </w:p>
        </w:tc>
      </w:tr>
      <w:tr w:rsidR="00857EA3" w:rsidRPr="006F082D" w14:paraId="08778AF2" w14:textId="77777777" w:rsidTr="00F01E56">
        <w:trPr>
          <w:trHeight w:val="300"/>
          <w:jc w:val="center"/>
        </w:trPr>
        <w:tc>
          <w:tcPr>
            <w:tcW w:w="7673" w:type="dxa"/>
            <w:shd w:val="clear" w:color="auto" w:fill="auto"/>
            <w:noWrap/>
            <w:vAlign w:val="bottom"/>
          </w:tcPr>
          <w:p w14:paraId="5C7B0944" w14:textId="4D074BB8" w:rsidR="00857EA3" w:rsidRPr="00E8575A" w:rsidRDefault="00857EA3" w:rsidP="00857EA3">
            <w:pPr>
              <w:rPr>
                <w:rFonts w:ascii="Calibri" w:hAnsi="Calibri"/>
                <w:color w:val="000000"/>
              </w:rPr>
            </w:pPr>
            <w:r w:rsidRPr="00E8575A">
              <w:rPr>
                <w:rFonts w:ascii="Calibri" w:hAnsi="Calibri"/>
                <w:color w:val="000000"/>
              </w:rPr>
              <w:t xml:space="preserve">Improvement in </w:t>
            </w:r>
            <w:r w:rsidR="00E8575A" w:rsidRPr="00E8575A">
              <w:rPr>
                <w:rFonts w:ascii="Calibri" w:hAnsi="Calibri"/>
                <w:color w:val="000000"/>
              </w:rPr>
              <w:t>Management of Oral Medications</w:t>
            </w:r>
          </w:p>
        </w:tc>
        <w:tc>
          <w:tcPr>
            <w:tcW w:w="1789" w:type="dxa"/>
            <w:shd w:val="clear" w:color="auto" w:fill="auto"/>
            <w:noWrap/>
            <w:vAlign w:val="bottom"/>
          </w:tcPr>
          <w:p w14:paraId="771F57C8" w14:textId="2BF0AEFB" w:rsidR="00857EA3" w:rsidRPr="00E8575A" w:rsidRDefault="00E8575A" w:rsidP="00857EA3">
            <w:pPr>
              <w:jc w:val="center"/>
              <w:rPr>
                <w:rFonts w:ascii="Calibri" w:hAnsi="Calibri"/>
                <w:color w:val="000000"/>
              </w:rPr>
            </w:pPr>
            <w:r>
              <w:rPr>
                <w:rFonts w:ascii="Calibri" w:hAnsi="Calibri"/>
                <w:color w:val="000000"/>
              </w:rPr>
              <w:t>0.5054</w:t>
            </w:r>
          </w:p>
        </w:tc>
      </w:tr>
      <w:tr w:rsidR="00857EA3" w:rsidRPr="006F082D" w14:paraId="11E1B6EC" w14:textId="77777777" w:rsidTr="00F01E56">
        <w:trPr>
          <w:trHeight w:val="300"/>
          <w:jc w:val="center"/>
        </w:trPr>
        <w:tc>
          <w:tcPr>
            <w:tcW w:w="7673" w:type="dxa"/>
            <w:shd w:val="clear" w:color="auto" w:fill="auto"/>
            <w:noWrap/>
            <w:vAlign w:val="bottom"/>
          </w:tcPr>
          <w:p w14:paraId="6D1A1FFB" w14:textId="7E5C16F0" w:rsidR="00857EA3" w:rsidRPr="00E8575A" w:rsidRDefault="00857EA3" w:rsidP="00E8575A">
            <w:pPr>
              <w:rPr>
                <w:rFonts w:ascii="Calibri" w:hAnsi="Calibri"/>
                <w:color w:val="000000"/>
              </w:rPr>
            </w:pPr>
            <w:r w:rsidRPr="00E8575A">
              <w:rPr>
                <w:rFonts w:ascii="Calibri" w:hAnsi="Calibri"/>
                <w:color w:val="000000"/>
              </w:rPr>
              <w:t>Quality of Patient Care Star Ratings</w:t>
            </w:r>
          </w:p>
        </w:tc>
        <w:tc>
          <w:tcPr>
            <w:tcW w:w="1789" w:type="dxa"/>
            <w:shd w:val="clear" w:color="auto" w:fill="auto"/>
            <w:noWrap/>
            <w:vAlign w:val="bottom"/>
          </w:tcPr>
          <w:p w14:paraId="1E49D79F" w14:textId="2DE8E5CE" w:rsidR="00857EA3" w:rsidRPr="00E8575A" w:rsidRDefault="00E8575A" w:rsidP="00857EA3">
            <w:pPr>
              <w:jc w:val="center"/>
              <w:rPr>
                <w:rFonts w:ascii="Calibri" w:hAnsi="Calibri"/>
                <w:color w:val="000000"/>
              </w:rPr>
            </w:pPr>
            <w:r>
              <w:rPr>
                <w:rFonts w:ascii="Calibri" w:hAnsi="Calibri"/>
                <w:color w:val="000000"/>
              </w:rPr>
              <w:t>0.6546</w:t>
            </w:r>
          </w:p>
        </w:tc>
      </w:tr>
    </w:tbl>
    <w:p w14:paraId="1B332C24" w14:textId="77777777" w:rsidR="00BB579C" w:rsidRDefault="00BB579C" w:rsidP="00BB579C">
      <w:pPr>
        <w:autoSpaceDE w:val="0"/>
        <w:autoSpaceDN w:val="0"/>
        <w:adjustRightInd w:val="0"/>
        <w:spacing w:after="0" w:line="240" w:lineRule="auto"/>
        <w:rPr>
          <w:rFonts w:cstheme="minorHAnsi"/>
          <w:bCs/>
        </w:rPr>
      </w:pPr>
    </w:p>
    <w:p w14:paraId="30C1DB58" w14:textId="77777777" w:rsidR="005B1C7D" w:rsidRDefault="005B1C7D" w:rsidP="00BB579C">
      <w:pPr>
        <w:autoSpaceDE w:val="0"/>
        <w:autoSpaceDN w:val="0"/>
        <w:adjustRightInd w:val="0"/>
        <w:spacing w:after="0" w:line="240" w:lineRule="auto"/>
        <w:rPr>
          <w:rFonts w:cstheme="minorHAnsi"/>
          <w:b/>
          <w:bCs/>
          <w:u w:val="single"/>
        </w:rPr>
      </w:pPr>
    </w:p>
    <w:p w14:paraId="5B75ACAE" w14:textId="1816A2F2" w:rsidR="006025EE" w:rsidRPr="006025EE" w:rsidRDefault="00CF389A" w:rsidP="00CD2B78">
      <w:pPr>
        <w:pStyle w:val="ListParagraph"/>
        <w:numPr>
          <w:ilvl w:val="0"/>
          <w:numId w:val="36"/>
        </w:numPr>
        <w:autoSpaceDE w:val="0"/>
        <w:autoSpaceDN w:val="0"/>
        <w:adjustRightInd w:val="0"/>
        <w:spacing w:before="242" w:after="240" w:line="276" w:lineRule="atLeast"/>
        <w:jc w:val="both"/>
        <w:rPr>
          <w:rFonts w:ascii="Calibri" w:eastAsia="Calibri" w:hAnsi="Calibri" w:cs="FKNBDB+TimesNewRoman"/>
          <w:color w:val="000000"/>
        </w:rPr>
      </w:pPr>
      <w:r w:rsidRPr="00CF389A">
        <w:rPr>
          <w:b/>
          <w:u w:val="single"/>
        </w:rPr>
        <w:t>Validity of the Underlying Data Element</w:t>
      </w:r>
      <w:r w:rsidRPr="00CF389A">
        <w:rPr>
          <w:rFonts w:cstheme="minorHAnsi"/>
          <w:b/>
          <w:bCs/>
          <w:u w:val="single"/>
        </w:rPr>
        <w:t xml:space="preserve">: </w:t>
      </w:r>
      <w:r w:rsidR="006025EE" w:rsidRPr="00394DC3">
        <w:rPr>
          <w:rFonts w:cstheme="minorHAnsi"/>
          <w:bCs/>
        </w:rPr>
        <w:t>As noted above</w:t>
      </w:r>
      <w:r w:rsidR="006025EE" w:rsidRPr="00CD2B78">
        <w:rPr>
          <w:rFonts w:cstheme="minorHAnsi"/>
          <w:bCs/>
          <w:u w:val="single"/>
        </w:rPr>
        <w:t xml:space="preserve"> </w:t>
      </w:r>
      <w:r w:rsidR="006025EE">
        <w:rPr>
          <w:rFonts w:ascii="Calibri" w:eastAsia="Calibri" w:hAnsi="Calibri" w:cs="FKNNFM+TimesNewRoman,Italic"/>
          <w:color w:val="000000"/>
        </w:rPr>
        <w:t xml:space="preserve">in 2b1.2, </w:t>
      </w:r>
    </w:p>
    <w:p w14:paraId="7FD80748" w14:textId="77777777" w:rsidR="006025EE" w:rsidRPr="006025EE" w:rsidRDefault="006025EE" w:rsidP="006025EE">
      <w:pPr>
        <w:pStyle w:val="ListParagraph"/>
        <w:autoSpaceDE w:val="0"/>
        <w:autoSpaceDN w:val="0"/>
        <w:adjustRightInd w:val="0"/>
        <w:spacing w:before="242" w:after="240" w:line="276" w:lineRule="atLeast"/>
        <w:ind w:left="1080"/>
        <w:jc w:val="both"/>
        <w:rPr>
          <w:rFonts w:ascii="Calibri" w:eastAsia="Calibri" w:hAnsi="Calibri" w:cs="FKNBDB+TimesNewRoman"/>
          <w:color w:val="000000"/>
        </w:rPr>
      </w:pPr>
    </w:p>
    <w:p w14:paraId="1991619A" w14:textId="77777777" w:rsidR="006025EE" w:rsidRDefault="00BB579C" w:rsidP="00CD2B78">
      <w:pPr>
        <w:pStyle w:val="ListParagraph"/>
        <w:numPr>
          <w:ilvl w:val="0"/>
          <w:numId w:val="37"/>
        </w:numPr>
        <w:autoSpaceDE w:val="0"/>
        <w:autoSpaceDN w:val="0"/>
        <w:adjustRightInd w:val="0"/>
        <w:spacing w:after="120" w:line="276" w:lineRule="atLeast"/>
        <w:contextualSpacing w:val="0"/>
        <w:jc w:val="both"/>
        <w:rPr>
          <w:rFonts w:ascii="Calibri" w:eastAsia="Calibri" w:hAnsi="Calibri" w:cs="FKNBDB+TimesNewRoman"/>
          <w:color w:val="000000"/>
        </w:rPr>
      </w:pPr>
      <w:r w:rsidRPr="00CD2B78">
        <w:rPr>
          <w:rFonts w:ascii="Calibri" w:eastAsia="Calibri" w:hAnsi="Calibri" w:cs="FKNNFM+TimesNewRoman,Italic"/>
          <w:i/>
          <w:color w:val="000000"/>
        </w:rPr>
        <w:t>Consensus validity</w:t>
      </w:r>
      <w:r w:rsidRPr="00CD2B78">
        <w:rPr>
          <w:rFonts w:ascii="Calibri" w:eastAsia="Calibri" w:hAnsi="Calibri" w:cs="FKNBDB+TimesNewRoman"/>
          <w:i/>
          <w:color w:val="000000"/>
        </w:rPr>
        <w:t>:</w:t>
      </w:r>
      <w:r w:rsidRPr="006025EE">
        <w:rPr>
          <w:rFonts w:ascii="Calibri" w:eastAsia="Calibri" w:hAnsi="Calibri" w:cs="FKNBDB+TimesNewRoman"/>
          <w:color w:val="000000"/>
        </w:rPr>
        <w:t xml:space="preserve"> The item was reviewed by panels of researchers and clinicians and was recommended for measuring patient outcomes relevant to home health care provision and quality measurement, or for risk adjustment of outcome analyses.</w:t>
      </w:r>
    </w:p>
    <w:p w14:paraId="2D7742A4" w14:textId="3775EE76" w:rsidR="006025EE" w:rsidRDefault="00BB579C" w:rsidP="00CD2B78">
      <w:pPr>
        <w:pStyle w:val="ListParagraph"/>
        <w:numPr>
          <w:ilvl w:val="0"/>
          <w:numId w:val="37"/>
        </w:numPr>
        <w:autoSpaceDE w:val="0"/>
        <w:autoSpaceDN w:val="0"/>
        <w:adjustRightInd w:val="0"/>
        <w:spacing w:after="120" w:line="276" w:lineRule="atLeast"/>
        <w:contextualSpacing w:val="0"/>
        <w:jc w:val="both"/>
        <w:rPr>
          <w:rFonts w:ascii="Calibri" w:eastAsia="Calibri" w:hAnsi="Calibri" w:cs="FKNBDB+TimesNewRoman"/>
          <w:color w:val="000000"/>
        </w:rPr>
      </w:pPr>
      <w:r w:rsidRPr="00CD2B78">
        <w:rPr>
          <w:rFonts w:ascii="Calibri" w:eastAsia="Calibri" w:hAnsi="Calibri" w:cs="FKNNFM+TimesNewRoman,Italic"/>
          <w:i/>
          <w:color w:val="000000"/>
        </w:rPr>
        <w:t>Consensus validity by expert clinical panels for patient assessment and care planning</w:t>
      </w:r>
      <w:r w:rsidRPr="00CD2B78">
        <w:rPr>
          <w:rFonts w:ascii="Calibri" w:eastAsia="Calibri" w:hAnsi="Calibri" w:cs="FKNBDB+TimesNewRoman"/>
          <w:i/>
          <w:color w:val="000000"/>
        </w:rPr>
        <w:t xml:space="preserve">: </w:t>
      </w:r>
      <w:r w:rsidRPr="006025EE">
        <w:rPr>
          <w:rFonts w:ascii="Calibri" w:eastAsia="Calibri" w:hAnsi="Calibri" w:cs="FKNBDB+TimesNewRoman"/>
          <w:color w:val="000000"/>
        </w:rPr>
        <w:t xml:space="preserve">The item was reviewed by a panel of clinical experts and was recommended for inclusion in a core set of data items for patient assessment and care planning. </w:t>
      </w:r>
    </w:p>
    <w:p w14:paraId="10A16FCB" w14:textId="77777777" w:rsidR="006025EE" w:rsidRDefault="00BB579C" w:rsidP="006025EE">
      <w:pPr>
        <w:pStyle w:val="ListParagraph"/>
        <w:numPr>
          <w:ilvl w:val="0"/>
          <w:numId w:val="37"/>
        </w:numPr>
        <w:autoSpaceDE w:val="0"/>
        <w:autoSpaceDN w:val="0"/>
        <w:adjustRightInd w:val="0"/>
        <w:spacing w:after="120" w:line="276" w:lineRule="atLeast"/>
        <w:contextualSpacing w:val="0"/>
        <w:jc w:val="both"/>
        <w:rPr>
          <w:rFonts w:ascii="Calibri" w:eastAsia="Calibri" w:hAnsi="Calibri" w:cs="FKNBDB+TimesNewRoman"/>
          <w:color w:val="000000"/>
        </w:rPr>
      </w:pPr>
      <w:r w:rsidRPr="00CD2B78">
        <w:rPr>
          <w:rFonts w:ascii="Calibri" w:eastAsia="Calibri" w:hAnsi="Calibri" w:cs="FKNNFM+TimesNewRoman,Italic"/>
          <w:i/>
          <w:color w:val="000000"/>
        </w:rPr>
        <w:t>Criterion or convergent/predictive validity for outcome measurement/risk factor measurement</w:t>
      </w:r>
      <w:r w:rsidRPr="00CD2B78">
        <w:rPr>
          <w:rFonts w:ascii="Calibri" w:eastAsia="Calibri" w:hAnsi="Calibri" w:cs="FKNBDB+TimesNewRoman"/>
          <w:i/>
          <w:color w:val="000000"/>
        </w:rPr>
        <w:t>:</w:t>
      </w:r>
      <w:r w:rsidRPr="006025EE">
        <w:rPr>
          <w:rFonts w:ascii="Calibri" w:eastAsia="Calibri" w:hAnsi="Calibri" w:cs="FKNBDB+TimesNewRoman"/>
          <w:color w:val="000000"/>
        </w:rPr>
        <w:t xml:space="preserve"> The item was tested empirically for use in conjunction with outcome measures or risk factors predictive of patient outcomes. The item was found to be related to other indicators of health status and patient outcomes in a statistically significant and clinically meaningful way. </w:t>
      </w:r>
    </w:p>
    <w:p w14:paraId="6B8AE47B" w14:textId="1C4A785E" w:rsidR="006025EE" w:rsidRDefault="00BB579C" w:rsidP="006025EE">
      <w:pPr>
        <w:pStyle w:val="ListParagraph"/>
        <w:numPr>
          <w:ilvl w:val="0"/>
          <w:numId w:val="37"/>
        </w:numPr>
        <w:autoSpaceDE w:val="0"/>
        <w:autoSpaceDN w:val="0"/>
        <w:adjustRightInd w:val="0"/>
        <w:spacing w:after="120" w:line="276" w:lineRule="atLeast"/>
        <w:contextualSpacing w:val="0"/>
        <w:jc w:val="both"/>
        <w:rPr>
          <w:rFonts w:ascii="Calibri" w:eastAsia="Calibri" w:hAnsi="Calibri" w:cs="FKNBDB+TimesNewRoman"/>
          <w:color w:val="000000"/>
        </w:rPr>
      </w:pPr>
      <w:r w:rsidRPr="00CD2B78">
        <w:rPr>
          <w:rFonts w:ascii="Calibri" w:eastAsia="Calibri" w:hAnsi="Calibri" w:cs="FKNNFM+TimesNewRoman,Italic"/>
          <w:i/>
          <w:color w:val="000000"/>
        </w:rPr>
        <w:t>Convergent/predictive validity:</w:t>
      </w:r>
      <w:r w:rsidRPr="00CD2B78">
        <w:rPr>
          <w:rFonts w:ascii="Calibri" w:eastAsia="Calibri" w:hAnsi="Calibri" w:cs="FKNNFM+TimesNewRoman,Italic"/>
          <w:color w:val="000000"/>
        </w:rPr>
        <w:t xml:space="preserve"> Case mix adjustment for payment</w:t>
      </w:r>
      <w:r w:rsidRPr="00CD2B78">
        <w:rPr>
          <w:rFonts w:ascii="Calibri" w:eastAsia="Calibri" w:hAnsi="Calibri" w:cs="FKNBDB+TimesNewRoman"/>
          <w:color w:val="000000"/>
        </w:rPr>
        <w:t>: The item was tested and is used in the grouping algorithm that, in part, determines the per-episode payment to home health agencies for care provided under the Medicare home health benefit.</w:t>
      </w:r>
    </w:p>
    <w:p w14:paraId="42E9BE43" w14:textId="4A6C2ECE" w:rsidR="00BB579C" w:rsidRPr="006025EE" w:rsidRDefault="00BB579C" w:rsidP="006025EE">
      <w:pPr>
        <w:pStyle w:val="ListParagraph"/>
        <w:numPr>
          <w:ilvl w:val="0"/>
          <w:numId w:val="37"/>
        </w:numPr>
        <w:autoSpaceDE w:val="0"/>
        <w:autoSpaceDN w:val="0"/>
        <w:adjustRightInd w:val="0"/>
        <w:spacing w:after="120" w:line="276" w:lineRule="atLeast"/>
        <w:contextualSpacing w:val="0"/>
        <w:jc w:val="both"/>
        <w:rPr>
          <w:rFonts w:ascii="Calibri" w:eastAsia="Calibri" w:hAnsi="Calibri" w:cs="FKNBDB+TimesNewRoman"/>
          <w:color w:val="000000"/>
        </w:rPr>
      </w:pPr>
      <w:r w:rsidRPr="00CD2B78">
        <w:rPr>
          <w:rFonts w:ascii="Calibri" w:eastAsia="Calibri" w:hAnsi="Calibri" w:cs="FKNNFM+TimesNewRoman,Italic"/>
          <w:i/>
          <w:color w:val="000000"/>
        </w:rPr>
        <w:t>Validation by patient assessment and care planning</w:t>
      </w:r>
      <w:r w:rsidRPr="00CD2B78">
        <w:rPr>
          <w:rFonts w:ascii="Calibri" w:eastAsia="Calibri" w:hAnsi="Calibri" w:cs="FKNBDB+TimesNewRoman"/>
          <w:i/>
          <w:color w:val="000000"/>
        </w:rPr>
        <w:t>:</w:t>
      </w:r>
      <w:r w:rsidRPr="006025EE">
        <w:rPr>
          <w:rFonts w:ascii="Calibri" w:eastAsia="Calibri" w:hAnsi="Calibri" w:cs="FKNBDB+TimesNewRoman"/>
          <w:color w:val="000000"/>
        </w:rPr>
        <w:t xml:space="preserve"> The item has been used by clinicians for patient assessment and care planning in several hundred home health agencies and has been reported by practicing clinicians to be effective and useful for these purposes.</w:t>
      </w:r>
    </w:p>
    <w:p w14:paraId="343CA191" w14:textId="77777777" w:rsidR="00BB579C" w:rsidRPr="007526FE" w:rsidRDefault="00BB579C" w:rsidP="00770FCB">
      <w:pPr>
        <w:autoSpaceDE w:val="0"/>
        <w:autoSpaceDN w:val="0"/>
        <w:adjustRightInd w:val="0"/>
        <w:spacing w:after="0" w:line="240" w:lineRule="auto"/>
        <w:ind w:left="1080"/>
        <w:rPr>
          <w:rFonts w:ascii="Calibri" w:eastAsia="Calibri" w:hAnsi="Calibri" w:cs="Times New Roman"/>
        </w:rPr>
      </w:pPr>
      <w:r w:rsidRPr="007526FE">
        <w:rPr>
          <w:rFonts w:ascii="Calibri" w:eastAsia="Calibri" w:hAnsi="Calibri" w:cs="Times New Roman"/>
        </w:rPr>
        <w:lastRenderedPageBreak/>
        <w:t>Results of these validation assessments are taken from the “Volume 4 : OASIS Chronicle and Recommendation” OASIS and Outcome-Based Quality Improvement in Home Health Care, November 2001, Center for Health Services Research, University of Colorado Health Sciences Center, Denver, CO.</w:t>
      </w:r>
    </w:p>
    <w:p w14:paraId="0CABCFDE" w14:textId="6F9D7309" w:rsidR="007422FD" w:rsidRPr="00092566" w:rsidRDefault="007422FD" w:rsidP="00092566">
      <w:pPr>
        <w:autoSpaceDE w:val="0"/>
        <w:autoSpaceDN w:val="0"/>
        <w:adjustRightInd w:val="0"/>
        <w:spacing w:after="0" w:line="240" w:lineRule="auto"/>
        <w:rPr>
          <w:rFonts w:cstheme="minorHAnsi"/>
          <w:bCs/>
        </w:rPr>
      </w:pPr>
    </w:p>
    <w:p w14:paraId="18088B40" w14:textId="77777777" w:rsidR="005B1C7D" w:rsidRDefault="009C7513" w:rsidP="00857EA3">
      <w:pPr>
        <w:rPr>
          <w:b/>
          <w:bCs/>
          <w:u w:val="single"/>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43BA387C" w14:textId="355D34CB" w:rsidR="00857EA3" w:rsidRDefault="00CF389A" w:rsidP="00CF389A">
      <w:pPr>
        <w:pStyle w:val="ListParagraph"/>
        <w:numPr>
          <w:ilvl w:val="0"/>
          <w:numId w:val="36"/>
        </w:numPr>
      </w:pPr>
      <w:r w:rsidRPr="00CF389A">
        <w:rPr>
          <w:b/>
          <w:u w:val="single"/>
        </w:rPr>
        <w:t>Validity of the Performance Measure Score:</w:t>
      </w:r>
      <w:r w:rsidRPr="00CF389A">
        <w:rPr>
          <w:b/>
          <w:bCs/>
          <w:u w:val="single"/>
        </w:rPr>
        <w:t xml:space="preserve"> </w:t>
      </w:r>
      <w:r w:rsidR="00857EA3">
        <w:t xml:space="preserve">As detailed in the </w:t>
      </w:r>
      <w:r w:rsidR="00857EA3" w:rsidRPr="007526FE">
        <w:t xml:space="preserve">Spearman Rank Correlations </w:t>
      </w:r>
      <w:r w:rsidR="00857EA3" w:rsidRPr="00451FC7">
        <w:t xml:space="preserve">table, the </w:t>
      </w:r>
      <w:r w:rsidR="00857EA3" w:rsidRPr="00CF389A">
        <w:rPr>
          <w:i/>
        </w:rPr>
        <w:t xml:space="preserve">Improvement in </w:t>
      </w:r>
      <w:r w:rsidR="00750DC0">
        <w:rPr>
          <w:i/>
        </w:rPr>
        <w:t>Pain Interfering with Activity</w:t>
      </w:r>
      <w:r w:rsidR="00857EA3" w:rsidRPr="00CF389A">
        <w:rPr>
          <w:i/>
        </w:rPr>
        <w:t xml:space="preserve"> </w:t>
      </w:r>
      <w:r w:rsidR="00857EA3" w:rsidRPr="00451FC7">
        <w:t xml:space="preserve">measure displays a </w:t>
      </w:r>
      <w:r w:rsidR="00857EA3" w:rsidRPr="00E8575A">
        <w:t>statistically significant positive correlation</w:t>
      </w:r>
      <w:r w:rsidR="00857EA3" w:rsidRPr="00451FC7">
        <w:t xml:space="preserve"> with several publicly-reported measures that similarly assess patient functioning and the quality of home health care, which lends evidence to the measure’s validity.  It may be that strong performance on the other measures directly leads to an improvement in </w:t>
      </w:r>
      <w:r w:rsidR="00750DC0">
        <w:t>pain interfering with activity</w:t>
      </w:r>
      <w:r w:rsidR="00857EA3" w:rsidRPr="00451FC7">
        <w:t xml:space="preserve">.  It may also be the case that high quality agencies perform well on both the </w:t>
      </w:r>
      <w:r w:rsidR="00857EA3" w:rsidRPr="00CF389A">
        <w:rPr>
          <w:i/>
        </w:rPr>
        <w:t xml:space="preserve">Improvement in </w:t>
      </w:r>
      <w:r w:rsidR="00750DC0">
        <w:rPr>
          <w:i/>
        </w:rPr>
        <w:t>Pain Interfering with Activity</w:t>
      </w:r>
      <w:r w:rsidR="00857EA3" w:rsidRPr="00CF389A">
        <w:rPr>
          <w:i/>
        </w:rPr>
        <w:t xml:space="preserve"> </w:t>
      </w:r>
      <w:r w:rsidR="00857EA3" w:rsidRPr="00451FC7">
        <w:t>measure and other OASIS-based measures of patient functioning and communication due to cultural</w:t>
      </w:r>
      <w:r w:rsidR="00857EA3">
        <w:t xml:space="preserve"> or organization-level factors.</w:t>
      </w:r>
    </w:p>
    <w:p w14:paraId="3DD6EA94" w14:textId="77777777" w:rsidR="00770FCB" w:rsidRDefault="00770FCB" w:rsidP="00770FCB">
      <w:pPr>
        <w:pStyle w:val="ListParagraph"/>
        <w:ind w:left="1080"/>
      </w:pPr>
    </w:p>
    <w:p w14:paraId="10A6E233" w14:textId="3C26013A" w:rsidR="00857EA3" w:rsidRDefault="00CF389A" w:rsidP="00CF389A">
      <w:pPr>
        <w:pStyle w:val="ListParagraph"/>
        <w:numPr>
          <w:ilvl w:val="0"/>
          <w:numId w:val="36"/>
        </w:numPr>
        <w:autoSpaceDE w:val="0"/>
        <w:autoSpaceDN w:val="0"/>
        <w:adjustRightInd w:val="0"/>
        <w:spacing w:after="0" w:line="240" w:lineRule="auto"/>
      </w:pPr>
      <w:r w:rsidRPr="00CF389A">
        <w:rPr>
          <w:b/>
          <w:u w:val="single"/>
        </w:rPr>
        <w:t xml:space="preserve">Validity of the Underlying Data Element: </w:t>
      </w:r>
      <w:r w:rsidR="00857EA3" w:rsidRPr="00D67A36">
        <w:t xml:space="preserve">Item validity was established based on results of testing described in section 2b2.2, above. </w:t>
      </w:r>
      <w:r w:rsidR="006025EE">
        <w:t xml:space="preserve">In addition, </w:t>
      </w:r>
      <w:r w:rsidR="006025EE">
        <w:rPr>
          <w:rFonts w:ascii="Calibri" w:eastAsia="Calibri" w:hAnsi="Calibri" w:cs="FKNBDB+TimesNewRoman"/>
          <w:color w:val="000000"/>
        </w:rPr>
        <w:t>t</w:t>
      </w:r>
      <w:r w:rsidR="00857EA3" w:rsidRPr="00CF389A">
        <w:rPr>
          <w:rFonts w:ascii="Calibri" w:eastAsia="Calibri" w:hAnsi="Calibri" w:cs="FKNBDB+TimesNewRoman"/>
          <w:color w:val="000000"/>
        </w:rPr>
        <w:t>he item was also reviewed as part of the OMB/PRA review process for the most recent OASIS data set revision which allowed for two national comment periods (60 days and 30 days) wherein the face validity of the item was supported by the comments received.</w:t>
      </w:r>
    </w:p>
    <w:p w14:paraId="0CABCFDF" w14:textId="1A4B2A0D"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770FCB" w:rsidRDefault="00092566" w:rsidP="00DB3627">
      <w:pPr>
        <w:autoSpaceDE w:val="0"/>
        <w:autoSpaceDN w:val="0"/>
        <w:adjustRightInd w:val="0"/>
        <w:spacing w:after="0" w:line="240" w:lineRule="auto"/>
        <w:rPr>
          <w:rFonts w:cstheme="minorHAnsi"/>
          <w:b/>
          <w:bCs/>
          <w:sz w:val="12"/>
        </w:rPr>
      </w:pPr>
      <w:r w:rsidRPr="00770FCB">
        <w:rPr>
          <w:rFonts w:cstheme="minorHAnsi"/>
          <w:b/>
          <w:bCs/>
        </w:rPr>
        <w:t>2b</w:t>
      </w:r>
      <w:r w:rsidR="009C7513" w:rsidRPr="00770FCB">
        <w:rPr>
          <w:rFonts w:cstheme="minorHAnsi"/>
          <w:b/>
          <w:bCs/>
        </w:rPr>
        <w:t>2</w:t>
      </w:r>
      <w:r w:rsidRPr="00770FCB">
        <w:rPr>
          <w:rFonts w:cstheme="minorHAnsi"/>
          <w:b/>
          <w:bCs/>
        </w:rPr>
        <w:t>.</w:t>
      </w:r>
      <w:r w:rsidR="00A25024" w:rsidRPr="00770FCB">
        <w:rPr>
          <w:rFonts w:cstheme="minorHAnsi"/>
          <w:b/>
          <w:bCs/>
        </w:rPr>
        <w:t>1. Describe the method of</w:t>
      </w:r>
      <w:r w:rsidR="00E672D6" w:rsidRPr="00770FCB">
        <w:rPr>
          <w:rFonts w:cstheme="minorHAnsi"/>
          <w:b/>
          <w:bCs/>
        </w:rPr>
        <w:t xml:space="preserve"> </w:t>
      </w:r>
      <w:r w:rsidR="005333CC" w:rsidRPr="00770FCB">
        <w:rPr>
          <w:rFonts w:cstheme="minorHAnsi"/>
          <w:b/>
          <w:bCs/>
        </w:rPr>
        <w:t>testing</w:t>
      </w:r>
      <w:r w:rsidR="00833325" w:rsidRPr="00770FCB">
        <w:rPr>
          <w:rFonts w:cstheme="minorHAnsi"/>
          <w:b/>
          <w:bCs/>
        </w:rPr>
        <w:t xml:space="preserve"> </w:t>
      </w:r>
      <w:r w:rsidR="004B6CEE" w:rsidRPr="00770FCB">
        <w:rPr>
          <w:rFonts w:cstheme="minorHAnsi"/>
          <w:b/>
          <w:bCs/>
        </w:rPr>
        <w:t xml:space="preserve">exclusions </w:t>
      </w:r>
      <w:r w:rsidR="00A25024" w:rsidRPr="00770FCB">
        <w:rPr>
          <w:rFonts w:cstheme="minorHAnsi"/>
          <w:b/>
          <w:bCs/>
        </w:rPr>
        <w:t>and what it tests</w:t>
      </w:r>
      <w:r w:rsidR="00833325" w:rsidRPr="00770FCB">
        <w:rPr>
          <w:rFonts w:cstheme="minorHAnsi"/>
          <w:b/>
          <w:bCs/>
        </w:rPr>
        <w:t xml:space="preserve"> (</w:t>
      </w:r>
      <w:r w:rsidR="00A25024" w:rsidRPr="00770FCB">
        <w:rPr>
          <w:rFonts w:cstheme="minorHAnsi"/>
          <w:b/>
          <w:bCs/>
          <w:i/>
        </w:rPr>
        <w:t>describe the steps―do not just name a method; what was tested, e.g., whether exclusions affect overall performance scores</w:t>
      </w:r>
      <w:r w:rsidR="0022691B" w:rsidRPr="00770FCB">
        <w:rPr>
          <w:rFonts w:cstheme="minorHAnsi"/>
          <w:b/>
          <w:bCs/>
          <w:i/>
        </w:rPr>
        <w:t>; what statistical analysis was used</w:t>
      </w:r>
      <w:r w:rsidR="00833325" w:rsidRPr="00770FCB">
        <w:rPr>
          <w:rFonts w:cstheme="minorHAnsi"/>
          <w:b/>
          <w:bCs/>
        </w:rPr>
        <w:t>)</w:t>
      </w:r>
      <w:r w:rsidR="00833325" w:rsidRPr="00770FCB">
        <w:rPr>
          <w:rFonts w:cstheme="minorHAnsi"/>
          <w:b/>
          <w:bCs/>
        </w:rPr>
        <w:br/>
        <w:t xml:space="preserve"> </w:t>
      </w:r>
    </w:p>
    <w:p w14:paraId="37FA11AE" w14:textId="3391719E" w:rsidR="00AA0BDA" w:rsidRDefault="00AA0BDA" w:rsidP="00AA0BDA">
      <w:r>
        <w:t xml:space="preserve">There are two major exclusion types for the </w:t>
      </w:r>
      <w:r w:rsidRPr="00451FC7">
        <w:rPr>
          <w:i/>
        </w:rPr>
        <w:t xml:space="preserve">Improvement in </w:t>
      </w:r>
      <w:r w:rsidR="00750DC0">
        <w:rPr>
          <w:i/>
        </w:rPr>
        <w:t>Pain Interfering with Activity</w:t>
      </w:r>
      <w:r w:rsidRPr="00451FC7">
        <w:rPr>
          <w:i/>
        </w:rPr>
        <w:t xml:space="preserve"> </w:t>
      </w:r>
      <w:r w:rsidRPr="00451FC7">
        <w:t xml:space="preserve">measure, including exclusions that are applicable to home health measures in general (i.e., generic exclusions) and exclusions that are specific to the </w:t>
      </w:r>
      <w:r w:rsidRPr="00451FC7">
        <w:rPr>
          <w:i/>
        </w:rPr>
        <w:t xml:space="preserve">Improvement in </w:t>
      </w:r>
      <w:r w:rsidR="00750DC0">
        <w:rPr>
          <w:i/>
        </w:rPr>
        <w:t>Pain Interfering with Activity</w:t>
      </w:r>
      <w:r w:rsidRPr="00451FC7">
        <w:rPr>
          <w:i/>
        </w:rPr>
        <w:t xml:space="preserve"> </w:t>
      </w:r>
      <w:r w:rsidRPr="00451FC7">
        <w:t>measure.  Generic exclusions include (i) children and maternity patients</w:t>
      </w:r>
      <w:r w:rsidR="008F27F1">
        <w:t xml:space="preserve"> and</w:t>
      </w:r>
      <w:r w:rsidR="008F27F1" w:rsidRPr="00451FC7">
        <w:t xml:space="preserve"> </w:t>
      </w:r>
      <w:r w:rsidRPr="00451FC7">
        <w:t>(ii) non-Medicare/non-Medicaid patients</w:t>
      </w:r>
      <w:r w:rsidR="008F27F1">
        <w:t>.</w:t>
      </w:r>
    </w:p>
    <w:p w14:paraId="6A4DD2D4" w14:textId="2E438274" w:rsidR="00AA0BDA" w:rsidRDefault="00AA0BDA" w:rsidP="00AA0BDA">
      <w:r w:rsidRPr="00451FC7">
        <w:t xml:space="preserve">Exclusions that are specific to the </w:t>
      </w:r>
      <w:r w:rsidRPr="00451FC7">
        <w:rPr>
          <w:i/>
        </w:rPr>
        <w:t xml:space="preserve">Improvement in </w:t>
      </w:r>
      <w:r w:rsidR="00750DC0">
        <w:rPr>
          <w:i/>
        </w:rPr>
        <w:t>Pain Interfering with Activity</w:t>
      </w:r>
      <w:r w:rsidRPr="00451FC7">
        <w:rPr>
          <w:i/>
        </w:rPr>
        <w:t xml:space="preserve"> </w:t>
      </w:r>
      <w:r w:rsidRPr="00451FC7">
        <w:t xml:space="preserve">measure include (i) episodes of care that did not end in discharge to community, (ii) </w:t>
      </w:r>
      <w:r w:rsidR="00770FCB" w:rsidRPr="00900637">
        <w:t>episodes did not have pain interfering with activity at baseline</w:t>
      </w:r>
      <w:r w:rsidRPr="00451FC7">
        <w:t xml:space="preserve">, and (iii) episodes in which the patient was non-responsive at baseline and therefore </w:t>
      </w:r>
      <w:r w:rsidR="00770FCB" w:rsidRPr="00900637">
        <w:t>not expected to improve in pain interfering with activity</w:t>
      </w:r>
      <w:r w:rsidRPr="00451FC7">
        <w:t>.</w:t>
      </w:r>
    </w:p>
    <w:p w14:paraId="469E0A33" w14:textId="3E1CE0FF" w:rsidR="00AA0BDA" w:rsidRDefault="00AA0BDA" w:rsidP="00AA0BDA">
      <w:r>
        <w:t xml:space="preserve">Abt calculated </w:t>
      </w:r>
      <w:r w:rsidRPr="00451FC7">
        <w:t xml:space="preserve">the frequency of the exclusions that are specific to the </w:t>
      </w:r>
      <w:r w:rsidRPr="00451FC7">
        <w:rPr>
          <w:i/>
        </w:rPr>
        <w:t xml:space="preserve">Improvement in </w:t>
      </w:r>
      <w:r w:rsidR="00750DC0">
        <w:rPr>
          <w:i/>
        </w:rPr>
        <w:t>Pain Interfering with Activity</w:t>
      </w:r>
      <w:r>
        <w:t xml:space="preserve">, by exclusion type.  </w:t>
      </w:r>
    </w:p>
    <w:p w14:paraId="0CABCFE5" w14:textId="77777777" w:rsidR="00833325" w:rsidRDefault="00833325" w:rsidP="00DB3627">
      <w:pPr>
        <w:autoSpaceDE w:val="0"/>
        <w:autoSpaceDN w:val="0"/>
        <w:adjustRightInd w:val="0"/>
        <w:spacing w:after="0" w:line="240" w:lineRule="auto"/>
        <w:rPr>
          <w:rFonts w:cstheme="minorHAnsi"/>
          <w:bCs/>
        </w:rPr>
      </w:pPr>
    </w:p>
    <w:p w14:paraId="3888734B" w14:textId="77777777" w:rsidR="00AA0BDA" w:rsidRPr="00770FCB" w:rsidRDefault="00092566" w:rsidP="00092566">
      <w:pPr>
        <w:autoSpaceDE w:val="0"/>
        <w:autoSpaceDN w:val="0"/>
        <w:adjustRightInd w:val="0"/>
        <w:spacing w:after="0" w:line="240" w:lineRule="auto"/>
        <w:rPr>
          <w:rFonts w:cstheme="minorHAnsi"/>
          <w:b/>
          <w:bCs/>
        </w:rPr>
      </w:pPr>
      <w:r w:rsidRPr="00770FCB">
        <w:rPr>
          <w:rFonts w:cstheme="minorHAnsi"/>
          <w:b/>
          <w:bCs/>
        </w:rPr>
        <w:t>2b</w:t>
      </w:r>
      <w:r w:rsidR="009C7513" w:rsidRPr="00770FCB">
        <w:rPr>
          <w:rFonts w:cstheme="minorHAnsi"/>
          <w:b/>
          <w:bCs/>
        </w:rPr>
        <w:t>2</w:t>
      </w:r>
      <w:r w:rsidRPr="00770FCB">
        <w:rPr>
          <w:rFonts w:cstheme="minorHAnsi"/>
          <w:b/>
          <w:bCs/>
        </w:rPr>
        <w:t>.</w:t>
      </w:r>
      <w:r w:rsidR="00A25024" w:rsidRPr="00770FCB">
        <w:rPr>
          <w:rFonts w:cstheme="minorHAnsi"/>
          <w:b/>
          <w:bCs/>
        </w:rPr>
        <w:t xml:space="preserve">2. </w:t>
      </w:r>
      <w:proofErr w:type="gramStart"/>
      <w:r w:rsidR="00833325" w:rsidRPr="00770FCB">
        <w:rPr>
          <w:rFonts w:cstheme="minorHAnsi"/>
          <w:b/>
          <w:bCs/>
        </w:rPr>
        <w:t>What</w:t>
      </w:r>
      <w:proofErr w:type="gramEnd"/>
      <w:r w:rsidR="00833325" w:rsidRPr="00770FCB">
        <w:rPr>
          <w:rFonts w:cstheme="minorHAnsi"/>
          <w:b/>
          <w:bCs/>
        </w:rPr>
        <w:t xml:space="preserve"> were the statistical results </w:t>
      </w:r>
      <w:r w:rsidR="007422FD" w:rsidRPr="00770FCB">
        <w:rPr>
          <w:rFonts w:cstheme="minorHAnsi"/>
          <w:b/>
          <w:bCs/>
        </w:rPr>
        <w:t>from testing exclusions</w:t>
      </w:r>
      <w:r w:rsidR="00833325" w:rsidRPr="00770FCB">
        <w:rPr>
          <w:rFonts w:cstheme="minorHAnsi"/>
          <w:b/>
          <w:bCs/>
        </w:rPr>
        <w:t>?</w:t>
      </w:r>
      <w:r w:rsidR="000B2DF7" w:rsidRPr="00770FCB">
        <w:rPr>
          <w:rFonts w:cstheme="minorHAnsi"/>
          <w:b/>
          <w:bCs/>
        </w:rPr>
        <w:t xml:space="preserve"> (</w:t>
      </w:r>
      <w:proofErr w:type="gramStart"/>
      <w:r w:rsidR="000B2DF7" w:rsidRPr="00770FCB">
        <w:rPr>
          <w:rFonts w:cstheme="minorHAnsi"/>
          <w:b/>
          <w:bCs/>
          <w:i/>
        </w:rPr>
        <w:t>include</w:t>
      </w:r>
      <w:proofErr w:type="gramEnd"/>
      <w:r w:rsidR="000B2DF7" w:rsidRPr="00770FCB">
        <w:rPr>
          <w:rFonts w:cstheme="minorHAnsi"/>
          <w:b/>
          <w:bCs/>
          <w:i/>
        </w:rPr>
        <w:t xml:space="preserve"> </w:t>
      </w:r>
      <w:r w:rsidR="00356BAD" w:rsidRPr="00770FCB">
        <w:rPr>
          <w:rFonts w:cstheme="minorHAnsi"/>
          <w:b/>
          <w:bCs/>
          <w:i/>
        </w:rPr>
        <w:t xml:space="preserve">overall </w:t>
      </w:r>
      <w:r w:rsidR="000B2DF7" w:rsidRPr="00770FCB">
        <w:rPr>
          <w:rFonts w:cstheme="minorHAnsi"/>
          <w:b/>
          <w:bCs/>
          <w:i/>
        </w:rPr>
        <w:t>number and percentage of individuals excluded</w:t>
      </w:r>
      <w:r w:rsidR="0025762F" w:rsidRPr="00770FCB">
        <w:rPr>
          <w:rFonts w:cstheme="minorHAnsi"/>
          <w:b/>
          <w:bCs/>
          <w:i/>
        </w:rPr>
        <w:t>, frequency distribution of exclusions across measured entities,</w:t>
      </w:r>
      <w:r w:rsidR="000B2DF7" w:rsidRPr="00770FCB">
        <w:rPr>
          <w:rFonts w:cstheme="minorHAnsi"/>
          <w:b/>
          <w:bCs/>
          <w:i/>
        </w:rPr>
        <w:t xml:space="preserve"> and impact on performance measure scores</w:t>
      </w:r>
      <w:r w:rsidR="000B2DF7" w:rsidRPr="00770FCB">
        <w:rPr>
          <w:rFonts w:cstheme="minorHAnsi"/>
          <w:b/>
          <w:bCs/>
        </w:rPr>
        <w:t>)</w:t>
      </w:r>
    </w:p>
    <w:p w14:paraId="6F782F60" w14:textId="77777777" w:rsidR="00AA0BDA" w:rsidRDefault="00AA0BDA" w:rsidP="00092566">
      <w:pPr>
        <w:autoSpaceDE w:val="0"/>
        <w:autoSpaceDN w:val="0"/>
        <w:adjustRightInd w:val="0"/>
        <w:spacing w:after="0" w:line="240" w:lineRule="auto"/>
        <w:rPr>
          <w:rFonts w:cstheme="minorHAnsi"/>
          <w:bCs/>
        </w:rPr>
      </w:pPr>
    </w:p>
    <w:p w14:paraId="02CE1D9F" w14:textId="4D91D6EA" w:rsidR="00AA0BDA" w:rsidRDefault="00AA0BDA" w:rsidP="00AA0BDA">
      <w:pPr>
        <w:spacing w:after="0"/>
        <w:jc w:val="center"/>
        <w:rPr>
          <w:b/>
        </w:rPr>
      </w:pPr>
      <w:r w:rsidRPr="0032079E">
        <w:rPr>
          <w:b/>
        </w:rPr>
        <w:t xml:space="preserve">Measure </w:t>
      </w:r>
      <w:r>
        <w:rPr>
          <w:b/>
        </w:rPr>
        <w:t>Denominator Exclusion, January 2016 to December 2016</w:t>
      </w:r>
    </w:p>
    <w:p w14:paraId="385302FA" w14:textId="77777777" w:rsidR="00AA0BDA" w:rsidRPr="0032079E" w:rsidRDefault="00AA0BDA" w:rsidP="00AA0BDA">
      <w:pPr>
        <w:spacing w:after="0"/>
        <w:jc w:val="center"/>
        <w:rPr>
          <w:b/>
        </w:rPr>
      </w:pPr>
    </w:p>
    <w:tbl>
      <w:tblPr>
        <w:tblW w:w="8149" w:type="dxa"/>
        <w:jc w:val="center"/>
        <w:tblCellMar>
          <w:left w:w="0" w:type="dxa"/>
          <w:right w:w="0" w:type="dxa"/>
        </w:tblCellMar>
        <w:tblLook w:val="04A0" w:firstRow="1" w:lastRow="0" w:firstColumn="1" w:lastColumn="0" w:noHBand="0" w:noVBand="1"/>
      </w:tblPr>
      <w:tblGrid>
        <w:gridCol w:w="4750"/>
        <w:gridCol w:w="1149"/>
        <w:gridCol w:w="1170"/>
        <w:gridCol w:w="1080"/>
      </w:tblGrid>
      <w:tr w:rsidR="00AA0BDA" w:rsidRPr="0032079E" w14:paraId="6E74B549" w14:textId="77777777" w:rsidTr="00F01E56">
        <w:trPr>
          <w:trHeight w:val="50"/>
          <w:jc w:val="center"/>
        </w:trPr>
        <w:tc>
          <w:tcPr>
            <w:tcW w:w="4750" w:type="dxa"/>
            <w:tcBorders>
              <w:top w:val="single" w:sz="4" w:space="0" w:color="auto"/>
              <w:left w:val="single" w:sz="4" w:space="0" w:color="auto"/>
              <w:bottom w:val="single" w:sz="4" w:space="0" w:color="auto"/>
              <w:right w:val="single" w:sz="4" w:space="0" w:color="auto"/>
            </w:tcBorders>
            <w:shd w:val="clear" w:color="auto" w:fill="CDECFF"/>
            <w:tcMar>
              <w:top w:w="15" w:type="dxa"/>
              <w:left w:w="108" w:type="dxa"/>
              <w:bottom w:w="0" w:type="dxa"/>
              <w:right w:w="108" w:type="dxa"/>
            </w:tcMar>
            <w:vAlign w:val="center"/>
            <w:hideMark/>
          </w:tcPr>
          <w:p w14:paraId="63A5FCB9" w14:textId="77777777" w:rsidR="00AA0BDA" w:rsidRPr="0032079E" w:rsidRDefault="00AA0BDA" w:rsidP="00F01E56">
            <w:pPr>
              <w:spacing w:after="0"/>
              <w:jc w:val="center"/>
              <w:rPr>
                <w:b/>
              </w:rPr>
            </w:pPr>
            <w:r w:rsidRPr="0032079E">
              <w:rPr>
                <w:b/>
              </w:rPr>
              <w:t>Home Health Stays</w:t>
            </w:r>
          </w:p>
        </w:tc>
        <w:tc>
          <w:tcPr>
            <w:tcW w:w="1149" w:type="dxa"/>
            <w:tcBorders>
              <w:top w:val="single" w:sz="4" w:space="0" w:color="auto"/>
              <w:left w:val="single" w:sz="4" w:space="0" w:color="auto"/>
              <w:bottom w:val="single" w:sz="4" w:space="0" w:color="auto"/>
              <w:right w:val="single" w:sz="4" w:space="0" w:color="auto"/>
            </w:tcBorders>
            <w:shd w:val="clear" w:color="auto" w:fill="CDECFF"/>
            <w:vAlign w:val="center"/>
          </w:tcPr>
          <w:p w14:paraId="71DD361F" w14:textId="77777777" w:rsidR="00AA0BDA" w:rsidRPr="0032079E" w:rsidRDefault="00AA0BDA" w:rsidP="00F01E56">
            <w:pPr>
              <w:spacing w:after="0"/>
              <w:jc w:val="center"/>
              <w:rPr>
                <w:b/>
              </w:rPr>
            </w:pPr>
            <w:r w:rsidRPr="0032079E">
              <w:rPr>
                <w:b/>
              </w:rPr>
              <w:t xml:space="preserve"># of </w:t>
            </w:r>
            <w:r>
              <w:rPr>
                <w:b/>
              </w:rPr>
              <w:t>Episodes</w:t>
            </w:r>
            <w:r w:rsidRPr="0032079E">
              <w:rPr>
                <w:b/>
              </w:rPr>
              <w:t xml:space="preserve"> Excluded</w:t>
            </w:r>
          </w:p>
        </w:tc>
        <w:tc>
          <w:tcPr>
            <w:tcW w:w="1170" w:type="dxa"/>
            <w:tcBorders>
              <w:top w:val="single" w:sz="4" w:space="0" w:color="auto"/>
              <w:left w:val="single" w:sz="4" w:space="0" w:color="auto"/>
              <w:bottom w:val="single" w:sz="4" w:space="0" w:color="auto"/>
              <w:right w:val="single" w:sz="4" w:space="0" w:color="auto"/>
            </w:tcBorders>
            <w:shd w:val="clear" w:color="auto" w:fill="CDECFF"/>
          </w:tcPr>
          <w:p w14:paraId="4E723933" w14:textId="77777777" w:rsidR="00AA0BDA" w:rsidRPr="0032079E" w:rsidRDefault="00AA0BDA" w:rsidP="00F01E56">
            <w:pPr>
              <w:spacing w:after="0"/>
              <w:jc w:val="center"/>
              <w:rPr>
                <w:b/>
              </w:rPr>
            </w:pPr>
            <w:r w:rsidRPr="0032079E">
              <w:rPr>
                <w:b/>
              </w:rPr>
              <w:t xml:space="preserve">% of </w:t>
            </w:r>
            <w:r>
              <w:rPr>
                <w:b/>
              </w:rPr>
              <w:t>Episodes</w:t>
            </w:r>
            <w:r w:rsidRPr="0032079E">
              <w:rPr>
                <w:b/>
              </w:rPr>
              <w:t xml:space="preserve"> Excluded</w:t>
            </w:r>
          </w:p>
        </w:tc>
        <w:tc>
          <w:tcPr>
            <w:tcW w:w="1080" w:type="dxa"/>
            <w:tcBorders>
              <w:top w:val="single" w:sz="4" w:space="0" w:color="auto"/>
              <w:left w:val="single" w:sz="4" w:space="0" w:color="auto"/>
              <w:bottom w:val="single" w:sz="4" w:space="0" w:color="auto"/>
              <w:right w:val="single" w:sz="4" w:space="0" w:color="auto"/>
            </w:tcBorders>
            <w:shd w:val="clear" w:color="auto" w:fill="CDECFF"/>
            <w:vAlign w:val="center"/>
          </w:tcPr>
          <w:p w14:paraId="0F092FA0" w14:textId="77777777" w:rsidR="00AA0BDA" w:rsidRPr="0032079E" w:rsidRDefault="00AA0BDA" w:rsidP="00F01E56">
            <w:pPr>
              <w:spacing w:after="0"/>
              <w:jc w:val="center"/>
              <w:rPr>
                <w:b/>
              </w:rPr>
            </w:pPr>
            <w:r>
              <w:rPr>
                <w:b/>
              </w:rPr>
              <w:t># of Episodes</w:t>
            </w:r>
            <w:r w:rsidRPr="0032079E">
              <w:rPr>
                <w:b/>
              </w:rPr>
              <w:t xml:space="preserve"> Remaining</w:t>
            </w:r>
          </w:p>
        </w:tc>
      </w:tr>
      <w:tr w:rsidR="00AA0BDA" w:rsidRPr="0032079E" w14:paraId="2E8A34E8" w14:textId="77777777" w:rsidTr="00F01E56">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0E5B9926" w14:textId="77777777" w:rsidR="00AA0BDA" w:rsidRPr="0032079E" w:rsidRDefault="00AA0BDA" w:rsidP="00F01E56">
            <w:pPr>
              <w:spacing w:after="0"/>
              <w:rPr>
                <w:b/>
              </w:rPr>
            </w:pPr>
            <w:r w:rsidRPr="0032079E">
              <w:t xml:space="preserve">A. </w:t>
            </w:r>
            <w:r>
              <w:t>All home health episodes</w:t>
            </w:r>
          </w:p>
        </w:tc>
        <w:tc>
          <w:tcPr>
            <w:tcW w:w="1149" w:type="dxa"/>
            <w:tcBorders>
              <w:top w:val="single" w:sz="4" w:space="0" w:color="auto"/>
              <w:left w:val="single" w:sz="4" w:space="0" w:color="auto"/>
              <w:bottom w:val="single" w:sz="4" w:space="0" w:color="auto"/>
              <w:right w:val="single" w:sz="4" w:space="0" w:color="auto"/>
            </w:tcBorders>
            <w:vAlign w:val="center"/>
          </w:tcPr>
          <w:p w14:paraId="6B0F025F" w14:textId="77777777" w:rsidR="00AA0BDA" w:rsidRPr="009E3056" w:rsidRDefault="00AA0BDA" w:rsidP="00F01E56">
            <w:pPr>
              <w:spacing w:after="0"/>
              <w:jc w:val="center"/>
            </w:pPr>
            <w:r w:rsidRPr="009E3056">
              <w:t>N/A</w:t>
            </w:r>
          </w:p>
        </w:tc>
        <w:tc>
          <w:tcPr>
            <w:tcW w:w="1170" w:type="dxa"/>
            <w:tcBorders>
              <w:top w:val="single" w:sz="4" w:space="0" w:color="auto"/>
              <w:left w:val="single" w:sz="4" w:space="0" w:color="auto"/>
              <w:bottom w:val="single" w:sz="4" w:space="0" w:color="auto"/>
              <w:right w:val="single" w:sz="4" w:space="0" w:color="auto"/>
            </w:tcBorders>
            <w:vAlign w:val="center"/>
          </w:tcPr>
          <w:p w14:paraId="39DADFDD" w14:textId="77777777" w:rsidR="00AA0BDA" w:rsidRPr="009E3056" w:rsidRDefault="00AA0BDA" w:rsidP="00F01E56">
            <w:pPr>
              <w:spacing w:after="0"/>
              <w:jc w:val="center"/>
            </w:pPr>
            <w:r w:rsidRPr="009E3056">
              <w:t>N/A</w:t>
            </w:r>
          </w:p>
        </w:tc>
        <w:tc>
          <w:tcPr>
            <w:tcW w:w="1080" w:type="dxa"/>
            <w:tcBorders>
              <w:top w:val="single" w:sz="4" w:space="0" w:color="auto"/>
              <w:left w:val="single" w:sz="4" w:space="0" w:color="auto"/>
              <w:bottom w:val="single" w:sz="4" w:space="0" w:color="auto"/>
              <w:right w:val="single" w:sz="4" w:space="0" w:color="auto"/>
            </w:tcBorders>
            <w:vAlign w:val="center"/>
          </w:tcPr>
          <w:p w14:paraId="1CCAE399" w14:textId="6EEEA28D" w:rsidR="00AA0BDA" w:rsidRPr="009E3056" w:rsidRDefault="00AA0BDA" w:rsidP="00F01E56">
            <w:pPr>
              <w:spacing w:after="0"/>
              <w:jc w:val="center"/>
            </w:pPr>
            <w:r>
              <w:t>6,437,455</w:t>
            </w:r>
          </w:p>
        </w:tc>
      </w:tr>
      <w:tr w:rsidR="00AA0BDA" w:rsidRPr="0032079E" w14:paraId="67DBDDDE" w14:textId="77777777" w:rsidTr="00F01E56">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071C7756" w14:textId="77777777" w:rsidR="00AA0BDA" w:rsidRPr="0032079E" w:rsidRDefault="00AA0BDA" w:rsidP="00F01E56">
            <w:pPr>
              <w:spacing w:after="0"/>
            </w:pPr>
            <w:r w:rsidRPr="0032079E">
              <w:t xml:space="preserve">B. </w:t>
            </w:r>
            <w:r>
              <w:t xml:space="preserve">Home health episodes that exclude episodes that did not end in discharge to community </w:t>
            </w:r>
          </w:p>
        </w:tc>
        <w:tc>
          <w:tcPr>
            <w:tcW w:w="1149" w:type="dxa"/>
            <w:tcBorders>
              <w:top w:val="single" w:sz="4" w:space="0" w:color="auto"/>
              <w:left w:val="single" w:sz="4" w:space="0" w:color="auto"/>
              <w:bottom w:val="single" w:sz="4" w:space="0" w:color="auto"/>
              <w:right w:val="single" w:sz="4" w:space="0" w:color="auto"/>
            </w:tcBorders>
            <w:vAlign w:val="center"/>
          </w:tcPr>
          <w:p w14:paraId="6A1AC38E" w14:textId="53DEE95E" w:rsidR="00AA0BDA" w:rsidRPr="009E3056" w:rsidRDefault="00AA0BDA" w:rsidP="00F01E56">
            <w:pPr>
              <w:spacing w:after="0"/>
              <w:jc w:val="center"/>
            </w:pPr>
            <w:r>
              <w:t>1,764,228</w:t>
            </w:r>
          </w:p>
        </w:tc>
        <w:tc>
          <w:tcPr>
            <w:tcW w:w="1170" w:type="dxa"/>
            <w:tcBorders>
              <w:top w:val="single" w:sz="4" w:space="0" w:color="auto"/>
              <w:left w:val="single" w:sz="4" w:space="0" w:color="auto"/>
              <w:bottom w:val="single" w:sz="4" w:space="0" w:color="auto"/>
              <w:right w:val="single" w:sz="4" w:space="0" w:color="auto"/>
            </w:tcBorders>
            <w:vAlign w:val="center"/>
          </w:tcPr>
          <w:p w14:paraId="1FCD09F6" w14:textId="29AB9570" w:rsidR="00AA0BDA" w:rsidRPr="009E3056" w:rsidRDefault="00AA0BDA" w:rsidP="00F01E56">
            <w:pPr>
              <w:spacing w:after="0"/>
              <w:jc w:val="center"/>
            </w:pPr>
            <w:r>
              <w:t>27.4</w:t>
            </w:r>
          </w:p>
        </w:tc>
        <w:tc>
          <w:tcPr>
            <w:tcW w:w="1080" w:type="dxa"/>
            <w:tcBorders>
              <w:top w:val="single" w:sz="4" w:space="0" w:color="auto"/>
              <w:left w:val="single" w:sz="4" w:space="0" w:color="auto"/>
              <w:bottom w:val="single" w:sz="4" w:space="0" w:color="auto"/>
              <w:right w:val="single" w:sz="4" w:space="0" w:color="auto"/>
            </w:tcBorders>
            <w:vAlign w:val="center"/>
          </w:tcPr>
          <w:p w14:paraId="1803E103" w14:textId="0CEEF35C" w:rsidR="00AA0BDA" w:rsidRPr="009E3056" w:rsidRDefault="00AA0BDA" w:rsidP="008F27F1">
            <w:pPr>
              <w:spacing w:after="0"/>
              <w:jc w:val="center"/>
            </w:pPr>
            <w:r>
              <w:t>4,673,227</w:t>
            </w:r>
          </w:p>
        </w:tc>
      </w:tr>
      <w:tr w:rsidR="00750DC0" w:rsidRPr="0032079E" w14:paraId="6C84AB3E" w14:textId="77777777" w:rsidTr="00750DC0">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78DB8D2C" w14:textId="4E437441" w:rsidR="00750DC0" w:rsidRPr="0032079E" w:rsidRDefault="00750DC0" w:rsidP="00750DC0">
            <w:pPr>
              <w:spacing w:after="0"/>
            </w:pPr>
            <w:r w:rsidRPr="00E4157D">
              <w:t xml:space="preserve">C. Home health episodes from B that exclude episodes for which the patient, at start/resumption of care, </w:t>
            </w:r>
            <w:r w:rsidR="00770FCB">
              <w:rPr>
                <w:rFonts w:ascii="Calibri" w:hAnsi="Calibri"/>
                <w:color w:val="000000"/>
              </w:rPr>
              <w:t>did not have pain interfering with activity</w:t>
            </w:r>
          </w:p>
        </w:tc>
        <w:tc>
          <w:tcPr>
            <w:tcW w:w="1149" w:type="dxa"/>
            <w:tcBorders>
              <w:top w:val="single" w:sz="4" w:space="0" w:color="auto"/>
              <w:left w:val="single" w:sz="4" w:space="0" w:color="auto"/>
              <w:bottom w:val="single" w:sz="4" w:space="0" w:color="auto"/>
              <w:right w:val="single" w:sz="4" w:space="0" w:color="auto"/>
            </w:tcBorders>
            <w:vAlign w:val="center"/>
          </w:tcPr>
          <w:p w14:paraId="19C3D709" w14:textId="78F20F5F" w:rsidR="00750DC0" w:rsidRPr="009E3056" w:rsidRDefault="00750DC0" w:rsidP="00750DC0">
            <w:pPr>
              <w:spacing w:after="0"/>
              <w:jc w:val="center"/>
            </w:pPr>
            <w:r>
              <w:rPr>
                <w:rFonts w:ascii="Calibri" w:hAnsi="Calibri" w:cs="Calibri"/>
                <w:color w:val="000000"/>
              </w:rPr>
              <w:t>773,309</w:t>
            </w:r>
          </w:p>
        </w:tc>
        <w:tc>
          <w:tcPr>
            <w:tcW w:w="1170" w:type="dxa"/>
            <w:tcBorders>
              <w:top w:val="single" w:sz="4" w:space="0" w:color="auto"/>
              <w:left w:val="single" w:sz="4" w:space="0" w:color="auto"/>
              <w:bottom w:val="single" w:sz="4" w:space="0" w:color="auto"/>
              <w:right w:val="single" w:sz="4" w:space="0" w:color="auto"/>
            </w:tcBorders>
            <w:vAlign w:val="center"/>
          </w:tcPr>
          <w:p w14:paraId="091D261A" w14:textId="7944A705" w:rsidR="00750DC0" w:rsidRPr="009E3056" w:rsidRDefault="00750DC0" w:rsidP="00750DC0">
            <w:pPr>
              <w:spacing w:after="0"/>
              <w:jc w:val="center"/>
            </w:pPr>
            <w:r>
              <w:rPr>
                <w:rFonts w:ascii="Calibri" w:hAnsi="Calibri" w:cs="Calibri"/>
                <w:color w:val="000000"/>
              </w:rPr>
              <w:t>16.5</w:t>
            </w:r>
          </w:p>
        </w:tc>
        <w:tc>
          <w:tcPr>
            <w:tcW w:w="1080" w:type="dxa"/>
            <w:tcBorders>
              <w:top w:val="single" w:sz="4" w:space="0" w:color="auto"/>
              <w:left w:val="single" w:sz="4" w:space="0" w:color="auto"/>
              <w:bottom w:val="single" w:sz="4" w:space="0" w:color="auto"/>
              <w:right w:val="single" w:sz="4" w:space="0" w:color="auto"/>
            </w:tcBorders>
            <w:vAlign w:val="center"/>
          </w:tcPr>
          <w:p w14:paraId="3E4B5EE7" w14:textId="59C8603A" w:rsidR="00750DC0" w:rsidRPr="009E3056" w:rsidRDefault="00750DC0" w:rsidP="00750DC0">
            <w:pPr>
              <w:spacing w:after="0"/>
              <w:jc w:val="center"/>
            </w:pPr>
            <w:r>
              <w:rPr>
                <w:rFonts w:ascii="Calibri" w:hAnsi="Calibri" w:cs="Calibri"/>
                <w:color w:val="000000"/>
              </w:rPr>
              <w:t>3,899,918</w:t>
            </w:r>
          </w:p>
        </w:tc>
      </w:tr>
      <w:tr w:rsidR="00750DC0" w:rsidRPr="0032079E" w14:paraId="1BBF84C5" w14:textId="77777777" w:rsidTr="00750DC0">
        <w:trPr>
          <w:trHeight w:val="50"/>
          <w:jc w:val="center"/>
        </w:trPr>
        <w:tc>
          <w:tcPr>
            <w:tcW w:w="4750"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bottom"/>
          </w:tcPr>
          <w:p w14:paraId="38AA55DF" w14:textId="77777777" w:rsidR="00750DC0" w:rsidRPr="0032079E" w:rsidRDefault="00750DC0" w:rsidP="00750DC0">
            <w:pPr>
              <w:spacing w:after="0"/>
            </w:pPr>
            <w:r w:rsidRPr="00E4157D">
              <w:t>D. Home health episodes from C that exclude episodes in which the patient is nonresponsive</w:t>
            </w:r>
          </w:p>
        </w:tc>
        <w:tc>
          <w:tcPr>
            <w:tcW w:w="1149" w:type="dxa"/>
            <w:tcBorders>
              <w:top w:val="single" w:sz="4" w:space="0" w:color="auto"/>
              <w:left w:val="single" w:sz="4" w:space="0" w:color="auto"/>
              <w:bottom w:val="single" w:sz="4" w:space="0" w:color="auto"/>
              <w:right w:val="single" w:sz="4" w:space="0" w:color="auto"/>
            </w:tcBorders>
            <w:vAlign w:val="center"/>
          </w:tcPr>
          <w:p w14:paraId="79AD1883" w14:textId="7720832F" w:rsidR="00750DC0" w:rsidRPr="009E3056" w:rsidRDefault="00750DC0" w:rsidP="00750DC0">
            <w:pPr>
              <w:spacing w:after="0"/>
              <w:jc w:val="center"/>
            </w:pPr>
            <w:r>
              <w:rPr>
                <w:rFonts w:ascii="Calibri" w:hAnsi="Calibri" w:cs="Calibri"/>
                <w:color w:val="000000"/>
              </w:rPr>
              <w:t>23,566</w:t>
            </w:r>
          </w:p>
        </w:tc>
        <w:tc>
          <w:tcPr>
            <w:tcW w:w="1170" w:type="dxa"/>
            <w:tcBorders>
              <w:top w:val="single" w:sz="4" w:space="0" w:color="auto"/>
              <w:left w:val="single" w:sz="4" w:space="0" w:color="auto"/>
              <w:bottom w:val="single" w:sz="4" w:space="0" w:color="auto"/>
              <w:right w:val="single" w:sz="4" w:space="0" w:color="auto"/>
            </w:tcBorders>
            <w:vAlign w:val="center"/>
          </w:tcPr>
          <w:p w14:paraId="009244E4" w14:textId="3555946A" w:rsidR="00750DC0" w:rsidRPr="009E3056" w:rsidRDefault="00750DC0" w:rsidP="00750DC0">
            <w:pPr>
              <w:spacing w:after="0"/>
              <w:jc w:val="center"/>
            </w:pPr>
            <w:r>
              <w:rPr>
                <w:rFonts w:ascii="Calibri" w:hAnsi="Calibri" w:cs="Calibri"/>
                <w:color w:val="000000"/>
              </w:rPr>
              <w:t>0.6</w:t>
            </w:r>
          </w:p>
        </w:tc>
        <w:tc>
          <w:tcPr>
            <w:tcW w:w="1080" w:type="dxa"/>
            <w:tcBorders>
              <w:top w:val="single" w:sz="4" w:space="0" w:color="auto"/>
              <w:left w:val="single" w:sz="4" w:space="0" w:color="auto"/>
              <w:bottom w:val="single" w:sz="4" w:space="0" w:color="auto"/>
              <w:right w:val="single" w:sz="4" w:space="0" w:color="auto"/>
            </w:tcBorders>
            <w:vAlign w:val="center"/>
          </w:tcPr>
          <w:p w14:paraId="06699681" w14:textId="2F2B8764" w:rsidR="00750DC0" w:rsidRPr="009E3056" w:rsidRDefault="00750DC0" w:rsidP="00750DC0">
            <w:pPr>
              <w:spacing w:after="0"/>
              <w:jc w:val="center"/>
            </w:pPr>
            <w:r>
              <w:rPr>
                <w:rFonts w:ascii="Calibri" w:hAnsi="Calibri" w:cs="Calibri"/>
                <w:color w:val="000000"/>
              </w:rPr>
              <w:t>3,876,352</w:t>
            </w:r>
          </w:p>
        </w:tc>
      </w:tr>
    </w:tbl>
    <w:p w14:paraId="0CABCFE6" w14:textId="65BBC4C2" w:rsidR="007422FD" w:rsidRDefault="00833325" w:rsidP="00092566">
      <w:pPr>
        <w:autoSpaceDE w:val="0"/>
        <w:autoSpaceDN w:val="0"/>
        <w:adjustRightInd w:val="0"/>
        <w:spacing w:after="0" w:line="240" w:lineRule="auto"/>
        <w:rPr>
          <w:rFonts w:cstheme="minorHAnsi"/>
          <w:bCs/>
        </w:rPr>
      </w:pPr>
      <w:r w:rsidRPr="00A25024">
        <w:rPr>
          <w:rFonts w:cstheme="minorHAnsi"/>
          <w:bCs/>
        </w:rPr>
        <w:br/>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7FFF052" w14:textId="77777777" w:rsidR="00AA0BDA"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75D6701F" w14:textId="77777777" w:rsidR="00AA0BDA" w:rsidRDefault="00AA0BDA" w:rsidP="00DB3627">
      <w:pPr>
        <w:autoSpaceDE w:val="0"/>
        <w:autoSpaceDN w:val="0"/>
        <w:adjustRightInd w:val="0"/>
        <w:spacing w:after="0" w:line="240" w:lineRule="auto"/>
        <w:rPr>
          <w:rFonts w:cstheme="minorHAnsi"/>
          <w:bCs/>
        </w:rPr>
      </w:pPr>
    </w:p>
    <w:p w14:paraId="1E520F0D" w14:textId="48C416B9" w:rsidR="00AA0BDA" w:rsidRDefault="00AA0BDA" w:rsidP="00AA0BDA">
      <w:r>
        <w:t xml:space="preserve">All the measure exclusions are conceptually justified, so the measure developer did not conduct further statistical analyses to test the exclusions.  The remainder of this response provides justifications for the exclusions for the </w:t>
      </w:r>
      <w:r>
        <w:rPr>
          <w:i/>
        </w:rPr>
        <w:t xml:space="preserve">Improvement in </w:t>
      </w:r>
      <w:r w:rsidR="00750DC0">
        <w:rPr>
          <w:i/>
        </w:rPr>
        <w:t>Pain Interfering with Activity</w:t>
      </w:r>
      <w:r>
        <w:t xml:space="preserve"> measure.   </w:t>
      </w:r>
    </w:p>
    <w:p w14:paraId="4D18294F" w14:textId="464AEF36" w:rsidR="00AA0BDA" w:rsidRDefault="00AA0BDA" w:rsidP="00AA0BDA">
      <w:r>
        <w:t xml:space="preserve">Exclusions that are specific </w:t>
      </w:r>
      <w:r w:rsidRPr="00451FC7">
        <w:t xml:space="preserve">to the </w:t>
      </w:r>
      <w:r w:rsidRPr="00451FC7">
        <w:rPr>
          <w:i/>
        </w:rPr>
        <w:t xml:space="preserve">Improvement in </w:t>
      </w:r>
      <w:r w:rsidR="00750DC0">
        <w:rPr>
          <w:i/>
        </w:rPr>
        <w:t>Pain Interfering with Activity</w:t>
      </w:r>
      <w:r w:rsidRPr="00451FC7">
        <w:rPr>
          <w:i/>
        </w:rPr>
        <w:t xml:space="preserve"> </w:t>
      </w:r>
      <w:r w:rsidRPr="00451FC7">
        <w:t xml:space="preserve">measure include (i) episodes of care that did not end in discharge to community (i.e., episodes of care that ended in transfer to </w:t>
      </w:r>
      <w:r w:rsidRPr="00770FCB">
        <w:t xml:space="preserve">inpatient facility or death at home), (ii) episodes in which the patient </w:t>
      </w:r>
      <w:r w:rsidR="00750DC0" w:rsidRPr="00770FCB">
        <w:t>did not have pain</w:t>
      </w:r>
      <w:r w:rsidR="00770FCB" w:rsidRPr="00770FCB">
        <w:t xml:space="preserve"> interfering with activity</w:t>
      </w:r>
      <w:r w:rsidRPr="00770FCB">
        <w:t xml:space="preserve"> at baseline, and (iii) episodes in which the patient was non-responsive at baseline.  For exclusion (i), the information needed</w:t>
      </w:r>
      <w:r w:rsidRPr="00451FC7">
        <w:t xml:space="preserve"> to calculate the measure is not collected for these episodes of care.  Exclusions (ii),</w:t>
      </w:r>
      <w:r>
        <w:t xml:space="preserve"> and (iii) are justified because it would be impossible for these patients to demonstrate measurable improvement in </w:t>
      </w:r>
      <w:r w:rsidR="00307886">
        <w:t>pain interfering with activity</w:t>
      </w:r>
      <w:r>
        <w:t xml:space="preserve"> over the episode of care.  </w:t>
      </w:r>
      <w:r w:rsidRPr="00555392">
        <w:t xml:space="preserve"> </w:t>
      </w:r>
    </w:p>
    <w:p w14:paraId="32F58F65" w14:textId="77777777" w:rsidR="00AA0BDA" w:rsidRPr="003F1CF9" w:rsidRDefault="00AA0BDA" w:rsidP="00AA0BDA">
      <w:r>
        <w:t>The generic exclusions for this measure include:</w:t>
      </w:r>
      <w:r w:rsidRPr="003F1CF9">
        <w:t xml:space="preserve"> </w:t>
      </w:r>
    </w:p>
    <w:p w14:paraId="118AEB6A" w14:textId="77777777" w:rsidR="00AA0BDA" w:rsidRPr="003F1CF9" w:rsidRDefault="00AA0BDA" w:rsidP="00AA0BDA">
      <w:pPr>
        <w:pStyle w:val="ListParagraph"/>
        <w:numPr>
          <w:ilvl w:val="0"/>
          <w:numId w:val="30"/>
        </w:numPr>
      </w:pPr>
      <w:r w:rsidRPr="00310BD2">
        <w:rPr>
          <w:i/>
        </w:rPr>
        <w:t>Children And Maternity Patients</w:t>
      </w:r>
      <w:r w:rsidRPr="003F1CF9">
        <w:t xml:space="preserve"> - The OASIS data set items are designed to be collected for non-maternity, adult patients who are 18 years and older. Maternity patients, and patients less than 18 years of age are excluded.  </w:t>
      </w:r>
    </w:p>
    <w:p w14:paraId="1975ED32" w14:textId="0A2491B8" w:rsidR="00AA0BDA" w:rsidRPr="003F1CF9" w:rsidRDefault="00AA0BDA" w:rsidP="00AA0BDA">
      <w:pPr>
        <w:pStyle w:val="ListParagraph"/>
        <w:numPr>
          <w:ilvl w:val="0"/>
          <w:numId w:val="30"/>
        </w:numPr>
      </w:pPr>
      <w:r w:rsidRPr="00310BD2">
        <w:rPr>
          <w:i/>
        </w:rPr>
        <w:lastRenderedPageBreak/>
        <w:t>Non-Medicare/non-Medicaid Patients</w:t>
      </w:r>
      <w:r w:rsidRPr="003F1CF9">
        <w:t xml:space="preserve"> - Medicare-certified home health agencies are currently required to collect and submit OASIS data only on Medicare and Medicaid patients who are receiving skilled home health care.  .</w:t>
      </w:r>
    </w:p>
    <w:p w14:paraId="0CABCFE8" w14:textId="748BF120" w:rsidR="007422FD" w:rsidRPr="001F576B" w:rsidRDefault="001F576B" w:rsidP="001F576B">
      <w:pPr>
        <w:autoSpaceDE w:val="0"/>
        <w:autoSpaceDN w:val="0"/>
        <w:adjustRightInd w:val="0"/>
        <w:spacing w:after="0" w:line="240" w:lineRule="auto"/>
        <w:rPr>
          <w:rFonts w:cstheme="minorHAnsi"/>
          <w:bCs/>
        </w:rPr>
      </w:pPr>
      <w:r>
        <w:t>I</w:t>
      </w:r>
      <w:r w:rsidRPr="00ED2A30">
        <w:t>f the agency sample includes fewer than 20 episodes after all other patient-level exclusions are applied, or if the agency has been in operation less than six months</w:t>
      </w:r>
      <w:r w:rsidRPr="00ED2A30">
        <w:rPr>
          <w:rStyle w:val="CommentReference"/>
        </w:rPr>
        <w:annotationRef/>
      </w:r>
      <w:r w:rsidRPr="00ED2A30">
        <w:t>, then the data is suppressed from public reporting on Home Health Compare.</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E8575A" w:rsidRDefault="00ED2A30"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 xml:space="preserve">No risk </w:t>
      </w:r>
      <w:r w:rsidR="00033038" w:rsidRPr="00E8575A">
        <w:rPr>
          <w:rFonts w:cstheme="minorHAnsi"/>
          <w:b/>
          <w:bCs/>
        </w:rPr>
        <w:t>adjustment or stratification</w:t>
      </w:r>
    </w:p>
    <w:p w14:paraId="0CABCFEE" w14:textId="37AE450C" w:rsidR="00743E46" w:rsidRPr="00E8575A" w:rsidRDefault="00ED2A30"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0167DD" w:rsidRPr="00E8575A">
            <w:rPr>
              <w:rFonts w:ascii="MS Gothic" w:eastAsia="MS Gothic" w:hAnsi="MS Gothic" w:cstheme="minorHAnsi" w:hint="eastAsia"/>
              <w:bCs/>
              <w:color w:val="0000FF"/>
            </w:rPr>
            <w:t>☒</w:t>
          </w:r>
        </w:sdtContent>
      </w:sdt>
      <w:r w:rsidR="006574D2" w:rsidRPr="00E8575A">
        <w:rPr>
          <w:rFonts w:cstheme="minorHAnsi"/>
          <w:bCs/>
          <w:color w:val="0000FF"/>
        </w:rPr>
        <w:t xml:space="preserve"> </w:t>
      </w:r>
      <w:r w:rsidR="00743E46" w:rsidRPr="00E8575A">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E8575A" w:rsidRPr="00E8575A">
            <w:rPr>
              <w:rStyle w:val="Style4"/>
              <w:u w:val="none"/>
            </w:rPr>
            <w:t>1</w:t>
          </w:r>
          <w:r w:rsidR="00E8575A">
            <w:rPr>
              <w:rStyle w:val="Style4"/>
              <w:u w:val="none"/>
            </w:rPr>
            <w:t>14</w:t>
          </w:r>
        </w:sdtContent>
      </w:sdt>
      <w:r w:rsidR="00E562C0" w:rsidRPr="00E8575A">
        <w:rPr>
          <w:rStyle w:val="Style4"/>
          <w:u w:val="none"/>
        </w:rPr>
        <w:t xml:space="preserve"> </w:t>
      </w:r>
      <w:r w:rsidR="00743E46" w:rsidRPr="00E8575A">
        <w:rPr>
          <w:rFonts w:cstheme="minorHAnsi"/>
          <w:b/>
          <w:bCs/>
        </w:rPr>
        <w:t>risk factors</w:t>
      </w:r>
    </w:p>
    <w:p w14:paraId="0CABCFEF" w14:textId="77777777" w:rsidR="00743E46" w:rsidRPr="00E8575A" w:rsidRDefault="00ED2A30"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E8575A">
            <w:rPr>
              <w:rFonts w:ascii="MS Gothic" w:eastAsia="MS Gothic" w:cstheme="minorHAnsi" w:hint="eastAsia"/>
              <w:bCs/>
              <w:color w:val="0000FF"/>
            </w:rPr>
            <w:t>☐</w:t>
          </w:r>
        </w:sdtContent>
      </w:sdt>
      <w:r w:rsidR="000414E8" w:rsidRPr="00E8575A">
        <w:rPr>
          <w:rFonts w:eastAsia="MS Mincho" w:cstheme="minorHAnsi"/>
          <w:b/>
          <w:bCs/>
          <w:color w:val="0000FF"/>
        </w:rPr>
        <w:t xml:space="preserve"> </w:t>
      </w:r>
      <w:r w:rsidR="00743E46" w:rsidRPr="00E8575A">
        <w:rPr>
          <w:rFonts w:cstheme="minorHAnsi"/>
          <w:b/>
          <w:bCs/>
        </w:rPr>
        <w:t xml:space="preserve">Stratification 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E8575A">
            <w:rPr>
              <w:rStyle w:val="PlaceholderText"/>
            </w:rPr>
            <w:t>Click here to enter number of categories</w:t>
          </w:r>
        </w:sdtContent>
      </w:sdt>
      <w:r w:rsidR="00E562C0" w:rsidRPr="00E8575A">
        <w:rPr>
          <w:rStyle w:val="Style4"/>
          <w:u w:val="none"/>
        </w:rPr>
        <w:t xml:space="preserve"> </w:t>
      </w:r>
      <w:r w:rsidR="00C33F2E" w:rsidRPr="00E8575A">
        <w:rPr>
          <w:rFonts w:cstheme="minorHAnsi"/>
          <w:b/>
          <w:bCs/>
        </w:rPr>
        <w:t xml:space="preserve">risk </w:t>
      </w:r>
      <w:r w:rsidR="00743E46" w:rsidRPr="00E8575A">
        <w:rPr>
          <w:rFonts w:cstheme="minorHAnsi"/>
          <w:b/>
          <w:bCs/>
        </w:rPr>
        <w:t>categories</w:t>
      </w:r>
    </w:p>
    <w:p w14:paraId="0CABCFF0" w14:textId="77777777" w:rsidR="00743E46" w:rsidRPr="00E8575A" w:rsidRDefault="00ED2A30"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E8575A">
            <w:rPr>
              <w:rFonts w:ascii="MS Gothic" w:eastAsia="MS Gothic" w:cstheme="minorHAnsi" w:hint="eastAsia"/>
              <w:bCs/>
              <w:color w:val="0000FF"/>
            </w:rPr>
            <w:t>☐</w:t>
          </w:r>
        </w:sdtContent>
      </w:sdt>
      <w:r w:rsidR="000414E8" w:rsidRPr="00E8575A">
        <w:rPr>
          <w:rFonts w:eastAsia="MS Mincho" w:cstheme="minorHAnsi"/>
          <w:b/>
          <w:bCs/>
          <w:color w:val="0000FF"/>
        </w:rPr>
        <w:t xml:space="preserve"> </w:t>
      </w:r>
      <w:r w:rsidR="00743E46" w:rsidRPr="00E8575A">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sidRPr="00E8575A">
            <w:rPr>
              <w:rStyle w:val="PlaceholderText"/>
            </w:rPr>
            <w:t>Click here to enter description</w:t>
          </w:r>
        </w:sdtContent>
      </w:sdt>
    </w:p>
    <w:p w14:paraId="0CABCFF1" w14:textId="77777777" w:rsidR="00743E46" w:rsidRPr="00E8575A" w:rsidRDefault="00743E46" w:rsidP="00092566">
      <w:pPr>
        <w:autoSpaceDE w:val="0"/>
        <w:autoSpaceDN w:val="0"/>
        <w:adjustRightInd w:val="0"/>
        <w:spacing w:after="0" w:line="240" w:lineRule="auto"/>
        <w:rPr>
          <w:rFonts w:cstheme="minorHAnsi"/>
          <w:b/>
          <w:bCs/>
        </w:rPr>
      </w:pPr>
    </w:p>
    <w:p w14:paraId="0CABCFF2" w14:textId="7B192693" w:rsidR="00092566" w:rsidRPr="00E8575A" w:rsidRDefault="000B7D57" w:rsidP="00F34FAB">
      <w:pPr>
        <w:autoSpaceDE w:val="0"/>
        <w:autoSpaceDN w:val="0"/>
        <w:adjustRightInd w:val="0"/>
        <w:spacing w:after="0" w:line="240" w:lineRule="auto"/>
        <w:rPr>
          <w:rFonts w:cstheme="minorHAnsi"/>
          <w:bCs/>
        </w:rPr>
      </w:pPr>
      <w:r w:rsidRPr="00E8575A">
        <w:rPr>
          <w:rFonts w:cstheme="minorHAnsi"/>
          <w:b/>
          <w:bCs/>
        </w:rPr>
        <w:t>2b</w:t>
      </w:r>
      <w:r w:rsidR="009C7513" w:rsidRPr="00E8575A">
        <w:rPr>
          <w:rFonts w:cstheme="minorHAnsi"/>
          <w:b/>
          <w:bCs/>
        </w:rPr>
        <w:t>3</w:t>
      </w:r>
      <w:r w:rsidRPr="00E8575A">
        <w:rPr>
          <w:rFonts w:cstheme="minorHAnsi"/>
          <w:b/>
          <w:bCs/>
        </w:rPr>
        <w:t xml:space="preserve">.1.1 </w:t>
      </w:r>
      <w:r w:rsidR="00F34FAB" w:rsidRPr="00E8575A">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5D9F9F66" w14:textId="334050BF" w:rsidR="009C6B71" w:rsidRPr="00E8575A" w:rsidRDefault="009C6B71" w:rsidP="009D3882">
      <w:pPr>
        <w:rPr>
          <w:rFonts w:cs="Calibri"/>
          <w:bCs/>
        </w:rPr>
      </w:pPr>
    </w:p>
    <w:p w14:paraId="36253AF6" w14:textId="585D29ED" w:rsidR="006D4428" w:rsidRPr="0034067E" w:rsidRDefault="009C6B71" w:rsidP="009D3882">
      <w:pPr>
        <w:rPr>
          <w:rFonts w:cs="Calibri"/>
          <w:bCs/>
        </w:rPr>
      </w:pPr>
      <w:r w:rsidRPr="00E8575A">
        <w:rPr>
          <w:rFonts w:cs="Calibri"/>
          <w:bCs/>
        </w:rPr>
        <w:t xml:space="preserve">The Improvement in </w:t>
      </w:r>
      <w:r w:rsidR="00307886" w:rsidRPr="00E8575A">
        <w:rPr>
          <w:rFonts w:cs="Calibri"/>
          <w:bCs/>
        </w:rPr>
        <w:t xml:space="preserve">Pain Interfering with </w:t>
      </w:r>
      <w:r w:rsidR="00ED2A30" w:rsidRPr="00E8575A">
        <w:rPr>
          <w:rFonts w:cs="Calibri"/>
          <w:bCs/>
        </w:rPr>
        <w:t>Activity</w:t>
      </w:r>
      <w:r w:rsidRPr="00E8575A">
        <w:rPr>
          <w:rFonts w:cs="Calibri"/>
          <w:bCs/>
        </w:rPr>
        <w:t xml:space="preserve"> risk adjustment model includes </w:t>
      </w:r>
      <w:r w:rsidR="00E8575A">
        <w:rPr>
          <w:rFonts w:cs="Calibri"/>
          <w:bCs/>
        </w:rPr>
        <w:t>114</w:t>
      </w:r>
      <w:r w:rsidRPr="00E8575A">
        <w:rPr>
          <w:rFonts w:cs="Calibri"/>
          <w:bCs/>
        </w:rPr>
        <w:t xml:space="preserve"> risk factors</w:t>
      </w:r>
      <w:r>
        <w:rPr>
          <w:rFonts w:cs="Calibri"/>
          <w:bCs/>
        </w:rPr>
        <w:t>. The specification of the risk factors, estimated coefficients, and methodology are provided in the attachment.</w:t>
      </w:r>
    </w:p>
    <w:p w14:paraId="1E77C4DD" w14:textId="77777777" w:rsidR="009C6B71" w:rsidRDefault="009C7513" w:rsidP="009D3882">
      <w:pPr>
        <w:rPr>
          <w:rFonts w:cs="Calibr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p>
    <w:p w14:paraId="0CABCFF4" w14:textId="73C819FD" w:rsidR="009D3882" w:rsidRPr="00D97456" w:rsidRDefault="009D3882" w:rsidP="009D3882">
      <w:pPr>
        <w:rPr>
          <w:rFonts w:cstheme="minorHAnsi"/>
          <w:bCs/>
        </w:rPr>
      </w:pPr>
      <w:r>
        <w:rPr>
          <w:rFonts w:cs="Calibri"/>
          <w:bCs/>
        </w:rPr>
        <w:br/>
      </w:r>
      <w:r w:rsidR="00D97456">
        <w:rPr>
          <w:rFonts w:cstheme="minorHAnsi"/>
          <w:bCs/>
        </w:rPr>
        <w:t>Not applicable; this measure is risk-adjusted.</w:t>
      </w:r>
    </w:p>
    <w:p w14:paraId="5E99F898" w14:textId="77777777" w:rsidR="009C6B71" w:rsidRDefault="009C7513" w:rsidP="00D97456">
      <w:pPr>
        <w:rPr>
          <w:rFonts w:cstheme="minorHAnsi"/>
          <w:bCs/>
        </w:rPr>
      </w:pPr>
      <w:r w:rsidRPr="009C6B71">
        <w:rPr>
          <w:rFonts w:cstheme="minorHAnsi"/>
          <w:b/>
          <w:bCs/>
        </w:rPr>
        <w:t>2b3</w:t>
      </w:r>
      <w:r w:rsidR="00092566" w:rsidRPr="009C6B71">
        <w:rPr>
          <w:rFonts w:cstheme="minorHAnsi"/>
          <w:b/>
          <w:bCs/>
        </w:rPr>
        <w:t>.3</w:t>
      </w:r>
      <w:r w:rsidR="00275563" w:rsidRPr="009C6B71">
        <w:rPr>
          <w:rFonts w:cstheme="minorHAnsi"/>
          <w:b/>
          <w:bCs/>
        </w:rPr>
        <w:t>a</w:t>
      </w:r>
      <w:r w:rsidR="00092566" w:rsidRPr="009C6B71">
        <w:rPr>
          <w:rFonts w:cstheme="minorHAnsi"/>
          <w:b/>
          <w:bCs/>
        </w:rPr>
        <w:t xml:space="preserve">. </w:t>
      </w:r>
      <w:r w:rsidR="00927027" w:rsidRPr="009C6B71">
        <w:rPr>
          <w:rFonts w:cstheme="minorHAnsi"/>
          <w:b/>
          <w:bCs/>
        </w:rPr>
        <w:t>Describe</w:t>
      </w:r>
      <w:r w:rsidR="00092566" w:rsidRPr="009C6B71">
        <w:rPr>
          <w:rFonts w:cstheme="minorHAnsi"/>
          <w:b/>
          <w:bCs/>
        </w:rPr>
        <w:t xml:space="preserve"> the conceptual/clinical </w:t>
      </w:r>
      <w:r w:rsidR="00092566" w:rsidRPr="009C6B71">
        <w:rPr>
          <w:rFonts w:cstheme="minorHAnsi"/>
          <w:b/>
          <w:bCs/>
          <w:u w:val="single"/>
        </w:rPr>
        <w:t>and</w:t>
      </w:r>
      <w:r w:rsidR="00092566" w:rsidRPr="009C6B71">
        <w:rPr>
          <w:rFonts w:cstheme="minorHAnsi"/>
          <w:b/>
          <w:bCs/>
        </w:rPr>
        <w:t xml:space="preserve"> statistical methods and criteria used to select </w:t>
      </w:r>
      <w:r w:rsidR="005363F1" w:rsidRPr="009C6B71">
        <w:rPr>
          <w:rFonts w:cstheme="minorHAnsi"/>
          <w:b/>
          <w:bCs/>
        </w:rPr>
        <w:t xml:space="preserve">patient </w:t>
      </w:r>
      <w:r w:rsidR="00092566" w:rsidRPr="009C6B71">
        <w:rPr>
          <w:rFonts w:cstheme="minorHAnsi"/>
          <w:b/>
          <w:bCs/>
        </w:rPr>
        <w:t xml:space="preserve">factors </w:t>
      </w:r>
      <w:r w:rsidR="0021054A" w:rsidRPr="009C6B71">
        <w:rPr>
          <w:rFonts w:cstheme="minorHAnsi"/>
          <w:b/>
          <w:bCs/>
        </w:rPr>
        <w:t>(</w:t>
      </w:r>
      <w:r w:rsidR="00E967AD" w:rsidRPr="009C6B71">
        <w:rPr>
          <w:rFonts w:cstheme="minorHAnsi"/>
          <w:b/>
          <w:bCs/>
        </w:rPr>
        <w:t xml:space="preserve">clinical factors or </w:t>
      </w:r>
      <w:r w:rsidR="00AF2D68" w:rsidRPr="009C6B71">
        <w:rPr>
          <w:rFonts w:cstheme="minorHAnsi"/>
          <w:b/>
          <w:bCs/>
        </w:rPr>
        <w:t xml:space="preserve">social risk </w:t>
      </w:r>
      <w:r w:rsidR="0021054A" w:rsidRPr="009C6B71">
        <w:rPr>
          <w:rFonts w:cstheme="minorHAnsi"/>
          <w:b/>
          <w:bCs/>
        </w:rPr>
        <w:t xml:space="preserve">factors) </w:t>
      </w:r>
      <w:r w:rsidR="00092566" w:rsidRPr="009C6B71">
        <w:rPr>
          <w:rFonts w:cstheme="minorHAnsi"/>
          <w:b/>
          <w:bCs/>
        </w:rPr>
        <w:t>used in the statistical risk model or for stratification by risk</w:t>
      </w:r>
      <w:r w:rsidR="00927027" w:rsidRPr="009C6B71">
        <w:rPr>
          <w:rFonts w:cstheme="minorHAnsi"/>
          <w:b/>
          <w:bCs/>
        </w:rPr>
        <w:t xml:space="preserve"> </w:t>
      </w:r>
      <w:r w:rsidR="00092566" w:rsidRPr="00CD2B78">
        <w:rPr>
          <w:rFonts w:cstheme="minorHAnsi"/>
          <w:b/>
          <w:bCs/>
        </w:rPr>
        <w:t>(</w:t>
      </w:r>
      <w:r w:rsidR="00092566" w:rsidRPr="00CD2B78">
        <w:rPr>
          <w:rFonts w:cstheme="minorHAnsi"/>
          <w:b/>
          <w:bCs/>
          <w:i/>
        </w:rPr>
        <w:t xml:space="preserve">e.g., potential factors identified in </w:t>
      </w:r>
      <w:r w:rsidR="005363F1" w:rsidRPr="00CD2B78">
        <w:rPr>
          <w:rFonts w:cstheme="minorHAnsi"/>
          <w:b/>
          <w:bCs/>
          <w:i/>
        </w:rPr>
        <w:t xml:space="preserve">the </w:t>
      </w:r>
      <w:r w:rsidR="00092566" w:rsidRPr="00CD2B78">
        <w:rPr>
          <w:rFonts w:cstheme="minorHAnsi"/>
          <w:b/>
          <w:bCs/>
          <w:i/>
        </w:rPr>
        <w:t>literature and/or expert panel; regression analysis; statistical significance of p&lt;0.10; correlation of x or higher</w:t>
      </w:r>
      <w:r w:rsidR="005363F1" w:rsidRPr="00CD2B78">
        <w:rPr>
          <w:rFonts w:cstheme="minorHAnsi"/>
          <w:b/>
          <w:bCs/>
          <w:i/>
        </w:rPr>
        <w:t>; patient factors should be present at the start of care</w:t>
      </w:r>
      <w:r w:rsidR="00092566" w:rsidRPr="00CD2B78">
        <w:rPr>
          <w:rFonts w:cstheme="minorHAnsi"/>
          <w:b/>
          <w:bCs/>
        </w:rPr>
        <w:t>)</w:t>
      </w:r>
      <w:r w:rsidR="00AF2D68" w:rsidRPr="00CD2B78">
        <w:rPr>
          <w:rFonts w:cstheme="minorHAnsi"/>
          <w:b/>
          <w:bCs/>
        </w:rPr>
        <w:t xml:space="preserve">  </w:t>
      </w:r>
      <w:r w:rsidR="00AF2D68" w:rsidRPr="009C6B71">
        <w:rPr>
          <w:rFonts w:cstheme="minorHAnsi"/>
          <w:b/>
          <w:bCs/>
        </w:rPr>
        <w:t>Also discuss any “ordering” of risk factor inclusion</w:t>
      </w:r>
      <w:r w:rsidR="00CE284E" w:rsidRPr="00CD2B78">
        <w:rPr>
          <w:rFonts w:cstheme="minorHAnsi"/>
          <w:b/>
          <w:bCs/>
        </w:rPr>
        <w:t>; for example, a</w:t>
      </w:r>
      <w:r w:rsidR="00AF2D68" w:rsidRPr="00CD2B78">
        <w:rPr>
          <w:rFonts w:cstheme="minorHAnsi"/>
          <w:b/>
          <w:bCs/>
        </w:rPr>
        <w:t>re social risk factors added after all clinical factors?</w:t>
      </w:r>
    </w:p>
    <w:p w14:paraId="733C1DE9" w14:textId="27ECDC0B" w:rsidR="00D97456" w:rsidRPr="00D97456" w:rsidRDefault="00092566" w:rsidP="00D97456">
      <w:pPr>
        <w:rPr>
          <w:sz w:val="23"/>
          <w:szCs w:val="23"/>
        </w:rPr>
      </w:pPr>
      <w:r w:rsidRPr="00A25024">
        <w:rPr>
          <w:rFonts w:cstheme="minorHAnsi"/>
          <w:bCs/>
        </w:rPr>
        <w:br/>
      </w:r>
      <w:r w:rsidR="00D97456" w:rsidRPr="00D97456">
        <w:t xml:space="preserve">The risk adjustment model was developed using OASIS national repository data from assessments submitted between </w:t>
      </w:r>
      <w:r w:rsidR="00D97456">
        <w:t xml:space="preserve">January 1, 2016 </w:t>
      </w:r>
      <w:r w:rsidR="00522334">
        <w:t>and</w:t>
      </w:r>
      <w:r w:rsidR="00D97456">
        <w:t xml:space="preserve"> December 31, 2016</w:t>
      </w:r>
      <w:r w:rsidR="00D97456" w:rsidRPr="00D97456" w:rsidDel="00D97456">
        <w:t xml:space="preserve"> </w:t>
      </w:r>
      <w:r w:rsidR="00D97456" w:rsidRPr="00D97456">
        <w:t>(~</w:t>
      </w:r>
      <w:r w:rsidR="00D97456">
        <w:t>6.4</w:t>
      </w:r>
      <w:r w:rsidR="00D97456" w:rsidRPr="00D97456">
        <w:t xml:space="preserve"> million episodes of care). </w:t>
      </w:r>
      <w:r w:rsidR="00D97456" w:rsidRPr="00D97456">
        <w:rPr>
          <w:sz w:val="23"/>
          <w:szCs w:val="23"/>
        </w:rPr>
        <w:t xml:space="preserve">The risk factors used in the unique prediction model created for each outcome measure are derived from OASIS data collected during the start of care or resumption of care assessment. </w:t>
      </w:r>
      <w:r w:rsidR="009C6B71">
        <w:rPr>
          <w:sz w:val="23"/>
          <w:szCs w:val="23"/>
        </w:rPr>
        <w:t xml:space="preserve">The risk factors were developed and reviewed by home health clinicians. No ordering was used to determine risk </w:t>
      </w:r>
      <w:r w:rsidR="009C6B71">
        <w:rPr>
          <w:sz w:val="23"/>
          <w:szCs w:val="23"/>
        </w:rPr>
        <w:lastRenderedPageBreak/>
        <w:t>factor inclusion, though, as described below, statistical criteria were applied to remove risk factors that were not statistically significant.</w:t>
      </w:r>
    </w:p>
    <w:p w14:paraId="64545D24" w14:textId="77777777" w:rsidR="00D97456" w:rsidRPr="00D97456" w:rsidRDefault="00D97456" w:rsidP="00D97456">
      <w:r w:rsidRPr="00D97456">
        <w:t>The risk adjustment methodology used is based on logistic regression analysis which results in a statistical prediction model for each outcome measure.  For each home health agency patient who is included in the denominator of the outcome measure, the model is used to calculate the predicted probability that the patient will experience the outcome.  The predicted probability for a patient is calculated using the following formula:</w:t>
      </w:r>
    </w:p>
    <w:p w14:paraId="138624B1" w14:textId="495D66A0" w:rsidR="00D97456" w:rsidRPr="00D97456" w:rsidRDefault="000167DD" w:rsidP="00D97456">
      <w:pPr>
        <w:autoSpaceDE w:val="0"/>
        <w:autoSpaceDN w:val="0"/>
        <w:adjustRightInd w:val="0"/>
        <w:spacing w:after="0" w:line="240" w:lineRule="auto"/>
        <w:jc w:val="center"/>
        <w:rPr>
          <w:rFonts w:cs="Times New Roman"/>
          <w:color w:val="000000"/>
          <w:sz w:val="36"/>
          <w:szCs w:val="36"/>
        </w:rPr>
      </w:pPr>
      <m:oMathPara>
        <m:oMath>
          <m:r>
            <w:rPr>
              <w:rFonts w:ascii="Cambria Math" w:hAnsi="Cambria Math" w:cs="Times New Roman"/>
              <w:color w:val="000000"/>
              <w:sz w:val="36"/>
              <w:szCs w:val="36"/>
            </w:rPr>
            <m:t>P</m:t>
          </m:r>
          <m:d>
            <m:dPr>
              <m:ctrlPr>
                <w:rPr>
                  <w:rFonts w:ascii="Cambria Math" w:hAnsi="Cambria Math" w:cs="Times New Roman"/>
                  <w:i/>
                  <w:iCs/>
                  <w:color w:val="000000"/>
                  <w:sz w:val="36"/>
                  <w:szCs w:val="36"/>
                </w:rPr>
              </m:ctrlPr>
            </m:dPr>
            <m:e>
              <m:r>
                <w:rPr>
                  <w:rFonts w:ascii="Cambria Math" w:hAnsi="Cambria Math" w:cs="Times New Roman"/>
                  <w:color w:val="000000"/>
                  <w:sz w:val="36"/>
                  <w:szCs w:val="36"/>
                </w:rPr>
                <m:t>x</m:t>
              </m:r>
            </m:e>
          </m:d>
          <m:r>
            <w:rPr>
              <w:rFonts w:ascii="Cambria Math" w:hAnsi="Cambria Math" w:cs="Times New Roman"/>
              <w:color w:val="000000"/>
              <w:sz w:val="36"/>
              <w:szCs w:val="36"/>
            </w:rPr>
            <m:t>=1/</m:t>
          </m:r>
          <m:d>
            <m:dPr>
              <m:ctrlPr>
                <w:rPr>
                  <w:rFonts w:ascii="Cambria Math" w:hAnsi="Cambria Math" w:cs="Times New Roman"/>
                  <w:i/>
                  <w:iCs/>
                  <w:color w:val="000000"/>
                  <w:sz w:val="36"/>
                  <w:szCs w:val="36"/>
                </w:rPr>
              </m:ctrlPr>
            </m:dPr>
            <m:e>
              <m:r>
                <w:rPr>
                  <w:rFonts w:ascii="Cambria Math" w:hAnsi="Cambria Math" w:cs="Times New Roman"/>
                  <w:color w:val="000000"/>
                  <w:sz w:val="36"/>
                  <w:szCs w:val="36"/>
                </w:rPr>
                <m:t>1+</m:t>
              </m:r>
              <m:sSup>
                <m:sSupPr>
                  <m:ctrlPr>
                    <w:rPr>
                      <w:rFonts w:ascii="Cambria Math" w:hAnsi="Cambria Math" w:cs="Times New Roman"/>
                      <w:i/>
                      <w:iCs/>
                      <w:color w:val="000000"/>
                      <w:sz w:val="36"/>
                      <w:szCs w:val="36"/>
                    </w:rPr>
                  </m:ctrlPr>
                </m:sSupPr>
                <m:e>
                  <m:r>
                    <w:rPr>
                      <w:rFonts w:ascii="Cambria Math" w:hAnsi="Cambria Math" w:cs="Times New Roman"/>
                      <w:color w:val="000000"/>
                      <w:sz w:val="36"/>
                      <w:szCs w:val="36"/>
                    </w:rPr>
                    <m:t>e</m:t>
                  </m:r>
                </m:e>
                <m:sup>
                  <m:r>
                    <w:rPr>
                      <w:rFonts w:ascii="Cambria Math" w:hAnsi="Cambria Math" w:cs="Times New Roman"/>
                      <w:color w:val="000000"/>
                      <w:sz w:val="36"/>
                      <w:szCs w:val="36"/>
                    </w:rPr>
                    <m:t>-</m:t>
                  </m:r>
                  <m:d>
                    <m:dPr>
                      <m:ctrlPr>
                        <w:rPr>
                          <w:rFonts w:ascii="Cambria Math" w:hAnsi="Cambria Math" w:cs="Times New Roman"/>
                          <w:i/>
                          <w:iCs/>
                          <w:color w:val="000000"/>
                          <w:sz w:val="36"/>
                          <w:szCs w:val="36"/>
                        </w:rPr>
                      </m:ctrlPr>
                    </m:dPr>
                    <m:e>
                      <m:r>
                        <w:rPr>
                          <w:rFonts w:ascii="Cambria Math" w:hAnsi="Cambria Math" w:cs="Times New Roman"/>
                          <w:color w:val="000000"/>
                          <w:sz w:val="36"/>
                          <w:szCs w:val="36"/>
                        </w:rPr>
                        <m:t>a+</m:t>
                      </m:r>
                      <m:nary>
                        <m:naryPr>
                          <m:chr m:val="∑"/>
                          <m:limLoc m:val="undOvr"/>
                          <m:subHide m:val="1"/>
                          <m:supHide m:val="1"/>
                          <m:ctrlPr>
                            <w:rPr>
                              <w:rFonts w:ascii="Cambria Math" w:hAnsi="Cambria Math" w:cs="Times New Roman"/>
                              <w:i/>
                              <w:iCs/>
                              <w:color w:val="000000"/>
                              <w:sz w:val="36"/>
                              <w:szCs w:val="36"/>
                            </w:rPr>
                          </m:ctrlPr>
                        </m:naryPr>
                        <m:sub/>
                        <m:sup/>
                        <m:e>
                          <m:sSub>
                            <m:sSubPr>
                              <m:ctrlPr>
                                <w:rPr>
                                  <w:rFonts w:ascii="Cambria Math" w:hAnsi="Cambria Math" w:cs="Times New Roman"/>
                                  <w:i/>
                                  <w:iCs/>
                                  <w:color w:val="000000"/>
                                  <w:sz w:val="36"/>
                                  <w:szCs w:val="36"/>
                                </w:rPr>
                              </m:ctrlPr>
                            </m:sSubPr>
                            <m:e>
                              <m:r>
                                <w:rPr>
                                  <w:rFonts w:ascii="Cambria Math" w:hAnsi="Cambria Math" w:cs="Times New Roman"/>
                                  <w:color w:val="000000"/>
                                  <w:sz w:val="36"/>
                                  <w:szCs w:val="36"/>
                                </w:rPr>
                                <m:t>b</m:t>
                              </m:r>
                            </m:e>
                            <m:sub>
                              <m:r>
                                <w:rPr>
                                  <w:rFonts w:ascii="Cambria Math" w:hAnsi="Cambria Math" w:cs="Times New Roman"/>
                                  <w:color w:val="000000"/>
                                  <w:sz w:val="36"/>
                                  <w:szCs w:val="36"/>
                                </w:rPr>
                                <m:t>i</m:t>
                              </m:r>
                            </m:sub>
                          </m:sSub>
                          <m:sSub>
                            <m:sSubPr>
                              <m:ctrlPr>
                                <w:rPr>
                                  <w:rFonts w:ascii="Cambria Math" w:hAnsi="Cambria Math" w:cs="Times New Roman"/>
                                  <w:i/>
                                  <w:iCs/>
                                  <w:color w:val="000000"/>
                                  <w:sz w:val="36"/>
                                  <w:szCs w:val="36"/>
                                </w:rPr>
                              </m:ctrlPr>
                            </m:sSubPr>
                            <m:e>
                              <m:r>
                                <w:rPr>
                                  <w:rFonts w:ascii="Cambria Math" w:hAnsi="Cambria Math" w:cs="Times New Roman"/>
                                  <w:color w:val="000000"/>
                                  <w:sz w:val="36"/>
                                  <w:szCs w:val="36"/>
                                </w:rPr>
                                <m:t>x</m:t>
                              </m:r>
                            </m:e>
                            <m:sub>
                              <m:r>
                                <w:rPr>
                                  <w:rFonts w:ascii="Cambria Math" w:hAnsi="Cambria Math" w:cs="Times New Roman"/>
                                  <w:color w:val="000000"/>
                                  <w:sz w:val="36"/>
                                  <w:szCs w:val="36"/>
                                </w:rPr>
                                <m:t>i</m:t>
                              </m:r>
                            </m:sub>
                          </m:sSub>
                        </m:e>
                      </m:nary>
                    </m:e>
                  </m:d>
                </m:sup>
              </m:sSup>
            </m:e>
          </m:d>
        </m:oMath>
      </m:oMathPara>
    </w:p>
    <w:p w14:paraId="1C3A6262" w14:textId="77777777" w:rsidR="00D97456" w:rsidRPr="00D97456" w:rsidRDefault="00D97456" w:rsidP="00D97456">
      <w:pPr>
        <w:autoSpaceDE w:val="0"/>
        <w:autoSpaceDN w:val="0"/>
        <w:adjustRightInd w:val="0"/>
        <w:spacing w:after="0" w:line="240" w:lineRule="auto"/>
        <w:ind w:left="720"/>
        <w:rPr>
          <w:rFonts w:cs="Times New Roman"/>
        </w:rPr>
      </w:pPr>
      <w:r w:rsidRPr="00D97456">
        <w:rPr>
          <w:rFonts w:cs="Times New Roman"/>
        </w:rPr>
        <w:t xml:space="preserve">Where: </w:t>
      </w:r>
    </w:p>
    <w:p w14:paraId="06DD1967" w14:textId="77777777" w:rsidR="00D97456" w:rsidRPr="00D97456" w:rsidRDefault="00D97456" w:rsidP="00D97456">
      <w:pPr>
        <w:autoSpaceDE w:val="0"/>
        <w:autoSpaceDN w:val="0"/>
        <w:adjustRightInd w:val="0"/>
        <w:spacing w:after="0" w:line="240" w:lineRule="auto"/>
        <w:ind w:left="1440"/>
        <w:rPr>
          <w:rFonts w:cs="Times New Roman"/>
        </w:rPr>
      </w:pPr>
      <w:r w:rsidRPr="00D97456">
        <w:rPr>
          <w:rFonts w:cs="Times New Roman"/>
          <w:i/>
          <w:iCs/>
        </w:rPr>
        <w:t xml:space="preserve">P(x) </w:t>
      </w:r>
      <w:r w:rsidRPr="00D97456">
        <w:rPr>
          <w:rFonts w:cs="Times New Roman"/>
        </w:rPr>
        <w:t xml:space="preserve">= predicted probability of achieving outcome x </w:t>
      </w:r>
    </w:p>
    <w:p w14:paraId="6B24490D" w14:textId="77777777" w:rsidR="00D97456" w:rsidRPr="00D97456" w:rsidRDefault="00D97456" w:rsidP="00D97456">
      <w:pPr>
        <w:autoSpaceDE w:val="0"/>
        <w:autoSpaceDN w:val="0"/>
        <w:adjustRightInd w:val="0"/>
        <w:spacing w:after="0" w:line="240" w:lineRule="auto"/>
        <w:ind w:left="1440"/>
        <w:rPr>
          <w:rFonts w:cs="Times New Roman"/>
        </w:rPr>
      </w:pPr>
      <w:r w:rsidRPr="00D97456">
        <w:rPr>
          <w:rFonts w:cs="Times New Roman"/>
          <w:i/>
          <w:iCs/>
        </w:rPr>
        <w:t xml:space="preserve">a </w:t>
      </w:r>
      <w:r w:rsidRPr="00D97456">
        <w:rPr>
          <w:rFonts w:cs="Times New Roman"/>
        </w:rPr>
        <w:t xml:space="preserve">= constant parameter listed in the model documentation </w:t>
      </w:r>
    </w:p>
    <w:p w14:paraId="6A13603F" w14:textId="77777777" w:rsidR="00D97456" w:rsidRPr="00D97456" w:rsidRDefault="00D97456" w:rsidP="00D97456">
      <w:pPr>
        <w:autoSpaceDE w:val="0"/>
        <w:autoSpaceDN w:val="0"/>
        <w:adjustRightInd w:val="0"/>
        <w:spacing w:after="0" w:line="240" w:lineRule="auto"/>
        <w:ind w:left="1440"/>
        <w:rPr>
          <w:rFonts w:cs="Times New Roman"/>
        </w:rPr>
      </w:pPr>
      <w:proofErr w:type="gramStart"/>
      <w:r w:rsidRPr="00D97456">
        <w:rPr>
          <w:rFonts w:cs="Times New Roman"/>
          <w:i/>
          <w:iCs/>
        </w:rPr>
        <w:t>b</w:t>
      </w:r>
      <w:r w:rsidRPr="00D97456">
        <w:rPr>
          <w:rFonts w:cs="Times New Roman"/>
          <w:i/>
          <w:iCs/>
          <w:vertAlign w:val="subscript"/>
        </w:rPr>
        <w:t>i</w:t>
      </w:r>
      <w:proofErr w:type="gramEnd"/>
      <w:r w:rsidRPr="00D97456">
        <w:rPr>
          <w:rFonts w:cs="Times New Roman"/>
          <w:i/>
          <w:iCs/>
        </w:rPr>
        <w:t xml:space="preserve"> </w:t>
      </w:r>
      <w:r w:rsidRPr="00D97456">
        <w:rPr>
          <w:rFonts w:cs="Times New Roman"/>
        </w:rPr>
        <w:t xml:space="preserve">= coefficient for risk factor i in the model documentation </w:t>
      </w:r>
    </w:p>
    <w:p w14:paraId="046039B7" w14:textId="77777777" w:rsidR="00D97456" w:rsidRPr="00D97456" w:rsidRDefault="00D97456" w:rsidP="00D97456">
      <w:pPr>
        <w:ind w:left="720" w:firstLine="720"/>
        <w:rPr>
          <w:rFonts w:cs="Times New Roman"/>
        </w:rPr>
      </w:pPr>
      <w:proofErr w:type="gramStart"/>
      <w:r w:rsidRPr="00D97456">
        <w:rPr>
          <w:rFonts w:cs="Times New Roman"/>
          <w:i/>
          <w:iCs/>
        </w:rPr>
        <w:t>x</w:t>
      </w:r>
      <w:r w:rsidRPr="00D97456">
        <w:rPr>
          <w:rFonts w:cs="Times New Roman"/>
          <w:i/>
          <w:iCs/>
          <w:vertAlign w:val="subscript"/>
        </w:rPr>
        <w:t>i</w:t>
      </w:r>
      <w:proofErr w:type="gramEnd"/>
      <w:r w:rsidRPr="00D97456">
        <w:rPr>
          <w:rFonts w:cs="Times New Roman"/>
          <w:i/>
          <w:iCs/>
        </w:rPr>
        <w:t xml:space="preserve"> </w:t>
      </w:r>
      <w:r w:rsidRPr="00D97456">
        <w:rPr>
          <w:rFonts w:cs="Times New Roman"/>
        </w:rPr>
        <w:t>= value of risk factor i for this patient</w:t>
      </w:r>
    </w:p>
    <w:p w14:paraId="7A92D960" w14:textId="77777777" w:rsidR="00D97456" w:rsidRPr="00D97456" w:rsidRDefault="00D97456" w:rsidP="00D97456">
      <w:r w:rsidRPr="00D97456">
        <w:t>Predicted probabilities for all patients included in the measure denominator are then averaged to derive an expected outcome value for the agency.  This expected value is then used, together with the observed (unadjusted) outcome value and the expected value for the national population of home health agency patients for the same data collection period, to calculate a risk-adjusted outcome value for the home health agency.  The formula for the adjusted value of the outcome measure is as follows:</w:t>
      </w:r>
    </w:p>
    <w:p w14:paraId="6EAA250B" w14:textId="02208EEC" w:rsidR="00D97456" w:rsidRPr="00D97456" w:rsidRDefault="000167DD" w:rsidP="00D97456">
      <w:pPr>
        <w:autoSpaceDE w:val="0"/>
        <w:autoSpaceDN w:val="0"/>
        <w:adjustRightInd w:val="0"/>
        <w:spacing w:after="0" w:line="240" w:lineRule="auto"/>
        <w:ind w:left="720"/>
        <w:jc w:val="center"/>
        <w:rPr>
          <w:rFonts w:cs="Times New Roman"/>
          <w:color w:val="000000"/>
          <w:sz w:val="36"/>
          <w:szCs w:val="36"/>
        </w:rPr>
      </w:pPr>
      <m:oMathPara>
        <m:oMath>
          <m:r>
            <w:rPr>
              <w:rFonts w:ascii="Cambria Math" w:hAnsi="Cambria Math" w:cs="Times New Roman"/>
              <w:color w:val="000000"/>
              <w:sz w:val="36"/>
              <w:szCs w:val="36"/>
            </w:rPr>
            <m:t>X</m:t>
          </m:r>
          <m:d>
            <m:dPr>
              <m:ctrlPr>
                <w:rPr>
                  <w:rFonts w:ascii="Cambria Math" w:hAnsi="Cambria Math" w:cs="Times New Roman"/>
                  <w:i/>
                  <w:iCs/>
                  <w:color w:val="000000"/>
                  <w:sz w:val="36"/>
                  <w:szCs w:val="36"/>
                </w:rPr>
              </m:ctrlPr>
            </m:dPr>
            <m:e>
              <m:sSub>
                <m:sSubPr>
                  <m:ctrlPr>
                    <w:rPr>
                      <w:rFonts w:ascii="Cambria Math" w:hAnsi="Cambria Math" w:cs="Times New Roman"/>
                      <w:i/>
                      <w:iCs/>
                      <w:color w:val="000000"/>
                      <w:sz w:val="36"/>
                      <w:szCs w:val="36"/>
                    </w:rPr>
                  </m:ctrlPr>
                </m:sSubPr>
                <m:e>
                  <m:r>
                    <w:rPr>
                      <w:rFonts w:ascii="Cambria Math" w:hAnsi="Cambria Math" w:cs="Times New Roman"/>
                      <w:color w:val="000000"/>
                      <w:sz w:val="36"/>
                      <w:szCs w:val="36"/>
                    </w:rPr>
                    <m:t>A</m:t>
                  </m:r>
                </m:e>
                <m:sub>
                  <m:r>
                    <w:rPr>
                      <w:rFonts w:ascii="Cambria Math" w:hAnsi="Cambria Math" w:cs="Times New Roman"/>
                      <w:color w:val="000000"/>
                      <w:sz w:val="36"/>
                      <w:szCs w:val="36"/>
                    </w:rPr>
                    <m:t>ra</m:t>
                  </m:r>
                </m:sub>
              </m:sSub>
            </m:e>
          </m:d>
          <m:r>
            <w:rPr>
              <w:rFonts w:ascii="Cambria Math" w:hAnsi="Cambria Math" w:cs="Times New Roman"/>
              <w:color w:val="000000"/>
              <w:sz w:val="36"/>
              <w:szCs w:val="36"/>
            </w:rPr>
            <m:t>= X</m:t>
          </m:r>
          <m:d>
            <m:dPr>
              <m:ctrlPr>
                <w:rPr>
                  <w:rFonts w:ascii="Cambria Math" w:hAnsi="Cambria Math" w:cs="Times New Roman"/>
                  <w:i/>
                  <w:iCs/>
                  <w:color w:val="000000"/>
                  <w:sz w:val="36"/>
                  <w:szCs w:val="36"/>
                </w:rPr>
              </m:ctrlPr>
            </m:dPr>
            <m:e>
              <m:sSub>
                <m:sSubPr>
                  <m:ctrlPr>
                    <w:rPr>
                      <w:rFonts w:ascii="Cambria Math" w:hAnsi="Cambria Math" w:cs="Times New Roman"/>
                      <w:i/>
                      <w:iCs/>
                      <w:color w:val="000000"/>
                      <w:sz w:val="36"/>
                      <w:szCs w:val="36"/>
                    </w:rPr>
                  </m:ctrlPr>
                </m:sSubPr>
                <m:e>
                  <m:r>
                    <w:rPr>
                      <w:rFonts w:ascii="Cambria Math" w:hAnsi="Cambria Math" w:cs="Times New Roman"/>
                      <w:color w:val="000000"/>
                      <w:sz w:val="36"/>
                      <w:szCs w:val="36"/>
                    </w:rPr>
                    <m:t>A</m:t>
                  </m:r>
                </m:e>
                <m:sub>
                  <m:r>
                    <w:rPr>
                      <w:rFonts w:ascii="Cambria Math" w:hAnsi="Cambria Math" w:cs="Times New Roman"/>
                      <w:color w:val="000000"/>
                      <w:sz w:val="36"/>
                      <w:szCs w:val="36"/>
                    </w:rPr>
                    <m:t>obs</m:t>
                  </m:r>
                </m:sub>
              </m:sSub>
            </m:e>
          </m:d>
          <m:r>
            <w:rPr>
              <w:rFonts w:ascii="Cambria Math" w:hAnsi="Cambria Math" w:cs="Times New Roman"/>
              <w:color w:val="000000"/>
              <w:sz w:val="36"/>
              <w:szCs w:val="36"/>
            </w:rPr>
            <m:t>+ X</m:t>
          </m:r>
          <m:d>
            <m:dPr>
              <m:ctrlPr>
                <w:rPr>
                  <w:rFonts w:ascii="Cambria Math" w:hAnsi="Cambria Math" w:cs="Times New Roman"/>
                  <w:i/>
                  <w:iCs/>
                  <w:color w:val="000000"/>
                  <w:sz w:val="36"/>
                  <w:szCs w:val="36"/>
                </w:rPr>
              </m:ctrlPr>
            </m:dPr>
            <m:e>
              <m:sSub>
                <m:sSubPr>
                  <m:ctrlPr>
                    <w:rPr>
                      <w:rFonts w:ascii="Cambria Math" w:hAnsi="Cambria Math" w:cs="Times New Roman"/>
                      <w:i/>
                      <w:iCs/>
                      <w:color w:val="000000"/>
                      <w:sz w:val="36"/>
                      <w:szCs w:val="36"/>
                    </w:rPr>
                  </m:ctrlPr>
                </m:sSubPr>
                <m:e>
                  <m:r>
                    <w:rPr>
                      <w:rFonts w:ascii="Cambria Math" w:hAnsi="Cambria Math" w:cs="Times New Roman"/>
                      <w:color w:val="000000"/>
                      <w:sz w:val="36"/>
                      <w:szCs w:val="36"/>
                    </w:rPr>
                    <m:t>N</m:t>
                  </m:r>
                </m:e>
                <m:sub>
                  <m:r>
                    <w:rPr>
                      <w:rFonts w:ascii="Cambria Math" w:hAnsi="Cambria Math" w:cs="Times New Roman"/>
                      <w:color w:val="000000"/>
                      <w:sz w:val="36"/>
                      <w:szCs w:val="36"/>
                    </w:rPr>
                    <m:t>exp</m:t>
                  </m:r>
                </m:sub>
              </m:sSub>
            </m:e>
          </m:d>
          <m:r>
            <w:rPr>
              <w:rFonts w:ascii="Cambria Math" w:hAnsi="Cambria Math" w:cs="Times New Roman"/>
              <w:color w:val="000000"/>
              <w:sz w:val="36"/>
              <w:szCs w:val="36"/>
            </w:rPr>
            <m:t>-X(</m:t>
          </m:r>
          <m:sSub>
            <m:sSubPr>
              <m:ctrlPr>
                <w:rPr>
                  <w:rFonts w:ascii="Cambria Math" w:hAnsi="Cambria Math" w:cs="Times New Roman"/>
                  <w:i/>
                  <w:iCs/>
                  <w:color w:val="000000"/>
                  <w:sz w:val="36"/>
                  <w:szCs w:val="36"/>
                </w:rPr>
              </m:ctrlPr>
            </m:sSubPr>
            <m:e>
              <m:r>
                <w:rPr>
                  <w:rFonts w:ascii="Cambria Math" w:hAnsi="Cambria Math" w:cs="Times New Roman"/>
                  <w:color w:val="000000"/>
                  <w:sz w:val="36"/>
                  <w:szCs w:val="36"/>
                </w:rPr>
                <m:t>A</m:t>
              </m:r>
            </m:e>
            <m:sub>
              <m:r>
                <w:rPr>
                  <w:rFonts w:ascii="Cambria Math" w:hAnsi="Cambria Math" w:cs="Times New Roman"/>
                  <w:color w:val="000000"/>
                  <w:sz w:val="36"/>
                  <w:szCs w:val="36"/>
                </w:rPr>
                <m:t>exp</m:t>
              </m:r>
            </m:sub>
          </m:sSub>
          <m:r>
            <w:rPr>
              <w:rFonts w:ascii="Cambria Math" w:hAnsi="Cambria Math" w:cs="Times New Roman"/>
              <w:color w:val="000000"/>
              <w:sz w:val="36"/>
              <w:szCs w:val="36"/>
            </w:rPr>
            <m:t>)</m:t>
          </m:r>
        </m:oMath>
      </m:oMathPara>
    </w:p>
    <w:p w14:paraId="105C09DD" w14:textId="77777777" w:rsidR="00D97456" w:rsidRPr="00D97456" w:rsidRDefault="00D97456" w:rsidP="00D97456">
      <w:pPr>
        <w:autoSpaceDE w:val="0"/>
        <w:autoSpaceDN w:val="0"/>
        <w:adjustRightInd w:val="0"/>
        <w:spacing w:after="0" w:line="240" w:lineRule="auto"/>
        <w:ind w:left="720"/>
        <w:rPr>
          <w:rFonts w:cs="Times New Roman"/>
          <w:color w:val="000000"/>
        </w:rPr>
      </w:pPr>
      <w:r w:rsidRPr="00D97456">
        <w:rPr>
          <w:rFonts w:cs="Times New Roman"/>
          <w:color w:val="000000"/>
        </w:rPr>
        <w:t xml:space="preserve">Where: </w:t>
      </w:r>
    </w:p>
    <w:p w14:paraId="35F3284C" w14:textId="77777777" w:rsidR="00D97456" w:rsidRPr="00D97456" w:rsidRDefault="00D97456" w:rsidP="00D97456">
      <w:pPr>
        <w:autoSpaceDE w:val="0"/>
        <w:autoSpaceDN w:val="0"/>
        <w:adjustRightInd w:val="0"/>
        <w:spacing w:after="0" w:line="240" w:lineRule="auto"/>
        <w:ind w:left="1440"/>
        <w:rPr>
          <w:rFonts w:cs="Times New Roman"/>
          <w:color w:val="000000"/>
        </w:rPr>
      </w:pPr>
      <w:proofErr w:type="gramStart"/>
      <w:r w:rsidRPr="00D97456">
        <w:rPr>
          <w:rFonts w:cs="Times New Roman"/>
          <w:i/>
          <w:iCs/>
          <w:color w:val="000000"/>
        </w:rPr>
        <w:t>X(</w:t>
      </w:r>
      <w:proofErr w:type="gramEnd"/>
      <w:r w:rsidRPr="00D97456">
        <w:rPr>
          <w:rFonts w:cs="Times New Roman"/>
          <w:i/>
          <w:iCs/>
          <w:color w:val="000000"/>
        </w:rPr>
        <w:t>A</w:t>
      </w:r>
      <w:r w:rsidRPr="00D97456">
        <w:rPr>
          <w:rFonts w:cs="Times New Roman"/>
          <w:i/>
          <w:iCs/>
          <w:color w:val="000000"/>
          <w:vertAlign w:val="subscript"/>
        </w:rPr>
        <w:t>ra</w:t>
      </w:r>
      <w:r w:rsidRPr="00D97456">
        <w:rPr>
          <w:rFonts w:cs="Times New Roman"/>
          <w:i/>
          <w:iCs/>
          <w:color w:val="000000"/>
        </w:rPr>
        <w:t xml:space="preserve">) </w:t>
      </w:r>
      <w:r w:rsidRPr="00D97456">
        <w:rPr>
          <w:rFonts w:cs="Times New Roman"/>
          <w:color w:val="000000"/>
        </w:rPr>
        <w:t xml:space="preserve">= Agency risk-adjusted outcome measure value </w:t>
      </w:r>
    </w:p>
    <w:p w14:paraId="4C5DAA40" w14:textId="77777777" w:rsidR="00D97456" w:rsidRPr="00D97456" w:rsidRDefault="00D97456" w:rsidP="00D97456">
      <w:pPr>
        <w:autoSpaceDE w:val="0"/>
        <w:autoSpaceDN w:val="0"/>
        <w:adjustRightInd w:val="0"/>
        <w:spacing w:after="0" w:line="240" w:lineRule="auto"/>
        <w:ind w:left="1440"/>
        <w:rPr>
          <w:rFonts w:cs="Times New Roman"/>
          <w:color w:val="000000"/>
        </w:rPr>
      </w:pPr>
      <w:proofErr w:type="gramStart"/>
      <w:r w:rsidRPr="00D97456">
        <w:rPr>
          <w:rFonts w:cs="Times New Roman"/>
          <w:i/>
          <w:iCs/>
          <w:color w:val="000000"/>
        </w:rPr>
        <w:t>X(</w:t>
      </w:r>
      <w:proofErr w:type="gramEnd"/>
      <w:r w:rsidRPr="00D97456">
        <w:rPr>
          <w:rFonts w:cs="Times New Roman"/>
          <w:i/>
          <w:iCs/>
          <w:color w:val="000000"/>
        </w:rPr>
        <w:t>A</w:t>
      </w:r>
      <w:r w:rsidRPr="00D97456">
        <w:rPr>
          <w:rFonts w:cs="Times New Roman"/>
          <w:i/>
          <w:iCs/>
          <w:color w:val="000000"/>
          <w:vertAlign w:val="subscript"/>
        </w:rPr>
        <w:t>obs</w:t>
      </w:r>
      <w:r w:rsidRPr="00D97456">
        <w:rPr>
          <w:rFonts w:cs="Times New Roman"/>
          <w:i/>
          <w:iCs/>
          <w:color w:val="000000"/>
        </w:rPr>
        <w:t xml:space="preserve">) </w:t>
      </w:r>
      <w:r w:rsidRPr="00D97456">
        <w:rPr>
          <w:rFonts w:cs="Times New Roman"/>
          <w:color w:val="000000"/>
        </w:rPr>
        <w:t xml:space="preserve">= Agency observed outcome measure value </w:t>
      </w:r>
    </w:p>
    <w:p w14:paraId="40592D65" w14:textId="77777777" w:rsidR="00D97456" w:rsidRPr="00D97456" w:rsidRDefault="00D97456" w:rsidP="00D97456">
      <w:pPr>
        <w:autoSpaceDE w:val="0"/>
        <w:autoSpaceDN w:val="0"/>
        <w:adjustRightInd w:val="0"/>
        <w:spacing w:after="0" w:line="240" w:lineRule="auto"/>
        <w:ind w:left="1440"/>
        <w:rPr>
          <w:rFonts w:cs="Times New Roman"/>
          <w:color w:val="000000"/>
        </w:rPr>
      </w:pPr>
      <w:proofErr w:type="gramStart"/>
      <w:r w:rsidRPr="00D97456">
        <w:rPr>
          <w:rFonts w:cs="Times New Roman"/>
          <w:i/>
          <w:iCs/>
          <w:color w:val="000000"/>
        </w:rPr>
        <w:t>X(</w:t>
      </w:r>
      <w:proofErr w:type="gramEnd"/>
      <w:r w:rsidRPr="00D97456">
        <w:rPr>
          <w:rFonts w:cs="Times New Roman"/>
          <w:i/>
          <w:iCs/>
          <w:color w:val="000000"/>
        </w:rPr>
        <w:t>A</w:t>
      </w:r>
      <w:r w:rsidRPr="00D97456">
        <w:rPr>
          <w:rFonts w:cs="Times New Roman"/>
          <w:i/>
          <w:iCs/>
          <w:color w:val="000000"/>
          <w:vertAlign w:val="subscript"/>
        </w:rPr>
        <w:t>exp</w:t>
      </w:r>
      <w:r w:rsidRPr="00D97456">
        <w:rPr>
          <w:rFonts w:cs="Times New Roman"/>
          <w:i/>
          <w:iCs/>
          <w:color w:val="000000"/>
        </w:rPr>
        <w:t xml:space="preserve">) </w:t>
      </w:r>
      <w:r w:rsidRPr="00D97456">
        <w:rPr>
          <w:rFonts w:cs="Times New Roman"/>
          <w:color w:val="000000"/>
        </w:rPr>
        <w:t xml:space="preserve">= Agency expected outcome measure value </w:t>
      </w:r>
    </w:p>
    <w:p w14:paraId="382F54DB" w14:textId="77777777" w:rsidR="00D97456" w:rsidRPr="00D97456" w:rsidRDefault="00D97456" w:rsidP="00D97456">
      <w:pPr>
        <w:ind w:left="720" w:firstLine="720"/>
        <w:rPr>
          <w:rFonts w:cs="Times New Roman"/>
          <w:color w:val="000000"/>
        </w:rPr>
      </w:pPr>
      <w:proofErr w:type="gramStart"/>
      <w:r w:rsidRPr="00D97456">
        <w:rPr>
          <w:rFonts w:cs="Times New Roman"/>
          <w:i/>
          <w:iCs/>
          <w:color w:val="000000"/>
        </w:rPr>
        <w:t>X(</w:t>
      </w:r>
      <w:proofErr w:type="gramEnd"/>
      <w:r w:rsidRPr="00D97456">
        <w:rPr>
          <w:rFonts w:cs="Times New Roman"/>
          <w:i/>
          <w:iCs/>
          <w:color w:val="000000"/>
        </w:rPr>
        <w:t>N</w:t>
      </w:r>
      <w:r w:rsidRPr="00D97456">
        <w:rPr>
          <w:rFonts w:cs="Times New Roman"/>
          <w:i/>
          <w:iCs/>
          <w:color w:val="000000"/>
          <w:vertAlign w:val="subscript"/>
        </w:rPr>
        <w:t>exp</w:t>
      </w:r>
      <w:r w:rsidRPr="00D97456">
        <w:rPr>
          <w:rFonts w:cs="Times New Roman"/>
          <w:i/>
          <w:iCs/>
          <w:color w:val="000000"/>
        </w:rPr>
        <w:t xml:space="preserve">) </w:t>
      </w:r>
      <w:r w:rsidRPr="00D97456">
        <w:rPr>
          <w:rFonts w:cs="Times New Roman"/>
          <w:color w:val="000000"/>
        </w:rPr>
        <w:t>= National expected outcome measure value</w:t>
      </w:r>
    </w:p>
    <w:p w14:paraId="03BB487D" w14:textId="77777777" w:rsidR="00D97456" w:rsidRDefault="00D97456" w:rsidP="00D97456">
      <w:r w:rsidRPr="00D97456">
        <w:t>If the result of this calculation is a value greater than 100%, the adjusted value is set to 100%. Similarly, if the result is a negative number the adjusted value is set to zero.</w:t>
      </w:r>
    </w:p>
    <w:p w14:paraId="4260792A" w14:textId="42D889A0" w:rsidR="00275563" w:rsidRDefault="00275563" w:rsidP="00D97456">
      <w:pPr>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348152AA" w:rsidR="00275563" w:rsidRPr="005232D6" w:rsidRDefault="00ED2A30"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401085">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0A837C1A" w:rsidR="00275563" w:rsidRPr="005232D6" w:rsidRDefault="00ED2A30"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401085">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Default="00ED2A30"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3E31A36C" w14:textId="77777777" w:rsidR="00401085" w:rsidRDefault="00401085" w:rsidP="00401085">
      <w:pPr>
        <w:tabs>
          <w:tab w:val="left" w:pos="180"/>
        </w:tabs>
        <w:autoSpaceDE w:val="0"/>
        <w:autoSpaceDN w:val="0"/>
        <w:adjustRightInd w:val="0"/>
        <w:spacing w:after="0" w:line="240" w:lineRule="auto"/>
        <w:rPr>
          <w:rFonts w:ascii="MS Gothic" w:eastAsia="MS Gothic" w:cstheme="minorHAnsi"/>
          <w:bCs/>
          <w:color w:val="0000FF"/>
        </w:rPr>
      </w:pPr>
    </w:p>
    <w:p w14:paraId="0CABCFF7" w14:textId="434655CC" w:rsidR="00092566"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p>
    <w:p w14:paraId="6C78563F" w14:textId="3799A67D" w:rsidR="00CF3C68" w:rsidRDefault="00CF3C68" w:rsidP="00CF3C68">
      <w:r>
        <w:t xml:space="preserve">We reviewed recent studies on accounting for sociodemographic status (SDS) conducted by the National Academies of Medicine (NAM), the Office of the Assistant Secretary for Planning and Evaluation (ASPE), </w:t>
      </w:r>
      <w:r>
        <w:lastRenderedPageBreak/>
        <w:t>and NQF.</w:t>
      </w:r>
      <w:r>
        <w:rPr>
          <w:rStyle w:val="FootnoteReference"/>
        </w:rPr>
        <w:footnoteReference w:id="5"/>
      </w:r>
      <w:r>
        <w:t xml:space="preserve"> These studies tested SDS factors such as dual eligibility, rurality, race/ethnicity, and disability. While most of these variables are available via CMS data sources, we were not currently able to </w:t>
      </w:r>
      <w:r w:rsidR="00A56670">
        <w:t xml:space="preserve">use </w:t>
      </w:r>
      <w:r>
        <w:t>other data sources</w:t>
      </w:r>
      <w:r w:rsidR="00ED3E56">
        <w:t xml:space="preserve"> to risk adjust this measure</w:t>
      </w:r>
      <w:r w:rsidR="00EF2C19">
        <w:t xml:space="preserve"> due to the operational requirements of producing this measure on a monthly basis</w:t>
      </w:r>
      <w:r>
        <w:t>. However, in the future, we plan to further investigate using the CMS Enrollment Database and other geographic-level files (such as the Area Health Resource File</w:t>
      </w:r>
      <w:r w:rsidR="00C3112C">
        <w:t xml:space="preserve"> or Census data</w:t>
      </w:r>
      <w:r>
        <w:t xml:space="preserve">) to incorporate these other factors into the risk adjustment model. </w:t>
      </w:r>
    </w:p>
    <w:p w14:paraId="5F9192FD" w14:textId="76DE7C0F" w:rsidR="00CF3C68" w:rsidRDefault="00CF3C68" w:rsidP="00CF3C68">
      <w:r>
        <w:t>We therefore were only able to include variables available on the OASIS. These include gender, payment source, age and race/ethnicity. We did not include race/ethnicity since it was not recommended as a proxy for social risk from the previous studies</w:t>
      </w:r>
      <w:r w:rsidR="00EF2C19">
        <w:t xml:space="preserve"> noted above</w:t>
      </w:r>
      <w:r>
        <w:t xml:space="preserve">. </w:t>
      </w:r>
      <w:r w:rsidR="00ED3E56">
        <w:t xml:space="preserve">The payment source risk factor serves as a proxy for dual eligibility and Medicaid coverage. </w:t>
      </w:r>
      <w:r w:rsidR="000372AA">
        <w:t>It</w:t>
      </w:r>
      <w:r w:rsidR="00E55396">
        <w:t xml:space="preserve"> </w:t>
      </w:r>
      <w:r w:rsidR="00ED3E56">
        <w:t>tend</w:t>
      </w:r>
      <w:r w:rsidR="000372AA">
        <w:t>s</w:t>
      </w:r>
      <w:r w:rsidR="00ED3E56">
        <w:t xml:space="preserve"> to underreport dual eligibility and Medicaid coverage, but, as shown below, </w:t>
      </w:r>
      <w:r w:rsidR="00B45126">
        <w:t xml:space="preserve">is </w:t>
      </w:r>
      <w:r w:rsidR="00ED3E56">
        <w:t xml:space="preserve">important in explaining measure performance. </w:t>
      </w:r>
    </w:p>
    <w:p w14:paraId="0CABCFF8" w14:textId="350A0D85" w:rsidR="00001D73" w:rsidRPr="00ED2A30" w:rsidRDefault="009C7513" w:rsidP="00001D73">
      <w:pPr>
        <w:autoSpaceDE w:val="0"/>
        <w:autoSpaceDN w:val="0"/>
        <w:adjustRightInd w:val="0"/>
        <w:spacing w:after="0" w:line="240" w:lineRule="auto"/>
        <w:rPr>
          <w:rFonts w:cstheme="minorHAnsi"/>
          <w:b/>
          <w:bCs/>
        </w:rPr>
      </w:pPr>
      <w:r w:rsidRPr="00ED2A30">
        <w:rPr>
          <w:rFonts w:cstheme="minorHAnsi"/>
          <w:b/>
          <w:bCs/>
        </w:rPr>
        <w:t>2b3</w:t>
      </w:r>
      <w:r w:rsidR="00C1695E" w:rsidRPr="00ED2A30">
        <w:rPr>
          <w:rFonts w:cstheme="minorHAnsi"/>
          <w:b/>
          <w:bCs/>
        </w:rPr>
        <w:t xml:space="preserve">.4b. Describe the analyses and interpretation resulting in the decision to select </w:t>
      </w:r>
      <w:r w:rsidR="00AF2D68" w:rsidRPr="00ED2A30">
        <w:rPr>
          <w:rFonts w:cstheme="minorHAnsi"/>
          <w:b/>
          <w:bCs/>
        </w:rPr>
        <w:t>social risk</w:t>
      </w:r>
      <w:r w:rsidR="00C1695E" w:rsidRPr="00ED2A30">
        <w:rPr>
          <w:rFonts w:cstheme="minorHAnsi"/>
          <w:b/>
          <w:bCs/>
        </w:rPr>
        <w:t xml:space="preserve"> factors </w:t>
      </w:r>
      <w:r w:rsidR="00C1695E" w:rsidRPr="00ED2A30">
        <w:rPr>
          <w:rFonts w:cstheme="minorHAnsi"/>
          <w:b/>
          <w:bCs/>
          <w:i/>
        </w:rPr>
        <w:t>(e.g. prevalence of the factor across measured entities, empirical association with the outcome, contribution of unique variation in the outcome, assessment of between-unit effects and within-unit effects</w:t>
      </w:r>
      <w:r w:rsidR="00CE284E" w:rsidRPr="00ED2A30">
        <w:rPr>
          <w:rFonts w:cstheme="minorHAnsi"/>
          <w:b/>
          <w:bCs/>
          <w:i/>
        </w:rPr>
        <w:t xml:space="preserve">.)  </w:t>
      </w:r>
      <w:r w:rsidR="00CE284E" w:rsidRPr="00ED2A30">
        <w:rPr>
          <w:rFonts w:cstheme="minorHAnsi"/>
          <w:b/>
          <w:bCs/>
        </w:rPr>
        <w:t>Also describe the</w:t>
      </w:r>
      <w:r w:rsidR="00AF2D68" w:rsidRPr="00ED2A30">
        <w:rPr>
          <w:rFonts w:cstheme="minorHAnsi"/>
          <w:b/>
          <w:bCs/>
        </w:rPr>
        <w:t xml:space="preserve"> impact of adjusting for social risk (or not) on providers</w:t>
      </w:r>
      <w:r w:rsidR="00CE284E" w:rsidRPr="00ED2A30">
        <w:rPr>
          <w:rFonts w:cstheme="minorHAnsi"/>
          <w:b/>
          <w:bCs/>
        </w:rPr>
        <w:t xml:space="preserve"> at high or low extremes of risk.</w:t>
      </w:r>
    </w:p>
    <w:p w14:paraId="0CABCFF9" w14:textId="77777777" w:rsidR="00C1695E" w:rsidRDefault="00C1695E" w:rsidP="00001D73">
      <w:pPr>
        <w:autoSpaceDE w:val="0"/>
        <w:autoSpaceDN w:val="0"/>
        <w:adjustRightInd w:val="0"/>
        <w:spacing w:after="0" w:line="240" w:lineRule="auto"/>
        <w:rPr>
          <w:rFonts w:cstheme="minorHAnsi"/>
          <w:b/>
          <w:bCs/>
        </w:rPr>
      </w:pPr>
    </w:p>
    <w:p w14:paraId="32D6A8EF" w14:textId="504A4C1A" w:rsidR="00E55396" w:rsidRDefault="00F01E56" w:rsidP="00001D73">
      <w:pPr>
        <w:autoSpaceDE w:val="0"/>
        <w:autoSpaceDN w:val="0"/>
        <w:adjustRightInd w:val="0"/>
        <w:spacing w:after="0" w:line="240" w:lineRule="auto"/>
        <w:rPr>
          <w:rFonts w:cstheme="minorHAnsi"/>
          <w:bCs/>
        </w:rPr>
      </w:pPr>
      <w:r>
        <w:rPr>
          <w:rFonts w:cstheme="minorHAnsi"/>
          <w:bCs/>
        </w:rPr>
        <w:t xml:space="preserve">We first present the </w:t>
      </w:r>
      <w:r w:rsidR="001F576B">
        <w:rPr>
          <w:rFonts w:cstheme="minorHAnsi"/>
          <w:bCs/>
        </w:rPr>
        <w:t>observed</w:t>
      </w:r>
      <w:r>
        <w:rPr>
          <w:rFonts w:cstheme="minorHAnsi"/>
          <w:bCs/>
        </w:rPr>
        <w:t xml:space="preserve"> measure performance between 2012 and 2016 stratified by each of the social risk factors.  </w:t>
      </w:r>
      <w:r w:rsidR="00E55396">
        <w:rPr>
          <w:rFonts w:cstheme="minorHAnsi"/>
          <w:bCs/>
        </w:rPr>
        <w:t>We note the greater increase in measure performance occurring between 2015 and 2016 (and to some extent between 2014 and 2015) may be related to the inception of the Quality of Patient Care Star Ratings and Home Health Value Based Purchasing.</w:t>
      </w:r>
      <w:r w:rsidR="001F576B">
        <w:rPr>
          <w:rFonts w:cstheme="minorHAnsi"/>
          <w:bCs/>
        </w:rPr>
        <w:t xml:space="preserve"> Both programs rely upon home health quality measures.</w:t>
      </w:r>
      <w:r w:rsidR="00C92E4B">
        <w:rPr>
          <w:rFonts w:cstheme="minorHAnsi"/>
          <w:bCs/>
        </w:rPr>
        <w:t xml:space="preserve"> The Quality of Patient Care Star Rating is a composite of a subset of measures reported on Home Health Compare, including </w:t>
      </w:r>
      <w:r w:rsidR="00C92E4B" w:rsidRPr="00ED2A30">
        <w:rPr>
          <w:rFonts w:cstheme="minorHAnsi"/>
          <w:bCs/>
          <w:i/>
        </w:rPr>
        <w:t>Improvement in Pain Interfering with Activity</w:t>
      </w:r>
      <w:r w:rsidR="00C92E4B">
        <w:rPr>
          <w:rFonts w:cstheme="minorHAnsi"/>
          <w:bCs/>
        </w:rPr>
        <w:t>.</w:t>
      </w:r>
      <w:r w:rsidR="001F576B">
        <w:rPr>
          <w:rFonts w:cstheme="minorHAnsi"/>
          <w:bCs/>
        </w:rPr>
        <w:t xml:space="preserve"> </w:t>
      </w:r>
      <w:r w:rsidR="00C92E4B">
        <w:rPr>
          <w:rFonts w:cstheme="minorHAnsi"/>
          <w:bCs/>
        </w:rPr>
        <w:t>The Home Health Value Based Purchasing program uses</w:t>
      </w:r>
      <w:r w:rsidR="001F576B">
        <w:rPr>
          <w:rFonts w:cstheme="minorHAnsi"/>
          <w:bCs/>
        </w:rPr>
        <w:t xml:space="preserve"> home health quality measures to generate a score that is compared across HHAs within a state (for nine states)</w:t>
      </w:r>
      <w:r w:rsidR="00C92E4B">
        <w:rPr>
          <w:rFonts w:cstheme="minorHAnsi"/>
          <w:bCs/>
        </w:rPr>
        <w:t xml:space="preserve"> and, depending on relative performance, can negatively or positiv</w:t>
      </w:r>
      <w:r w:rsidR="002F228A">
        <w:rPr>
          <w:rFonts w:cstheme="minorHAnsi"/>
          <w:bCs/>
        </w:rPr>
        <w:t>el</w:t>
      </w:r>
      <w:r w:rsidR="00C92E4B">
        <w:rPr>
          <w:rFonts w:cstheme="minorHAnsi"/>
          <w:bCs/>
        </w:rPr>
        <w:t xml:space="preserve">y affect home health claims payment. </w:t>
      </w:r>
    </w:p>
    <w:p w14:paraId="6E26DD85" w14:textId="77777777" w:rsidR="00E55396" w:rsidRDefault="00E55396" w:rsidP="00001D73">
      <w:pPr>
        <w:autoSpaceDE w:val="0"/>
        <w:autoSpaceDN w:val="0"/>
        <w:adjustRightInd w:val="0"/>
        <w:spacing w:after="0" w:line="240" w:lineRule="auto"/>
        <w:rPr>
          <w:rFonts w:cstheme="minorHAnsi"/>
          <w:bCs/>
        </w:rPr>
      </w:pPr>
    </w:p>
    <w:p w14:paraId="76AAE5D9" w14:textId="701B9B6F" w:rsidR="00F01E56" w:rsidRPr="00F01E56" w:rsidRDefault="00F01E56" w:rsidP="00001D73">
      <w:pPr>
        <w:autoSpaceDE w:val="0"/>
        <w:autoSpaceDN w:val="0"/>
        <w:adjustRightInd w:val="0"/>
        <w:spacing w:after="0" w:line="240" w:lineRule="auto"/>
        <w:rPr>
          <w:rFonts w:cstheme="minorHAnsi"/>
          <w:bCs/>
        </w:rPr>
      </w:pPr>
      <w:r>
        <w:rPr>
          <w:rFonts w:cstheme="minorHAnsi"/>
          <w:bCs/>
        </w:rPr>
        <w:t>Differences in episode-level observed measure performance by gender were small, though, on average, males performed better on the measure than females in every year from 2012 to 2016.</w:t>
      </w:r>
    </w:p>
    <w:p w14:paraId="7927606B" w14:textId="77777777" w:rsidR="00F01E56" w:rsidRDefault="00F01E56" w:rsidP="00001D73">
      <w:pPr>
        <w:autoSpaceDE w:val="0"/>
        <w:autoSpaceDN w:val="0"/>
        <w:adjustRightInd w:val="0"/>
        <w:spacing w:after="0" w:line="240" w:lineRule="auto"/>
        <w:rPr>
          <w:rFonts w:cstheme="minorHAnsi"/>
          <w:b/>
          <w:bCs/>
        </w:rPr>
      </w:pPr>
    </w:p>
    <w:p w14:paraId="5AF1733C" w14:textId="0DD7FA57" w:rsidR="001D655E" w:rsidRDefault="00F01E56" w:rsidP="001D655E">
      <w:pPr>
        <w:autoSpaceDE w:val="0"/>
        <w:autoSpaceDN w:val="0"/>
        <w:adjustRightInd w:val="0"/>
        <w:spacing w:after="0" w:line="240" w:lineRule="auto"/>
        <w:rPr>
          <w:rFonts w:cstheme="minorHAnsi"/>
          <w:b/>
          <w:bCs/>
        </w:rPr>
      </w:pPr>
      <w:r>
        <w:rPr>
          <w:rFonts w:cstheme="minorHAnsi"/>
          <w:b/>
          <w:bCs/>
        </w:rPr>
        <w:t>Average Episode-Level Observed</w:t>
      </w:r>
      <w:r w:rsidR="001D655E">
        <w:rPr>
          <w:rFonts w:cstheme="minorHAnsi"/>
          <w:b/>
          <w:bCs/>
        </w:rPr>
        <w:t xml:space="preserve"> Measure Performance over Time, by Gender</w:t>
      </w:r>
    </w:p>
    <w:tbl>
      <w:tblPr>
        <w:tblW w:w="7120" w:type="dxa"/>
        <w:tblInd w:w="93" w:type="dxa"/>
        <w:tblLook w:val="04A0" w:firstRow="1" w:lastRow="0" w:firstColumn="1" w:lastColumn="0" w:noHBand="0" w:noVBand="1"/>
      </w:tblPr>
      <w:tblGrid>
        <w:gridCol w:w="2320"/>
        <w:gridCol w:w="960"/>
        <w:gridCol w:w="960"/>
        <w:gridCol w:w="960"/>
        <w:gridCol w:w="960"/>
        <w:gridCol w:w="960"/>
      </w:tblGrid>
      <w:tr w:rsidR="001D655E" w:rsidRPr="00CF3C68" w14:paraId="1B46ECE6" w14:textId="77777777" w:rsidTr="00F01E56">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E9A23" w14:textId="77777777" w:rsidR="001D655E" w:rsidRPr="00CF3C68" w:rsidRDefault="001D655E" w:rsidP="00F01E5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5CC2CA6"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4D9A06B"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BEBE09E"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314ECA2"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4C6D785"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2016</w:t>
            </w:r>
          </w:p>
        </w:tc>
      </w:tr>
      <w:tr w:rsidR="00307886" w:rsidRPr="00CF3C68" w14:paraId="10D00328"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0AFAF665"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Male</w:t>
            </w:r>
          </w:p>
        </w:tc>
        <w:tc>
          <w:tcPr>
            <w:tcW w:w="960" w:type="dxa"/>
            <w:tcBorders>
              <w:top w:val="nil"/>
              <w:left w:val="nil"/>
              <w:bottom w:val="single" w:sz="4" w:space="0" w:color="auto"/>
              <w:right w:val="single" w:sz="4" w:space="0" w:color="auto"/>
            </w:tcBorders>
            <w:shd w:val="clear" w:color="auto" w:fill="auto"/>
            <w:noWrap/>
            <w:vAlign w:val="bottom"/>
            <w:hideMark/>
          </w:tcPr>
          <w:p w14:paraId="58CB3511" w14:textId="43C7D28B"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68.3%</w:t>
            </w:r>
          </w:p>
        </w:tc>
        <w:tc>
          <w:tcPr>
            <w:tcW w:w="960" w:type="dxa"/>
            <w:tcBorders>
              <w:top w:val="nil"/>
              <w:left w:val="nil"/>
              <w:bottom w:val="single" w:sz="4" w:space="0" w:color="auto"/>
              <w:right w:val="single" w:sz="4" w:space="0" w:color="auto"/>
            </w:tcBorders>
            <w:shd w:val="clear" w:color="auto" w:fill="auto"/>
            <w:noWrap/>
            <w:vAlign w:val="bottom"/>
            <w:hideMark/>
          </w:tcPr>
          <w:p w14:paraId="06BFA5BF" w14:textId="63E4F5DC"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68.8%</w:t>
            </w:r>
          </w:p>
        </w:tc>
        <w:tc>
          <w:tcPr>
            <w:tcW w:w="960" w:type="dxa"/>
            <w:tcBorders>
              <w:top w:val="nil"/>
              <w:left w:val="nil"/>
              <w:bottom w:val="single" w:sz="4" w:space="0" w:color="auto"/>
              <w:right w:val="single" w:sz="4" w:space="0" w:color="auto"/>
            </w:tcBorders>
            <w:shd w:val="clear" w:color="auto" w:fill="auto"/>
            <w:noWrap/>
            <w:vAlign w:val="bottom"/>
            <w:hideMark/>
          </w:tcPr>
          <w:p w14:paraId="01463854" w14:textId="61B8F12E"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68.9%</w:t>
            </w:r>
          </w:p>
        </w:tc>
        <w:tc>
          <w:tcPr>
            <w:tcW w:w="960" w:type="dxa"/>
            <w:tcBorders>
              <w:top w:val="nil"/>
              <w:left w:val="nil"/>
              <w:bottom w:val="single" w:sz="4" w:space="0" w:color="auto"/>
              <w:right w:val="single" w:sz="4" w:space="0" w:color="auto"/>
            </w:tcBorders>
            <w:shd w:val="clear" w:color="auto" w:fill="auto"/>
            <w:noWrap/>
            <w:vAlign w:val="bottom"/>
            <w:hideMark/>
          </w:tcPr>
          <w:p w14:paraId="7DEB9ADF" w14:textId="0F096002"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71.1%</w:t>
            </w:r>
          </w:p>
        </w:tc>
        <w:tc>
          <w:tcPr>
            <w:tcW w:w="960" w:type="dxa"/>
            <w:tcBorders>
              <w:top w:val="nil"/>
              <w:left w:val="nil"/>
              <w:bottom w:val="single" w:sz="4" w:space="0" w:color="auto"/>
              <w:right w:val="single" w:sz="4" w:space="0" w:color="auto"/>
            </w:tcBorders>
            <w:shd w:val="clear" w:color="auto" w:fill="auto"/>
            <w:noWrap/>
            <w:vAlign w:val="bottom"/>
            <w:hideMark/>
          </w:tcPr>
          <w:p w14:paraId="52A14B3B" w14:textId="75B4EE96"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75.3%</w:t>
            </w:r>
          </w:p>
        </w:tc>
      </w:tr>
      <w:tr w:rsidR="00307886" w:rsidRPr="00CF3C68" w14:paraId="2292B5D9"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715DE84"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Female</w:t>
            </w:r>
          </w:p>
        </w:tc>
        <w:tc>
          <w:tcPr>
            <w:tcW w:w="960" w:type="dxa"/>
            <w:tcBorders>
              <w:top w:val="nil"/>
              <w:left w:val="nil"/>
              <w:bottom w:val="single" w:sz="4" w:space="0" w:color="auto"/>
              <w:right w:val="single" w:sz="4" w:space="0" w:color="auto"/>
            </w:tcBorders>
            <w:shd w:val="clear" w:color="auto" w:fill="auto"/>
            <w:noWrap/>
            <w:vAlign w:val="bottom"/>
            <w:hideMark/>
          </w:tcPr>
          <w:p w14:paraId="3D061E48" w14:textId="3931E3BC"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66.5%</w:t>
            </w:r>
          </w:p>
        </w:tc>
        <w:tc>
          <w:tcPr>
            <w:tcW w:w="960" w:type="dxa"/>
            <w:tcBorders>
              <w:top w:val="nil"/>
              <w:left w:val="nil"/>
              <w:bottom w:val="single" w:sz="4" w:space="0" w:color="auto"/>
              <w:right w:val="single" w:sz="4" w:space="0" w:color="auto"/>
            </w:tcBorders>
            <w:shd w:val="clear" w:color="auto" w:fill="auto"/>
            <w:noWrap/>
            <w:vAlign w:val="bottom"/>
            <w:hideMark/>
          </w:tcPr>
          <w:p w14:paraId="2EC49011" w14:textId="49FA64B6"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66.9%</w:t>
            </w:r>
          </w:p>
        </w:tc>
        <w:tc>
          <w:tcPr>
            <w:tcW w:w="960" w:type="dxa"/>
            <w:tcBorders>
              <w:top w:val="nil"/>
              <w:left w:val="nil"/>
              <w:bottom w:val="single" w:sz="4" w:space="0" w:color="auto"/>
              <w:right w:val="single" w:sz="4" w:space="0" w:color="auto"/>
            </w:tcBorders>
            <w:shd w:val="clear" w:color="auto" w:fill="auto"/>
            <w:noWrap/>
            <w:vAlign w:val="bottom"/>
            <w:hideMark/>
          </w:tcPr>
          <w:p w14:paraId="45D7A2D5" w14:textId="25F6638D"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67.1%</w:t>
            </w:r>
          </w:p>
        </w:tc>
        <w:tc>
          <w:tcPr>
            <w:tcW w:w="960" w:type="dxa"/>
            <w:tcBorders>
              <w:top w:val="nil"/>
              <w:left w:val="nil"/>
              <w:bottom w:val="single" w:sz="4" w:space="0" w:color="auto"/>
              <w:right w:val="single" w:sz="4" w:space="0" w:color="auto"/>
            </w:tcBorders>
            <w:shd w:val="clear" w:color="auto" w:fill="auto"/>
            <w:noWrap/>
            <w:vAlign w:val="bottom"/>
            <w:hideMark/>
          </w:tcPr>
          <w:p w14:paraId="7C8EAA3B" w14:textId="7855CBFF"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69.5%</w:t>
            </w:r>
          </w:p>
        </w:tc>
        <w:tc>
          <w:tcPr>
            <w:tcW w:w="960" w:type="dxa"/>
            <w:tcBorders>
              <w:top w:val="nil"/>
              <w:left w:val="nil"/>
              <w:bottom w:val="single" w:sz="4" w:space="0" w:color="auto"/>
              <w:right w:val="single" w:sz="4" w:space="0" w:color="auto"/>
            </w:tcBorders>
            <w:shd w:val="clear" w:color="auto" w:fill="auto"/>
            <w:noWrap/>
            <w:vAlign w:val="bottom"/>
            <w:hideMark/>
          </w:tcPr>
          <w:p w14:paraId="08258602" w14:textId="0E7FE32F"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74.0%</w:t>
            </w:r>
          </w:p>
        </w:tc>
      </w:tr>
    </w:tbl>
    <w:p w14:paraId="7157055E" w14:textId="77777777" w:rsidR="001D655E" w:rsidRDefault="001D655E" w:rsidP="001D655E">
      <w:pPr>
        <w:autoSpaceDE w:val="0"/>
        <w:autoSpaceDN w:val="0"/>
        <w:adjustRightInd w:val="0"/>
        <w:spacing w:after="0" w:line="240" w:lineRule="auto"/>
        <w:rPr>
          <w:rFonts w:cstheme="minorHAnsi"/>
          <w:b/>
          <w:bCs/>
        </w:rPr>
      </w:pPr>
    </w:p>
    <w:p w14:paraId="46D0FF2C" w14:textId="4134313D" w:rsidR="00F01E56" w:rsidRPr="00F01E56" w:rsidRDefault="00F01E56" w:rsidP="001D655E">
      <w:pPr>
        <w:autoSpaceDE w:val="0"/>
        <w:autoSpaceDN w:val="0"/>
        <w:adjustRightInd w:val="0"/>
        <w:spacing w:after="0" w:line="240" w:lineRule="auto"/>
        <w:rPr>
          <w:rFonts w:cstheme="minorHAnsi"/>
          <w:bCs/>
        </w:rPr>
      </w:pPr>
      <w:r>
        <w:rPr>
          <w:rFonts w:cstheme="minorHAnsi"/>
          <w:bCs/>
        </w:rPr>
        <w:t xml:space="preserve">Average episode-level observed measure values also differed by age group. </w:t>
      </w:r>
      <w:r w:rsidR="00770FCB">
        <w:rPr>
          <w:rFonts w:cstheme="minorHAnsi"/>
          <w:bCs/>
        </w:rPr>
        <w:t>Younger patients</w:t>
      </w:r>
      <w:r>
        <w:rPr>
          <w:rFonts w:cstheme="minorHAnsi"/>
          <w:bCs/>
        </w:rPr>
        <w:t xml:space="preserve"> perform</w:t>
      </w:r>
      <w:r w:rsidR="00770FCB">
        <w:rPr>
          <w:rFonts w:cstheme="minorHAnsi"/>
          <w:bCs/>
        </w:rPr>
        <w:t>ed</w:t>
      </w:r>
      <w:r>
        <w:rPr>
          <w:rFonts w:cstheme="minorHAnsi"/>
          <w:bCs/>
        </w:rPr>
        <w:t xml:space="preserve"> worse. </w:t>
      </w:r>
      <w:r w:rsidR="00770FCB">
        <w:rPr>
          <w:rFonts w:cstheme="minorHAnsi"/>
          <w:bCs/>
        </w:rPr>
        <w:t>The</w:t>
      </w:r>
      <w:r>
        <w:rPr>
          <w:rFonts w:cstheme="minorHAnsi"/>
          <w:bCs/>
        </w:rPr>
        <w:t xml:space="preserve"> relat</w:t>
      </w:r>
      <w:r w:rsidR="00770FCB">
        <w:rPr>
          <w:rFonts w:cstheme="minorHAnsi"/>
          <w:bCs/>
        </w:rPr>
        <w:t>ionships were steady over time, though greater improvement at all ages occurred between 2015 and 2016, likely for reasons stated above.</w:t>
      </w:r>
    </w:p>
    <w:p w14:paraId="6A2C76A8" w14:textId="77777777" w:rsidR="00F01E56" w:rsidRDefault="00F01E56" w:rsidP="001D655E">
      <w:pPr>
        <w:autoSpaceDE w:val="0"/>
        <w:autoSpaceDN w:val="0"/>
        <w:adjustRightInd w:val="0"/>
        <w:spacing w:after="0" w:line="240" w:lineRule="auto"/>
        <w:rPr>
          <w:rFonts w:cstheme="minorHAnsi"/>
          <w:b/>
          <w:bCs/>
        </w:rPr>
      </w:pPr>
    </w:p>
    <w:p w14:paraId="3275E88D" w14:textId="17863EE4" w:rsidR="001D655E" w:rsidRDefault="00F01E56" w:rsidP="001D655E">
      <w:pPr>
        <w:autoSpaceDE w:val="0"/>
        <w:autoSpaceDN w:val="0"/>
        <w:adjustRightInd w:val="0"/>
        <w:spacing w:after="0" w:line="240" w:lineRule="auto"/>
        <w:rPr>
          <w:rFonts w:cstheme="minorHAnsi"/>
          <w:b/>
          <w:bCs/>
        </w:rPr>
      </w:pPr>
      <w:r>
        <w:rPr>
          <w:rFonts w:cstheme="minorHAnsi"/>
          <w:b/>
          <w:bCs/>
        </w:rPr>
        <w:t xml:space="preserve">Average Episode-Level Observed </w:t>
      </w:r>
      <w:r w:rsidR="001D655E">
        <w:rPr>
          <w:rFonts w:cstheme="minorHAnsi"/>
          <w:b/>
          <w:bCs/>
        </w:rPr>
        <w:t>Measure Performance over Time, by Age Category</w:t>
      </w:r>
    </w:p>
    <w:tbl>
      <w:tblPr>
        <w:tblW w:w="7120" w:type="dxa"/>
        <w:tblInd w:w="93" w:type="dxa"/>
        <w:tblLook w:val="04A0" w:firstRow="1" w:lastRow="0" w:firstColumn="1" w:lastColumn="0" w:noHBand="0" w:noVBand="1"/>
      </w:tblPr>
      <w:tblGrid>
        <w:gridCol w:w="2320"/>
        <w:gridCol w:w="960"/>
        <w:gridCol w:w="960"/>
        <w:gridCol w:w="960"/>
        <w:gridCol w:w="960"/>
        <w:gridCol w:w="960"/>
      </w:tblGrid>
      <w:tr w:rsidR="001D655E" w:rsidRPr="00CF3C68" w14:paraId="23107CB7" w14:textId="77777777" w:rsidTr="00F01E56">
        <w:trPr>
          <w:trHeight w:val="300"/>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67375F" w14:textId="77777777" w:rsidR="001D655E" w:rsidRPr="00CF3C68" w:rsidRDefault="001D655E" w:rsidP="00F01E5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2C422A9"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727D7D"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38452B48"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09A4132"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8C4056A"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2016</w:t>
            </w:r>
          </w:p>
        </w:tc>
      </w:tr>
      <w:tr w:rsidR="00307886" w:rsidRPr="00CF3C68" w14:paraId="2BD247C7"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A8D3DB7"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0-54</w:t>
            </w:r>
          </w:p>
        </w:tc>
        <w:tc>
          <w:tcPr>
            <w:tcW w:w="960" w:type="dxa"/>
            <w:tcBorders>
              <w:top w:val="nil"/>
              <w:left w:val="nil"/>
              <w:bottom w:val="single" w:sz="4" w:space="0" w:color="auto"/>
              <w:right w:val="single" w:sz="4" w:space="0" w:color="auto"/>
            </w:tcBorders>
            <w:shd w:val="clear" w:color="auto" w:fill="auto"/>
            <w:noWrap/>
            <w:vAlign w:val="bottom"/>
            <w:hideMark/>
          </w:tcPr>
          <w:p w14:paraId="27856907" w14:textId="5B3B4AFA"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62.0%</w:t>
            </w:r>
          </w:p>
        </w:tc>
        <w:tc>
          <w:tcPr>
            <w:tcW w:w="960" w:type="dxa"/>
            <w:tcBorders>
              <w:top w:val="nil"/>
              <w:left w:val="nil"/>
              <w:bottom w:val="single" w:sz="4" w:space="0" w:color="auto"/>
              <w:right w:val="single" w:sz="4" w:space="0" w:color="auto"/>
            </w:tcBorders>
            <w:shd w:val="clear" w:color="auto" w:fill="auto"/>
            <w:noWrap/>
            <w:vAlign w:val="bottom"/>
            <w:hideMark/>
          </w:tcPr>
          <w:p w14:paraId="441AF953" w14:textId="0CB84EE9"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62.1%</w:t>
            </w:r>
          </w:p>
        </w:tc>
        <w:tc>
          <w:tcPr>
            <w:tcW w:w="960" w:type="dxa"/>
            <w:tcBorders>
              <w:top w:val="nil"/>
              <w:left w:val="nil"/>
              <w:bottom w:val="single" w:sz="4" w:space="0" w:color="auto"/>
              <w:right w:val="single" w:sz="4" w:space="0" w:color="auto"/>
            </w:tcBorders>
            <w:shd w:val="clear" w:color="auto" w:fill="auto"/>
            <w:noWrap/>
            <w:vAlign w:val="bottom"/>
            <w:hideMark/>
          </w:tcPr>
          <w:p w14:paraId="59DBBF71" w14:textId="15B7FE50"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62.6%</w:t>
            </w:r>
          </w:p>
        </w:tc>
        <w:tc>
          <w:tcPr>
            <w:tcW w:w="960" w:type="dxa"/>
            <w:tcBorders>
              <w:top w:val="nil"/>
              <w:left w:val="nil"/>
              <w:bottom w:val="single" w:sz="4" w:space="0" w:color="auto"/>
              <w:right w:val="single" w:sz="4" w:space="0" w:color="auto"/>
            </w:tcBorders>
            <w:shd w:val="clear" w:color="auto" w:fill="auto"/>
            <w:noWrap/>
            <w:vAlign w:val="bottom"/>
            <w:hideMark/>
          </w:tcPr>
          <w:p w14:paraId="5E4C272B" w14:textId="4EA40958"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64.8%</w:t>
            </w:r>
          </w:p>
        </w:tc>
        <w:tc>
          <w:tcPr>
            <w:tcW w:w="960" w:type="dxa"/>
            <w:tcBorders>
              <w:top w:val="nil"/>
              <w:left w:val="nil"/>
              <w:bottom w:val="single" w:sz="4" w:space="0" w:color="auto"/>
              <w:right w:val="single" w:sz="4" w:space="0" w:color="auto"/>
            </w:tcBorders>
            <w:shd w:val="clear" w:color="auto" w:fill="auto"/>
            <w:noWrap/>
            <w:vAlign w:val="bottom"/>
            <w:hideMark/>
          </w:tcPr>
          <w:p w14:paraId="2A8783A6" w14:textId="06075D59"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69.2%</w:t>
            </w:r>
          </w:p>
        </w:tc>
      </w:tr>
      <w:tr w:rsidR="00307886" w:rsidRPr="00CF3C68" w14:paraId="38CFB9AF"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3D187A48"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55-60</w:t>
            </w:r>
          </w:p>
        </w:tc>
        <w:tc>
          <w:tcPr>
            <w:tcW w:w="960" w:type="dxa"/>
            <w:tcBorders>
              <w:top w:val="nil"/>
              <w:left w:val="nil"/>
              <w:bottom w:val="single" w:sz="4" w:space="0" w:color="auto"/>
              <w:right w:val="single" w:sz="4" w:space="0" w:color="auto"/>
            </w:tcBorders>
            <w:shd w:val="clear" w:color="auto" w:fill="auto"/>
            <w:noWrap/>
            <w:vAlign w:val="bottom"/>
            <w:hideMark/>
          </w:tcPr>
          <w:p w14:paraId="6F17DF97" w14:textId="6394D3C8"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61.8%</w:t>
            </w:r>
          </w:p>
        </w:tc>
        <w:tc>
          <w:tcPr>
            <w:tcW w:w="960" w:type="dxa"/>
            <w:tcBorders>
              <w:top w:val="nil"/>
              <w:left w:val="nil"/>
              <w:bottom w:val="single" w:sz="4" w:space="0" w:color="auto"/>
              <w:right w:val="single" w:sz="4" w:space="0" w:color="auto"/>
            </w:tcBorders>
            <w:shd w:val="clear" w:color="auto" w:fill="auto"/>
            <w:noWrap/>
            <w:vAlign w:val="bottom"/>
            <w:hideMark/>
          </w:tcPr>
          <w:p w14:paraId="01E98FFB" w14:textId="5F8D7F30"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62.1%</w:t>
            </w:r>
          </w:p>
        </w:tc>
        <w:tc>
          <w:tcPr>
            <w:tcW w:w="960" w:type="dxa"/>
            <w:tcBorders>
              <w:top w:val="nil"/>
              <w:left w:val="nil"/>
              <w:bottom w:val="single" w:sz="4" w:space="0" w:color="auto"/>
              <w:right w:val="single" w:sz="4" w:space="0" w:color="auto"/>
            </w:tcBorders>
            <w:shd w:val="clear" w:color="auto" w:fill="auto"/>
            <w:noWrap/>
            <w:vAlign w:val="bottom"/>
            <w:hideMark/>
          </w:tcPr>
          <w:p w14:paraId="784547DA" w14:textId="525544FB"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62.5%</w:t>
            </w:r>
          </w:p>
        </w:tc>
        <w:tc>
          <w:tcPr>
            <w:tcW w:w="960" w:type="dxa"/>
            <w:tcBorders>
              <w:top w:val="nil"/>
              <w:left w:val="nil"/>
              <w:bottom w:val="single" w:sz="4" w:space="0" w:color="auto"/>
              <w:right w:val="single" w:sz="4" w:space="0" w:color="auto"/>
            </w:tcBorders>
            <w:shd w:val="clear" w:color="auto" w:fill="auto"/>
            <w:noWrap/>
            <w:vAlign w:val="bottom"/>
            <w:hideMark/>
          </w:tcPr>
          <w:p w14:paraId="14E274D4" w14:textId="2C442448"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64.8%</w:t>
            </w:r>
          </w:p>
        </w:tc>
        <w:tc>
          <w:tcPr>
            <w:tcW w:w="960" w:type="dxa"/>
            <w:tcBorders>
              <w:top w:val="nil"/>
              <w:left w:val="nil"/>
              <w:bottom w:val="single" w:sz="4" w:space="0" w:color="auto"/>
              <w:right w:val="single" w:sz="4" w:space="0" w:color="auto"/>
            </w:tcBorders>
            <w:shd w:val="clear" w:color="auto" w:fill="auto"/>
            <w:noWrap/>
            <w:vAlign w:val="bottom"/>
            <w:hideMark/>
          </w:tcPr>
          <w:p w14:paraId="4EA8B25F" w14:textId="4D30A27E"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69.1%</w:t>
            </w:r>
          </w:p>
        </w:tc>
      </w:tr>
      <w:tr w:rsidR="00307886" w:rsidRPr="00CF3C68" w14:paraId="1DE67C95"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41339E1"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60-65</w:t>
            </w:r>
          </w:p>
        </w:tc>
        <w:tc>
          <w:tcPr>
            <w:tcW w:w="960" w:type="dxa"/>
            <w:tcBorders>
              <w:top w:val="nil"/>
              <w:left w:val="nil"/>
              <w:bottom w:val="single" w:sz="4" w:space="0" w:color="auto"/>
              <w:right w:val="single" w:sz="4" w:space="0" w:color="auto"/>
            </w:tcBorders>
            <w:shd w:val="clear" w:color="auto" w:fill="auto"/>
            <w:noWrap/>
            <w:vAlign w:val="bottom"/>
            <w:hideMark/>
          </w:tcPr>
          <w:p w14:paraId="40A03545" w14:textId="5DD6886C"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62.7%</w:t>
            </w:r>
          </w:p>
        </w:tc>
        <w:tc>
          <w:tcPr>
            <w:tcW w:w="960" w:type="dxa"/>
            <w:tcBorders>
              <w:top w:val="nil"/>
              <w:left w:val="nil"/>
              <w:bottom w:val="single" w:sz="4" w:space="0" w:color="auto"/>
              <w:right w:val="single" w:sz="4" w:space="0" w:color="auto"/>
            </w:tcBorders>
            <w:shd w:val="clear" w:color="auto" w:fill="auto"/>
            <w:noWrap/>
            <w:vAlign w:val="bottom"/>
            <w:hideMark/>
          </w:tcPr>
          <w:p w14:paraId="5D286B4F" w14:textId="0A3C9079"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63.3%</w:t>
            </w:r>
          </w:p>
        </w:tc>
        <w:tc>
          <w:tcPr>
            <w:tcW w:w="960" w:type="dxa"/>
            <w:tcBorders>
              <w:top w:val="nil"/>
              <w:left w:val="nil"/>
              <w:bottom w:val="single" w:sz="4" w:space="0" w:color="auto"/>
              <w:right w:val="single" w:sz="4" w:space="0" w:color="auto"/>
            </w:tcBorders>
            <w:shd w:val="clear" w:color="auto" w:fill="auto"/>
            <w:noWrap/>
            <w:vAlign w:val="bottom"/>
            <w:hideMark/>
          </w:tcPr>
          <w:p w14:paraId="72A9AE55" w14:textId="507F2163"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63.3%</w:t>
            </w:r>
          </w:p>
        </w:tc>
        <w:tc>
          <w:tcPr>
            <w:tcW w:w="960" w:type="dxa"/>
            <w:tcBorders>
              <w:top w:val="nil"/>
              <w:left w:val="nil"/>
              <w:bottom w:val="single" w:sz="4" w:space="0" w:color="auto"/>
              <w:right w:val="single" w:sz="4" w:space="0" w:color="auto"/>
            </w:tcBorders>
            <w:shd w:val="clear" w:color="auto" w:fill="auto"/>
            <w:noWrap/>
            <w:vAlign w:val="bottom"/>
            <w:hideMark/>
          </w:tcPr>
          <w:p w14:paraId="7291DDA6" w14:textId="3830ABFB"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65.8%</w:t>
            </w:r>
          </w:p>
        </w:tc>
        <w:tc>
          <w:tcPr>
            <w:tcW w:w="960" w:type="dxa"/>
            <w:tcBorders>
              <w:top w:val="nil"/>
              <w:left w:val="nil"/>
              <w:bottom w:val="single" w:sz="4" w:space="0" w:color="auto"/>
              <w:right w:val="single" w:sz="4" w:space="0" w:color="auto"/>
            </w:tcBorders>
            <w:shd w:val="clear" w:color="auto" w:fill="auto"/>
            <w:noWrap/>
            <w:vAlign w:val="bottom"/>
            <w:hideMark/>
          </w:tcPr>
          <w:p w14:paraId="60F1235C" w14:textId="3E428DEE"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70.2%</w:t>
            </w:r>
          </w:p>
        </w:tc>
      </w:tr>
      <w:tr w:rsidR="00307886" w:rsidRPr="00CF3C68" w14:paraId="0A3BA0B0"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2E4612C8"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65-70</w:t>
            </w:r>
          </w:p>
        </w:tc>
        <w:tc>
          <w:tcPr>
            <w:tcW w:w="960" w:type="dxa"/>
            <w:tcBorders>
              <w:top w:val="nil"/>
              <w:left w:val="nil"/>
              <w:bottom w:val="single" w:sz="4" w:space="0" w:color="auto"/>
              <w:right w:val="single" w:sz="4" w:space="0" w:color="auto"/>
            </w:tcBorders>
            <w:shd w:val="clear" w:color="auto" w:fill="auto"/>
            <w:noWrap/>
            <w:vAlign w:val="bottom"/>
            <w:hideMark/>
          </w:tcPr>
          <w:p w14:paraId="514B5467" w14:textId="1A4BC3D2"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67.7%</w:t>
            </w:r>
          </w:p>
        </w:tc>
        <w:tc>
          <w:tcPr>
            <w:tcW w:w="960" w:type="dxa"/>
            <w:tcBorders>
              <w:top w:val="nil"/>
              <w:left w:val="nil"/>
              <w:bottom w:val="single" w:sz="4" w:space="0" w:color="auto"/>
              <w:right w:val="single" w:sz="4" w:space="0" w:color="auto"/>
            </w:tcBorders>
            <w:shd w:val="clear" w:color="auto" w:fill="auto"/>
            <w:noWrap/>
            <w:vAlign w:val="bottom"/>
            <w:hideMark/>
          </w:tcPr>
          <w:p w14:paraId="51F1D3C6" w14:textId="67A41964"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68.2%</w:t>
            </w:r>
          </w:p>
        </w:tc>
        <w:tc>
          <w:tcPr>
            <w:tcW w:w="960" w:type="dxa"/>
            <w:tcBorders>
              <w:top w:val="nil"/>
              <w:left w:val="nil"/>
              <w:bottom w:val="single" w:sz="4" w:space="0" w:color="auto"/>
              <w:right w:val="single" w:sz="4" w:space="0" w:color="auto"/>
            </w:tcBorders>
            <w:shd w:val="clear" w:color="auto" w:fill="auto"/>
            <w:noWrap/>
            <w:vAlign w:val="bottom"/>
            <w:hideMark/>
          </w:tcPr>
          <w:p w14:paraId="45564366" w14:textId="1D6F03D2"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68.3%</w:t>
            </w:r>
          </w:p>
        </w:tc>
        <w:tc>
          <w:tcPr>
            <w:tcW w:w="960" w:type="dxa"/>
            <w:tcBorders>
              <w:top w:val="nil"/>
              <w:left w:val="nil"/>
              <w:bottom w:val="single" w:sz="4" w:space="0" w:color="auto"/>
              <w:right w:val="single" w:sz="4" w:space="0" w:color="auto"/>
            </w:tcBorders>
            <w:shd w:val="clear" w:color="auto" w:fill="auto"/>
            <w:noWrap/>
            <w:vAlign w:val="bottom"/>
            <w:hideMark/>
          </w:tcPr>
          <w:p w14:paraId="19646C2F" w14:textId="46F257BF"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70.6%</w:t>
            </w:r>
          </w:p>
        </w:tc>
        <w:tc>
          <w:tcPr>
            <w:tcW w:w="960" w:type="dxa"/>
            <w:tcBorders>
              <w:top w:val="nil"/>
              <w:left w:val="nil"/>
              <w:bottom w:val="single" w:sz="4" w:space="0" w:color="auto"/>
              <w:right w:val="single" w:sz="4" w:space="0" w:color="auto"/>
            </w:tcBorders>
            <w:shd w:val="clear" w:color="auto" w:fill="auto"/>
            <w:noWrap/>
            <w:vAlign w:val="bottom"/>
            <w:hideMark/>
          </w:tcPr>
          <w:p w14:paraId="3C970F88" w14:textId="5A1D06AA"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75.1%</w:t>
            </w:r>
          </w:p>
        </w:tc>
      </w:tr>
      <w:tr w:rsidR="00307886" w:rsidRPr="00CF3C68" w14:paraId="4005A67E"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2C902FF8"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70-75</w:t>
            </w:r>
          </w:p>
        </w:tc>
        <w:tc>
          <w:tcPr>
            <w:tcW w:w="960" w:type="dxa"/>
            <w:tcBorders>
              <w:top w:val="nil"/>
              <w:left w:val="nil"/>
              <w:bottom w:val="single" w:sz="4" w:space="0" w:color="auto"/>
              <w:right w:val="single" w:sz="4" w:space="0" w:color="auto"/>
            </w:tcBorders>
            <w:shd w:val="clear" w:color="auto" w:fill="auto"/>
            <w:noWrap/>
            <w:vAlign w:val="bottom"/>
            <w:hideMark/>
          </w:tcPr>
          <w:p w14:paraId="328D0121" w14:textId="26957E27"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68.2%</w:t>
            </w:r>
          </w:p>
        </w:tc>
        <w:tc>
          <w:tcPr>
            <w:tcW w:w="960" w:type="dxa"/>
            <w:tcBorders>
              <w:top w:val="nil"/>
              <w:left w:val="nil"/>
              <w:bottom w:val="single" w:sz="4" w:space="0" w:color="auto"/>
              <w:right w:val="single" w:sz="4" w:space="0" w:color="auto"/>
            </w:tcBorders>
            <w:shd w:val="clear" w:color="auto" w:fill="auto"/>
            <w:noWrap/>
            <w:vAlign w:val="bottom"/>
            <w:hideMark/>
          </w:tcPr>
          <w:p w14:paraId="66712621" w14:textId="50156234"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68.8%</w:t>
            </w:r>
          </w:p>
        </w:tc>
        <w:tc>
          <w:tcPr>
            <w:tcW w:w="960" w:type="dxa"/>
            <w:tcBorders>
              <w:top w:val="nil"/>
              <w:left w:val="nil"/>
              <w:bottom w:val="single" w:sz="4" w:space="0" w:color="auto"/>
              <w:right w:val="single" w:sz="4" w:space="0" w:color="auto"/>
            </w:tcBorders>
            <w:shd w:val="clear" w:color="auto" w:fill="auto"/>
            <w:noWrap/>
            <w:vAlign w:val="bottom"/>
            <w:hideMark/>
          </w:tcPr>
          <w:p w14:paraId="1DD0A358" w14:textId="5F653C08"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68.9%</w:t>
            </w:r>
          </w:p>
        </w:tc>
        <w:tc>
          <w:tcPr>
            <w:tcW w:w="960" w:type="dxa"/>
            <w:tcBorders>
              <w:top w:val="nil"/>
              <w:left w:val="nil"/>
              <w:bottom w:val="single" w:sz="4" w:space="0" w:color="auto"/>
              <w:right w:val="single" w:sz="4" w:space="0" w:color="auto"/>
            </w:tcBorders>
            <w:shd w:val="clear" w:color="auto" w:fill="auto"/>
            <w:noWrap/>
            <w:vAlign w:val="bottom"/>
            <w:hideMark/>
          </w:tcPr>
          <w:p w14:paraId="68173B43" w14:textId="49BCE243"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71.1%</w:t>
            </w:r>
          </w:p>
        </w:tc>
        <w:tc>
          <w:tcPr>
            <w:tcW w:w="960" w:type="dxa"/>
            <w:tcBorders>
              <w:top w:val="nil"/>
              <w:left w:val="nil"/>
              <w:bottom w:val="single" w:sz="4" w:space="0" w:color="auto"/>
              <w:right w:val="single" w:sz="4" w:space="0" w:color="auto"/>
            </w:tcBorders>
            <w:shd w:val="clear" w:color="auto" w:fill="auto"/>
            <w:noWrap/>
            <w:vAlign w:val="bottom"/>
            <w:hideMark/>
          </w:tcPr>
          <w:p w14:paraId="5E496071" w14:textId="6E40F8A2"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75.5%</w:t>
            </w:r>
          </w:p>
        </w:tc>
      </w:tr>
      <w:tr w:rsidR="00307886" w:rsidRPr="00CF3C68" w14:paraId="5BD63075"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33D108A4"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75-80</w:t>
            </w:r>
          </w:p>
        </w:tc>
        <w:tc>
          <w:tcPr>
            <w:tcW w:w="960" w:type="dxa"/>
            <w:tcBorders>
              <w:top w:val="nil"/>
              <w:left w:val="nil"/>
              <w:bottom w:val="single" w:sz="4" w:space="0" w:color="auto"/>
              <w:right w:val="single" w:sz="4" w:space="0" w:color="auto"/>
            </w:tcBorders>
            <w:shd w:val="clear" w:color="auto" w:fill="auto"/>
            <w:noWrap/>
            <w:vAlign w:val="bottom"/>
            <w:hideMark/>
          </w:tcPr>
          <w:p w14:paraId="75453F63" w14:textId="4D8F45F4"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68.5%</w:t>
            </w:r>
          </w:p>
        </w:tc>
        <w:tc>
          <w:tcPr>
            <w:tcW w:w="960" w:type="dxa"/>
            <w:tcBorders>
              <w:top w:val="nil"/>
              <w:left w:val="nil"/>
              <w:bottom w:val="single" w:sz="4" w:space="0" w:color="auto"/>
              <w:right w:val="single" w:sz="4" w:space="0" w:color="auto"/>
            </w:tcBorders>
            <w:shd w:val="clear" w:color="auto" w:fill="auto"/>
            <w:noWrap/>
            <w:vAlign w:val="bottom"/>
            <w:hideMark/>
          </w:tcPr>
          <w:p w14:paraId="7C9DA190" w14:textId="0C7B7916"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68.8%</w:t>
            </w:r>
          </w:p>
        </w:tc>
        <w:tc>
          <w:tcPr>
            <w:tcW w:w="960" w:type="dxa"/>
            <w:tcBorders>
              <w:top w:val="nil"/>
              <w:left w:val="nil"/>
              <w:bottom w:val="single" w:sz="4" w:space="0" w:color="auto"/>
              <w:right w:val="single" w:sz="4" w:space="0" w:color="auto"/>
            </w:tcBorders>
            <w:shd w:val="clear" w:color="auto" w:fill="auto"/>
            <w:noWrap/>
            <w:vAlign w:val="bottom"/>
            <w:hideMark/>
          </w:tcPr>
          <w:p w14:paraId="464C0108" w14:textId="77E0F37E"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69.2%</w:t>
            </w:r>
          </w:p>
        </w:tc>
        <w:tc>
          <w:tcPr>
            <w:tcW w:w="960" w:type="dxa"/>
            <w:tcBorders>
              <w:top w:val="nil"/>
              <w:left w:val="nil"/>
              <w:bottom w:val="single" w:sz="4" w:space="0" w:color="auto"/>
              <w:right w:val="single" w:sz="4" w:space="0" w:color="auto"/>
            </w:tcBorders>
            <w:shd w:val="clear" w:color="auto" w:fill="auto"/>
            <w:noWrap/>
            <w:vAlign w:val="bottom"/>
            <w:hideMark/>
          </w:tcPr>
          <w:p w14:paraId="6CD06326" w14:textId="0BEA12F3"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71.6%</w:t>
            </w:r>
          </w:p>
        </w:tc>
        <w:tc>
          <w:tcPr>
            <w:tcW w:w="960" w:type="dxa"/>
            <w:tcBorders>
              <w:top w:val="nil"/>
              <w:left w:val="nil"/>
              <w:bottom w:val="single" w:sz="4" w:space="0" w:color="auto"/>
              <w:right w:val="single" w:sz="4" w:space="0" w:color="auto"/>
            </w:tcBorders>
            <w:shd w:val="clear" w:color="auto" w:fill="auto"/>
            <w:noWrap/>
            <w:vAlign w:val="bottom"/>
            <w:hideMark/>
          </w:tcPr>
          <w:p w14:paraId="1178A171" w14:textId="2DE5B697"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75.8%</w:t>
            </w:r>
          </w:p>
        </w:tc>
      </w:tr>
      <w:tr w:rsidR="00307886" w:rsidRPr="00CF3C68" w14:paraId="1C92151B"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30DF27D"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80-85</w:t>
            </w:r>
          </w:p>
        </w:tc>
        <w:tc>
          <w:tcPr>
            <w:tcW w:w="960" w:type="dxa"/>
            <w:tcBorders>
              <w:top w:val="nil"/>
              <w:left w:val="nil"/>
              <w:bottom w:val="single" w:sz="4" w:space="0" w:color="auto"/>
              <w:right w:val="single" w:sz="4" w:space="0" w:color="auto"/>
            </w:tcBorders>
            <w:shd w:val="clear" w:color="auto" w:fill="auto"/>
            <w:noWrap/>
            <w:vAlign w:val="bottom"/>
            <w:hideMark/>
          </w:tcPr>
          <w:p w14:paraId="091C742A" w14:textId="609A8F2D"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68.5%</w:t>
            </w:r>
          </w:p>
        </w:tc>
        <w:tc>
          <w:tcPr>
            <w:tcW w:w="960" w:type="dxa"/>
            <w:tcBorders>
              <w:top w:val="nil"/>
              <w:left w:val="nil"/>
              <w:bottom w:val="single" w:sz="4" w:space="0" w:color="auto"/>
              <w:right w:val="single" w:sz="4" w:space="0" w:color="auto"/>
            </w:tcBorders>
            <w:shd w:val="clear" w:color="auto" w:fill="auto"/>
            <w:noWrap/>
            <w:vAlign w:val="bottom"/>
            <w:hideMark/>
          </w:tcPr>
          <w:p w14:paraId="23A11F10" w14:textId="2473A6C3"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69.0%</w:t>
            </w:r>
          </w:p>
        </w:tc>
        <w:tc>
          <w:tcPr>
            <w:tcW w:w="960" w:type="dxa"/>
            <w:tcBorders>
              <w:top w:val="nil"/>
              <w:left w:val="nil"/>
              <w:bottom w:val="single" w:sz="4" w:space="0" w:color="auto"/>
              <w:right w:val="single" w:sz="4" w:space="0" w:color="auto"/>
            </w:tcBorders>
            <w:shd w:val="clear" w:color="auto" w:fill="auto"/>
            <w:noWrap/>
            <w:vAlign w:val="bottom"/>
            <w:hideMark/>
          </w:tcPr>
          <w:p w14:paraId="77317E4D" w14:textId="03D15285"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69.0%</w:t>
            </w:r>
          </w:p>
        </w:tc>
        <w:tc>
          <w:tcPr>
            <w:tcW w:w="960" w:type="dxa"/>
            <w:tcBorders>
              <w:top w:val="nil"/>
              <w:left w:val="nil"/>
              <w:bottom w:val="single" w:sz="4" w:space="0" w:color="auto"/>
              <w:right w:val="single" w:sz="4" w:space="0" w:color="auto"/>
            </w:tcBorders>
            <w:shd w:val="clear" w:color="auto" w:fill="auto"/>
            <w:noWrap/>
            <w:vAlign w:val="bottom"/>
            <w:hideMark/>
          </w:tcPr>
          <w:p w14:paraId="40C759D7" w14:textId="10577D54"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71.5%</w:t>
            </w:r>
          </w:p>
        </w:tc>
        <w:tc>
          <w:tcPr>
            <w:tcW w:w="960" w:type="dxa"/>
            <w:tcBorders>
              <w:top w:val="nil"/>
              <w:left w:val="nil"/>
              <w:bottom w:val="single" w:sz="4" w:space="0" w:color="auto"/>
              <w:right w:val="single" w:sz="4" w:space="0" w:color="auto"/>
            </w:tcBorders>
            <w:shd w:val="clear" w:color="auto" w:fill="auto"/>
            <w:noWrap/>
            <w:vAlign w:val="bottom"/>
            <w:hideMark/>
          </w:tcPr>
          <w:p w14:paraId="3ACE6F56" w14:textId="076FBE29"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75.8%</w:t>
            </w:r>
          </w:p>
        </w:tc>
      </w:tr>
      <w:tr w:rsidR="00307886" w:rsidRPr="00CF3C68" w14:paraId="517F1BD9"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2B405EA3"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85-90</w:t>
            </w:r>
          </w:p>
        </w:tc>
        <w:tc>
          <w:tcPr>
            <w:tcW w:w="960" w:type="dxa"/>
            <w:tcBorders>
              <w:top w:val="nil"/>
              <w:left w:val="nil"/>
              <w:bottom w:val="single" w:sz="4" w:space="0" w:color="auto"/>
              <w:right w:val="single" w:sz="4" w:space="0" w:color="auto"/>
            </w:tcBorders>
            <w:shd w:val="clear" w:color="auto" w:fill="auto"/>
            <w:noWrap/>
            <w:vAlign w:val="bottom"/>
            <w:hideMark/>
          </w:tcPr>
          <w:p w14:paraId="5F7B6509" w14:textId="64DED8AC"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68.4%</w:t>
            </w:r>
          </w:p>
        </w:tc>
        <w:tc>
          <w:tcPr>
            <w:tcW w:w="960" w:type="dxa"/>
            <w:tcBorders>
              <w:top w:val="nil"/>
              <w:left w:val="nil"/>
              <w:bottom w:val="single" w:sz="4" w:space="0" w:color="auto"/>
              <w:right w:val="single" w:sz="4" w:space="0" w:color="auto"/>
            </w:tcBorders>
            <w:shd w:val="clear" w:color="auto" w:fill="auto"/>
            <w:noWrap/>
            <w:vAlign w:val="bottom"/>
            <w:hideMark/>
          </w:tcPr>
          <w:p w14:paraId="1BDFF199" w14:textId="542B3E03"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68.8%</w:t>
            </w:r>
          </w:p>
        </w:tc>
        <w:tc>
          <w:tcPr>
            <w:tcW w:w="960" w:type="dxa"/>
            <w:tcBorders>
              <w:top w:val="nil"/>
              <w:left w:val="nil"/>
              <w:bottom w:val="single" w:sz="4" w:space="0" w:color="auto"/>
              <w:right w:val="single" w:sz="4" w:space="0" w:color="auto"/>
            </w:tcBorders>
            <w:shd w:val="clear" w:color="auto" w:fill="auto"/>
            <w:noWrap/>
            <w:vAlign w:val="bottom"/>
            <w:hideMark/>
          </w:tcPr>
          <w:p w14:paraId="79444090" w14:textId="19F6D8C7"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69.1%</w:t>
            </w:r>
          </w:p>
        </w:tc>
        <w:tc>
          <w:tcPr>
            <w:tcW w:w="960" w:type="dxa"/>
            <w:tcBorders>
              <w:top w:val="nil"/>
              <w:left w:val="nil"/>
              <w:bottom w:val="single" w:sz="4" w:space="0" w:color="auto"/>
              <w:right w:val="single" w:sz="4" w:space="0" w:color="auto"/>
            </w:tcBorders>
            <w:shd w:val="clear" w:color="auto" w:fill="auto"/>
            <w:noWrap/>
            <w:vAlign w:val="bottom"/>
            <w:hideMark/>
          </w:tcPr>
          <w:p w14:paraId="4A6DC72D" w14:textId="2DE6FC0C"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71.5%</w:t>
            </w:r>
          </w:p>
        </w:tc>
        <w:tc>
          <w:tcPr>
            <w:tcW w:w="960" w:type="dxa"/>
            <w:tcBorders>
              <w:top w:val="nil"/>
              <w:left w:val="nil"/>
              <w:bottom w:val="single" w:sz="4" w:space="0" w:color="auto"/>
              <w:right w:val="single" w:sz="4" w:space="0" w:color="auto"/>
            </w:tcBorders>
            <w:shd w:val="clear" w:color="auto" w:fill="auto"/>
            <w:noWrap/>
            <w:vAlign w:val="bottom"/>
            <w:hideMark/>
          </w:tcPr>
          <w:p w14:paraId="707EF4B8" w14:textId="11602337"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75.7%</w:t>
            </w:r>
          </w:p>
        </w:tc>
      </w:tr>
      <w:tr w:rsidR="00307886" w:rsidRPr="00CF3C68" w14:paraId="4E25122D"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145C27FB"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90-95</w:t>
            </w:r>
          </w:p>
        </w:tc>
        <w:tc>
          <w:tcPr>
            <w:tcW w:w="960" w:type="dxa"/>
            <w:tcBorders>
              <w:top w:val="nil"/>
              <w:left w:val="nil"/>
              <w:bottom w:val="single" w:sz="4" w:space="0" w:color="auto"/>
              <w:right w:val="single" w:sz="4" w:space="0" w:color="auto"/>
            </w:tcBorders>
            <w:shd w:val="clear" w:color="auto" w:fill="auto"/>
            <w:noWrap/>
            <w:vAlign w:val="bottom"/>
            <w:hideMark/>
          </w:tcPr>
          <w:p w14:paraId="2E767AFD" w14:textId="3033BA11"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68.0%</w:t>
            </w:r>
          </w:p>
        </w:tc>
        <w:tc>
          <w:tcPr>
            <w:tcW w:w="960" w:type="dxa"/>
            <w:tcBorders>
              <w:top w:val="nil"/>
              <w:left w:val="nil"/>
              <w:bottom w:val="single" w:sz="4" w:space="0" w:color="auto"/>
              <w:right w:val="single" w:sz="4" w:space="0" w:color="auto"/>
            </w:tcBorders>
            <w:shd w:val="clear" w:color="auto" w:fill="auto"/>
            <w:noWrap/>
            <w:vAlign w:val="bottom"/>
            <w:hideMark/>
          </w:tcPr>
          <w:p w14:paraId="1258F53C" w14:textId="4B75E3C9"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68.5%</w:t>
            </w:r>
          </w:p>
        </w:tc>
        <w:tc>
          <w:tcPr>
            <w:tcW w:w="960" w:type="dxa"/>
            <w:tcBorders>
              <w:top w:val="nil"/>
              <w:left w:val="nil"/>
              <w:bottom w:val="single" w:sz="4" w:space="0" w:color="auto"/>
              <w:right w:val="single" w:sz="4" w:space="0" w:color="auto"/>
            </w:tcBorders>
            <w:shd w:val="clear" w:color="auto" w:fill="auto"/>
            <w:noWrap/>
            <w:vAlign w:val="bottom"/>
            <w:hideMark/>
          </w:tcPr>
          <w:p w14:paraId="79C4B08C" w14:textId="04B0660C"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68.6%</w:t>
            </w:r>
          </w:p>
        </w:tc>
        <w:tc>
          <w:tcPr>
            <w:tcW w:w="960" w:type="dxa"/>
            <w:tcBorders>
              <w:top w:val="nil"/>
              <w:left w:val="nil"/>
              <w:bottom w:val="single" w:sz="4" w:space="0" w:color="auto"/>
              <w:right w:val="single" w:sz="4" w:space="0" w:color="auto"/>
            </w:tcBorders>
            <w:shd w:val="clear" w:color="auto" w:fill="auto"/>
            <w:noWrap/>
            <w:vAlign w:val="bottom"/>
            <w:hideMark/>
          </w:tcPr>
          <w:p w14:paraId="09B5DC14" w14:textId="7E478D88"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71.2%</w:t>
            </w:r>
          </w:p>
        </w:tc>
        <w:tc>
          <w:tcPr>
            <w:tcW w:w="960" w:type="dxa"/>
            <w:tcBorders>
              <w:top w:val="nil"/>
              <w:left w:val="nil"/>
              <w:bottom w:val="single" w:sz="4" w:space="0" w:color="auto"/>
              <w:right w:val="single" w:sz="4" w:space="0" w:color="auto"/>
            </w:tcBorders>
            <w:shd w:val="clear" w:color="auto" w:fill="auto"/>
            <w:noWrap/>
            <w:vAlign w:val="bottom"/>
            <w:hideMark/>
          </w:tcPr>
          <w:p w14:paraId="20C8B06D" w14:textId="1A0D9CEF"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75.3%</w:t>
            </w:r>
          </w:p>
        </w:tc>
      </w:tr>
      <w:tr w:rsidR="00307886" w:rsidRPr="00CF3C68" w14:paraId="7D251267" w14:textId="77777777" w:rsidTr="00F01E56">
        <w:trPr>
          <w:trHeight w:val="300"/>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F37143F"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95+</w:t>
            </w:r>
          </w:p>
        </w:tc>
        <w:tc>
          <w:tcPr>
            <w:tcW w:w="960" w:type="dxa"/>
            <w:tcBorders>
              <w:top w:val="nil"/>
              <w:left w:val="nil"/>
              <w:bottom w:val="single" w:sz="4" w:space="0" w:color="auto"/>
              <w:right w:val="single" w:sz="4" w:space="0" w:color="auto"/>
            </w:tcBorders>
            <w:shd w:val="clear" w:color="auto" w:fill="auto"/>
            <w:noWrap/>
            <w:vAlign w:val="bottom"/>
            <w:hideMark/>
          </w:tcPr>
          <w:p w14:paraId="7F10B529" w14:textId="174A4056"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67.4%</w:t>
            </w:r>
          </w:p>
        </w:tc>
        <w:tc>
          <w:tcPr>
            <w:tcW w:w="960" w:type="dxa"/>
            <w:tcBorders>
              <w:top w:val="nil"/>
              <w:left w:val="nil"/>
              <w:bottom w:val="single" w:sz="4" w:space="0" w:color="auto"/>
              <w:right w:val="single" w:sz="4" w:space="0" w:color="auto"/>
            </w:tcBorders>
            <w:shd w:val="clear" w:color="auto" w:fill="auto"/>
            <w:noWrap/>
            <w:vAlign w:val="bottom"/>
            <w:hideMark/>
          </w:tcPr>
          <w:p w14:paraId="3F02E4E6" w14:textId="1692EFF9"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68.0%</w:t>
            </w:r>
          </w:p>
        </w:tc>
        <w:tc>
          <w:tcPr>
            <w:tcW w:w="960" w:type="dxa"/>
            <w:tcBorders>
              <w:top w:val="nil"/>
              <w:left w:val="nil"/>
              <w:bottom w:val="single" w:sz="4" w:space="0" w:color="auto"/>
              <w:right w:val="single" w:sz="4" w:space="0" w:color="auto"/>
            </w:tcBorders>
            <w:shd w:val="clear" w:color="auto" w:fill="auto"/>
            <w:noWrap/>
            <w:vAlign w:val="bottom"/>
            <w:hideMark/>
          </w:tcPr>
          <w:p w14:paraId="6D1420E5" w14:textId="1E0CD6EF"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68.1%</w:t>
            </w:r>
          </w:p>
        </w:tc>
        <w:tc>
          <w:tcPr>
            <w:tcW w:w="960" w:type="dxa"/>
            <w:tcBorders>
              <w:top w:val="nil"/>
              <w:left w:val="nil"/>
              <w:bottom w:val="single" w:sz="4" w:space="0" w:color="auto"/>
              <w:right w:val="single" w:sz="4" w:space="0" w:color="auto"/>
            </w:tcBorders>
            <w:shd w:val="clear" w:color="auto" w:fill="auto"/>
            <w:noWrap/>
            <w:vAlign w:val="bottom"/>
            <w:hideMark/>
          </w:tcPr>
          <w:p w14:paraId="383EED20" w14:textId="6D9E607E"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70.6%</w:t>
            </w:r>
          </w:p>
        </w:tc>
        <w:tc>
          <w:tcPr>
            <w:tcW w:w="960" w:type="dxa"/>
            <w:tcBorders>
              <w:top w:val="nil"/>
              <w:left w:val="nil"/>
              <w:bottom w:val="single" w:sz="4" w:space="0" w:color="auto"/>
              <w:right w:val="single" w:sz="4" w:space="0" w:color="auto"/>
            </w:tcBorders>
            <w:shd w:val="clear" w:color="auto" w:fill="auto"/>
            <w:noWrap/>
            <w:vAlign w:val="bottom"/>
            <w:hideMark/>
          </w:tcPr>
          <w:p w14:paraId="611BA8BC" w14:textId="6FE8C186"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74.4%</w:t>
            </w:r>
          </w:p>
        </w:tc>
      </w:tr>
    </w:tbl>
    <w:p w14:paraId="123FFF05" w14:textId="77777777" w:rsidR="001D655E" w:rsidRDefault="001D655E" w:rsidP="001D655E">
      <w:pPr>
        <w:autoSpaceDE w:val="0"/>
        <w:autoSpaceDN w:val="0"/>
        <w:adjustRightInd w:val="0"/>
        <w:spacing w:after="0" w:line="240" w:lineRule="auto"/>
        <w:rPr>
          <w:rFonts w:cstheme="minorHAnsi"/>
          <w:b/>
          <w:bCs/>
        </w:rPr>
      </w:pPr>
    </w:p>
    <w:p w14:paraId="17A06AC3" w14:textId="3C5D8EF3" w:rsidR="00F01E56" w:rsidRPr="00F01E56" w:rsidRDefault="00F01E56" w:rsidP="001D655E">
      <w:pPr>
        <w:autoSpaceDE w:val="0"/>
        <w:autoSpaceDN w:val="0"/>
        <w:adjustRightInd w:val="0"/>
        <w:spacing w:after="0" w:line="240" w:lineRule="auto"/>
        <w:rPr>
          <w:rFonts w:cstheme="minorHAnsi"/>
          <w:bCs/>
        </w:rPr>
      </w:pPr>
      <w:r>
        <w:rPr>
          <w:rFonts w:cstheme="minorHAnsi"/>
          <w:bCs/>
        </w:rPr>
        <w:t xml:space="preserve">Average episode-level observed measure values were </w:t>
      </w:r>
      <w:r w:rsidRPr="00770FCB">
        <w:rPr>
          <w:rFonts w:cstheme="minorHAnsi"/>
          <w:bCs/>
          <w:shd w:val="clear" w:color="auto" w:fill="FFFFFF" w:themeFill="background1"/>
        </w:rPr>
        <w:t>lowest for patients using Medicaid as a payment source. Patients who indicated Medicare only performed the best on the measure.</w:t>
      </w:r>
    </w:p>
    <w:p w14:paraId="61D731DA" w14:textId="77777777" w:rsidR="00F01E56" w:rsidRDefault="00F01E56" w:rsidP="001D655E">
      <w:pPr>
        <w:autoSpaceDE w:val="0"/>
        <w:autoSpaceDN w:val="0"/>
        <w:adjustRightInd w:val="0"/>
        <w:spacing w:after="0" w:line="240" w:lineRule="auto"/>
        <w:rPr>
          <w:rFonts w:cstheme="minorHAnsi"/>
          <w:b/>
          <w:bCs/>
        </w:rPr>
      </w:pPr>
    </w:p>
    <w:p w14:paraId="3C271133" w14:textId="14277B3C" w:rsidR="001D655E" w:rsidRDefault="00F01E56" w:rsidP="001D655E">
      <w:pPr>
        <w:autoSpaceDE w:val="0"/>
        <w:autoSpaceDN w:val="0"/>
        <w:adjustRightInd w:val="0"/>
        <w:spacing w:after="0" w:line="240" w:lineRule="auto"/>
        <w:rPr>
          <w:rFonts w:cstheme="minorHAnsi"/>
          <w:b/>
          <w:bCs/>
        </w:rPr>
      </w:pPr>
      <w:r>
        <w:rPr>
          <w:rFonts w:cstheme="minorHAnsi"/>
          <w:b/>
          <w:bCs/>
        </w:rPr>
        <w:t xml:space="preserve">Average Episode-Level Observed </w:t>
      </w:r>
      <w:r w:rsidR="001D655E">
        <w:rPr>
          <w:rFonts w:cstheme="minorHAnsi"/>
          <w:b/>
          <w:bCs/>
        </w:rPr>
        <w:t>Measure Performance over Time, by Payment Source</w:t>
      </w:r>
    </w:p>
    <w:tbl>
      <w:tblPr>
        <w:tblW w:w="7796" w:type="dxa"/>
        <w:tblInd w:w="93" w:type="dxa"/>
        <w:tblLook w:val="04A0" w:firstRow="1" w:lastRow="0" w:firstColumn="1" w:lastColumn="0" w:noHBand="0" w:noVBand="1"/>
      </w:tblPr>
      <w:tblGrid>
        <w:gridCol w:w="2541"/>
        <w:gridCol w:w="1051"/>
        <w:gridCol w:w="1051"/>
        <w:gridCol w:w="1051"/>
        <w:gridCol w:w="1051"/>
        <w:gridCol w:w="1051"/>
      </w:tblGrid>
      <w:tr w:rsidR="001D655E" w:rsidRPr="00CF3C68" w14:paraId="115C37CA" w14:textId="77777777" w:rsidTr="00F01E56">
        <w:trPr>
          <w:trHeight w:val="310"/>
        </w:trPr>
        <w:tc>
          <w:tcPr>
            <w:tcW w:w="254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CB95B6" w14:textId="77777777" w:rsidR="001D655E" w:rsidRPr="00CF3C68" w:rsidRDefault="001D655E" w:rsidP="00F01E5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 </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3A3B4C32"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2012</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0FE6F548"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2013</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2A5C79D7"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2014</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38BAE6CD"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2015</w:t>
            </w:r>
          </w:p>
        </w:tc>
        <w:tc>
          <w:tcPr>
            <w:tcW w:w="1051" w:type="dxa"/>
            <w:tcBorders>
              <w:top w:val="single" w:sz="4" w:space="0" w:color="auto"/>
              <w:left w:val="nil"/>
              <w:bottom w:val="single" w:sz="4" w:space="0" w:color="auto"/>
              <w:right w:val="single" w:sz="4" w:space="0" w:color="auto"/>
            </w:tcBorders>
            <w:shd w:val="clear" w:color="auto" w:fill="auto"/>
            <w:noWrap/>
            <w:vAlign w:val="bottom"/>
            <w:hideMark/>
          </w:tcPr>
          <w:p w14:paraId="75351B10" w14:textId="77777777" w:rsidR="001D655E" w:rsidRPr="00CF3C68" w:rsidRDefault="001D655E" w:rsidP="00F01E56">
            <w:pPr>
              <w:spacing w:after="0" w:line="240" w:lineRule="auto"/>
              <w:jc w:val="right"/>
              <w:rPr>
                <w:rFonts w:ascii="Calibri" w:eastAsia="Times New Roman" w:hAnsi="Calibri" w:cs="Times New Roman"/>
                <w:color w:val="000000"/>
              </w:rPr>
            </w:pPr>
            <w:r w:rsidRPr="00CF3C68">
              <w:rPr>
                <w:rFonts w:ascii="Calibri" w:eastAsia="Times New Roman" w:hAnsi="Calibri" w:cs="Times New Roman"/>
                <w:color w:val="000000"/>
              </w:rPr>
              <w:t>2016</w:t>
            </w:r>
          </w:p>
        </w:tc>
      </w:tr>
      <w:tr w:rsidR="00307886" w:rsidRPr="00CF3C68" w14:paraId="3A20C0E4" w14:textId="77777777" w:rsidTr="00F01E56">
        <w:trPr>
          <w:trHeight w:val="310"/>
        </w:trPr>
        <w:tc>
          <w:tcPr>
            <w:tcW w:w="2541" w:type="dxa"/>
            <w:tcBorders>
              <w:top w:val="nil"/>
              <w:left w:val="single" w:sz="4" w:space="0" w:color="auto"/>
              <w:bottom w:val="single" w:sz="4" w:space="0" w:color="auto"/>
              <w:right w:val="single" w:sz="4" w:space="0" w:color="auto"/>
            </w:tcBorders>
            <w:shd w:val="clear" w:color="auto" w:fill="auto"/>
            <w:noWrap/>
            <w:vAlign w:val="bottom"/>
            <w:hideMark/>
          </w:tcPr>
          <w:p w14:paraId="19D50758"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Medicare and Medicaid</w:t>
            </w:r>
          </w:p>
        </w:tc>
        <w:tc>
          <w:tcPr>
            <w:tcW w:w="1051" w:type="dxa"/>
            <w:tcBorders>
              <w:top w:val="nil"/>
              <w:left w:val="nil"/>
              <w:bottom w:val="single" w:sz="4" w:space="0" w:color="auto"/>
              <w:right w:val="single" w:sz="4" w:space="0" w:color="auto"/>
            </w:tcBorders>
            <w:shd w:val="clear" w:color="auto" w:fill="auto"/>
            <w:noWrap/>
            <w:vAlign w:val="bottom"/>
            <w:hideMark/>
          </w:tcPr>
          <w:p w14:paraId="1C876EF9" w14:textId="4F552658"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66.2%</w:t>
            </w:r>
          </w:p>
        </w:tc>
        <w:tc>
          <w:tcPr>
            <w:tcW w:w="1051" w:type="dxa"/>
            <w:tcBorders>
              <w:top w:val="nil"/>
              <w:left w:val="nil"/>
              <w:bottom w:val="single" w:sz="4" w:space="0" w:color="auto"/>
              <w:right w:val="single" w:sz="4" w:space="0" w:color="auto"/>
            </w:tcBorders>
            <w:shd w:val="clear" w:color="auto" w:fill="auto"/>
            <w:noWrap/>
            <w:vAlign w:val="bottom"/>
            <w:hideMark/>
          </w:tcPr>
          <w:p w14:paraId="12B8FC2F" w14:textId="10ACD0C5"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66.6%</w:t>
            </w:r>
          </w:p>
        </w:tc>
        <w:tc>
          <w:tcPr>
            <w:tcW w:w="1051" w:type="dxa"/>
            <w:tcBorders>
              <w:top w:val="nil"/>
              <w:left w:val="nil"/>
              <w:bottom w:val="single" w:sz="4" w:space="0" w:color="auto"/>
              <w:right w:val="single" w:sz="4" w:space="0" w:color="auto"/>
            </w:tcBorders>
            <w:shd w:val="clear" w:color="auto" w:fill="auto"/>
            <w:noWrap/>
            <w:vAlign w:val="bottom"/>
            <w:hideMark/>
          </w:tcPr>
          <w:p w14:paraId="5DAF539D" w14:textId="50D1BE07"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66.6%</w:t>
            </w:r>
          </w:p>
        </w:tc>
        <w:tc>
          <w:tcPr>
            <w:tcW w:w="1051" w:type="dxa"/>
            <w:tcBorders>
              <w:top w:val="nil"/>
              <w:left w:val="nil"/>
              <w:bottom w:val="single" w:sz="4" w:space="0" w:color="auto"/>
              <w:right w:val="single" w:sz="4" w:space="0" w:color="auto"/>
            </w:tcBorders>
            <w:shd w:val="clear" w:color="auto" w:fill="auto"/>
            <w:noWrap/>
            <w:vAlign w:val="bottom"/>
            <w:hideMark/>
          </w:tcPr>
          <w:p w14:paraId="2A27A53F" w14:textId="1973EFAE"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68.2%</w:t>
            </w:r>
          </w:p>
        </w:tc>
        <w:tc>
          <w:tcPr>
            <w:tcW w:w="1051" w:type="dxa"/>
            <w:tcBorders>
              <w:top w:val="nil"/>
              <w:left w:val="nil"/>
              <w:bottom w:val="single" w:sz="4" w:space="0" w:color="auto"/>
              <w:right w:val="single" w:sz="4" w:space="0" w:color="auto"/>
            </w:tcBorders>
            <w:shd w:val="clear" w:color="auto" w:fill="auto"/>
            <w:noWrap/>
            <w:vAlign w:val="bottom"/>
            <w:hideMark/>
          </w:tcPr>
          <w:p w14:paraId="4DFB3B5A" w14:textId="0FBEB796"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71.1%</w:t>
            </w:r>
          </w:p>
        </w:tc>
      </w:tr>
      <w:tr w:rsidR="00307886" w:rsidRPr="00CF3C68" w14:paraId="46B95FD7" w14:textId="77777777" w:rsidTr="00F01E56">
        <w:trPr>
          <w:trHeight w:val="310"/>
        </w:trPr>
        <w:tc>
          <w:tcPr>
            <w:tcW w:w="2541" w:type="dxa"/>
            <w:tcBorders>
              <w:top w:val="nil"/>
              <w:left w:val="single" w:sz="4" w:space="0" w:color="auto"/>
              <w:bottom w:val="single" w:sz="4" w:space="0" w:color="auto"/>
              <w:right w:val="single" w:sz="4" w:space="0" w:color="auto"/>
            </w:tcBorders>
            <w:shd w:val="clear" w:color="auto" w:fill="auto"/>
            <w:noWrap/>
            <w:vAlign w:val="bottom"/>
            <w:hideMark/>
          </w:tcPr>
          <w:p w14:paraId="1594B276"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Med</w:t>
            </w:r>
            <w:r>
              <w:rPr>
                <w:rFonts w:ascii="Calibri" w:eastAsia="Times New Roman" w:hAnsi="Calibri" w:cs="Times New Roman"/>
                <w:color w:val="000000"/>
              </w:rPr>
              <w:t>i</w:t>
            </w:r>
            <w:r w:rsidRPr="00CF3C68">
              <w:rPr>
                <w:rFonts w:ascii="Calibri" w:eastAsia="Times New Roman" w:hAnsi="Calibri" w:cs="Times New Roman"/>
                <w:color w:val="000000"/>
              </w:rPr>
              <w:t>caid only</w:t>
            </w:r>
          </w:p>
        </w:tc>
        <w:tc>
          <w:tcPr>
            <w:tcW w:w="1051" w:type="dxa"/>
            <w:tcBorders>
              <w:top w:val="nil"/>
              <w:left w:val="nil"/>
              <w:bottom w:val="single" w:sz="4" w:space="0" w:color="auto"/>
              <w:right w:val="single" w:sz="4" w:space="0" w:color="auto"/>
            </w:tcBorders>
            <w:shd w:val="clear" w:color="auto" w:fill="auto"/>
            <w:noWrap/>
            <w:vAlign w:val="bottom"/>
            <w:hideMark/>
          </w:tcPr>
          <w:p w14:paraId="048F2539" w14:textId="2295B303"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59.6%</w:t>
            </w:r>
          </w:p>
        </w:tc>
        <w:tc>
          <w:tcPr>
            <w:tcW w:w="1051" w:type="dxa"/>
            <w:tcBorders>
              <w:top w:val="nil"/>
              <w:left w:val="nil"/>
              <w:bottom w:val="single" w:sz="4" w:space="0" w:color="auto"/>
              <w:right w:val="single" w:sz="4" w:space="0" w:color="auto"/>
            </w:tcBorders>
            <w:shd w:val="clear" w:color="auto" w:fill="auto"/>
            <w:noWrap/>
            <w:vAlign w:val="bottom"/>
            <w:hideMark/>
          </w:tcPr>
          <w:p w14:paraId="0293B2B5" w14:textId="6401326F"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59.2%</w:t>
            </w:r>
          </w:p>
        </w:tc>
        <w:tc>
          <w:tcPr>
            <w:tcW w:w="1051" w:type="dxa"/>
            <w:tcBorders>
              <w:top w:val="nil"/>
              <w:left w:val="nil"/>
              <w:bottom w:val="single" w:sz="4" w:space="0" w:color="auto"/>
              <w:right w:val="single" w:sz="4" w:space="0" w:color="auto"/>
            </w:tcBorders>
            <w:shd w:val="clear" w:color="auto" w:fill="auto"/>
            <w:noWrap/>
            <w:vAlign w:val="bottom"/>
            <w:hideMark/>
          </w:tcPr>
          <w:p w14:paraId="773B89AA" w14:textId="1CF8BCF2"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61.2%</w:t>
            </w:r>
          </w:p>
        </w:tc>
        <w:tc>
          <w:tcPr>
            <w:tcW w:w="1051" w:type="dxa"/>
            <w:tcBorders>
              <w:top w:val="nil"/>
              <w:left w:val="nil"/>
              <w:bottom w:val="single" w:sz="4" w:space="0" w:color="auto"/>
              <w:right w:val="single" w:sz="4" w:space="0" w:color="auto"/>
            </w:tcBorders>
            <w:shd w:val="clear" w:color="auto" w:fill="auto"/>
            <w:noWrap/>
            <w:vAlign w:val="bottom"/>
            <w:hideMark/>
          </w:tcPr>
          <w:p w14:paraId="421D3CA4" w14:textId="0D75439E"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63.6%</w:t>
            </w:r>
          </w:p>
        </w:tc>
        <w:tc>
          <w:tcPr>
            <w:tcW w:w="1051" w:type="dxa"/>
            <w:tcBorders>
              <w:top w:val="nil"/>
              <w:left w:val="nil"/>
              <w:bottom w:val="single" w:sz="4" w:space="0" w:color="auto"/>
              <w:right w:val="single" w:sz="4" w:space="0" w:color="auto"/>
            </w:tcBorders>
            <w:shd w:val="clear" w:color="auto" w:fill="auto"/>
            <w:noWrap/>
            <w:vAlign w:val="bottom"/>
            <w:hideMark/>
          </w:tcPr>
          <w:p w14:paraId="76AC2FF9" w14:textId="66AFC49C"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67.6%</w:t>
            </w:r>
          </w:p>
        </w:tc>
      </w:tr>
      <w:tr w:rsidR="00307886" w:rsidRPr="00CF3C68" w14:paraId="3FD9C849" w14:textId="77777777" w:rsidTr="00F01E56">
        <w:trPr>
          <w:trHeight w:val="310"/>
        </w:trPr>
        <w:tc>
          <w:tcPr>
            <w:tcW w:w="2541" w:type="dxa"/>
            <w:tcBorders>
              <w:top w:val="nil"/>
              <w:left w:val="single" w:sz="4" w:space="0" w:color="auto"/>
              <w:bottom w:val="single" w:sz="4" w:space="0" w:color="auto"/>
              <w:right w:val="single" w:sz="4" w:space="0" w:color="auto"/>
            </w:tcBorders>
            <w:shd w:val="clear" w:color="auto" w:fill="auto"/>
            <w:noWrap/>
            <w:vAlign w:val="bottom"/>
            <w:hideMark/>
          </w:tcPr>
          <w:p w14:paraId="509E82A9" w14:textId="77777777" w:rsidR="00307886" w:rsidRPr="00CF3C68" w:rsidRDefault="00307886" w:rsidP="00307886">
            <w:pPr>
              <w:spacing w:after="0" w:line="240" w:lineRule="auto"/>
              <w:rPr>
                <w:rFonts w:ascii="Calibri" w:eastAsia="Times New Roman" w:hAnsi="Calibri" w:cs="Times New Roman"/>
                <w:color w:val="000000"/>
              </w:rPr>
            </w:pPr>
            <w:r w:rsidRPr="00CF3C68">
              <w:rPr>
                <w:rFonts w:ascii="Calibri" w:eastAsia="Times New Roman" w:hAnsi="Calibri" w:cs="Times New Roman"/>
                <w:color w:val="000000"/>
              </w:rPr>
              <w:t>Medicare only</w:t>
            </w:r>
          </w:p>
        </w:tc>
        <w:tc>
          <w:tcPr>
            <w:tcW w:w="1051" w:type="dxa"/>
            <w:tcBorders>
              <w:top w:val="nil"/>
              <w:left w:val="nil"/>
              <w:bottom w:val="single" w:sz="4" w:space="0" w:color="auto"/>
              <w:right w:val="single" w:sz="4" w:space="0" w:color="auto"/>
            </w:tcBorders>
            <w:shd w:val="clear" w:color="auto" w:fill="auto"/>
            <w:noWrap/>
            <w:vAlign w:val="bottom"/>
            <w:hideMark/>
          </w:tcPr>
          <w:p w14:paraId="6C077924" w14:textId="00168811"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67.9%</w:t>
            </w:r>
          </w:p>
        </w:tc>
        <w:tc>
          <w:tcPr>
            <w:tcW w:w="1051" w:type="dxa"/>
            <w:tcBorders>
              <w:top w:val="nil"/>
              <w:left w:val="nil"/>
              <w:bottom w:val="single" w:sz="4" w:space="0" w:color="auto"/>
              <w:right w:val="single" w:sz="4" w:space="0" w:color="auto"/>
            </w:tcBorders>
            <w:shd w:val="clear" w:color="auto" w:fill="auto"/>
            <w:noWrap/>
            <w:vAlign w:val="bottom"/>
            <w:hideMark/>
          </w:tcPr>
          <w:p w14:paraId="75BF3B8F" w14:textId="7B6E9D29"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68.5%</w:t>
            </w:r>
          </w:p>
        </w:tc>
        <w:tc>
          <w:tcPr>
            <w:tcW w:w="1051" w:type="dxa"/>
            <w:tcBorders>
              <w:top w:val="nil"/>
              <w:left w:val="nil"/>
              <w:bottom w:val="single" w:sz="4" w:space="0" w:color="auto"/>
              <w:right w:val="single" w:sz="4" w:space="0" w:color="auto"/>
            </w:tcBorders>
            <w:shd w:val="clear" w:color="auto" w:fill="auto"/>
            <w:noWrap/>
            <w:vAlign w:val="bottom"/>
            <w:hideMark/>
          </w:tcPr>
          <w:p w14:paraId="445CC2ED" w14:textId="5D901572"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68.7%</w:t>
            </w:r>
          </w:p>
        </w:tc>
        <w:tc>
          <w:tcPr>
            <w:tcW w:w="1051" w:type="dxa"/>
            <w:tcBorders>
              <w:top w:val="nil"/>
              <w:left w:val="nil"/>
              <w:bottom w:val="single" w:sz="4" w:space="0" w:color="auto"/>
              <w:right w:val="single" w:sz="4" w:space="0" w:color="auto"/>
            </w:tcBorders>
            <w:shd w:val="clear" w:color="auto" w:fill="auto"/>
            <w:noWrap/>
            <w:vAlign w:val="bottom"/>
            <w:hideMark/>
          </w:tcPr>
          <w:p w14:paraId="35AEE02E" w14:textId="7B939EF0"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70.6%</w:t>
            </w:r>
          </w:p>
        </w:tc>
        <w:tc>
          <w:tcPr>
            <w:tcW w:w="1051" w:type="dxa"/>
            <w:tcBorders>
              <w:top w:val="nil"/>
              <w:left w:val="nil"/>
              <w:bottom w:val="single" w:sz="4" w:space="0" w:color="auto"/>
              <w:right w:val="single" w:sz="4" w:space="0" w:color="auto"/>
            </w:tcBorders>
            <w:shd w:val="clear" w:color="auto" w:fill="auto"/>
            <w:noWrap/>
            <w:vAlign w:val="bottom"/>
            <w:hideMark/>
          </w:tcPr>
          <w:p w14:paraId="10DB15A3" w14:textId="694545EF" w:rsidR="00307886" w:rsidRPr="00CF3C68" w:rsidRDefault="00307886" w:rsidP="00307886">
            <w:pPr>
              <w:spacing w:after="0" w:line="240" w:lineRule="auto"/>
              <w:jc w:val="right"/>
              <w:rPr>
                <w:rFonts w:ascii="Calibri" w:eastAsia="Times New Roman" w:hAnsi="Calibri" w:cs="Times New Roman"/>
                <w:color w:val="000000"/>
              </w:rPr>
            </w:pPr>
            <w:r>
              <w:rPr>
                <w:rFonts w:ascii="Calibri" w:hAnsi="Calibri" w:cs="Calibri"/>
                <w:color w:val="000000"/>
              </w:rPr>
              <w:t>75.0%</w:t>
            </w:r>
          </w:p>
        </w:tc>
      </w:tr>
    </w:tbl>
    <w:p w14:paraId="76E2EAF2" w14:textId="77777777" w:rsidR="001D655E" w:rsidRDefault="001D655E" w:rsidP="001D655E">
      <w:pPr>
        <w:autoSpaceDE w:val="0"/>
        <w:autoSpaceDN w:val="0"/>
        <w:adjustRightInd w:val="0"/>
        <w:spacing w:after="0" w:line="240" w:lineRule="auto"/>
        <w:rPr>
          <w:rFonts w:cstheme="minorHAnsi"/>
          <w:b/>
          <w:bCs/>
        </w:rPr>
      </w:pPr>
    </w:p>
    <w:p w14:paraId="563040B0" w14:textId="369E6641" w:rsidR="00F01E56" w:rsidRDefault="00F01E56" w:rsidP="001D655E">
      <w:pPr>
        <w:autoSpaceDE w:val="0"/>
        <w:autoSpaceDN w:val="0"/>
        <w:adjustRightInd w:val="0"/>
        <w:spacing w:after="0" w:line="240" w:lineRule="auto"/>
        <w:rPr>
          <w:rFonts w:cstheme="minorHAnsi"/>
          <w:bCs/>
        </w:rPr>
      </w:pPr>
      <w:r>
        <w:rPr>
          <w:rFonts w:cstheme="minorHAnsi"/>
          <w:bCs/>
        </w:rPr>
        <w:t>The following table displays the</w:t>
      </w:r>
      <w:r w:rsidR="0004044B">
        <w:rPr>
          <w:rFonts w:cstheme="minorHAnsi"/>
          <w:bCs/>
        </w:rPr>
        <w:t xml:space="preserve"> relevant</w:t>
      </w:r>
      <w:r>
        <w:rPr>
          <w:rFonts w:cstheme="minorHAnsi"/>
          <w:bCs/>
        </w:rPr>
        <w:t xml:space="preserve"> </w:t>
      </w:r>
      <w:r w:rsidR="008E7F4A">
        <w:rPr>
          <w:rFonts w:cstheme="minorHAnsi"/>
          <w:bCs/>
        </w:rPr>
        <w:t>estimated</w:t>
      </w:r>
      <w:r>
        <w:rPr>
          <w:rFonts w:cstheme="minorHAnsi"/>
          <w:bCs/>
        </w:rPr>
        <w:t xml:space="preserve"> coefficient</w:t>
      </w:r>
      <w:r w:rsidR="008E7F4A">
        <w:rPr>
          <w:rFonts w:cstheme="minorHAnsi"/>
          <w:bCs/>
        </w:rPr>
        <w:t>s</w:t>
      </w:r>
      <w:r>
        <w:rPr>
          <w:rFonts w:cstheme="minorHAnsi"/>
          <w:bCs/>
        </w:rPr>
        <w:t xml:space="preserve"> </w:t>
      </w:r>
      <w:r w:rsidR="008E7F4A">
        <w:rPr>
          <w:rFonts w:cstheme="minorHAnsi"/>
          <w:bCs/>
        </w:rPr>
        <w:t xml:space="preserve">from the </w:t>
      </w:r>
      <w:r>
        <w:rPr>
          <w:rFonts w:cstheme="minorHAnsi"/>
          <w:bCs/>
        </w:rPr>
        <w:t xml:space="preserve">logistic regression model of </w:t>
      </w:r>
      <w:r w:rsidRPr="006F4F0A">
        <w:rPr>
          <w:rFonts w:cstheme="minorHAnsi"/>
          <w:bCs/>
          <w:i/>
        </w:rPr>
        <w:t xml:space="preserve">Improvement in </w:t>
      </w:r>
      <w:r w:rsidR="00307886" w:rsidRPr="006F4F0A">
        <w:rPr>
          <w:rFonts w:cstheme="minorHAnsi"/>
          <w:bCs/>
          <w:i/>
        </w:rPr>
        <w:t>Pain Interfering with Activity</w:t>
      </w:r>
      <w:r w:rsidRPr="00770FCB">
        <w:rPr>
          <w:rFonts w:cstheme="minorHAnsi"/>
          <w:bCs/>
        </w:rPr>
        <w:t xml:space="preserve"> on </w:t>
      </w:r>
      <w:r w:rsidR="00987C45" w:rsidRPr="00770FCB">
        <w:rPr>
          <w:rFonts w:cstheme="minorHAnsi"/>
          <w:bCs/>
        </w:rPr>
        <w:t>a full set of OASIS-bas</w:t>
      </w:r>
      <w:r w:rsidR="0004044B" w:rsidRPr="00770FCB">
        <w:rPr>
          <w:rFonts w:cstheme="minorHAnsi"/>
          <w:bCs/>
        </w:rPr>
        <w:t>ed risk factors (see Section 2.3.1.1</w:t>
      </w:r>
      <w:r w:rsidR="00987C45" w:rsidRPr="00770FCB">
        <w:rPr>
          <w:rFonts w:cstheme="minorHAnsi"/>
          <w:bCs/>
        </w:rPr>
        <w:t xml:space="preserve">). </w:t>
      </w:r>
      <w:r w:rsidR="008E7F4A" w:rsidRPr="00770FCB">
        <w:rPr>
          <w:rFonts w:cstheme="minorHAnsi"/>
          <w:bCs/>
        </w:rPr>
        <w:t>This table shows that male patients,</w:t>
      </w:r>
      <w:r w:rsidR="00DE59C3">
        <w:rPr>
          <w:rFonts w:cstheme="minorHAnsi"/>
          <w:bCs/>
        </w:rPr>
        <w:t xml:space="preserve"> older</w:t>
      </w:r>
      <w:r w:rsidR="008E7F4A" w:rsidRPr="00770FCB">
        <w:rPr>
          <w:rFonts w:cstheme="minorHAnsi"/>
          <w:bCs/>
        </w:rPr>
        <w:t xml:space="preserve"> patients, and patients for whom the payer source is Medicare FFS are more likely to perform better on this measure. Almost all risk factors are statistically significant at the 1 percent statistical level.</w:t>
      </w:r>
      <w:r w:rsidR="008E7F4A">
        <w:rPr>
          <w:rFonts w:cstheme="minorHAnsi"/>
          <w:bCs/>
        </w:rPr>
        <w:t xml:space="preserve"> </w:t>
      </w:r>
    </w:p>
    <w:p w14:paraId="1B952C3B" w14:textId="77777777" w:rsidR="0004044B" w:rsidRDefault="0004044B" w:rsidP="001D655E">
      <w:pPr>
        <w:autoSpaceDE w:val="0"/>
        <w:autoSpaceDN w:val="0"/>
        <w:adjustRightInd w:val="0"/>
        <w:spacing w:after="0" w:line="240" w:lineRule="auto"/>
        <w:rPr>
          <w:rFonts w:cstheme="minorHAnsi"/>
          <w:bCs/>
        </w:rPr>
      </w:pPr>
    </w:p>
    <w:tbl>
      <w:tblPr>
        <w:tblW w:w="6135" w:type="dxa"/>
        <w:tblInd w:w="93" w:type="dxa"/>
        <w:tblLook w:val="04A0" w:firstRow="1" w:lastRow="0" w:firstColumn="1" w:lastColumn="0" w:noHBand="0" w:noVBand="1"/>
      </w:tblPr>
      <w:tblGrid>
        <w:gridCol w:w="3615"/>
        <w:gridCol w:w="1186"/>
        <w:gridCol w:w="1334"/>
      </w:tblGrid>
      <w:tr w:rsidR="0004044B" w:rsidRPr="0004044B" w14:paraId="1F25C5A1" w14:textId="77777777" w:rsidTr="00770FCB">
        <w:trPr>
          <w:trHeight w:val="259"/>
        </w:trPr>
        <w:tc>
          <w:tcPr>
            <w:tcW w:w="36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1BB060" w14:textId="77777777"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 </w:t>
            </w:r>
          </w:p>
        </w:tc>
        <w:tc>
          <w:tcPr>
            <w:tcW w:w="1186" w:type="dxa"/>
            <w:tcBorders>
              <w:top w:val="single" w:sz="4" w:space="0" w:color="auto"/>
              <w:left w:val="nil"/>
              <w:bottom w:val="single" w:sz="4" w:space="0" w:color="auto"/>
              <w:right w:val="single" w:sz="4" w:space="0" w:color="auto"/>
            </w:tcBorders>
            <w:shd w:val="clear" w:color="auto" w:fill="auto"/>
            <w:noWrap/>
            <w:vAlign w:val="bottom"/>
            <w:hideMark/>
          </w:tcPr>
          <w:p w14:paraId="7B4A11E3" w14:textId="77777777"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Coefficient</w:t>
            </w:r>
          </w:p>
        </w:tc>
        <w:tc>
          <w:tcPr>
            <w:tcW w:w="1334" w:type="dxa"/>
            <w:tcBorders>
              <w:top w:val="single" w:sz="4" w:space="0" w:color="auto"/>
              <w:left w:val="nil"/>
              <w:bottom w:val="single" w:sz="4" w:space="0" w:color="auto"/>
              <w:right w:val="single" w:sz="4" w:space="0" w:color="auto"/>
            </w:tcBorders>
            <w:shd w:val="clear" w:color="auto" w:fill="auto"/>
            <w:noWrap/>
            <w:vAlign w:val="bottom"/>
            <w:hideMark/>
          </w:tcPr>
          <w:p w14:paraId="639D2874" w14:textId="77777777"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p-value</w:t>
            </w:r>
          </w:p>
        </w:tc>
      </w:tr>
      <w:tr w:rsidR="0004044B" w:rsidRPr="0004044B" w14:paraId="56B5CDBC"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071B8304" w14:textId="5548590B" w:rsidR="0004044B" w:rsidRPr="0004044B" w:rsidRDefault="008E7F4A" w:rsidP="0004044B">
            <w:pPr>
              <w:spacing w:after="0" w:line="240" w:lineRule="auto"/>
              <w:rPr>
                <w:rFonts w:ascii="Calibri" w:eastAsia="Times New Roman" w:hAnsi="Calibri" w:cs="Times New Roman"/>
                <w:color w:val="000000"/>
              </w:rPr>
            </w:pPr>
            <w:r>
              <w:rPr>
                <w:rFonts w:ascii="Calibri" w:eastAsia="Times New Roman" w:hAnsi="Calibri" w:cs="Times New Roman"/>
                <w:color w:val="000000"/>
              </w:rPr>
              <w:t>Female (excluded category)</w:t>
            </w:r>
          </w:p>
        </w:tc>
        <w:tc>
          <w:tcPr>
            <w:tcW w:w="1186" w:type="dxa"/>
            <w:tcBorders>
              <w:top w:val="nil"/>
              <w:left w:val="nil"/>
              <w:bottom w:val="single" w:sz="4" w:space="0" w:color="auto"/>
              <w:right w:val="single" w:sz="4" w:space="0" w:color="auto"/>
            </w:tcBorders>
            <w:shd w:val="clear" w:color="auto" w:fill="auto"/>
            <w:noWrap/>
            <w:vAlign w:val="bottom"/>
            <w:hideMark/>
          </w:tcPr>
          <w:p w14:paraId="457DD58B" w14:textId="77777777"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07760BF8" w14:textId="77777777"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 </w:t>
            </w:r>
          </w:p>
        </w:tc>
      </w:tr>
      <w:tr w:rsidR="00770FCB" w:rsidRPr="0004044B" w14:paraId="01658CD6"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17A27852" w14:textId="1D726CBD" w:rsidR="00770FCB" w:rsidRPr="0004044B" w:rsidRDefault="00770FCB" w:rsidP="0004044B">
            <w:pPr>
              <w:spacing w:after="0" w:line="240" w:lineRule="auto"/>
              <w:rPr>
                <w:rFonts w:ascii="Calibri" w:eastAsia="Times New Roman" w:hAnsi="Calibri" w:cs="Times New Roman"/>
                <w:color w:val="000000"/>
              </w:rPr>
            </w:pPr>
            <w:r>
              <w:rPr>
                <w:rFonts w:ascii="Calibri" w:eastAsia="Times New Roman" w:hAnsi="Calibri" w:cs="Times New Roman"/>
                <w:color w:val="000000"/>
              </w:rPr>
              <w:t>Male</w:t>
            </w:r>
          </w:p>
        </w:tc>
        <w:tc>
          <w:tcPr>
            <w:tcW w:w="1186" w:type="dxa"/>
            <w:tcBorders>
              <w:top w:val="nil"/>
              <w:left w:val="nil"/>
              <w:bottom w:val="single" w:sz="4" w:space="0" w:color="auto"/>
              <w:right w:val="single" w:sz="4" w:space="0" w:color="auto"/>
            </w:tcBorders>
            <w:shd w:val="clear" w:color="auto" w:fill="auto"/>
            <w:noWrap/>
            <w:vAlign w:val="bottom"/>
            <w:hideMark/>
          </w:tcPr>
          <w:p w14:paraId="4EEE9F28" w14:textId="4124C260"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0.104</w:t>
            </w:r>
          </w:p>
        </w:tc>
        <w:tc>
          <w:tcPr>
            <w:tcW w:w="1334" w:type="dxa"/>
            <w:tcBorders>
              <w:top w:val="nil"/>
              <w:left w:val="nil"/>
              <w:bottom w:val="single" w:sz="4" w:space="0" w:color="auto"/>
              <w:right w:val="single" w:sz="4" w:space="0" w:color="auto"/>
            </w:tcBorders>
            <w:shd w:val="clear" w:color="auto" w:fill="auto"/>
            <w:noWrap/>
            <w:vAlign w:val="bottom"/>
            <w:hideMark/>
          </w:tcPr>
          <w:p w14:paraId="335C924E" w14:textId="069B15B1"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6F272C6C"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2FD8A0B2"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AGE_0_54</w:t>
            </w:r>
          </w:p>
        </w:tc>
        <w:tc>
          <w:tcPr>
            <w:tcW w:w="1186" w:type="dxa"/>
            <w:tcBorders>
              <w:top w:val="nil"/>
              <w:left w:val="nil"/>
              <w:bottom w:val="single" w:sz="4" w:space="0" w:color="auto"/>
              <w:right w:val="single" w:sz="4" w:space="0" w:color="auto"/>
            </w:tcBorders>
            <w:shd w:val="clear" w:color="auto" w:fill="auto"/>
            <w:noWrap/>
            <w:vAlign w:val="bottom"/>
            <w:hideMark/>
          </w:tcPr>
          <w:p w14:paraId="249993ED" w14:textId="0FEA1F9C"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-0.187</w:t>
            </w:r>
          </w:p>
        </w:tc>
        <w:tc>
          <w:tcPr>
            <w:tcW w:w="1334" w:type="dxa"/>
            <w:tcBorders>
              <w:top w:val="nil"/>
              <w:left w:val="nil"/>
              <w:bottom w:val="single" w:sz="4" w:space="0" w:color="auto"/>
              <w:right w:val="single" w:sz="4" w:space="0" w:color="auto"/>
            </w:tcBorders>
            <w:shd w:val="clear" w:color="auto" w:fill="auto"/>
            <w:noWrap/>
            <w:vAlign w:val="bottom"/>
            <w:hideMark/>
          </w:tcPr>
          <w:p w14:paraId="32CCA01C" w14:textId="4B22FB3E"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477C479F"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4CE0100D"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AGE_55_59</w:t>
            </w:r>
          </w:p>
        </w:tc>
        <w:tc>
          <w:tcPr>
            <w:tcW w:w="1186" w:type="dxa"/>
            <w:tcBorders>
              <w:top w:val="nil"/>
              <w:left w:val="nil"/>
              <w:bottom w:val="single" w:sz="4" w:space="0" w:color="auto"/>
              <w:right w:val="single" w:sz="4" w:space="0" w:color="auto"/>
            </w:tcBorders>
            <w:shd w:val="clear" w:color="auto" w:fill="auto"/>
            <w:noWrap/>
            <w:vAlign w:val="bottom"/>
            <w:hideMark/>
          </w:tcPr>
          <w:p w14:paraId="4AD498AA" w14:textId="54017469"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-0.215</w:t>
            </w:r>
          </w:p>
        </w:tc>
        <w:tc>
          <w:tcPr>
            <w:tcW w:w="1334" w:type="dxa"/>
            <w:tcBorders>
              <w:top w:val="nil"/>
              <w:left w:val="nil"/>
              <w:bottom w:val="single" w:sz="4" w:space="0" w:color="auto"/>
              <w:right w:val="single" w:sz="4" w:space="0" w:color="auto"/>
            </w:tcBorders>
            <w:shd w:val="clear" w:color="auto" w:fill="auto"/>
            <w:noWrap/>
            <w:vAlign w:val="bottom"/>
            <w:hideMark/>
          </w:tcPr>
          <w:p w14:paraId="58F198B5" w14:textId="486C13D8"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50644A47"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05D47FDF"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AGE_60_64</w:t>
            </w:r>
          </w:p>
        </w:tc>
        <w:tc>
          <w:tcPr>
            <w:tcW w:w="1186" w:type="dxa"/>
            <w:tcBorders>
              <w:top w:val="nil"/>
              <w:left w:val="nil"/>
              <w:bottom w:val="single" w:sz="4" w:space="0" w:color="auto"/>
              <w:right w:val="single" w:sz="4" w:space="0" w:color="auto"/>
            </w:tcBorders>
            <w:shd w:val="clear" w:color="auto" w:fill="auto"/>
            <w:noWrap/>
            <w:vAlign w:val="bottom"/>
            <w:hideMark/>
          </w:tcPr>
          <w:p w14:paraId="443A5113" w14:textId="070AF09B"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-0.153</w:t>
            </w:r>
          </w:p>
        </w:tc>
        <w:tc>
          <w:tcPr>
            <w:tcW w:w="1334" w:type="dxa"/>
            <w:tcBorders>
              <w:top w:val="nil"/>
              <w:left w:val="nil"/>
              <w:bottom w:val="single" w:sz="4" w:space="0" w:color="auto"/>
              <w:right w:val="single" w:sz="4" w:space="0" w:color="auto"/>
            </w:tcBorders>
            <w:shd w:val="clear" w:color="auto" w:fill="auto"/>
            <w:noWrap/>
            <w:vAlign w:val="bottom"/>
            <w:hideMark/>
          </w:tcPr>
          <w:p w14:paraId="0C450F30" w14:textId="75C249FC"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4D861D94"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32825538" w14:textId="49C26188"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AGE_65_69</w:t>
            </w:r>
            <w:r>
              <w:rPr>
                <w:rFonts w:ascii="Calibri" w:eastAsia="Times New Roman" w:hAnsi="Calibri" w:cs="Times New Roman"/>
                <w:color w:val="000000"/>
              </w:rPr>
              <w:t xml:space="preserve"> (excluded category)</w:t>
            </w:r>
          </w:p>
        </w:tc>
        <w:tc>
          <w:tcPr>
            <w:tcW w:w="1186" w:type="dxa"/>
            <w:tcBorders>
              <w:top w:val="nil"/>
              <w:left w:val="nil"/>
              <w:bottom w:val="single" w:sz="4" w:space="0" w:color="auto"/>
              <w:right w:val="single" w:sz="4" w:space="0" w:color="auto"/>
            </w:tcBorders>
            <w:shd w:val="clear" w:color="auto" w:fill="auto"/>
            <w:noWrap/>
            <w:vAlign w:val="bottom"/>
            <w:hideMark/>
          </w:tcPr>
          <w:p w14:paraId="4D0C0D80" w14:textId="399D3678" w:rsidR="00770FCB" w:rsidRPr="0004044B" w:rsidRDefault="00770FCB" w:rsidP="0004044B">
            <w:pPr>
              <w:spacing w:after="0" w:line="240" w:lineRule="auto"/>
              <w:rPr>
                <w:rFonts w:ascii="Calibri" w:eastAsia="Times New Roman" w:hAnsi="Calibri" w:cs="Times New Roman"/>
                <w:color w:val="000000"/>
              </w:rPr>
            </w:pPr>
          </w:p>
        </w:tc>
        <w:tc>
          <w:tcPr>
            <w:tcW w:w="1334" w:type="dxa"/>
            <w:tcBorders>
              <w:top w:val="nil"/>
              <w:left w:val="nil"/>
              <w:bottom w:val="single" w:sz="4" w:space="0" w:color="auto"/>
              <w:right w:val="single" w:sz="4" w:space="0" w:color="auto"/>
            </w:tcBorders>
            <w:shd w:val="clear" w:color="auto" w:fill="auto"/>
            <w:noWrap/>
            <w:vAlign w:val="bottom"/>
            <w:hideMark/>
          </w:tcPr>
          <w:p w14:paraId="626EBE44" w14:textId="5F3F5F0D" w:rsidR="00770FCB" w:rsidRPr="0004044B" w:rsidRDefault="00770FCB" w:rsidP="0004044B">
            <w:pPr>
              <w:spacing w:after="0" w:line="240" w:lineRule="auto"/>
              <w:rPr>
                <w:rFonts w:ascii="Calibri" w:eastAsia="Times New Roman" w:hAnsi="Calibri" w:cs="Times New Roman"/>
                <w:color w:val="000000"/>
              </w:rPr>
            </w:pPr>
          </w:p>
        </w:tc>
      </w:tr>
      <w:tr w:rsidR="00770FCB" w:rsidRPr="0004044B" w14:paraId="3BA21F62"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2D299FAB"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AGE_70_74</w:t>
            </w:r>
          </w:p>
        </w:tc>
        <w:tc>
          <w:tcPr>
            <w:tcW w:w="1186" w:type="dxa"/>
            <w:tcBorders>
              <w:top w:val="nil"/>
              <w:left w:val="nil"/>
              <w:bottom w:val="single" w:sz="4" w:space="0" w:color="auto"/>
              <w:right w:val="single" w:sz="4" w:space="0" w:color="auto"/>
            </w:tcBorders>
            <w:shd w:val="clear" w:color="auto" w:fill="auto"/>
            <w:noWrap/>
            <w:vAlign w:val="bottom"/>
            <w:hideMark/>
          </w:tcPr>
          <w:p w14:paraId="30DF21FD" w14:textId="16DF9FC5"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0.057</w:t>
            </w:r>
          </w:p>
        </w:tc>
        <w:tc>
          <w:tcPr>
            <w:tcW w:w="1334" w:type="dxa"/>
            <w:tcBorders>
              <w:top w:val="nil"/>
              <w:left w:val="nil"/>
              <w:bottom w:val="single" w:sz="4" w:space="0" w:color="auto"/>
              <w:right w:val="single" w:sz="4" w:space="0" w:color="auto"/>
            </w:tcBorders>
            <w:shd w:val="clear" w:color="auto" w:fill="auto"/>
            <w:noWrap/>
            <w:vAlign w:val="bottom"/>
            <w:hideMark/>
          </w:tcPr>
          <w:p w14:paraId="7B27A998" w14:textId="6D0E60F3"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7513F4DD"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559AD37C"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AGE_75_79</w:t>
            </w:r>
          </w:p>
        </w:tc>
        <w:tc>
          <w:tcPr>
            <w:tcW w:w="1186" w:type="dxa"/>
            <w:tcBorders>
              <w:top w:val="nil"/>
              <w:left w:val="nil"/>
              <w:bottom w:val="single" w:sz="4" w:space="0" w:color="auto"/>
              <w:right w:val="single" w:sz="4" w:space="0" w:color="auto"/>
            </w:tcBorders>
            <w:shd w:val="clear" w:color="auto" w:fill="auto"/>
            <w:noWrap/>
            <w:vAlign w:val="bottom"/>
            <w:hideMark/>
          </w:tcPr>
          <w:p w14:paraId="2FB01091" w14:textId="2D6E5413"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0.115</w:t>
            </w:r>
          </w:p>
        </w:tc>
        <w:tc>
          <w:tcPr>
            <w:tcW w:w="1334" w:type="dxa"/>
            <w:tcBorders>
              <w:top w:val="nil"/>
              <w:left w:val="nil"/>
              <w:bottom w:val="single" w:sz="4" w:space="0" w:color="auto"/>
              <w:right w:val="single" w:sz="4" w:space="0" w:color="auto"/>
            </w:tcBorders>
            <w:shd w:val="clear" w:color="auto" w:fill="auto"/>
            <w:noWrap/>
            <w:vAlign w:val="bottom"/>
            <w:hideMark/>
          </w:tcPr>
          <w:p w14:paraId="10786052" w14:textId="0E3ADC3A"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7441BA56"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19A5C2A4"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AGE_80_84</w:t>
            </w:r>
          </w:p>
        </w:tc>
        <w:tc>
          <w:tcPr>
            <w:tcW w:w="1186" w:type="dxa"/>
            <w:tcBorders>
              <w:top w:val="nil"/>
              <w:left w:val="nil"/>
              <w:bottom w:val="single" w:sz="4" w:space="0" w:color="auto"/>
              <w:right w:val="single" w:sz="4" w:space="0" w:color="auto"/>
            </w:tcBorders>
            <w:shd w:val="clear" w:color="auto" w:fill="auto"/>
            <w:noWrap/>
            <w:vAlign w:val="bottom"/>
            <w:hideMark/>
          </w:tcPr>
          <w:p w14:paraId="0728C6E7" w14:textId="64984E90"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0.157</w:t>
            </w:r>
          </w:p>
        </w:tc>
        <w:tc>
          <w:tcPr>
            <w:tcW w:w="1334" w:type="dxa"/>
            <w:tcBorders>
              <w:top w:val="nil"/>
              <w:left w:val="nil"/>
              <w:bottom w:val="single" w:sz="4" w:space="0" w:color="auto"/>
              <w:right w:val="single" w:sz="4" w:space="0" w:color="auto"/>
            </w:tcBorders>
            <w:shd w:val="clear" w:color="auto" w:fill="auto"/>
            <w:noWrap/>
            <w:vAlign w:val="bottom"/>
            <w:hideMark/>
          </w:tcPr>
          <w:p w14:paraId="42633DAC" w14:textId="344D1B3D"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7041CEA8"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189660B1"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AGE_85_89</w:t>
            </w:r>
          </w:p>
        </w:tc>
        <w:tc>
          <w:tcPr>
            <w:tcW w:w="1186" w:type="dxa"/>
            <w:tcBorders>
              <w:top w:val="nil"/>
              <w:left w:val="nil"/>
              <w:bottom w:val="single" w:sz="4" w:space="0" w:color="auto"/>
              <w:right w:val="single" w:sz="4" w:space="0" w:color="auto"/>
            </w:tcBorders>
            <w:shd w:val="clear" w:color="auto" w:fill="auto"/>
            <w:noWrap/>
            <w:vAlign w:val="bottom"/>
            <w:hideMark/>
          </w:tcPr>
          <w:p w14:paraId="5C082BE8" w14:textId="553D8CF1"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0.181</w:t>
            </w:r>
          </w:p>
        </w:tc>
        <w:tc>
          <w:tcPr>
            <w:tcW w:w="1334" w:type="dxa"/>
            <w:tcBorders>
              <w:top w:val="nil"/>
              <w:left w:val="nil"/>
              <w:bottom w:val="single" w:sz="4" w:space="0" w:color="auto"/>
              <w:right w:val="single" w:sz="4" w:space="0" w:color="auto"/>
            </w:tcBorders>
            <w:shd w:val="clear" w:color="auto" w:fill="auto"/>
            <w:noWrap/>
            <w:vAlign w:val="bottom"/>
            <w:hideMark/>
          </w:tcPr>
          <w:p w14:paraId="408959AB" w14:textId="14DC36DF"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0F8FE210"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27A2058F"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AGE_90_94</w:t>
            </w:r>
          </w:p>
        </w:tc>
        <w:tc>
          <w:tcPr>
            <w:tcW w:w="1186" w:type="dxa"/>
            <w:tcBorders>
              <w:top w:val="nil"/>
              <w:left w:val="nil"/>
              <w:bottom w:val="single" w:sz="4" w:space="0" w:color="auto"/>
              <w:right w:val="single" w:sz="4" w:space="0" w:color="auto"/>
            </w:tcBorders>
            <w:shd w:val="clear" w:color="auto" w:fill="auto"/>
            <w:noWrap/>
            <w:vAlign w:val="bottom"/>
            <w:hideMark/>
          </w:tcPr>
          <w:p w14:paraId="0DBC0277" w14:textId="11DC7BCD"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0.173</w:t>
            </w:r>
          </w:p>
        </w:tc>
        <w:tc>
          <w:tcPr>
            <w:tcW w:w="1334" w:type="dxa"/>
            <w:tcBorders>
              <w:top w:val="nil"/>
              <w:left w:val="nil"/>
              <w:bottom w:val="single" w:sz="4" w:space="0" w:color="auto"/>
              <w:right w:val="single" w:sz="4" w:space="0" w:color="auto"/>
            </w:tcBorders>
            <w:shd w:val="clear" w:color="auto" w:fill="auto"/>
            <w:noWrap/>
            <w:vAlign w:val="bottom"/>
            <w:hideMark/>
          </w:tcPr>
          <w:p w14:paraId="00B73599" w14:textId="7F2BFDC8"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09586434"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1DE02B20"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AGE_95PLUS</w:t>
            </w:r>
          </w:p>
        </w:tc>
        <w:tc>
          <w:tcPr>
            <w:tcW w:w="1186" w:type="dxa"/>
            <w:tcBorders>
              <w:top w:val="nil"/>
              <w:left w:val="nil"/>
              <w:bottom w:val="single" w:sz="4" w:space="0" w:color="auto"/>
              <w:right w:val="single" w:sz="4" w:space="0" w:color="auto"/>
            </w:tcBorders>
            <w:shd w:val="clear" w:color="auto" w:fill="auto"/>
            <w:noWrap/>
            <w:vAlign w:val="bottom"/>
            <w:hideMark/>
          </w:tcPr>
          <w:p w14:paraId="3BE32927" w14:textId="6E65C3B1"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0.123</w:t>
            </w:r>
          </w:p>
        </w:tc>
        <w:tc>
          <w:tcPr>
            <w:tcW w:w="1334" w:type="dxa"/>
            <w:tcBorders>
              <w:top w:val="nil"/>
              <w:left w:val="nil"/>
              <w:bottom w:val="single" w:sz="4" w:space="0" w:color="auto"/>
              <w:right w:val="single" w:sz="4" w:space="0" w:color="auto"/>
            </w:tcBorders>
            <w:shd w:val="clear" w:color="auto" w:fill="auto"/>
            <w:noWrap/>
            <w:vAlign w:val="bottom"/>
            <w:hideMark/>
          </w:tcPr>
          <w:p w14:paraId="14AE9A0B" w14:textId="1D660747"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56BD3B40"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1F08C7F4"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PAY_MCAID_ONLY</w:t>
            </w:r>
          </w:p>
        </w:tc>
        <w:tc>
          <w:tcPr>
            <w:tcW w:w="1186" w:type="dxa"/>
            <w:tcBorders>
              <w:top w:val="nil"/>
              <w:left w:val="nil"/>
              <w:bottom w:val="single" w:sz="4" w:space="0" w:color="auto"/>
              <w:right w:val="single" w:sz="4" w:space="0" w:color="auto"/>
            </w:tcBorders>
            <w:shd w:val="clear" w:color="auto" w:fill="auto"/>
            <w:noWrap/>
            <w:vAlign w:val="bottom"/>
            <w:hideMark/>
          </w:tcPr>
          <w:p w14:paraId="2EEBA3CC" w14:textId="73151FE3"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-0.192</w:t>
            </w:r>
          </w:p>
        </w:tc>
        <w:tc>
          <w:tcPr>
            <w:tcW w:w="1334" w:type="dxa"/>
            <w:tcBorders>
              <w:top w:val="nil"/>
              <w:left w:val="nil"/>
              <w:bottom w:val="single" w:sz="4" w:space="0" w:color="auto"/>
              <w:right w:val="single" w:sz="4" w:space="0" w:color="auto"/>
            </w:tcBorders>
            <w:shd w:val="clear" w:color="auto" w:fill="auto"/>
            <w:noWrap/>
            <w:vAlign w:val="bottom"/>
            <w:hideMark/>
          </w:tcPr>
          <w:p w14:paraId="20F79FE1" w14:textId="062F2C34"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04044B" w:rsidRPr="0004044B" w14:paraId="1A118CCF"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3496EF27" w14:textId="41247433"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PAY_MCARE _FFS</w:t>
            </w:r>
            <w:r w:rsidR="008E7F4A">
              <w:rPr>
                <w:rFonts w:ascii="Calibri" w:eastAsia="Times New Roman" w:hAnsi="Calibri" w:cs="Times New Roman"/>
                <w:color w:val="000000"/>
              </w:rPr>
              <w:t xml:space="preserve"> (excluded category</w:t>
            </w:r>
          </w:p>
        </w:tc>
        <w:tc>
          <w:tcPr>
            <w:tcW w:w="1186" w:type="dxa"/>
            <w:tcBorders>
              <w:top w:val="nil"/>
              <w:left w:val="nil"/>
              <w:bottom w:val="single" w:sz="4" w:space="0" w:color="auto"/>
              <w:right w:val="single" w:sz="4" w:space="0" w:color="auto"/>
            </w:tcBorders>
            <w:shd w:val="clear" w:color="auto" w:fill="auto"/>
            <w:noWrap/>
            <w:vAlign w:val="bottom"/>
            <w:hideMark/>
          </w:tcPr>
          <w:p w14:paraId="1D616A09" w14:textId="77777777"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 </w:t>
            </w:r>
          </w:p>
        </w:tc>
        <w:tc>
          <w:tcPr>
            <w:tcW w:w="1334" w:type="dxa"/>
            <w:tcBorders>
              <w:top w:val="nil"/>
              <w:left w:val="nil"/>
              <w:bottom w:val="single" w:sz="4" w:space="0" w:color="auto"/>
              <w:right w:val="single" w:sz="4" w:space="0" w:color="auto"/>
            </w:tcBorders>
            <w:shd w:val="clear" w:color="auto" w:fill="auto"/>
            <w:noWrap/>
            <w:vAlign w:val="bottom"/>
            <w:hideMark/>
          </w:tcPr>
          <w:p w14:paraId="3D2D9DF5" w14:textId="77777777" w:rsidR="0004044B" w:rsidRPr="0004044B" w:rsidRDefault="0004044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 </w:t>
            </w:r>
          </w:p>
        </w:tc>
      </w:tr>
      <w:tr w:rsidR="00770FCB" w:rsidRPr="0004044B" w14:paraId="63466DD6"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2E539BA5"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t>PAY_MCAREANDMCAID</w:t>
            </w:r>
          </w:p>
        </w:tc>
        <w:tc>
          <w:tcPr>
            <w:tcW w:w="1186" w:type="dxa"/>
            <w:tcBorders>
              <w:top w:val="nil"/>
              <w:left w:val="nil"/>
              <w:bottom w:val="single" w:sz="4" w:space="0" w:color="auto"/>
              <w:right w:val="single" w:sz="4" w:space="0" w:color="auto"/>
            </w:tcBorders>
            <w:shd w:val="clear" w:color="auto" w:fill="auto"/>
            <w:noWrap/>
            <w:vAlign w:val="bottom"/>
            <w:hideMark/>
          </w:tcPr>
          <w:p w14:paraId="5886D67E" w14:textId="5AD1D205"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-0.123</w:t>
            </w:r>
          </w:p>
        </w:tc>
        <w:tc>
          <w:tcPr>
            <w:tcW w:w="1334" w:type="dxa"/>
            <w:tcBorders>
              <w:top w:val="nil"/>
              <w:left w:val="nil"/>
              <w:bottom w:val="single" w:sz="4" w:space="0" w:color="auto"/>
              <w:right w:val="single" w:sz="4" w:space="0" w:color="auto"/>
            </w:tcBorders>
            <w:shd w:val="clear" w:color="auto" w:fill="auto"/>
            <w:noWrap/>
            <w:vAlign w:val="bottom"/>
            <w:hideMark/>
          </w:tcPr>
          <w:p w14:paraId="47DF798A" w14:textId="5CEA03C8"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41DE9472"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1FF08841" w14:textId="77777777" w:rsidR="00770FCB" w:rsidRPr="0004044B" w:rsidRDefault="00770FCB" w:rsidP="0004044B">
            <w:pPr>
              <w:spacing w:after="0" w:line="240" w:lineRule="auto"/>
              <w:rPr>
                <w:rFonts w:ascii="Calibri" w:eastAsia="Times New Roman" w:hAnsi="Calibri" w:cs="Times New Roman"/>
                <w:color w:val="000000"/>
              </w:rPr>
            </w:pPr>
            <w:r w:rsidRPr="0004044B">
              <w:rPr>
                <w:rFonts w:ascii="Calibri" w:eastAsia="Times New Roman" w:hAnsi="Calibri" w:cs="Times New Roman"/>
                <w:color w:val="000000"/>
              </w:rPr>
              <w:lastRenderedPageBreak/>
              <w:t>PAY_MCARE_HMO</w:t>
            </w:r>
          </w:p>
        </w:tc>
        <w:tc>
          <w:tcPr>
            <w:tcW w:w="1186" w:type="dxa"/>
            <w:tcBorders>
              <w:top w:val="nil"/>
              <w:left w:val="nil"/>
              <w:bottom w:val="single" w:sz="4" w:space="0" w:color="auto"/>
              <w:right w:val="single" w:sz="4" w:space="0" w:color="auto"/>
            </w:tcBorders>
            <w:shd w:val="clear" w:color="auto" w:fill="auto"/>
            <w:noWrap/>
            <w:vAlign w:val="bottom"/>
            <w:hideMark/>
          </w:tcPr>
          <w:p w14:paraId="69A7F376" w14:textId="4CCFDC26"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-0.113</w:t>
            </w:r>
          </w:p>
        </w:tc>
        <w:tc>
          <w:tcPr>
            <w:tcW w:w="1334" w:type="dxa"/>
            <w:tcBorders>
              <w:top w:val="nil"/>
              <w:left w:val="nil"/>
              <w:bottom w:val="single" w:sz="4" w:space="0" w:color="auto"/>
              <w:right w:val="single" w:sz="4" w:space="0" w:color="auto"/>
            </w:tcBorders>
            <w:shd w:val="clear" w:color="auto" w:fill="auto"/>
            <w:noWrap/>
            <w:vAlign w:val="bottom"/>
            <w:hideMark/>
          </w:tcPr>
          <w:p w14:paraId="6B33EB81" w14:textId="1B48F96D"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r w:rsidR="00770FCB" w:rsidRPr="0004044B" w14:paraId="0DDE395C" w14:textId="77777777" w:rsidTr="00770FCB">
        <w:trPr>
          <w:trHeight w:val="259"/>
        </w:trPr>
        <w:tc>
          <w:tcPr>
            <w:tcW w:w="3615" w:type="dxa"/>
            <w:tcBorders>
              <w:top w:val="nil"/>
              <w:left w:val="single" w:sz="4" w:space="0" w:color="auto"/>
              <w:bottom w:val="single" w:sz="4" w:space="0" w:color="auto"/>
              <w:right w:val="single" w:sz="4" w:space="0" w:color="auto"/>
            </w:tcBorders>
            <w:shd w:val="clear" w:color="auto" w:fill="auto"/>
            <w:noWrap/>
            <w:vAlign w:val="bottom"/>
            <w:hideMark/>
          </w:tcPr>
          <w:p w14:paraId="4761B198" w14:textId="2E2D2C48" w:rsidR="00770FCB" w:rsidRPr="0004044B" w:rsidRDefault="00770FCB" w:rsidP="0004044B">
            <w:pPr>
              <w:spacing w:after="0" w:line="240" w:lineRule="auto"/>
              <w:rPr>
                <w:rFonts w:ascii="Calibri" w:eastAsia="Times New Roman" w:hAnsi="Calibri" w:cs="Times New Roman"/>
                <w:color w:val="000000"/>
              </w:rPr>
            </w:pPr>
            <w:r>
              <w:rPr>
                <w:rFonts w:ascii="Calibri" w:eastAsia="Times New Roman" w:hAnsi="Calibri" w:cs="Times New Roman"/>
                <w:color w:val="000000"/>
              </w:rPr>
              <w:t>PAY_OTHER</w:t>
            </w:r>
          </w:p>
        </w:tc>
        <w:tc>
          <w:tcPr>
            <w:tcW w:w="1186" w:type="dxa"/>
            <w:tcBorders>
              <w:top w:val="nil"/>
              <w:left w:val="nil"/>
              <w:bottom w:val="single" w:sz="4" w:space="0" w:color="auto"/>
              <w:right w:val="single" w:sz="4" w:space="0" w:color="auto"/>
            </w:tcBorders>
            <w:shd w:val="clear" w:color="auto" w:fill="auto"/>
            <w:noWrap/>
            <w:vAlign w:val="bottom"/>
            <w:hideMark/>
          </w:tcPr>
          <w:p w14:paraId="09E6EFA3" w14:textId="71529326"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-0.140</w:t>
            </w:r>
          </w:p>
        </w:tc>
        <w:tc>
          <w:tcPr>
            <w:tcW w:w="1334" w:type="dxa"/>
            <w:tcBorders>
              <w:top w:val="nil"/>
              <w:left w:val="nil"/>
              <w:bottom w:val="single" w:sz="4" w:space="0" w:color="auto"/>
              <w:right w:val="single" w:sz="4" w:space="0" w:color="auto"/>
            </w:tcBorders>
            <w:shd w:val="clear" w:color="auto" w:fill="auto"/>
            <w:noWrap/>
            <w:vAlign w:val="bottom"/>
            <w:hideMark/>
          </w:tcPr>
          <w:p w14:paraId="7B83E467" w14:textId="5033A66D" w:rsidR="00770FCB" w:rsidRPr="00770FCB" w:rsidRDefault="00770FCB" w:rsidP="0004044B">
            <w:pPr>
              <w:spacing w:after="0" w:line="240" w:lineRule="auto"/>
              <w:jc w:val="right"/>
              <w:rPr>
                <w:rFonts w:ascii="Calibri" w:eastAsia="Times New Roman" w:hAnsi="Calibri" w:cs="Times New Roman"/>
                <w:color w:val="000000"/>
                <w:highlight w:val="cyan"/>
              </w:rPr>
            </w:pPr>
            <w:r>
              <w:rPr>
                <w:rFonts w:ascii="Calibri" w:hAnsi="Calibri"/>
                <w:color w:val="000000"/>
              </w:rPr>
              <w:t>0.000</w:t>
            </w:r>
          </w:p>
        </w:tc>
      </w:tr>
    </w:tbl>
    <w:p w14:paraId="44CE8410" w14:textId="77777777" w:rsidR="0004044B" w:rsidRPr="00F01E56" w:rsidRDefault="0004044B" w:rsidP="001D655E">
      <w:pPr>
        <w:autoSpaceDE w:val="0"/>
        <w:autoSpaceDN w:val="0"/>
        <w:adjustRightInd w:val="0"/>
        <w:spacing w:after="0" w:line="240" w:lineRule="auto"/>
        <w:rPr>
          <w:rFonts w:cstheme="minorHAnsi"/>
          <w:bCs/>
        </w:rPr>
      </w:pPr>
    </w:p>
    <w:p w14:paraId="49FF1C67" w14:textId="68B667BE" w:rsidR="001D655E" w:rsidRDefault="00A90D61" w:rsidP="00001D73">
      <w:pPr>
        <w:autoSpaceDE w:val="0"/>
        <w:autoSpaceDN w:val="0"/>
        <w:adjustRightInd w:val="0"/>
        <w:spacing w:after="0" w:line="240" w:lineRule="auto"/>
        <w:rPr>
          <w:rFonts w:cstheme="minorHAnsi"/>
          <w:bCs/>
        </w:rPr>
      </w:pPr>
      <w:r>
        <w:rPr>
          <w:rFonts w:cstheme="minorHAnsi"/>
          <w:bCs/>
        </w:rPr>
        <w:t>To address the second part of this question – regarding the impacts of not adjusting for certain social risk factors for providers at extreme levels of risk, we take a closer look at the HHA’s geographic locations – specifically, we compare observed to risk adjusted measure values for HHAs located in rural versus urban settings. Rural residents may have worse health outcomes and experience reduced access to health services, affecting their ability to improve on this measure.</w:t>
      </w:r>
      <w:r>
        <w:rPr>
          <w:rStyle w:val="FootnoteReference"/>
          <w:bCs/>
        </w:rPr>
        <w:footnoteReference w:id="6"/>
      </w:r>
      <w:r w:rsidR="00A56670">
        <w:rPr>
          <w:rFonts w:cstheme="minorHAnsi"/>
          <w:bCs/>
        </w:rPr>
        <w:t xml:space="preserve"> The table below shows observed and risk adjusted measure values over</w:t>
      </w:r>
      <w:r w:rsidR="00054E6C">
        <w:rPr>
          <w:rFonts w:cstheme="minorHAnsi"/>
          <w:bCs/>
        </w:rPr>
        <w:t xml:space="preserve"> time for rural and urban HHAs using a CBSA-based designation provided in the Provider of Services file </w:t>
      </w:r>
    </w:p>
    <w:p w14:paraId="372C6196" w14:textId="77777777" w:rsidR="00A90D61" w:rsidRDefault="00A90D61" w:rsidP="00001D73">
      <w:pPr>
        <w:autoSpaceDE w:val="0"/>
        <w:autoSpaceDN w:val="0"/>
        <w:adjustRightInd w:val="0"/>
        <w:spacing w:after="0" w:line="240" w:lineRule="auto"/>
        <w:rPr>
          <w:rFonts w:cstheme="minorHAnsi"/>
          <w:bCs/>
        </w:rPr>
      </w:pPr>
    </w:p>
    <w:p w14:paraId="06E450B2" w14:textId="38F56395" w:rsidR="00FA349E" w:rsidRPr="00FA349E" w:rsidRDefault="00FA349E" w:rsidP="00001D73">
      <w:pPr>
        <w:autoSpaceDE w:val="0"/>
        <w:autoSpaceDN w:val="0"/>
        <w:adjustRightInd w:val="0"/>
        <w:spacing w:after="0" w:line="240" w:lineRule="auto"/>
        <w:rPr>
          <w:rFonts w:cstheme="minorHAnsi"/>
          <w:b/>
          <w:bCs/>
        </w:rPr>
      </w:pPr>
      <w:r w:rsidRPr="00FA349E">
        <w:rPr>
          <w:rFonts w:cstheme="minorHAnsi"/>
          <w:b/>
          <w:bCs/>
        </w:rPr>
        <w:t xml:space="preserve">Risk-Adjusted and Observed Improvement in </w:t>
      </w:r>
      <w:r w:rsidR="00DF4CC6">
        <w:rPr>
          <w:rFonts w:cstheme="minorHAnsi"/>
          <w:b/>
          <w:bCs/>
        </w:rPr>
        <w:t>Pain Interfering with Activity</w:t>
      </w:r>
      <w:r w:rsidRPr="00FA349E">
        <w:rPr>
          <w:rFonts w:cstheme="minorHAnsi"/>
          <w:b/>
          <w:bCs/>
        </w:rPr>
        <w:t xml:space="preserve"> </w:t>
      </w:r>
      <w:r>
        <w:rPr>
          <w:rFonts w:cstheme="minorHAnsi"/>
          <w:b/>
          <w:bCs/>
        </w:rPr>
        <w:t>Measure Values by Rural</w:t>
      </w:r>
      <w:r w:rsidRPr="00FA349E">
        <w:rPr>
          <w:rFonts w:cstheme="minorHAnsi"/>
          <w:b/>
          <w:bCs/>
        </w:rPr>
        <w:t xml:space="preserve"> and Urban Designation</w:t>
      </w:r>
    </w:p>
    <w:tbl>
      <w:tblPr>
        <w:tblW w:w="8160" w:type="dxa"/>
        <w:tblInd w:w="93" w:type="dxa"/>
        <w:tblLook w:val="04A0" w:firstRow="1" w:lastRow="0" w:firstColumn="1" w:lastColumn="0" w:noHBand="0" w:noVBand="1"/>
      </w:tblPr>
      <w:tblGrid>
        <w:gridCol w:w="1440"/>
        <w:gridCol w:w="960"/>
        <w:gridCol w:w="960"/>
        <w:gridCol w:w="960"/>
        <w:gridCol w:w="960"/>
        <w:gridCol w:w="960"/>
        <w:gridCol w:w="960"/>
        <w:gridCol w:w="960"/>
      </w:tblGrid>
      <w:tr w:rsidR="00FA349E" w:rsidRPr="00FA349E" w14:paraId="2F326C96" w14:textId="77777777" w:rsidTr="00FA349E">
        <w:trPr>
          <w:trHeight w:val="300"/>
        </w:trPr>
        <w:tc>
          <w:tcPr>
            <w:tcW w:w="14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167A89" w14:textId="77777777" w:rsidR="00FA349E" w:rsidRPr="00FA349E" w:rsidRDefault="00FA349E" w:rsidP="00FA349E">
            <w:pPr>
              <w:spacing w:after="0" w:line="240" w:lineRule="auto"/>
              <w:rPr>
                <w:rFonts w:ascii="Calibri" w:eastAsia="Times New Roman" w:hAnsi="Calibri" w:cs="Times New Roman"/>
                <w:color w:val="000000"/>
              </w:rPr>
            </w:pPr>
            <w:r w:rsidRPr="00FA349E">
              <w:rPr>
                <w:rFonts w:ascii="Calibri" w:eastAsia="Times New Roman" w:hAnsi="Calibri" w:cs="Times New Roman"/>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1867AB72" w14:textId="77777777" w:rsidR="00FA349E" w:rsidRPr="00FA349E" w:rsidRDefault="00FA349E"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 </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C28E770" w14:textId="77777777" w:rsidR="00FA349E" w:rsidRPr="00FA349E" w:rsidRDefault="00FA349E"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2011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2843A847" w14:textId="77777777" w:rsidR="00FA349E" w:rsidRPr="00FA349E" w:rsidRDefault="00FA349E"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2012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69B778C" w14:textId="77777777" w:rsidR="00FA349E" w:rsidRPr="00FA349E" w:rsidRDefault="00FA349E"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2013</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54601D6" w14:textId="77777777" w:rsidR="00FA349E" w:rsidRPr="00FA349E" w:rsidRDefault="00FA349E"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2014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79C14F9F" w14:textId="77777777" w:rsidR="00FA349E" w:rsidRPr="00FA349E" w:rsidRDefault="00FA349E"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2015</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081881A6" w14:textId="77777777" w:rsidR="00FA349E" w:rsidRPr="00FA349E" w:rsidRDefault="00FA349E"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2016</w:t>
            </w:r>
          </w:p>
        </w:tc>
      </w:tr>
      <w:tr w:rsidR="00DE59C3" w:rsidRPr="00FA349E" w14:paraId="4B396BB5" w14:textId="77777777" w:rsidTr="00FA349E">
        <w:trPr>
          <w:trHeight w:val="300"/>
        </w:trPr>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3C7C8192" w14:textId="77777777" w:rsidR="00DE59C3" w:rsidRPr="00FA349E" w:rsidRDefault="00DE59C3"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Observed</w:t>
            </w:r>
          </w:p>
        </w:tc>
        <w:tc>
          <w:tcPr>
            <w:tcW w:w="960" w:type="dxa"/>
            <w:tcBorders>
              <w:top w:val="nil"/>
              <w:left w:val="nil"/>
              <w:bottom w:val="single" w:sz="4" w:space="0" w:color="auto"/>
              <w:right w:val="single" w:sz="4" w:space="0" w:color="auto"/>
            </w:tcBorders>
            <w:shd w:val="clear" w:color="auto" w:fill="auto"/>
            <w:noWrap/>
            <w:vAlign w:val="bottom"/>
            <w:hideMark/>
          </w:tcPr>
          <w:p w14:paraId="0F839808" w14:textId="3118A8FB" w:rsidR="00DE59C3" w:rsidRPr="00FA349E" w:rsidRDefault="00DE59C3"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R</w:t>
            </w:r>
            <w:r>
              <w:rPr>
                <w:rFonts w:ascii="Calibri" w:eastAsia="Times New Roman" w:hAnsi="Calibri" w:cs="Times New Roman"/>
                <w:color w:val="000000"/>
              </w:rPr>
              <w:t>ural</w:t>
            </w:r>
          </w:p>
        </w:tc>
        <w:tc>
          <w:tcPr>
            <w:tcW w:w="960" w:type="dxa"/>
            <w:tcBorders>
              <w:top w:val="nil"/>
              <w:left w:val="nil"/>
              <w:bottom w:val="single" w:sz="4" w:space="0" w:color="auto"/>
              <w:right w:val="single" w:sz="4" w:space="0" w:color="auto"/>
            </w:tcBorders>
            <w:shd w:val="clear" w:color="auto" w:fill="auto"/>
            <w:noWrap/>
            <w:vAlign w:val="bottom"/>
            <w:hideMark/>
          </w:tcPr>
          <w:p w14:paraId="466C2427" w14:textId="6BA3C623"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59.5%</w:t>
            </w:r>
          </w:p>
        </w:tc>
        <w:tc>
          <w:tcPr>
            <w:tcW w:w="960" w:type="dxa"/>
            <w:tcBorders>
              <w:top w:val="nil"/>
              <w:left w:val="nil"/>
              <w:bottom w:val="single" w:sz="4" w:space="0" w:color="auto"/>
              <w:right w:val="single" w:sz="4" w:space="0" w:color="auto"/>
            </w:tcBorders>
            <w:shd w:val="clear" w:color="auto" w:fill="auto"/>
            <w:noWrap/>
            <w:vAlign w:val="bottom"/>
            <w:hideMark/>
          </w:tcPr>
          <w:p w14:paraId="3DB3BD51" w14:textId="489E9506"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59.9%</w:t>
            </w:r>
          </w:p>
        </w:tc>
        <w:tc>
          <w:tcPr>
            <w:tcW w:w="960" w:type="dxa"/>
            <w:tcBorders>
              <w:top w:val="nil"/>
              <w:left w:val="nil"/>
              <w:bottom w:val="single" w:sz="4" w:space="0" w:color="auto"/>
              <w:right w:val="single" w:sz="4" w:space="0" w:color="auto"/>
            </w:tcBorders>
            <w:shd w:val="clear" w:color="auto" w:fill="auto"/>
            <w:noWrap/>
            <w:vAlign w:val="bottom"/>
            <w:hideMark/>
          </w:tcPr>
          <w:p w14:paraId="33729B67" w14:textId="3C2778F7"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59.3%</w:t>
            </w:r>
          </w:p>
        </w:tc>
        <w:tc>
          <w:tcPr>
            <w:tcW w:w="960" w:type="dxa"/>
            <w:tcBorders>
              <w:top w:val="nil"/>
              <w:left w:val="nil"/>
              <w:bottom w:val="single" w:sz="4" w:space="0" w:color="auto"/>
              <w:right w:val="single" w:sz="4" w:space="0" w:color="auto"/>
            </w:tcBorders>
            <w:shd w:val="clear" w:color="auto" w:fill="auto"/>
            <w:noWrap/>
            <w:vAlign w:val="bottom"/>
            <w:hideMark/>
          </w:tcPr>
          <w:p w14:paraId="4EC08320" w14:textId="47DA2846"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59.8%</w:t>
            </w:r>
          </w:p>
        </w:tc>
        <w:tc>
          <w:tcPr>
            <w:tcW w:w="960" w:type="dxa"/>
            <w:tcBorders>
              <w:top w:val="nil"/>
              <w:left w:val="nil"/>
              <w:bottom w:val="single" w:sz="4" w:space="0" w:color="auto"/>
              <w:right w:val="single" w:sz="4" w:space="0" w:color="auto"/>
            </w:tcBorders>
            <w:shd w:val="clear" w:color="auto" w:fill="auto"/>
            <w:noWrap/>
            <w:vAlign w:val="bottom"/>
            <w:hideMark/>
          </w:tcPr>
          <w:p w14:paraId="4A73521E" w14:textId="3BB1C736"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61.5%</w:t>
            </w:r>
          </w:p>
        </w:tc>
        <w:tc>
          <w:tcPr>
            <w:tcW w:w="960" w:type="dxa"/>
            <w:tcBorders>
              <w:top w:val="nil"/>
              <w:left w:val="nil"/>
              <w:bottom w:val="single" w:sz="4" w:space="0" w:color="auto"/>
              <w:right w:val="single" w:sz="4" w:space="0" w:color="auto"/>
            </w:tcBorders>
            <w:shd w:val="clear" w:color="auto" w:fill="auto"/>
            <w:noWrap/>
            <w:vAlign w:val="bottom"/>
            <w:hideMark/>
          </w:tcPr>
          <w:p w14:paraId="45222D87" w14:textId="2650770C"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66.3%</w:t>
            </w:r>
          </w:p>
        </w:tc>
      </w:tr>
      <w:tr w:rsidR="00DE59C3" w:rsidRPr="00FA349E" w14:paraId="66B9E21C" w14:textId="77777777" w:rsidTr="00FA349E">
        <w:trPr>
          <w:trHeight w:val="300"/>
        </w:trPr>
        <w:tc>
          <w:tcPr>
            <w:tcW w:w="1440" w:type="dxa"/>
            <w:vMerge/>
            <w:tcBorders>
              <w:top w:val="nil"/>
              <w:left w:val="single" w:sz="4" w:space="0" w:color="auto"/>
              <w:bottom w:val="single" w:sz="4" w:space="0" w:color="auto"/>
              <w:right w:val="single" w:sz="4" w:space="0" w:color="auto"/>
            </w:tcBorders>
            <w:vAlign w:val="center"/>
            <w:hideMark/>
          </w:tcPr>
          <w:p w14:paraId="74E5EC85" w14:textId="77777777" w:rsidR="00DE59C3" w:rsidRPr="00FA349E" w:rsidRDefault="00DE59C3" w:rsidP="00FA349E">
            <w:pPr>
              <w:spacing w:after="0" w:line="240" w:lineRule="auto"/>
              <w:rPr>
                <w:rFonts w:ascii="Calibri" w:eastAsia="Times New Roman" w:hAnsi="Calibri" w:cs="Times New Roman"/>
                <w:color w:val="000000"/>
              </w:rPr>
            </w:pPr>
          </w:p>
        </w:tc>
        <w:tc>
          <w:tcPr>
            <w:tcW w:w="960" w:type="dxa"/>
            <w:tcBorders>
              <w:top w:val="nil"/>
              <w:left w:val="nil"/>
              <w:bottom w:val="single" w:sz="4" w:space="0" w:color="auto"/>
              <w:right w:val="single" w:sz="4" w:space="0" w:color="auto"/>
            </w:tcBorders>
            <w:shd w:val="clear" w:color="auto" w:fill="auto"/>
            <w:noWrap/>
            <w:vAlign w:val="bottom"/>
            <w:hideMark/>
          </w:tcPr>
          <w:p w14:paraId="33AFAE7E" w14:textId="1A1774FC" w:rsidR="00DE59C3" w:rsidRPr="00FA349E" w:rsidRDefault="00DE59C3"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U</w:t>
            </w:r>
            <w:r>
              <w:rPr>
                <w:rFonts w:ascii="Calibri" w:eastAsia="Times New Roman" w:hAnsi="Calibri" w:cs="Times New Roman"/>
                <w:color w:val="000000"/>
              </w:rPr>
              <w:t>rban</w:t>
            </w:r>
          </w:p>
        </w:tc>
        <w:tc>
          <w:tcPr>
            <w:tcW w:w="960" w:type="dxa"/>
            <w:tcBorders>
              <w:top w:val="nil"/>
              <w:left w:val="nil"/>
              <w:bottom w:val="single" w:sz="4" w:space="0" w:color="auto"/>
              <w:right w:val="single" w:sz="4" w:space="0" w:color="auto"/>
            </w:tcBorders>
            <w:shd w:val="clear" w:color="auto" w:fill="auto"/>
            <w:noWrap/>
            <w:vAlign w:val="bottom"/>
            <w:hideMark/>
          </w:tcPr>
          <w:p w14:paraId="75C5DB22" w14:textId="5EBD799C"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64.7%</w:t>
            </w:r>
          </w:p>
        </w:tc>
        <w:tc>
          <w:tcPr>
            <w:tcW w:w="960" w:type="dxa"/>
            <w:tcBorders>
              <w:top w:val="nil"/>
              <w:left w:val="nil"/>
              <w:bottom w:val="single" w:sz="4" w:space="0" w:color="auto"/>
              <w:right w:val="single" w:sz="4" w:space="0" w:color="auto"/>
            </w:tcBorders>
            <w:shd w:val="clear" w:color="auto" w:fill="auto"/>
            <w:noWrap/>
            <w:vAlign w:val="bottom"/>
            <w:hideMark/>
          </w:tcPr>
          <w:p w14:paraId="42748C81" w14:textId="63634D3E"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65.2%</w:t>
            </w:r>
          </w:p>
        </w:tc>
        <w:tc>
          <w:tcPr>
            <w:tcW w:w="960" w:type="dxa"/>
            <w:tcBorders>
              <w:top w:val="nil"/>
              <w:left w:val="nil"/>
              <w:bottom w:val="single" w:sz="4" w:space="0" w:color="auto"/>
              <w:right w:val="single" w:sz="4" w:space="0" w:color="auto"/>
            </w:tcBorders>
            <w:shd w:val="clear" w:color="auto" w:fill="auto"/>
            <w:noWrap/>
            <w:vAlign w:val="bottom"/>
            <w:hideMark/>
          </w:tcPr>
          <w:p w14:paraId="0C3F12F3" w14:textId="0BD79636"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65.6%</w:t>
            </w:r>
          </w:p>
        </w:tc>
        <w:tc>
          <w:tcPr>
            <w:tcW w:w="960" w:type="dxa"/>
            <w:tcBorders>
              <w:top w:val="nil"/>
              <w:left w:val="nil"/>
              <w:bottom w:val="single" w:sz="4" w:space="0" w:color="auto"/>
              <w:right w:val="single" w:sz="4" w:space="0" w:color="auto"/>
            </w:tcBorders>
            <w:shd w:val="clear" w:color="auto" w:fill="auto"/>
            <w:noWrap/>
            <w:vAlign w:val="bottom"/>
            <w:hideMark/>
          </w:tcPr>
          <w:p w14:paraId="6AC69ED6" w14:textId="6B270855"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65.1%</w:t>
            </w:r>
          </w:p>
        </w:tc>
        <w:tc>
          <w:tcPr>
            <w:tcW w:w="960" w:type="dxa"/>
            <w:tcBorders>
              <w:top w:val="nil"/>
              <w:left w:val="nil"/>
              <w:bottom w:val="single" w:sz="4" w:space="0" w:color="auto"/>
              <w:right w:val="single" w:sz="4" w:space="0" w:color="auto"/>
            </w:tcBorders>
            <w:shd w:val="clear" w:color="auto" w:fill="auto"/>
            <w:noWrap/>
            <w:vAlign w:val="bottom"/>
            <w:hideMark/>
          </w:tcPr>
          <w:p w14:paraId="60C8582C" w14:textId="2D6A0661"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66.4%</w:t>
            </w:r>
          </w:p>
        </w:tc>
        <w:tc>
          <w:tcPr>
            <w:tcW w:w="960" w:type="dxa"/>
            <w:tcBorders>
              <w:top w:val="nil"/>
              <w:left w:val="nil"/>
              <w:bottom w:val="single" w:sz="4" w:space="0" w:color="auto"/>
              <w:right w:val="single" w:sz="4" w:space="0" w:color="auto"/>
            </w:tcBorders>
            <w:shd w:val="clear" w:color="auto" w:fill="auto"/>
            <w:noWrap/>
            <w:vAlign w:val="bottom"/>
            <w:hideMark/>
          </w:tcPr>
          <w:p w14:paraId="00EB8780" w14:textId="6DE897DB"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70.0%</w:t>
            </w:r>
          </w:p>
        </w:tc>
      </w:tr>
      <w:tr w:rsidR="00DE59C3" w:rsidRPr="00FA349E" w14:paraId="5CB9031F" w14:textId="77777777" w:rsidTr="00FA349E">
        <w:trPr>
          <w:trHeight w:val="300"/>
        </w:trPr>
        <w:tc>
          <w:tcPr>
            <w:tcW w:w="1440" w:type="dxa"/>
            <w:vMerge w:val="restart"/>
            <w:tcBorders>
              <w:top w:val="nil"/>
              <w:left w:val="single" w:sz="4" w:space="0" w:color="auto"/>
              <w:bottom w:val="single" w:sz="4" w:space="0" w:color="auto"/>
              <w:right w:val="single" w:sz="4" w:space="0" w:color="auto"/>
            </w:tcBorders>
            <w:shd w:val="clear" w:color="auto" w:fill="auto"/>
            <w:vAlign w:val="center"/>
            <w:hideMark/>
          </w:tcPr>
          <w:p w14:paraId="04243740" w14:textId="77777777" w:rsidR="00DE59C3" w:rsidRPr="00FA349E" w:rsidRDefault="00DE59C3"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Risk Adjusted</w:t>
            </w:r>
          </w:p>
        </w:tc>
        <w:tc>
          <w:tcPr>
            <w:tcW w:w="960" w:type="dxa"/>
            <w:tcBorders>
              <w:top w:val="nil"/>
              <w:left w:val="nil"/>
              <w:bottom w:val="single" w:sz="4" w:space="0" w:color="auto"/>
              <w:right w:val="single" w:sz="4" w:space="0" w:color="auto"/>
            </w:tcBorders>
            <w:shd w:val="clear" w:color="auto" w:fill="auto"/>
            <w:noWrap/>
            <w:vAlign w:val="bottom"/>
            <w:hideMark/>
          </w:tcPr>
          <w:p w14:paraId="7C68407A" w14:textId="10EFAC2F" w:rsidR="00DE59C3" w:rsidRPr="00FA349E" w:rsidRDefault="00DE59C3"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R</w:t>
            </w:r>
            <w:r>
              <w:rPr>
                <w:rFonts w:ascii="Calibri" w:eastAsia="Times New Roman" w:hAnsi="Calibri" w:cs="Times New Roman"/>
                <w:color w:val="000000"/>
              </w:rPr>
              <w:t>ural</w:t>
            </w:r>
          </w:p>
        </w:tc>
        <w:tc>
          <w:tcPr>
            <w:tcW w:w="960" w:type="dxa"/>
            <w:tcBorders>
              <w:top w:val="nil"/>
              <w:left w:val="nil"/>
              <w:bottom w:val="single" w:sz="4" w:space="0" w:color="auto"/>
              <w:right w:val="single" w:sz="4" w:space="0" w:color="auto"/>
            </w:tcBorders>
            <w:shd w:val="clear" w:color="auto" w:fill="auto"/>
            <w:noWrap/>
            <w:vAlign w:val="bottom"/>
            <w:hideMark/>
          </w:tcPr>
          <w:p w14:paraId="467E8B4B" w14:textId="73956A85"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61.4%</w:t>
            </w:r>
          </w:p>
        </w:tc>
        <w:tc>
          <w:tcPr>
            <w:tcW w:w="960" w:type="dxa"/>
            <w:tcBorders>
              <w:top w:val="nil"/>
              <w:left w:val="nil"/>
              <w:bottom w:val="single" w:sz="4" w:space="0" w:color="auto"/>
              <w:right w:val="single" w:sz="4" w:space="0" w:color="auto"/>
            </w:tcBorders>
            <w:shd w:val="clear" w:color="auto" w:fill="auto"/>
            <w:noWrap/>
            <w:vAlign w:val="bottom"/>
            <w:hideMark/>
          </w:tcPr>
          <w:p w14:paraId="7FB2A990" w14:textId="7B123D1F"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61.8%</w:t>
            </w:r>
          </w:p>
        </w:tc>
        <w:tc>
          <w:tcPr>
            <w:tcW w:w="960" w:type="dxa"/>
            <w:tcBorders>
              <w:top w:val="nil"/>
              <w:left w:val="nil"/>
              <w:bottom w:val="single" w:sz="4" w:space="0" w:color="auto"/>
              <w:right w:val="single" w:sz="4" w:space="0" w:color="auto"/>
            </w:tcBorders>
            <w:shd w:val="clear" w:color="auto" w:fill="auto"/>
            <w:noWrap/>
            <w:vAlign w:val="bottom"/>
            <w:hideMark/>
          </w:tcPr>
          <w:p w14:paraId="041FFA0B" w14:textId="2760FF6F"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61.2%</w:t>
            </w:r>
          </w:p>
        </w:tc>
        <w:tc>
          <w:tcPr>
            <w:tcW w:w="960" w:type="dxa"/>
            <w:tcBorders>
              <w:top w:val="nil"/>
              <w:left w:val="nil"/>
              <w:bottom w:val="single" w:sz="4" w:space="0" w:color="auto"/>
              <w:right w:val="single" w:sz="4" w:space="0" w:color="auto"/>
            </w:tcBorders>
            <w:shd w:val="clear" w:color="auto" w:fill="auto"/>
            <w:noWrap/>
            <w:vAlign w:val="bottom"/>
            <w:hideMark/>
          </w:tcPr>
          <w:p w14:paraId="59C82DB8" w14:textId="1BB695CA"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61.5%</w:t>
            </w:r>
          </w:p>
        </w:tc>
        <w:tc>
          <w:tcPr>
            <w:tcW w:w="960" w:type="dxa"/>
            <w:tcBorders>
              <w:top w:val="nil"/>
              <w:left w:val="nil"/>
              <w:bottom w:val="single" w:sz="4" w:space="0" w:color="auto"/>
              <w:right w:val="single" w:sz="4" w:space="0" w:color="auto"/>
            </w:tcBorders>
            <w:shd w:val="clear" w:color="auto" w:fill="auto"/>
            <w:noWrap/>
            <w:vAlign w:val="bottom"/>
            <w:hideMark/>
          </w:tcPr>
          <w:p w14:paraId="6F8ECEBF" w14:textId="14C7B528"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63.0%</w:t>
            </w:r>
          </w:p>
        </w:tc>
        <w:tc>
          <w:tcPr>
            <w:tcW w:w="960" w:type="dxa"/>
            <w:tcBorders>
              <w:top w:val="nil"/>
              <w:left w:val="nil"/>
              <w:bottom w:val="single" w:sz="4" w:space="0" w:color="auto"/>
              <w:right w:val="single" w:sz="4" w:space="0" w:color="auto"/>
            </w:tcBorders>
            <w:shd w:val="clear" w:color="auto" w:fill="auto"/>
            <w:noWrap/>
            <w:vAlign w:val="bottom"/>
            <w:hideMark/>
          </w:tcPr>
          <w:p w14:paraId="549E6C99" w14:textId="04897BB4"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67.8%</w:t>
            </w:r>
          </w:p>
        </w:tc>
      </w:tr>
      <w:tr w:rsidR="00DE59C3" w:rsidRPr="00FA349E" w14:paraId="01B1EE83" w14:textId="77777777" w:rsidTr="00FA349E">
        <w:trPr>
          <w:trHeight w:val="300"/>
        </w:trPr>
        <w:tc>
          <w:tcPr>
            <w:tcW w:w="1440" w:type="dxa"/>
            <w:vMerge/>
            <w:tcBorders>
              <w:top w:val="nil"/>
              <w:left w:val="single" w:sz="4" w:space="0" w:color="auto"/>
              <w:bottom w:val="single" w:sz="4" w:space="0" w:color="auto"/>
              <w:right w:val="single" w:sz="4" w:space="0" w:color="auto"/>
            </w:tcBorders>
            <w:vAlign w:val="center"/>
            <w:hideMark/>
          </w:tcPr>
          <w:p w14:paraId="40B9986C" w14:textId="77777777" w:rsidR="00DE59C3" w:rsidRPr="00FA349E" w:rsidRDefault="00DE59C3" w:rsidP="00FA349E">
            <w:pPr>
              <w:spacing w:after="0" w:line="240" w:lineRule="auto"/>
              <w:rPr>
                <w:rFonts w:ascii="Calibri" w:eastAsia="Times New Roman" w:hAnsi="Calibri" w:cs="Times New Roman"/>
                <w:color w:val="000000"/>
              </w:rPr>
            </w:pPr>
          </w:p>
        </w:tc>
        <w:tc>
          <w:tcPr>
            <w:tcW w:w="960" w:type="dxa"/>
            <w:tcBorders>
              <w:top w:val="nil"/>
              <w:left w:val="nil"/>
              <w:bottom w:val="single" w:sz="4" w:space="0" w:color="auto"/>
              <w:right w:val="single" w:sz="4" w:space="0" w:color="auto"/>
            </w:tcBorders>
            <w:shd w:val="clear" w:color="auto" w:fill="auto"/>
            <w:noWrap/>
            <w:vAlign w:val="bottom"/>
            <w:hideMark/>
          </w:tcPr>
          <w:p w14:paraId="2B19511C" w14:textId="55AD493C" w:rsidR="00DE59C3" w:rsidRPr="00FA349E" w:rsidRDefault="00DE59C3" w:rsidP="00FA349E">
            <w:pPr>
              <w:spacing w:after="0" w:line="240" w:lineRule="auto"/>
              <w:jc w:val="center"/>
              <w:rPr>
                <w:rFonts w:ascii="Calibri" w:eastAsia="Times New Roman" w:hAnsi="Calibri" w:cs="Times New Roman"/>
                <w:color w:val="000000"/>
              </w:rPr>
            </w:pPr>
            <w:r w:rsidRPr="00FA349E">
              <w:rPr>
                <w:rFonts w:ascii="Calibri" w:eastAsia="Times New Roman" w:hAnsi="Calibri" w:cs="Times New Roman"/>
                <w:color w:val="000000"/>
              </w:rPr>
              <w:t>U</w:t>
            </w:r>
            <w:r>
              <w:rPr>
                <w:rFonts w:ascii="Calibri" w:eastAsia="Times New Roman" w:hAnsi="Calibri" w:cs="Times New Roman"/>
                <w:color w:val="000000"/>
              </w:rPr>
              <w:t>rban</w:t>
            </w:r>
          </w:p>
        </w:tc>
        <w:tc>
          <w:tcPr>
            <w:tcW w:w="960" w:type="dxa"/>
            <w:tcBorders>
              <w:top w:val="nil"/>
              <w:left w:val="nil"/>
              <w:bottom w:val="single" w:sz="4" w:space="0" w:color="auto"/>
              <w:right w:val="single" w:sz="4" w:space="0" w:color="auto"/>
            </w:tcBorders>
            <w:shd w:val="clear" w:color="auto" w:fill="auto"/>
            <w:noWrap/>
            <w:vAlign w:val="bottom"/>
            <w:hideMark/>
          </w:tcPr>
          <w:p w14:paraId="05496BE7" w14:textId="307B89D9"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65.3%</w:t>
            </w:r>
          </w:p>
        </w:tc>
        <w:tc>
          <w:tcPr>
            <w:tcW w:w="960" w:type="dxa"/>
            <w:tcBorders>
              <w:top w:val="nil"/>
              <w:left w:val="nil"/>
              <w:bottom w:val="single" w:sz="4" w:space="0" w:color="auto"/>
              <w:right w:val="single" w:sz="4" w:space="0" w:color="auto"/>
            </w:tcBorders>
            <w:shd w:val="clear" w:color="auto" w:fill="auto"/>
            <w:noWrap/>
            <w:vAlign w:val="bottom"/>
            <w:hideMark/>
          </w:tcPr>
          <w:p w14:paraId="6CBD3064" w14:textId="31467FD7"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65.8%</w:t>
            </w:r>
          </w:p>
        </w:tc>
        <w:tc>
          <w:tcPr>
            <w:tcW w:w="960" w:type="dxa"/>
            <w:tcBorders>
              <w:top w:val="nil"/>
              <w:left w:val="nil"/>
              <w:bottom w:val="single" w:sz="4" w:space="0" w:color="auto"/>
              <w:right w:val="single" w:sz="4" w:space="0" w:color="auto"/>
            </w:tcBorders>
            <w:shd w:val="clear" w:color="auto" w:fill="auto"/>
            <w:noWrap/>
            <w:vAlign w:val="bottom"/>
            <w:hideMark/>
          </w:tcPr>
          <w:p w14:paraId="30F6645D" w14:textId="274FE3CE"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66.4%</w:t>
            </w:r>
          </w:p>
        </w:tc>
        <w:tc>
          <w:tcPr>
            <w:tcW w:w="960" w:type="dxa"/>
            <w:tcBorders>
              <w:top w:val="nil"/>
              <w:left w:val="nil"/>
              <w:bottom w:val="single" w:sz="4" w:space="0" w:color="auto"/>
              <w:right w:val="single" w:sz="4" w:space="0" w:color="auto"/>
            </w:tcBorders>
            <w:shd w:val="clear" w:color="auto" w:fill="auto"/>
            <w:noWrap/>
            <w:vAlign w:val="bottom"/>
            <w:hideMark/>
          </w:tcPr>
          <w:p w14:paraId="77751D2C" w14:textId="29A6742E"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66.1%</w:t>
            </w:r>
          </w:p>
        </w:tc>
        <w:tc>
          <w:tcPr>
            <w:tcW w:w="960" w:type="dxa"/>
            <w:tcBorders>
              <w:top w:val="nil"/>
              <w:left w:val="nil"/>
              <w:bottom w:val="single" w:sz="4" w:space="0" w:color="auto"/>
              <w:right w:val="single" w:sz="4" w:space="0" w:color="auto"/>
            </w:tcBorders>
            <w:shd w:val="clear" w:color="auto" w:fill="auto"/>
            <w:noWrap/>
            <w:vAlign w:val="bottom"/>
            <w:hideMark/>
          </w:tcPr>
          <w:p w14:paraId="62ED1592" w14:textId="018F5BA4"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67.6%</w:t>
            </w:r>
          </w:p>
        </w:tc>
        <w:tc>
          <w:tcPr>
            <w:tcW w:w="960" w:type="dxa"/>
            <w:tcBorders>
              <w:top w:val="nil"/>
              <w:left w:val="nil"/>
              <w:bottom w:val="single" w:sz="4" w:space="0" w:color="auto"/>
              <w:right w:val="single" w:sz="4" w:space="0" w:color="auto"/>
            </w:tcBorders>
            <w:shd w:val="clear" w:color="auto" w:fill="auto"/>
            <w:noWrap/>
            <w:vAlign w:val="bottom"/>
            <w:hideMark/>
          </w:tcPr>
          <w:p w14:paraId="3C617428" w14:textId="763A193D" w:rsidR="00DE59C3" w:rsidRPr="00FA349E" w:rsidRDefault="00DE59C3" w:rsidP="00FA349E">
            <w:pPr>
              <w:spacing w:after="0" w:line="240" w:lineRule="auto"/>
              <w:jc w:val="center"/>
              <w:rPr>
                <w:rFonts w:ascii="Calibri" w:eastAsia="Times New Roman" w:hAnsi="Calibri" w:cs="Times New Roman"/>
                <w:color w:val="000000"/>
              </w:rPr>
            </w:pPr>
            <w:r>
              <w:rPr>
                <w:rFonts w:ascii="Calibri" w:hAnsi="Calibri"/>
                <w:color w:val="000000"/>
              </w:rPr>
              <w:t>71.3%</w:t>
            </w:r>
          </w:p>
        </w:tc>
      </w:tr>
    </w:tbl>
    <w:p w14:paraId="70D01609" w14:textId="77777777" w:rsidR="00FA349E" w:rsidRDefault="00FA349E" w:rsidP="00001D73">
      <w:pPr>
        <w:autoSpaceDE w:val="0"/>
        <w:autoSpaceDN w:val="0"/>
        <w:adjustRightInd w:val="0"/>
        <w:spacing w:after="0" w:line="240" w:lineRule="auto"/>
        <w:rPr>
          <w:rFonts w:cstheme="minorHAnsi"/>
          <w:bCs/>
        </w:rPr>
      </w:pPr>
    </w:p>
    <w:p w14:paraId="2BD954AE" w14:textId="22DFE77D" w:rsidR="000A2F48" w:rsidRPr="00A90D61" w:rsidRDefault="000A2F48" w:rsidP="00001D73">
      <w:pPr>
        <w:autoSpaceDE w:val="0"/>
        <w:autoSpaceDN w:val="0"/>
        <w:adjustRightInd w:val="0"/>
        <w:spacing w:after="0" w:line="240" w:lineRule="auto"/>
        <w:rPr>
          <w:rFonts w:cstheme="minorHAnsi"/>
          <w:bCs/>
        </w:rPr>
      </w:pPr>
      <w:r>
        <w:rPr>
          <w:rFonts w:cstheme="minorHAnsi"/>
          <w:bCs/>
        </w:rPr>
        <w:t xml:space="preserve">This table shows that </w:t>
      </w:r>
      <w:r w:rsidR="00DE59C3">
        <w:rPr>
          <w:rFonts w:cstheme="minorHAnsi"/>
          <w:bCs/>
        </w:rPr>
        <w:t xml:space="preserve">there are </w:t>
      </w:r>
      <w:r>
        <w:rPr>
          <w:rFonts w:cstheme="minorHAnsi"/>
          <w:bCs/>
        </w:rPr>
        <w:t>differences between r</w:t>
      </w:r>
      <w:r w:rsidR="00FA349E">
        <w:rPr>
          <w:rFonts w:cstheme="minorHAnsi"/>
          <w:bCs/>
        </w:rPr>
        <w:t xml:space="preserve">ural and urban HHAs </w:t>
      </w:r>
      <w:r w:rsidR="00DE59C3">
        <w:rPr>
          <w:rFonts w:cstheme="minorHAnsi"/>
          <w:bCs/>
        </w:rPr>
        <w:t>with this measure</w:t>
      </w:r>
      <w:r w:rsidR="00FA349E">
        <w:rPr>
          <w:rFonts w:cstheme="minorHAnsi"/>
          <w:bCs/>
        </w:rPr>
        <w:t>.</w:t>
      </w:r>
      <w:r w:rsidR="00DE59C3">
        <w:rPr>
          <w:rFonts w:cstheme="minorHAnsi"/>
          <w:bCs/>
        </w:rPr>
        <w:t xml:space="preserve"> Urban HHAs tended to perform better than rural HHAs.</w:t>
      </w:r>
      <w:r w:rsidR="00FA349E">
        <w:rPr>
          <w:rFonts w:cstheme="minorHAnsi"/>
          <w:bCs/>
        </w:rPr>
        <w:t xml:space="preserve"> </w:t>
      </w:r>
      <w:r w:rsidR="00DE59C3">
        <w:rPr>
          <w:rFonts w:cstheme="minorHAnsi"/>
          <w:bCs/>
        </w:rPr>
        <w:t xml:space="preserve">This was true for both observed and risk adjusted measure performance. These differences should be monitored going forward and consideration should be given to incorporating an external data source on rurality. </w:t>
      </w:r>
      <w:r w:rsidR="00E55396">
        <w:rPr>
          <w:rFonts w:cstheme="minorHAnsi"/>
          <w:bCs/>
        </w:rPr>
        <w:t xml:space="preserve">As mentioned above, </w:t>
      </w:r>
      <w:r w:rsidR="000372AA">
        <w:rPr>
          <w:rFonts w:cstheme="minorHAnsi"/>
          <w:bCs/>
        </w:rPr>
        <w:t xml:space="preserve">the greater increase in measure performance occurring between 2015 and 2016 (and to some extent between 2014 and 2015) may be related to the inception of the Quality of Patient Care Star Ratings and Home Health Value Based Purchasing. </w:t>
      </w:r>
    </w:p>
    <w:p w14:paraId="054F305D" w14:textId="77777777" w:rsidR="001D655E" w:rsidRPr="00001D73" w:rsidRDefault="001D655E" w:rsidP="00001D73">
      <w:pPr>
        <w:autoSpaceDE w:val="0"/>
        <w:autoSpaceDN w:val="0"/>
        <w:adjustRightInd w:val="0"/>
        <w:spacing w:after="0" w:line="240" w:lineRule="auto"/>
        <w:rPr>
          <w:rFonts w:cstheme="minorHAnsi"/>
          <w:b/>
          <w:bCs/>
        </w:rPr>
      </w:pPr>
    </w:p>
    <w:p w14:paraId="0CABCFFA" w14:textId="5F1D568F" w:rsidR="00092566"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18F43FE" w14:textId="4D5656A3" w:rsidR="00D97456" w:rsidRDefault="00D97456" w:rsidP="00D97456">
      <w:r>
        <w:t xml:space="preserve">Using the assessment data from </w:t>
      </w:r>
      <w:r w:rsidR="00047AE4">
        <w:t>January 1, 2016 to December 31, 2016</w:t>
      </w:r>
      <w:r>
        <w:t xml:space="preserve">, nearly </w:t>
      </w:r>
      <w:r w:rsidR="00047AE4">
        <w:t xml:space="preserve">6.4 </w:t>
      </w:r>
      <w:r>
        <w:t xml:space="preserve">million episodes of care were created. This was done by linking the start of care (SOC) or resumption of care (ROC) assessment for a patient with </w:t>
      </w:r>
      <w:r w:rsidRPr="00FA349E">
        <w:t xml:space="preserve">that patient’s last assessment (i.e., transfer, discharge, or death).  </w:t>
      </w:r>
      <w:r w:rsidR="00CF14DE" w:rsidRPr="00FA349E">
        <w:t>We split the population of 6.4 million episodes for calendar year 2016 in half such that 3.2 million episodes were used as a developmental sample and 3.2 million episodes were used as a validation sample.</w:t>
      </w:r>
      <w:r w:rsidRPr="00FA349E">
        <w:t xml:space="preserve"> A structured approach was used to develop the initial prediction </w:t>
      </w:r>
      <w:r>
        <w:t xml:space="preserve">model.  </w:t>
      </w:r>
      <w:r w:rsidRPr="00752FAE">
        <w:t>The risk factors used in the prediction models are derived from OASIS data collected during the start of care or resumption of care</w:t>
      </w:r>
      <w:r>
        <w:rPr>
          <w:sz w:val="23"/>
          <w:szCs w:val="23"/>
        </w:rPr>
        <w:t xml:space="preserve"> assessment. </w:t>
      </w:r>
      <w:r>
        <w:t xml:space="preserve">Because there were a large number of possible risk factors that needed to be considered </w:t>
      </w:r>
      <w:r>
        <w:lastRenderedPageBreak/>
        <w:t>for the measure outcome</w:t>
      </w:r>
      <w:r w:rsidR="00CF14DE">
        <w:t xml:space="preserve"> and because some of the risk factors used previously are expected to be removed as part of the</w:t>
      </w:r>
      <w:r w:rsidR="000B3F72">
        <w:t xml:space="preserve"> transition to</w:t>
      </w:r>
      <w:r w:rsidR="00CF14DE">
        <w:t xml:space="preserve"> OASIS-D</w:t>
      </w:r>
      <w:r w:rsidR="000B3F72">
        <w:t xml:space="preserve"> in January 2019</w:t>
      </w:r>
      <w:r>
        <w:t>, the following process was used to identify unique contributing risk factors to the prediction model:</w:t>
      </w:r>
    </w:p>
    <w:p w14:paraId="70301E31" w14:textId="17FDA6EA" w:rsidR="00D97456" w:rsidRDefault="00D97456" w:rsidP="00D97456">
      <w:r>
        <w:t xml:space="preserve">1. </w:t>
      </w:r>
      <w:r w:rsidR="00752FAE">
        <w:t>W</w:t>
      </w:r>
      <w:r w:rsidR="00CF14DE">
        <w:t xml:space="preserve">e identified risk factors </w:t>
      </w:r>
      <w:r w:rsidR="00752FAE">
        <w:t xml:space="preserve">based on OASIS items </w:t>
      </w:r>
      <w:r w:rsidR="00CF14DE">
        <w:t xml:space="preserve">that will remain following the OASIS-D transition. </w:t>
      </w:r>
      <w:r w:rsidR="00752FAE">
        <w:t xml:space="preserve">We examine the statistical properties of the items to specify risk factors (e.g., we grouped item response when there was low prevalence of certain responses). Team clinicians then reviewed all risk factors for clinical relevance and we re-defined or updated risk factors as necessary. </w:t>
      </w:r>
      <w:r w:rsidR="00CF14DE">
        <w:t>We then divide</w:t>
      </w:r>
      <w:r w:rsidR="00752FAE">
        <w:t>d</w:t>
      </w:r>
      <w:r w:rsidR="00CF14DE">
        <w:t xml:space="preserve"> these risk factors into </w:t>
      </w:r>
      <w:r w:rsidR="007F559F">
        <w:t xml:space="preserve">35 </w:t>
      </w:r>
      <w:r>
        <w:t xml:space="preserve">content focus </w:t>
      </w:r>
      <w:r w:rsidR="007F559F">
        <w:t xml:space="preserve">groups </w:t>
      </w:r>
      <w:r>
        <w:t>(e.g., ICD9-based conditions)</w:t>
      </w:r>
      <w:r w:rsidR="007F559F">
        <w:t>.</w:t>
      </w:r>
      <w:r>
        <w:t xml:space="preserve"> </w:t>
      </w:r>
      <w:r w:rsidR="007F559F">
        <w:t>Where possible, we defined risk factors such that they flagged mutually exclusive subgroups within each content focus group. When modelling these risk factors, we use the risk factor flag indicating independence as our exclusion category.</w:t>
      </w:r>
    </w:p>
    <w:p w14:paraId="41B4D6C3" w14:textId="395168F6" w:rsidR="00D97456" w:rsidRDefault="007F559F" w:rsidP="00D97456">
      <w:r>
        <w:t>2</w:t>
      </w:r>
      <w:r w:rsidR="00D97456">
        <w:t xml:space="preserve">. </w:t>
      </w:r>
      <w:r>
        <w:t>We use a logistic regression specification to estimate coefficients among the full set of candidate risk factors. Those risk factors that are statistically significant at probability &lt;0.001 are kept</w:t>
      </w:r>
      <w:r w:rsidR="00952BD7">
        <w:t xml:space="preserve"> for further review</w:t>
      </w:r>
      <w:r>
        <w:t xml:space="preserve">. </w:t>
      </w:r>
      <w:r w:rsidR="00D97456">
        <w:t xml:space="preserve"> </w:t>
      </w:r>
    </w:p>
    <w:p w14:paraId="519FD71F" w14:textId="0D57A494" w:rsidR="00D97456" w:rsidRDefault="00D97456" w:rsidP="00D97456">
      <w:pPr>
        <w:rPr>
          <w:sz w:val="23"/>
          <w:szCs w:val="23"/>
        </w:rPr>
      </w:pPr>
      <w:r>
        <w:t>5. The list of risk factors that achieved the probability&lt;0.01 level were reviewed. If one response option level of an OASIS-</w:t>
      </w:r>
      <w:r w:rsidR="00952BD7">
        <w:t xml:space="preserve">D </w:t>
      </w:r>
      <w:r>
        <w:t>item was on the list, then risk factors representing the other response option levels of that OASIS-</w:t>
      </w:r>
      <w:r w:rsidR="00952BD7">
        <w:t xml:space="preserve">D </w:t>
      </w:r>
      <w:r>
        <w:t>item were added to the list. For example, if response option levels 1 and 2 for M1800 Grooming were statistically significant at probability&lt;0.01 for a particular outcome, then response option level 3 for M1800 Grooming was added to the list.</w:t>
      </w:r>
      <w:r>
        <w:rPr>
          <w:b/>
          <w:bCs/>
          <w:sz w:val="23"/>
          <w:szCs w:val="23"/>
        </w:rPr>
        <w:t xml:space="preserve"> </w:t>
      </w:r>
    </w:p>
    <w:p w14:paraId="7C0CA9C2" w14:textId="7761CF7D" w:rsidR="00D97456" w:rsidRDefault="00D97456" w:rsidP="00D97456">
      <w:r>
        <w:t>6. A fixed logistic regression was computed on the list of risk factors that had achieved probability&lt;0.0</w:t>
      </w:r>
      <w:r w:rsidR="00CF14DE">
        <w:t>0</w:t>
      </w:r>
      <w:r>
        <w:t>1 and the risk factors that were added to the list because they were other response options for OASIS-</w:t>
      </w:r>
      <w:r w:rsidR="00952BD7">
        <w:t xml:space="preserve">D </w:t>
      </w:r>
      <w:r>
        <w:t xml:space="preserve">items represented on the list. </w:t>
      </w:r>
    </w:p>
    <w:p w14:paraId="0CD96E17" w14:textId="77777777" w:rsidR="00D97456" w:rsidRDefault="00D97456" w:rsidP="00D97456">
      <w:r>
        <w:t>7. Goodness of fit statistics (R</w:t>
      </w:r>
      <w:r>
        <w:rPr>
          <w:vertAlign w:val="superscript"/>
        </w:rPr>
        <w:t>2</w:t>
      </w:r>
      <w:r>
        <w:t xml:space="preserve"> and c-statistic) as well as bivariate correlations between the risk factor and the outcome were computed for how well the predicted values generated by the prediction model were related to the actual outcomes. </w:t>
      </w:r>
    </w:p>
    <w:p w14:paraId="0C613084" w14:textId="6D31DF63" w:rsidR="00D97456" w:rsidRDefault="00D97456" w:rsidP="00D97456">
      <w:r>
        <w:t>8. The initial model</w:t>
      </w:r>
      <w:r w:rsidR="000B3F72">
        <w:t xml:space="preserve"> </w:t>
      </w:r>
      <w:r>
        <w:t>w</w:t>
      </w:r>
      <w:r w:rsidR="000B3F72">
        <w:t>as</w:t>
      </w:r>
      <w:r>
        <w:t xml:space="preserve"> reviewed by a team of at least three experienced home health clinicians. Each risk factor was reviewed for its clinical plausibility in being related to the outcome measure in the direction indicated by the coefficient in the prediction equation and its bivariate relationship. Risk factors that were not clinically plausible were identified for elimination. </w:t>
      </w:r>
    </w:p>
    <w:p w14:paraId="078EE85C" w14:textId="77777777" w:rsidR="00D97456" w:rsidRDefault="00D97456" w:rsidP="00D97456">
      <w:r>
        <w:t xml:space="preserve">9. The risk factors that were deemed not clinically plausible were removed from the prediction model and steps 6 and 7 in this process were repeated. The resulting logistic regression equation was designated as the prediction model for the outcome. </w:t>
      </w:r>
    </w:p>
    <w:p w14:paraId="442EC549" w14:textId="5056EC6F" w:rsidR="00D97456" w:rsidRPr="00A25024" w:rsidRDefault="00D97456" w:rsidP="00D97456">
      <w:pPr>
        <w:rPr>
          <w:rFonts w:cstheme="minorHAnsi"/>
          <w:bCs/>
        </w:rPr>
      </w:pPr>
      <w:r>
        <w:t xml:space="preserve">10. The prediction model was applied to the validation sample and goodness of fit statistics were computed. If these statistics were similar to the goodness of fit statistics computed with the development sample, the model become a final model. If the statistics were not similar, then alternative approaches to model building were considered. </w:t>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lastRenderedPageBreak/>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1DA10704" w14:textId="4BA1580D" w:rsidR="00047AE4" w:rsidRPr="00047AE4" w:rsidRDefault="00743E46" w:rsidP="00047AE4">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047AE4">
        <w:t xml:space="preserve">The c-statistic is the area under the Receiver Operating Characteristic curve. Intuitively, it is defined as follows: Let Y=1 denote outcome attainment, Y=0 denote nonattainment, and </w:t>
      </w:r>
      <w:r w:rsidR="00DC1C1D">
        <w:t>p</w:t>
      </w:r>
      <w:r w:rsidR="00DC1C1D">
        <w:rPr>
          <w:rFonts w:ascii="Arial Unicode MS" w:eastAsia="Arial Unicode MS" w:hAnsi="Arial Unicode MS" w:cs="Arial Unicode MS" w:hint="eastAsia"/>
        </w:rPr>
        <w:t>̂</w:t>
      </w:r>
      <w:r w:rsidR="00047AE4">
        <w:t xml:space="preserve"> denote the predicted probability that Y=1. Enumerate all possible pairs of sample patients for whom Y=1 for the first patient and Y=0 for the second patient. C is the p</w:t>
      </w:r>
      <w:r w:rsidR="00047AE4" w:rsidRPr="00451FC7">
        <w:t xml:space="preserve">roportion of such pairs where </w:t>
      </w:r>
      <w:r w:rsidR="00DC1C1D">
        <w:t>p</w:t>
      </w:r>
      <w:r w:rsidR="00DC1C1D">
        <w:rPr>
          <w:rFonts w:ascii="Arial Unicode MS" w:eastAsia="Arial Unicode MS" w:hAnsi="Arial Unicode MS" w:cs="Arial Unicode MS" w:hint="eastAsia"/>
        </w:rPr>
        <w:t>̂</w:t>
      </w:r>
      <w:r w:rsidR="00047AE4" w:rsidRPr="00451FC7">
        <w:t xml:space="preserve"> for the patient with Y=1 is larger than </w:t>
      </w:r>
      <w:r w:rsidR="00DC1C1D">
        <w:t>p</w:t>
      </w:r>
      <w:r w:rsidR="00DC1C1D">
        <w:rPr>
          <w:rFonts w:ascii="Arial Unicode MS" w:eastAsia="Arial Unicode MS" w:hAnsi="Arial Unicode MS" w:cs="Arial Unicode MS" w:hint="eastAsia"/>
        </w:rPr>
        <w:t>̂</w:t>
      </w:r>
      <w:r w:rsidR="00047AE4" w:rsidRPr="00451FC7">
        <w:t xml:space="preserve"> for the patient with Y=0.  The overall model development sample c-statistic is </w:t>
      </w:r>
      <w:r w:rsidR="00E8575A">
        <w:rPr>
          <w:b/>
        </w:rPr>
        <w:t>0.656</w:t>
      </w:r>
      <w:r w:rsidR="00047AE4" w:rsidRPr="00451FC7">
        <w:t xml:space="preserve">.  </w:t>
      </w:r>
      <w:r w:rsidR="00047AE4" w:rsidRPr="00047AE4">
        <w:t xml:space="preserve">The overall model validation sample c-statistic is </w:t>
      </w:r>
      <w:r w:rsidR="00E8575A">
        <w:rPr>
          <w:b/>
        </w:rPr>
        <w:t>0.657</w:t>
      </w:r>
      <w:r w:rsidR="00047AE4" w:rsidRPr="00047AE4">
        <w:rPr>
          <w:b/>
        </w:rPr>
        <w:t>.</w:t>
      </w:r>
    </w:p>
    <w:p w14:paraId="4596EBDC" w14:textId="4844602A" w:rsidR="00047AE4" w:rsidRPr="00451FC7" w:rsidRDefault="0059766E" w:rsidP="00047AE4">
      <w:r>
        <w:t>Because the risk adjustment model uses a logistic specification, we report McFadden’s R</w:t>
      </w:r>
      <w:r w:rsidRPr="0059766E">
        <w:rPr>
          <w:vertAlign w:val="superscript"/>
        </w:rPr>
        <w:t>2</w:t>
      </w:r>
      <w:r>
        <w:t xml:space="preserve"> to summarize model fit. </w:t>
      </w:r>
      <w:r w:rsidR="00047AE4" w:rsidRPr="004F5E7C">
        <w:t xml:space="preserve">The </w:t>
      </w:r>
      <w:r>
        <w:t xml:space="preserve">traditional </w:t>
      </w:r>
      <w:r w:rsidR="00047AE4" w:rsidRPr="004F5E7C">
        <w:t>R</w:t>
      </w:r>
      <w:r w:rsidR="00047AE4" w:rsidRPr="004F5E7C">
        <w:rPr>
          <w:vertAlign w:val="superscript"/>
        </w:rPr>
        <w:t>2</w:t>
      </w:r>
      <w:r w:rsidR="00047AE4" w:rsidRPr="004F5E7C">
        <w:t xml:space="preserve"> value </w:t>
      </w:r>
      <w:r>
        <w:t xml:space="preserve">for linear specifications </w:t>
      </w:r>
      <w:r w:rsidR="00047AE4" w:rsidRPr="004F5E7C">
        <w:t>is the squared correlation between predicted and observed values for all patients in the developmental or validation samples</w:t>
      </w:r>
      <w:r w:rsidRPr="004F5E7C">
        <w:t>.</w:t>
      </w:r>
      <w:r>
        <w:t xml:space="preserve"> McFadden’s R</w:t>
      </w:r>
      <w:r w:rsidRPr="00CD2B78">
        <w:rPr>
          <w:vertAlign w:val="superscript"/>
        </w:rPr>
        <w:t>2</w:t>
      </w:r>
      <w:r>
        <w:t xml:space="preserve"> is conceptually similar and compares the likelihood the full model to an intercept-only model.</w:t>
      </w:r>
      <w:r w:rsidR="00DC1C1D">
        <w:t xml:space="preserve"> </w:t>
      </w:r>
      <w:r w:rsidR="00047AE4" w:rsidRPr="004F5E7C">
        <w:t xml:space="preserve">The overall model development sample R² is </w:t>
      </w:r>
      <w:r w:rsidR="00E8575A">
        <w:rPr>
          <w:b/>
        </w:rPr>
        <w:t>0.053</w:t>
      </w:r>
      <w:r w:rsidR="00047AE4" w:rsidRPr="004F5E7C">
        <w:t xml:space="preserve">.  The overall model validation sample R² </w:t>
      </w:r>
      <w:r w:rsidR="00047AE4" w:rsidRPr="00047AE4">
        <w:t xml:space="preserve">is </w:t>
      </w:r>
      <w:r w:rsidR="00E8575A">
        <w:rPr>
          <w:b/>
        </w:rPr>
        <w:t>0.051</w:t>
      </w:r>
      <w:r w:rsidR="00047AE4" w:rsidRPr="00047AE4">
        <w:t>.</w:t>
      </w:r>
    </w:p>
    <w:p w14:paraId="156D9897" w14:textId="77777777" w:rsidR="00047AE4" w:rsidRPr="00047AE4" w:rsidRDefault="00047AE4" w:rsidP="00092566">
      <w:pPr>
        <w:autoSpaceDE w:val="0"/>
        <w:autoSpaceDN w:val="0"/>
        <w:adjustRightInd w:val="0"/>
        <w:spacing w:after="0" w:line="240" w:lineRule="auto"/>
        <w:rPr>
          <w:rFonts w:cstheme="minorHAnsi"/>
          <w:bCs/>
        </w:rPr>
      </w:pPr>
    </w:p>
    <w:p w14:paraId="0CABCFFE" w14:textId="022A010E" w:rsidR="00001D73" w:rsidRPr="00047AE4" w:rsidRDefault="009C7513" w:rsidP="00047AE4">
      <w:pPr>
        <w:spacing w:after="0"/>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AD5101" w:rsidRPr="00AD5101">
        <w:rPr>
          <w:rFonts w:cstheme="minorHAnsi"/>
          <w:bCs/>
        </w:rPr>
        <w:t xml:space="preserve">With a validation sample of over 3 million episodes, the Hosmer-Lemeshow test will reject </w:t>
      </w:r>
      <w:r w:rsidR="00AD5101">
        <w:rPr>
          <w:rFonts w:cstheme="minorHAnsi"/>
          <w:bCs/>
        </w:rPr>
        <w:t xml:space="preserve">the null assumption of equality </w:t>
      </w:r>
      <w:r w:rsidR="00AD5101" w:rsidRPr="00AD5101">
        <w:rPr>
          <w:rFonts w:cstheme="minorHAnsi"/>
          <w:bCs/>
        </w:rPr>
        <w:t xml:space="preserve">even </w:t>
      </w:r>
      <w:r w:rsidR="00AD5101">
        <w:rPr>
          <w:rFonts w:cstheme="minorHAnsi"/>
          <w:bCs/>
        </w:rPr>
        <w:t xml:space="preserve">if </w:t>
      </w:r>
      <w:r w:rsidR="00AD5101" w:rsidRPr="00AD5101">
        <w:rPr>
          <w:rFonts w:cstheme="minorHAnsi"/>
          <w:bCs/>
        </w:rPr>
        <w:t>differences in average performance</w:t>
      </w:r>
      <w:r w:rsidR="00AD5101">
        <w:rPr>
          <w:rFonts w:cstheme="minorHAnsi"/>
          <w:bCs/>
        </w:rPr>
        <w:t xml:space="preserve"> are small. As such, we prefer a visual inspection of the risk decile plot below, which compares</w:t>
      </w:r>
      <w:r w:rsidR="00AD5101" w:rsidRPr="00AD5101">
        <w:rPr>
          <w:rFonts w:cstheme="minorHAnsi"/>
          <w:bCs/>
        </w:rPr>
        <w:t xml:space="preserve"> the average predicted performance against the average observed performance</w:t>
      </w:r>
      <w:r w:rsidR="0059766E">
        <w:rPr>
          <w:rFonts w:cstheme="minorHAnsi"/>
          <w:bCs/>
        </w:rPr>
        <w:t xml:space="preserve"> for </w:t>
      </w:r>
      <w:r w:rsidR="0059766E" w:rsidRPr="0059766E">
        <w:rPr>
          <w:rFonts w:cstheme="minorHAnsi"/>
          <w:bCs/>
          <w:i/>
        </w:rPr>
        <w:t xml:space="preserve">Improvement in </w:t>
      </w:r>
      <w:r w:rsidR="00307886">
        <w:rPr>
          <w:rFonts w:cstheme="minorHAnsi"/>
          <w:bCs/>
          <w:i/>
        </w:rPr>
        <w:t>Pain Interfering with Activity</w:t>
      </w:r>
      <w:r w:rsidR="00AD5101" w:rsidRPr="00AD5101">
        <w:rPr>
          <w:rFonts w:cstheme="minorHAnsi"/>
          <w:bCs/>
        </w:rPr>
        <w:t xml:space="preserve">. </w:t>
      </w:r>
      <w:r w:rsidR="00AD5101">
        <w:rPr>
          <w:rFonts w:cstheme="minorHAnsi"/>
          <w:bCs/>
        </w:rPr>
        <w:t>T</w:t>
      </w:r>
      <w:r w:rsidR="00AD5101" w:rsidRPr="00AD5101">
        <w:rPr>
          <w:rFonts w:cstheme="minorHAnsi"/>
          <w:bCs/>
        </w:rPr>
        <w:t>he plot below shows that the predicted and observed values are similar and monotonic</w:t>
      </w:r>
      <w:r w:rsidR="00AD5101">
        <w:rPr>
          <w:rFonts w:cstheme="minorHAnsi"/>
          <w:bCs/>
        </w:rPr>
        <w:t>ally increasing with predicted probability, both of which indicate a well calibrated model</w:t>
      </w:r>
      <w:r w:rsidR="00AD5101" w:rsidRPr="00AD5101">
        <w:rPr>
          <w:rFonts w:cstheme="minorHAnsi"/>
          <w:bCs/>
        </w:rPr>
        <w:t xml:space="preserve">. </w:t>
      </w:r>
      <w:r w:rsidR="0059766E">
        <w:rPr>
          <w:rFonts w:cstheme="minorHAnsi"/>
          <w:bCs/>
        </w:rPr>
        <w:t xml:space="preserve">Additionally, we consider </w:t>
      </w:r>
      <w:r w:rsidR="00047AE4" w:rsidRPr="00AD5101">
        <w:rPr>
          <w:rFonts w:cstheme="minorHAnsi"/>
          <w:bCs/>
        </w:rPr>
        <w:t>the R</w:t>
      </w:r>
      <w:r w:rsidR="00047AE4" w:rsidRPr="00AD5101">
        <w:rPr>
          <w:rFonts w:cstheme="minorHAnsi"/>
          <w:bCs/>
          <w:vertAlign w:val="superscript"/>
        </w:rPr>
        <w:t>2</w:t>
      </w:r>
      <w:r w:rsidR="00047AE4" w:rsidRPr="00AD5101">
        <w:rPr>
          <w:rFonts w:cstheme="minorHAnsi"/>
          <w:bCs/>
        </w:rPr>
        <w:t xml:space="preserve"> statistics (included in response to </w:t>
      </w:r>
      <w:r w:rsidR="0059766E">
        <w:rPr>
          <w:rFonts w:cstheme="minorHAnsi"/>
          <w:b/>
          <w:bCs/>
        </w:rPr>
        <w:t>2b3.6</w:t>
      </w:r>
      <w:r w:rsidR="00047AE4" w:rsidRPr="00AD5101">
        <w:rPr>
          <w:rFonts w:cstheme="minorHAnsi"/>
          <w:bCs/>
        </w:rPr>
        <w:t xml:space="preserve">) </w:t>
      </w:r>
      <w:r w:rsidR="0059766E">
        <w:rPr>
          <w:rFonts w:cstheme="minorHAnsi"/>
          <w:bCs/>
        </w:rPr>
        <w:t>to be</w:t>
      </w:r>
      <w:r w:rsidR="00047AE4" w:rsidRPr="00AD5101">
        <w:rPr>
          <w:rFonts w:cstheme="minorHAnsi"/>
          <w:bCs/>
        </w:rPr>
        <w:t xml:space="preserve"> sufficient indicator</w:t>
      </w:r>
      <w:r w:rsidR="0059766E">
        <w:rPr>
          <w:rFonts w:cstheme="minorHAnsi"/>
          <w:bCs/>
        </w:rPr>
        <w:t>s</w:t>
      </w:r>
      <w:r w:rsidR="00047AE4" w:rsidRPr="00AD5101">
        <w:rPr>
          <w:rFonts w:cstheme="minorHAnsi"/>
          <w:bCs/>
        </w:rPr>
        <w:t xml:space="preserve"> of model fit.</w:t>
      </w:r>
    </w:p>
    <w:p w14:paraId="61550354" w14:textId="77777777" w:rsidR="00047AE4" w:rsidRDefault="00047AE4" w:rsidP="00092566">
      <w:pPr>
        <w:autoSpaceDE w:val="0"/>
        <w:autoSpaceDN w:val="0"/>
        <w:adjustRightInd w:val="0"/>
        <w:spacing w:after="0" w:line="240" w:lineRule="auto"/>
        <w:rPr>
          <w:rFonts w:cstheme="minorHAnsi"/>
          <w:b/>
          <w:bCs/>
        </w:rPr>
      </w:pPr>
    </w:p>
    <w:p w14:paraId="207728BD" w14:textId="77777777" w:rsidR="00394DC3" w:rsidRDefault="00394DC3" w:rsidP="00092566">
      <w:pPr>
        <w:autoSpaceDE w:val="0"/>
        <w:autoSpaceDN w:val="0"/>
        <w:adjustRightInd w:val="0"/>
        <w:spacing w:after="0" w:line="240" w:lineRule="auto"/>
        <w:rPr>
          <w:rFonts w:cstheme="minorHAnsi"/>
          <w:b/>
          <w:bCs/>
        </w:rPr>
      </w:pPr>
    </w:p>
    <w:p w14:paraId="1662AC6A" w14:textId="77777777" w:rsidR="00394DC3" w:rsidRDefault="00394DC3" w:rsidP="00092566">
      <w:pPr>
        <w:autoSpaceDE w:val="0"/>
        <w:autoSpaceDN w:val="0"/>
        <w:adjustRightInd w:val="0"/>
        <w:spacing w:after="0" w:line="240" w:lineRule="auto"/>
        <w:rPr>
          <w:rFonts w:cstheme="minorHAnsi"/>
          <w:b/>
          <w:bCs/>
        </w:rPr>
      </w:pPr>
    </w:p>
    <w:p w14:paraId="627D0924" w14:textId="77777777" w:rsidR="00394DC3" w:rsidRDefault="00394DC3" w:rsidP="00092566">
      <w:pPr>
        <w:autoSpaceDE w:val="0"/>
        <w:autoSpaceDN w:val="0"/>
        <w:adjustRightInd w:val="0"/>
        <w:spacing w:after="0" w:line="240" w:lineRule="auto"/>
        <w:rPr>
          <w:rFonts w:cstheme="minorHAnsi"/>
          <w:b/>
          <w:bCs/>
        </w:rPr>
      </w:pPr>
    </w:p>
    <w:p w14:paraId="71D4917A" w14:textId="77777777" w:rsidR="00394DC3" w:rsidRDefault="00394DC3" w:rsidP="00092566">
      <w:pPr>
        <w:autoSpaceDE w:val="0"/>
        <w:autoSpaceDN w:val="0"/>
        <w:adjustRightInd w:val="0"/>
        <w:spacing w:after="0" w:line="240" w:lineRule="auto"/>
        <w:rPr>
          <w:rFonts w:cstheme="minorHAnsi"/>
          <w:b/>
          <w:bCs/>
        </w:rPr>
      </w:pPr>
    </w:p>
    <w:p w14:paraId="02DDE8A4" w14:textId="77777777" w:rsidR="00394DC3" w:rsidRDefault="00394DC3" w:rsidP="00092566">
      <w:pPr>
        <w:autoSpaceDE w:val="0"/>
        <w:autoSpaceDN w:val="0"/>
        <w:adjustRightInd w:val="0"/>
        <w:spacing w:after="0" w:line="240" w:lineRule="auto"/>
        <w:rPr>
          <w:rFonts w:cstheme="minorHAnsi"/>
          <w:b/>
          <w:bCs/>
        </w:rPr>
      </w:pPr>
    </w:p>
    <w:p w14:paraId="16327DAC" w14:textId="77777777" w:rsidR="00394DC3" w:rsidRDefault="00394DC3" w:rsidP="00092566">
      <w:pPr>
        <w:autoSpaceDE w:val="0"/>
        <w:autoSpaceDN w:val="0"/>
        <w:adjustRightInd w:val="0"/>
        <w:spacing w:after="0" w:line="240" w:lineRule="auto"/>
        <w:rPr>
          <w:rFonts w:cstheme="minorHAnsi"/>
          <w:b/>
          <w:bCs/>
        </w:rPr>
      </w:pPr>
    </w:p>
    <w:p w14:paraId="2A0BFBC4" w14:textId="77777777" w:rsidR="00394DC3" w:rsidRDefault="00394DC3" w:rsidP="00092566">
      <w:pPr>
        <w:autoSpaceDE w:val="0"/>
        <w:autoSpaceDN w:val="0"/>
        <w:adjustRightInd w:val="0"/>
        <w:spacing w:after="0" w:line="240" w:lineRule="auto"/>
        <w:rPr>
          <w:rFonts w:cstheme="minorHAnsi"/>
          <w:b/>
          <w:bCs/>
        </w:rPr>
      </w:pPr>
    </w:p>
    <w:p w14:paraId="28C6553D" w14:textId="77777777" w:rsidR="00394DC3" w:rsidRDefault="00394DC3" w:rsidP="00092566">
      <w:pPr>
        <w:autoSpaceDE w:val="0"/>
        <w:autoSpaceDN w:val="0"/>
        <w:adjustRightInd w:val="0"/>
        <w:spacing w:after="0" w:line="240" w:lineRule="auto"/>
        <w:rPr>
          <w:rFonts w:cstheme="minorHAnsi"/>
          <w:b/>
          <w:bCs/>
        </w:rPr>
      </w:pPr>
    </w:p>
    <w:p w14:paraId="5BC0C021" w14:textId="77777777" w:rsidR="00394DC3" w:rsidRDefault="00394DC3" w:rsidP="00092566">
      <w:pPr>
        <w:autoSpaceDE w:val="0"/>
        <w:autoSpaceDN w:val="0"/>
        <w:adjustRightInd w:val="0"/>
        <w:spacing w:after="0" w:line="240" w:lineRule="auto"/>
        <w:rPr>
          <w:rFonts w:cstheme="minorHAnsi"/>
          <w:b/>
          <w:bCs/>
        </w:rPr>
      </w:pPr>
    </w:p>
    <w:p w14:paraId="0C9789F5" w14:textId="77777777" w:rsidR="00394DC3" w:rsidRDefault="00394DC3" w:rsidP="00092566">
      <w:pPr>
        <w:autoSpaceDE w:val="0"/>
        <w:autoSpaceDN w:val="0"/>
        <w:adjustRightInd w:val="0"/>
        <w:spacing w:after="0" w:line="240" w:lineRule="auto"/>
        <w:rPr>
          <w:rFonts w:cstheme="minorHAnsi"/>
          <w:b/>
          <w:bCs/>
        </w:rPr>
      </w:pPr>
    </w:p>
    <w:p w14:paraId="2C9438EC" w14:textId="77777777" w:rsidR="00394DC3" w:rsidRDefault="00394DC3" w:rsidP="00092566">
      <w:pPr>
        <w:autoSpaceDE w:val="0"/>
        <w:autoSpaceDN w:val="0"/>
        <w:adjustRightInd w:val="0"/>
        <w:spacing w:after="0" w:line="240" w:lineRule="auto"/>
        <w:rPr>
          <w:rFonts w:cstheme="minorHAnsi"/>
          <w:b/>
          <w:bCs/>
        </w:rPr>
      </w:pPr>
    </w:p>
    <w:p w14:paraId="4D58830F" w14:textId="77777777" w:rsidR="00394DC3" w:rsidRDefault="00394DC3" w:rsidP="00092566">
      <w:pPr>
        <w:autoSpaceDE w:val="0"/>
        <w:autoSpaceDN w:val="0"/>
        <w:adjustRightInd w:val="0"/>
        <w:spacing w:after="0" w:line="240" w:lineRule="auto"/>
        <w:rPr>
          <w:rFonts w:cstheme="minorHAnsi"/>
          <w:b/>
          <w:bCs/>
        </w:rPr>
      </w:pPr>
    </w:p>
    <w:p w14:paraId="57A8C1AC" w14:textId="77777777" w:rsidR="00394DC3" w:rsidRDefault="00394DC3" w:rsidP="00092566">
      <w:pPr>
        <w:autoSpaceDE w:val="0"/>
        <w:autoSpaceDN w:val="0"/>
        <w:adjustRightInd w:val="0"/>
        <w:spacing w:after="0" w:line="240" w:lineRule="auto"/>
        <w:rPr>
          <w:rFonts w:cstheme="minorHAnsi"/>
          <w:b/>
          <w:bCs/>
        </w:rPr>
      </w:pPr>
    </w:p>
    <w:p w14:paraId="001ABA8E" w14:textId="77777777" w:rsidR="00394DC3" w:rsidRDefault="00394DC3" w:rsidP="00092566">
      <w:pPr>
        <w:autoSpaceDE w:val="0"/>
        <w:autoSpaceDN w:val="0"/>
        <w:adjustRightInd w:val="0"/>
        <w:spacing w:after="0" w:line="240" w:lineRule="auto"/>
        <w:rPr>
          <w:rFonts w:cstheme="minorHAnsi"/>
          <w:b/>
          <w:bCs/>
        </w:rPr>
      </w:pPr>
    </w:p>
    <w:p w14:paraId="1C738F9D" w14:textId="77777777" w:rsidR="00394DC3" w:rsidRDefault="00394DC3" w:rsidP="00092566">
      <w:pPr>
        <w:autoSpaceDE w:val="0"/>
        <w:autoSpaceDN w:val="0"/>
        <w:adjustRightInd w:val="0"/>
        <w:spacing w:after="0" w:line="240" w:lineRule="auto"/>
        <w:rPr>
          <w:rFonts w:cstheme="minorHAnsi"/>
          <w:b/>
          <w:bCs/>
        </w:rPr>
      </w:pPr>
    </w:p>
    <w:p w14:paraId="18592C17" w14:textId="77777777" w:rsidR="00394DC3" w:rsidRDefault="00394DC3" w:rsidP="00092566">
      <w:pPr>
        <w:autoSpaceDE w:val="0"/>
        <w:autoSpaceDN w:val="0"/>
        <w:adjustRightInd w:val="0"/>
        <w:spacing w:after="0" w:line="240" w:lineRule="auto"/>
        <w:rPr>
          <w:rFonts w:cstheme="minorHAnsi"/>
          <w:b/>
          <w:bCs/>
        </w:rPr>
      </w:pPr>
    </w:p>
    <w:p w14:paraId="30545EF7" w14:textId="66C6673B" w:rsidR="00047AE4" w:rsidRDefault="009C7513" w:rsidP="00092566">
      <w:pPr>
        <w:autoSpaceDE w:val="0"/>
        <w:autoSpaceDN w:val="0"/>
        <w:adjustRightInd w:val="0"/>
        <w:spacing w:after="0" w:line="240" w:lineRule="auto"/>
        <w:rPr>
          <w:rFonts w:cstheme="minorHAnsi"/>
          <w:bCs/>
        </w:rPr>
      </w:pPr>
      <w:r w:rsidRPr="00FD6789">
        <w:rPr>
          <w:rFonts w:cstheme="minorHAnsi"/>
          <w:b/>
          <w:bCs/>
        </w:rPr>
        <w:lastRenderedPageBreak/>
        <w:t>2b3</w:t>
      </w:r>
      <w:r w:rsidR="00743E46" w:rsidRPr="00FD6789">
        <w:rPr>
          <w:rFonts w:cstheme="minorHAnsi"/>
          <w:b/>
          <w:bCs/>
        </w:rPr>
        <w:t>.8</w:t>
      </w:r>
      <w:r w:rsidR="00001D73" w:rsidRPr="00FD6789">
        <w:rPr>
          <w:rFonts w:cstheme="minorHAnsi"/>
          <w:b/>
          <w:bCs/>
        </w:rPr>
        <w:t xml:space="preserve">. </w:t>
      </w:r>
      <w:r w:rsidR="00743E46" w:rsidRPr="00FD6789">
        <w:rPr>
          <w:rFonts w:cstheme="minorHAnsi"/>
          <w:b/>
          <w:bCs/>
        </w:rPr>
        <w:t xml:space="preserve">Statistical </w:t>
      </w:r>
      <w:r w:rsidR="00092566" w:rsidRPr="00FD6789">
        <w:rPr>
          <w:rFonts w:cstheme="minorHAnsi"/>
          <w:b/>
          <w:bCs/>
        </w:rPr>
        <w:t>Risk Model Calibration – Risk decile plots or calibration curves</w:t>
      </w:r>
      <w:r w:rsidR="00092566" w:rsidRPr="00FD6789">
        <w:rPr>
          <w:rFonts w:cstheme="minorHAnsi"/>
          <w:bCs/>
        </w:rPr>
        <w:t>:</w:t>
      </w:r>
      <w:bookmarkStart w:id="12" w:name="question2b49"/>
      <w:bookmarkEnd w:id="12"/>
    </w:p>
    <w:p w14:paraId="647328B5" w14:textId="77777777" w:rsidR="00047AE4" w:rsidRDefault="00047AE4" w:rsidP="00092566">
      <w:pPr>
        <w:autoSpaceDE w:val="0"/>
        <w:autoSpaceDN w:val="0"/>
        <w:adjustRightInd w:val="0"/>
        <w:spacing w:after="0" w:line="240" w:lineRule="auto"/>
        <w:rPr>
          <w:rFonts w:cstheme="minorHAnsi"/>
          <w:b/>
        </w:rPr>
      </w:pPr>
    </w:p>
    <w:p w14:paraId="22ED0EE1" w14:textId="01477BFD" w:rsidR="00FD6789" w:rsidRDefault="00E8575A" w:rsidP="00092566">
      <w:pPr>
        <w:autoSpaceDE w:val="0"/>
        <w:autoSpaceDN w:val="0"/>
        <w:adjustRightInd w:val="0"/>
        <w:spacing w:after="0" w:line="240" w:lineRule="auto"/>
        <w:rPr>
          <w:rFonts w:cstheme="minorHAnsi"/>
          <w:b/>
        </w:rPr>
      </w:pPr>
      <w:r>
        <w:rPr>
          <w:noProof/>
        </w:rPr>
        <w:drawing>
          <wp:inline distT="0" distB="0" distL="0" distR="0" wp14:anchorId="2E6C3ADB" wp14:editId="7AC8DFE3">
            <wp:extent cx="5943600" cy="3785870"/>
            <wp:effectExtent l="0" t="0" r="0"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B608901" w14:textId="77777777" w:rsidR="00FD6789" w:rsidRDefault="00FD6789" w:rsidP="00092566">
      <w:pPr>
        <w:autoSpaceDE w:val="0"/>
        <w:autoSpaceDN w:val="0"/>
        <w:adjustRightInd w:val="0"/>
        <w:spacing w:after="0" w:line="240" w:lineRule="auto"/>
        <w:rPr>
          <w:rFonts w:cstheme="minorHAnsi"/>
          <w:b/>
        </w:rPr>
      </w:pPr>
    </w:p>
    <w:p w14:paraId="0CABD000" w14:textId="2FCBF782" w:rsidR="00092566" w:rsidRPr="00047AE4" w:rsidRDefault="009C7513" w:rsidP="00092566">
      <w:pPr>
        <w:autoSpaceDE w:val="0"/>
        <w:autoSpaceDN w:val="0"/>
        <w:adjustRightInd w:val="0"/>
        <w:spacing w:after="0" w:line="240" w:lineRule="auto"/>
        <w:rPr>
          <w:rFonts w:cstheme="minorHAnsi"/>
          <w:b/>
        </w:rPr>
      </w:pPr>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CABD001" w14:textId="1D47AA17" w:rsidR="00092566" w:rsidRPr="00A25024" w:rsidRDefault="00047AE4" w:rsidP="00047AE4">
      <w:pPr>
        <w:pStyle w:val="ListParagraph"/>
        <w:ind w:left="0"/>
        <w:rPr>
          <w:rFonts w:cstheme="minorHAnsi"/>
          <w:bCs/>
        </w:rPr>
      </w:pPr>
      <w:r>
        <w:rPr>
          <w:rFonts w:cstheme="minorHAnsi"/>
          <w:bCs/>
        </w:rPr>
        <w:t>Not applicable.</w:t>
      </w:r>
    </w:p>
    <w:p w14:paraId="2CC77236" w14:textId="1897EE51" w:rsidR="00E97AFE" w:rsidRPr="00902A2B" w:rsidRDefault="009C7513" w:rsidP="00E97AFE">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E97AFE" w:rsidRPr="00451FC7">
        <w:t xml:space="preserve">The c-statistic for the development sample is </w:t>
      </w:r>
      <w:r w:rsidR="00E8575A">
        <w:rPr>
          <w:b/>
        </w:rPr>
        <w:t>0.656</w:t>
      </w:r>
      <w:r w:rsidR="00E97AFE" w:rsidRPr="00451FC7">
        <w:t xml:space="preserve">, which is similar to the </w:t>
      </w:r>
      <w:r w:rsidR="00E97AFE" w:rsidRPr="00902A2B">
        <w:t xml:space="preserve">validation sample value of </w:t>
      </w:r>
      <w:r w:rsidR="00E8575A">
        <w:rPr>
          <w:b/>
        </w:rPr>
        <w:t>0.657</w:t>
      </w:r>
      <w:r w:rsidR="00E97AFE" w:rsidRPr="00902A2B">
        <w:t xml:space="preserve">, showing that the model differentiates between outcomes as well on new data as it does on the development data.  </w:t>
      </w:r>
    </w:p>
    <w:p w14:paraId="0CABD003" w14:textId="58329E44" w:rsidR="00092566" w:rsidRPr="00E97AFE" w:rsidRDefault="00E97AFE" w:rsidP="00E97AFE">
      <w:r w:rsidRPr="00902A2B">
        <w:t xml:space="preserve">The </w:t>
      </w:r>
      <w:r w:rsidR="000167DD">
        <w:t xml:space="preserve">McFadden’s </w:t>
      </w:r>
      <w:r w:rsidRPr="00902A2B">
        <w:t>R</w:t>
      </w:r>
      <w:r w:rsidRPr="00902A2B">
        <w:rPr>
          <w:vertAlign w:val="superscript"/>
        </w:rPr>
        <w:t>2</w:t>
      </w:r>
      <w:r w:rsidRPr="00902A2B">
        <w:t xml:space="preserve"> for the development sample is </w:t>
      </w:r>
      <w:r w:rsidR="00E8575A">
        <w:rPr>
          <w:b/>
        </w:rPr>
        <w:t>0.053</w:t>
      </w:r>
      <w:r w:rsidRPr="00902A2B">
        <w:t xml:space="preserve">, which is similar to the validation sample value of </w:t>
      </w:r>
      <w:r w:rsidR="00E8575A">
        <w:rPr>
          <w:b/>
        </w:rPr>
        <w:t>0.051</w:t>
      </w:r>
      <w:r w:rsidRPr="00902A2B">
        <w:t>, showing that the model is capable of describing the relationship between the covariates and the outcome in the development data set while also successfully predicting the outcome on a new data set.</w:t>
      </w:r>
    </w:p>
    <w:p w14:paraId="0CABD004" w14:textId="74D8FEB4" w:rsidR="00021170" w:rsidRPr="00CD2B78" w:rsidRDefault="009C7513" w:rsidP="009B1A15">
      <w:pPr>
        <w:spacing w:after="0" w:line="240" w:lineRule="auto"/>
        <w:rPr>
          <w:rFonts w:cstheme="minorHAnsi"/>
          <w:b/>
        </w:rPr>
      </w:pPr>
      <w:r w:rsidRPr="00CD2B78">
        <w:rPr>
          <w:rFonts w:cstheme="minorHAnsi"/>
          <w:b/>
        </w:rPr>
        <w:t>2b3</w:t>
      </w:r>
      <w:r w:rsidR="009B1A15" w:rsidRPr="00CD2B78">
        <w:rPr>
          <w:rFonts w:cstheme="minorHAnsi"/>
          <w:b/>
        </w:rPr>
        <w:t xml:space="preserve">.11. </w:t>
      </w:r>
      <w:r w:rsidR="00092566" w:rsidRPr="00CD2B78">
        <w:rPr>
          <w:rFonts w:cstheme="minorHAnsi"/>
          <w:b/>
        </w:rPr>
        <w:t>Optional</w:t>
      </w:r>
      <w:r w:rsidR="009B1A15" w:rsidRPr="00CD2B78">
        <w:rPr>
          <w:rFonts w:cstheme="minorHAnsi"/>
          <w:b/>
        </w:rPr>
        <w:t xml:space="preserve"> Additional Testing</w:t>
      </w:r>
      <w:r w:rsidR="004756E1" w:rsidRPr="00CD2B78">
        <w:rPr>
          <w:rFonts w:cstheme="minorHAnsi"/>
          <w:b/>
        </w:rPr>
        <w:t xml:space="preserve"> for Risk Adjustment</w:t>
      </w:r>
      <w:r w:rsidR="00092566" w:rsidRPr="000372AA">
        <w:rPr>
          <w:rFonts w:cstheme="minorHAnsi"/>
          <w:b/>
        </w:rPr>
        <w:t xml:space="preserve"> </w:t>
      </w:r>
      <w:r w:rsidR="00092566" w:rsidRPr="00CD2B78">
        <w:rPr>
          <w:rFonts w:cstheme="minorHAnsi"/>
          <w:b/>
        </w:rPr>
        <w:t>(</w:t>
      </w:r>
      <w:r w:rsidR="00092566" w:rsidRPr="00CD2B78">
        <w:rPr>
          <w:rFonts w:cstheme="minorHAnsi"/>
          <w:b/>
          <w:i/>
          <w:u w:val="single"/>
        </w:rPr>
        <w:t>not required</w:t>
      </w:r>
      <w:r w:rsidR="00092566" w:rsidRPr="00CD2B78">
        <w:rPr>
          <w:rFonts w:cstheme="minorHAnsi"/>
          <w:b/>
          <w:i/>
        </w:rPr>
        <w:t>, but would provide additional support of adequacy of risk model</w:t>
      </w:r>
      <w:r w:rsidR="009B1A15" w:rsidRPr="00CD2B78">
        <w:rPr>
          <w:rFonts w:cstheme="minorHAnsi"/>
          <w:b/>
          <w:i/>
        </w:rPr>
        <w:t>, e.g., testing of risk model in another data se</w:t>
      </w:r>
      <w:r w:rsidR="002408E4" w:rsidRPr="00CD2B78">
        <w:rPr>
          <w:rFonts w:cstheme="minorHAnsi"/>
          <w:b/>
          <w:i/>
        </w:rPr>
        <w:t>t</w:t>
      </w:r>
      <w:r w:rsidR="009B1A15" w:rsidRPr="00CD2B78">
        <w:rPr>
          <w:rFonts w:cstheme="minorHAnsi"/>
          <w:b/>
          <w:i/>
        </w:rPr>
        <w:t>; sensitivity analysis for missing data</w:t>
      </w:r>
      <w:r w:rsidR="002408E4" w:rsidRPr="00CD2B78">
        <w:rPr>
          <w:rFonts w:cstheme="minorHAnsi"/>
          <w:b/>
          <w:i/>
        </w:rPr>
        <w:t>;</w:t>
      </w:r>
      <w:r w:rsidR="009B1A15" w:rsidRPr="00CD2B78">
        <w:rPr>
          <w:rFonts w:cstheme="minorHAnsi"/>
          <w:b/>
          <w:i/>
        </w:rPr>
        <w:t xml:space="preserve"> other methods</w:t>
      </w:r>
      <w:r w:rsidR="008F7E67" w:rsidRPr="00CD2B78">
        <w:rPr>
          <w:rFonts w:cstheme="minorHAnsi"/>
          <w:b/>
          <w:i/>
        </w:rPr>
        <w:t xml:space="preserve"> that were assessed</w:t>
      </w:r>
      <w:r w:rsidR="009B1A15" w:rsidRPr="00CD2B78">
        <w:rPr>
          <w:rFonts w:cstheme="minorHAnsi"/>
          <w:b/>
        </w:rPr>
        <w:t>)</w:t>
      </w:r>
    </w:p>
    <w:p w14:paraId="0CABD005" w14:textId="77777777" w:rsidR="003755CB" w:rsidRDefault="003755CB" w:rsidP="00D61410">
      <w:pPr>
        <w:autoSpaceDE w:val="0"/>
        <w:autoSpaceDN w:val="0"/>
        <w:adjustRightInd w:val="0"/>
        <w:spacing w:after="0" w:line="240" w:lineRule="auto"/>
        <w:rPr>
          <w:rFonts w:cstheme="minorHAnsi"/>
          <w:b/>
          <w:bCs/>
        </w:rPr>
      </w:pPr>
    </w:p>
    <w:p w14:paraId="5595F093" w14:textId="743B2206" w:rsidR="0004044B" w:rsidRPr="0004044B" w:rsidRDefault="0004044B" w:rsidP="00D61410">
      <w:pPr>
        <w:autoSpaceDE w:val="0"/>
        <w:autoSpaceDN w:val="0"/>
        <w:adjustRightInd w:val="0"/>
        <w:spacing w:after="0" w:line="240" w:lineRule="auto"/>
        <w:rPr>
          <w:rFonts w:cstheme="minorHAnsi"/>
          <w:bCs/>
        </w:rPr>
      </w:pPr>
      <w:r w:rsidRPr="0004044B">
        <w:rPr>
          <w:rFonts w:cstheme="minorHAnsi"/>
          <w:bCs/>
        </w:rPr>
        <w:t>None</w:t>
      </w:r>
    </w:p>
    <w:p w14:paraId="0A9D74C9" w14:textId="77777777" w:rsidR="0004044B" w:rsidRDefault="0004044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0372AA" w:rsidRDefault="009C7513" w:rsidP="00D61410">
      <w:pPr>
        <w:autoSpaceDE w:val="0"/>
        <w:autoSpaceDN w:val="0"/>
        <w:adjustRightInd w:val="0"/>
        <w:spacing w:after="0" w:line="240" w:lineRule="auto"/>
        <w:rPr>
          <w:rFonts w:cstheme="minorHAnsi"/>
          <w:b/>
          <w:bCs/>
        </w:rPr>
      </w:pPr>
      <w:bookmarkStart w:id="13" w:name="section2b5"/>
      <w:bookmarkEnd w:id="13"/>
      <w:r w:rsidRPr="000372AA">
        <w:rPr>
          <w:rFonts w:cstheme="minorHAnsi"/>
          <w:b/>
          <w:bCs/>
        </w:rPr>
        <w:lastRenderedPageBreak/>
        <w:t>2b4</w:t>
      </w:r>
      <w:r w:rsidR="00D61410" w:rsidRPr="000372AA">
        <w:rPr>
          <w:rFonts w:cstheme="minorHAnsi"/>
          <w:b/>
          <w:bCs/>
        </w:rPr>
        <w:t>. IDENTIFICATION OF STATISTICALLY SIGNIFICANT &amp; MEANINGFUL DIFFERENCES IN PERFORMANCE</w:t>
      </w:r>
    </w:p>
    <w:p w14:paraId="0CABD008" w14:textId="2D3565CB" w:rsidR="00D61410" w:rsidRDefault="009C7513" w:rsidP="00D61410">
      <w:pPr>
        <w:autoSpaceDE w:val="0"/>
        <w:autoSpaceDN w:val="0"/>
        <w:adjustRightInd w:val="0"/>
        <w:spacing w:after="0" w:line="240" w:lineRule="auto"/>
        <w:rPr>
          <w:rFonts w:cstheme="minorHAnsi"/>
          <w:bCs/>
        </w:rPr>
      </w:pPr>
      <w:r w:rsidRPr="000372AA">
        <w:rPr>
          <w:rFonts w:cstheme="minorHAnsi"/>
          <w:b/>
          <w:bCs/>
        </w:rPr>
        <w:t>2b4</w:t>
      </w:r>
      <w:r w:rsidR="00D61410" w:rsidRPr="000372AA">
        <w:rPr>
          <w:rFonts w:cstheme="minorHAnsi"/>
          <w:b/>
          <w:bCs/>
        </w:rPr>
        <w:t>.1. Describe the method for determining if statistically significant and clinically/practically meaningful differences in performance measure scores among the measured entities can be identified (</w:t>
      </w:r>
      <w:r w:rsidR="00D61410" w:rsidRPr="00CD2B78">
        <w:rPr>
          <w:rFonts w:cstheme="minorHAnsi"/>
          <w:b/>
          <w:bCs/>
          <w:i/>
        </w:rPr>
        <w:t>describe the steps―do not just name a method;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1D3781F6" w14:textId="295EDE77" w:rsidR="000A2F48" w:rsidRDefault="000A2F48" w:rsidP="000A2F48">
      <w:r>
        <w:t xml:space="preserve">To demonstrate that the </w:t>
      </w:r>
      <w:r w:rsidRPr="006F4F0A">
        <w:rPr>
          <w:i/>
        </w:rPr>
        <w:t xml:space="preserve">Improvement in </w:t>
      </w:r>
      <w:r w:rsidR="00307886" w:rsidRPr="006F4F0A">
        <w:rPr>
          <w:i/>
        </w:rPr>
        <w:t>Pain Interfering</w:t>
      </w:r>
      <w:r w:rsidR="00307886" w:rsidRPr="00DE59C3">
        <w:t xml:space="preserve"> with Activity</w:t>
      </w:r>
      <w:r w:rsidRPr="00DE59C3">
        <w:t xml:space="preserve"> measure</w:t>
      </w:r>
      <w:r>
        <w:t xml:space="preserve"> exhibits variation and that the variation is meaningful in discriminating performance among home health agencies, we conducted the following analyses:</w:t>
      </w:r>
    </w:p>
    <w:p w14:paraId="75817DBA" w14:textId="54C955C5" w:rsidR="000A2F48" w:rsidRDefault="000A2F48" w:rsidP="000A2F48">
      <w:pPr>
        <w:pStyle w:val="ListParagraph"/>
        <w:numPr>
          <w:ilvl w:val="0"/>
          <w:numId w:val="32"/>
        </w:numPr>
      </w:pPr>
      <w:r>
        <w:t>First, we show that there is variation in the measure by examining the measure distribution – mean, median, 10</w:t>
      </w:r>
      <w:r w:rsidRPr="00505F85">
        <w:rPr>
          <w:vertAlign w:val="superscript"/>
        </w:rPr>
        <w:t>th</w:t>
      </w:r>
      <w:r>
        <w:t>, 25th, 75</w:t>
      </w:r>
      <w:r w:rsidRPr="00505F85">
        <w:rPr>
          <w:vertAlign w:val="superscript"/>
        </w:rPr>
        <w:t>th</w:t>
      </w:r>
      <w:r>
        <w:t>, and 90</w:t>
      </w:r>
      <w:r w:rsidRPr="00505F85">
        <w:rPr>
          <w:vertAlign w:val="superscript"/>
        </w:rPr>
        <w:t>th</w:t>
      </w:r>
      <w:r>
        <w:t xml:space="preserve"> percentile values.</w:t>
      </w:r>
      <w:r w:rsidR="005D03A3">
        <w:t xml:space="preserve"> We also calculated the truncated coefficient of variation (TCV).</w:t>
      </w:r>
    </w:p>
    <w:p w14:paraId="03C12DBA" w14:textId="18F4872A" w:rsidR="000A2F48" w:rsidRDefault="000A2F48" w:rsidP="000A2F48">
      <w:pPr>
        <w:pStyle w:val="ListParagraph"/>
        <w:numPr>
          <w:ilvl w:val="1"/>
          <w:numId w:val="32"/>
        </w:numPr>
        <w:spacing w:after="120"/>
        <w:contextualSpacing w:val="0"/>
      </w:pPr>
      <w:r>
        <w:t>We show that the measure is not “topped-out;” that is, we show there is room for improvement in the measure. Measures that are “topped-out” or close to being so are less able to meaningfully discriminate between providers. That is, if the majority of agencies are already performing at a high level, the measure is less able to distinguish between providers. We demonstrate that the 10</w:t>
      </w:r>
      <w:r w:rsidRPr="00421A09">
        <w:rPr>
          <w:vertAlign w:val="superscript"/>
        </w:rPr>
        <w:t>th</w:t>
      </w:r>
      <w:r>
        <w:t xml:space="preserve"> percentile value of the measure is less than 70 percent. That is, if the HHAs performing at the 10</w:t>
      </w:r>
      <w:r w:rsidRPr="00421A09">
        <w:rPr>
          <w:vertAlign w:val="superscript"/>
        </w:rPr>
        <w:t>th</w:t>
      </w:r>
      <w:r>
        <w:t xml:space="preserve"> percentile had a measure value of 70 percent, then we would consider the measure having little room for improvement. </w:t>
      </w:r>
      <w:r w:rsidR="005D03A3">
        <w:t xml:space="preserve"> </w:t>
      </w:r>
    </w:p>
    <w:p w14:paraId="2503F44A" w14:textId="2D53B8CD" w:rsidR="000A2F48" w:rsidRDefault="000A2F48" w:rsidP="000A2F48">
      <w:pPr>
        <w:pStyle w:val="ListParagraph"/>
        <w:numPr>
          <w:ilvl w:val="1"/>
          <w:numId w:val="32"/>
        </w:numPr>
        <w:spacing w:after="120"/>
        <w:ind w:left="1483"/>
        <w:contextualSpacing w:val="0"/>
      </w:pPr>
      <w:r>
        <w:t xml:space="preserve">We show that the interquartile range (IQR) is </w:t>
      </w:r>
      <w:r w:rsidR="004715B5">
        <w:t xml:space="preserve">substantial. </w:t>
      </w:r>
      <w:r>
        <w:t>The IQR is calculated by subtracting the 25</w:t>
      </w:r>
      <w:r w:rsidRPr="00505F85">
        <w:rPr>
          <w:vertAlign w:val="superscript"/>
        </w:rPr>
        <w:t>th</w:t>
      </w:r>
      <w:r>
        <w:t xml:space="preserve"> percentile measure value from the 75</w:t>
      </w:r>
      <w:r w:rsidRPr="00505F85">
        <w:rPr>
          <w:vertAlign w:val="superscript"/>
        </w:rPr>
        <w:t>th</w:t>
      </w:r>
      <w:r>
        <w:t xml:space="preserve"> percentile measure; it shows the measure “spread.” </w:t>
      </w:r>
    </w:p>
    <w:p w14:paraId="77F20D2D" w14:textId="1BF07D06" w:rsidR="005D03A3" w:rsidRDefault="005D03A3" w:rsidP="000A2F48">
      <w:pPr>
        <w:pStyle w:val="ListParagraph"/>
        <w:numPr>
          <w:ilvl w:val="1"/>
          <w:numId w:val="32"/>
        </w:numPr>
        <w:spacing w:after="120"/>
        <w:ind w:left="1483"/>
        <w:contextualSpacing w:val="0"/>
      </w:pPr>
      <w:r>
        <w:t>The TCV is another measure of variation – it is the ratio of the truncated standard deviation and truncated mean. We truncate by removing the bottom 5</w:t>
      </w:r>
      <w:r w:rsidRPr="00A514AC">
        <w:rPr>
          <w:vertAlign w:val="superscript"/>
        </w:rPr>
        <w:t>th</w:t>
      </w:r>
      <w:r>
        <w:t xml:space="preserve"> percentile and the top 95</w:t>
      </w:r>
      <w:r w:rsidRPr="00A514AC">
        <w:rPr>
          <w:vertAlign w:val="superscript"/>
        </w:rPr>
        <w:t>th</w:t>
      </w:r>
      <w:r>
        <w:t xml:space="preserve"> percentile of HHAs. A larger TCV indicates higher variability of the measure.</w:t>
      </w:r>
    </w:p>
    <w:p w14:paraId="23BF8BCF" w14:textId="72E634A6" w:rsidR="000A2F48" w:rsidRDefault="000A2F48" w:rsidP="000A2F48">
      <w:pPr>
        <w:pStyle w:val="ListParagraph"/>
        <w:numPr>
          <w:ilvl w:val="1"/>
          <w:numId w:val="32"/>
        </w:numPr>
        <w:spacing w:after="120"/>
        <w:ind w:left="1483"/>
        <w:contextualSpacing w:val="0"/>
      </w:pPr>
      <w:r>
        <w:t>We show the same information for HHA</w:t>
      </w:r>
      <w:r w:rsidR="00203680">
        <w:t>s</w:t>
      </w:r>
      <w:r>
        <w:t xml:space="preserve"> stratified by whether the census region in which the HHA is located. </w:t>
      </w:r>
    </w:p>
    <w:p w14:paraId="2858AE24" w14:textId="426F3182" w:rsidR="000A2F48" w:rsidRDefault="000A2F48" w:rsidP="005D03A3">
      <w:pPr>
        <w:pStyle w:val="ListParagraph"/>
        <w:numPr>
          <w:ilvl w:val="0"/>
          <w:numId w:val="32"/>
        </w:numPr>
        <w:spacing w:after="120"/>
        <w:ind w:left="763"/>
        <w:contextualSpacing w:val="0"/>
      </w:pPr>
      <w:r>
        <w:t>Demonstrating that there is variation in the measure is not sufficient for concluding that the variation is meaningful. To examine whether the measure is meaningful in distinguishing performan</w:t>
      </w:r>
      <w:r w:rsidR="005D03A3">
        <w:t>ce across agencies, we examined t</w:t>
      </w:r>
      <w:r>
        <w:t xml:space="preserve">he performance of the measure by an altered version of the Quality of Patient Care (QoPC) Star Rating and tested whether measure values differ by rating and whether the difference is statistically significant at the 5 percent significance level. The QoPC Star Rating is composed of eight equally weighted quality measures, including </w:t>
      </w:r>
      <w:r w:rsidRPr="005D03A3">
        <w:rPr>
          <w:i/>
        </w:rPr>
        <w:t xml:space="preserve">Improvement in </w:t>
      </w:r>
      <w:r w:rsidR="00DF4CC6" w:rsidRPr="005D03A3">
        <w:rPr>
          <w:i/>
        </w:rPr>
        <w:t>Pain Interfering with Activity</w:t>
      </w:r>
      <w:r>
        <w:t>.</w:t>
      </w:r>
      <w:r w:rsidR="004F0080">
        <w:rPr>
          <w:rStyle w:val="FootnoteReference"/>
        </w:rPr>
        <w:footnoteReference w:id="7"/>
      </w:r>
      <w:r>
        <w:t xml:space="preserve"> We created an altered version that removes the </w:t>
      </w:r>
      <w:r w:rsidRPr="005D03A3">
        <w:rPr>
          <w:i/>
        </w:rPr>
        <w:t xml:space="preserve">Improvement in </w:t>
      </w:r>
      <w:r w:rsidR="00DF4CC6" w:rsidRPr="005D03A3">
        <w:rPr>
          <w:i/>
        </w:rPr>
        <w:t>Pain Interfering with Activity</w:t>
      </w:r>
      <w:r>
        <w:t xml:space="preserve"> from the QoPC Star Ratings (keeping the remaining measures and methodology the same). The other measures include other functional improvement measures, two process measures and a claims-based </w:t>
      </w:r>
      <w:r>
        <w:lastRenderedPageBreak/>
        <w:t xml:space="preserve">hospitalization measure. The QoPC Star Ratings are a composite of these measures and take on nine values (1 to 5 stars in half star increments). Higher stars indicate higher quality. We thus expect that HHAs with higher QoPC Star Ratings (or alternate) values will have higher values on the </w:t>
      </w:r>
      <w:r w:rsidRPr="005D03A3">
        <w:rPr>
          <w:i/>
        </w:rPr>
        <w:t xml:space="preserve">Improvement in </w:t>
      </w:r>
      <w:r w:rsidR="00307886" w:rsidRPr="005D03A3">
        <w:rPr>
          <w:i/>
        </w:rPr>
        <w:t>Pain Interfering with Activity</w:t>
      </w:r>
      <w:r>
        <w:t xml:space="preserve"> measure.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4D0D9FC4" w14:textId="1CA0E92E" w:rsidR="000A2F48" w:rsidRDefault="000A2F48" w:rsidP="000A2F48">
      <w:r>
        <w:t xml:space="preserve">The table below shows the distribution of the </w:t>
      </w:r>
      <w:r w:rsidRPr="00752FAE">
        <w:rPr>
          <w:i/>
        </w:rPr>
        <w:t xml:space="preserve">Improvement in </w:t>
      </w:r>
      <w:r w:rsidR="00307886">
        <w:rPr>
          <w:i/>
        </w:rPr>
        <w:t>Pain Interfering with Activity</w:t>
      </w:r>
      <w:r>
        <w:t xml:space="preserve"> measure across the 9,</w:t>
      </w:r>
      <w:r w:rsidR="00307886">
        <w:t>028</w:t>
      </w:r>
      <w:r>
        <w:t xml:space="preserve"> agencies that had at least 20 episodes available. The median is </w:t>
      </w:r>
      <w:r w:rsidR="00307886">
        <w:t>70.0</w:t>
      </w:r>
      <w:r>
        <w:t xml:space="preserve"> percent. The 10</w:t>
      </w:r>
      <w:r w:rsidRPr="00311CAB">
        <w:rPr>
          <w:vertAlign w:val="superscript"/>
        </w:rPr>
        <w:t>th</w:t>
      </w:r>
      <w:r>
        <w:t xml:space="preserve"> percentile value is </w:t>
      </w:r>
      <w:r w:rsidR="00307886">
        <w:t>31.6</w:t>
      </w:r>
      <w:r>
        <w:t xml:space="preserve"> percent and the 90</w:t>
      </w:r>
      <w:r w:rsidRPr="00311CAB">
        <w:rPr>
          <w:vertAlign w:val="superscript"/>
        </w:rPr>
        <w:t>th</w:t>
      </w:r>
      <w:r>
        <w:t xml:space="preserve"> percentile value is </w:t>
      </w:r>
      <w:r w:rsidR="00307886">
        <w:t>92.9</w:t>
      </w:r>
      <w:r>
        <w:t xml:space="preserve"> percent. The IQR is </w:t>
      </w:r>
      <w:r w:rsidR="00307886">
        <w:t>27.6</w:t>
      </w:r>
      <w:r>
        <w:t xml:space="preserve"> percent. </w:t>
      </w:r>
      <w:r w:rsidR="005D03A3">
        <w:t xml:space="preserve">The TCV (not shown in the table) is 36.2 percent. </w:t>
      </w:r>
      <w:r>
        <w:t xml:space="preserve">These statistics show that the measure is not topped out and there is still sufficient room for improvement. </w:t>
      </w:r>
    </w:p>
    <w:p w14:paraId="1EB6F12E" w14:textId="10095894" w:rsidR="000A2F48" w:rsidRPr="009E1126" w:rsidRDefault="000A2F48" w:rsidP="000A2F48">
      <w:pPr>
        <w:rPr>
          <w:b/>
        </w:rPr>
      </w:pPr>
      <w:r w:rsidRPr="009E1126">
        <w:rPr>
          <w:b/>
        </w:rPr>
        <w:t xml:space="preserve">Distribution of Improvement in </w:t>
      </w:r>
      <w:r w:rsidR="00DF4CC6">
        <w:rPr>
          <w:b/>
        </w:rPr>
        <w:t>Pain Interfering with Activity</w:t>
      </w:r>
      <w:r w:rsidRPr="009E1126">
        <w:rPr>
          <w:b/>
        </w:rPr>
        <w:t xml:space="preserve"> (Risk Adjusted) Overall and by Census Region</w:t>
      </w:r>
    </w:p>
    <w:tbl>
      <w:tblPr>
        <w:tblW w:w="92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941"/>
        <w:gridCol w:w="1012"/>
        <w:gridCol w:w="1012"/>
        <w:gridCol w:w="1012"/>
        <w:gridCol w:w="1012"/>
        <w:gridCol w:w="1012"/>
        <w:gridCol w:w="1012"/>
        <w:gridCol w:w="1012"/>
      </w:tblGrid>
      <w:tr w:rsidR="000A2F48" w:rsidRPr="00311CAB" w14:paraId="7661B274" w14:textId="77777777" w:rsidTr="00DE59C3">
        <w:trPr>
          <w:trHeight w:val="259"/>
        </w:trPr>
        <w:tc>
          <w:tcPr>
            <w:tcW w:w="1239" w:type="dxa"/>
            <w:shd w:val="clear" w:color="auto" w:fill="auto"/>
            <w:noWrap/>
            <w:vAlign w:val="center"/>
            <w:hideMark/>
          </w:tcPr>
          <w:p w14:paraId="6B4F366B" w14:textId="77777777" w:rsidR="000A2F48" w:rsidRPr="009E1126" w:rsidRDefault="000A2F48" w:rsidP="00693DFB">
            <w:pPr>
              <w:spacing w:after="0" w:line="240" w:lineRule="auto"/>
              <w:jc w:val="center"/>
              <w:rPr>
                <w:rFonts w:ascii="Calibri" w:eastAsia="Times New Roman" w:hAnsi="Calibri" w:cs="Times New Roman"/>
                <w:b/>
                <w:color w:val="000000"/>
              </w:rPr>
            </w:pPr>
          </w:p>
        </w:tc>
        <w:tc>
          <w:tcPr>
            <w:tcW w:w="941" w:type="dxa"/>
            <w:shd w:val="clear" w:color="auto" w:fill="auto"/>
            <w:noWrap/>
            <w:vAlign w:val="center"/>
            <w:hideMark/>
          </w:tcPr>
          <w:p w14:paraId="58E7965D" w14:textId="77777777" w:rsidR="000A2F48" w:rsidRPr="009E1126" w:rsidRDefault="000A2F48" w:rsidP="00693DFB">
            <w:pPr>
              <w:spacing w:after="0" w:line="240" w:lineRule="auto"/>
              <w:jc w:val="center"/>
              <w:rPr>
                <w:rFonts w:ascii="Calibri" w:eastAsia="Times New Roman" w:hAnsi="Calibri" w:cs="Times New Roman"/>
                <w:b/>
                <w:color w:val="000000"/>
              </w:rPr>
            </w:pPr>
            <w:r w:rsidRPr="009E1126">
              <w:rPr>
                <w:rFonts w:ascii="Calibri" w:eastAsia="Times New Roman" w:hAnsi="Calibri" w:cs="Times New Roman"/>
                <w:b/>
                <w:color w:val="000000"/>
              </w:rPr>
              <w:t>#HHAs</w:t>
            </w:r>
          </w:p>
        </w:tc>
        <w:tc>
          <w:tcPr>
            <w:tcW w:w="1012" w:type="dxa"/>
            <w:vAlign w:val="center"/>
          </w:tcPr>
          <w:p w14:paraId="4780526A" w14:textId="77777777" w:rsidR="000A2F48" w:rsidRPr="009E1126" w:rsidRDefault="000A2F48" w:rsidP="00693DFB">
            <w:pPr>
              <w:spacing w:after="0" w:line="240" w:lineRule="auto"/>
              <w:jc w:val="center"/>
              <w:rPr>
                <w:rFonts w:ascii="Calibri" w:eastAsia="Times New Roman" w:hAnsi="Calibri" w:cs="Times New Roman"/>
                <w:b/>
                <w:color w:val="000000"/>
              </w:rPr>
            </w:pPr>
            <w:r w:rsidRPr="009E1126">
              <w:rPr>
                <w:rFonts w:ascii="Calibri" w:eastAsia="Times New Roman" w:hAnsi="Calibri" w:cs="Times New Roman"/>
                <w:b/>
                <w:color w:val="000000"/>
              </w:rPr>
              <w:t>Mean</w:t>
            </w:r>
          </w:p>
        </w:tc>
        <w:tc>
          <w:tcPr>
            <w:tcW w:w="1012" w:type="dxa"/>
            <w:shd w:val="clear" w:color="auto" w:fill="auto"/>
            <w:noWrap/>
            <w:vAlign w:val="center"/>
            <w:hideMark/>
          </w:tcPr>
          <w:p w14:paraId="20E6842D" w14:textId="77777777" w:rsidR="000A2F48" w:rsidRPr="009E1126" w:rsidRDefault="000A2F48" w:rsidP="00693DFB">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10</w:t>
            </w:r>
            <w:r w:rsidRPr="009E1126">
              <w:rPr>
                <w:rFonts w:ascii="Calibri" w:eastAsia="Times New Roman" w:hAnsi="Calibri" w:cs="Times New Roman"/>
                <w:b/>
                <w:color w:val="000000"/>
                <w:vertAlign w:val="superscript"/>
              </w:rPr>
              <w:t>th</w:t>
            </w:r>
            <w:r>
              <w:rPr>
                <w:rFonts w:ascii="Calibri" w:eastAsia="Times New Roman" w:hAnsi="Calibri" w:cs="Times New Roman"/>
                <w:b/>
                <w:color w:val="000000"/>
              </w:rPr>
              <w:t xml:space="preserve"> </w:t>
            </w:r>
          </w:p>
        </w:tc>
        <w:tc>
          <w:tcPr>
            <w:tcW w:w="1012" w:type="dxa"/>
            <w:shd w:val="clear" w:color="auto" w:fill="auto"/>
            <w:noWrap/>
            <w:vAlign w:val="center"/>
            <w:hideMark/>
          </w:tcPr>
          <w:p w14:paraId="466979C1" w14:textId="77777777" w:rsidR="000A2F48" w:rsidRPr="009E1126" w:rsidRDefault="000A2F48" w:rsidP="00693DFB">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25</w:t>
            </w:r>
            <w:r w:rsidRPr="009E1126">
              <w:rPr>
                <w:rFonts w:ascii="Calibri" w:eastAsia="Times New Roman" w:hAnsi="Calibri" w:cs="Times New Roman"/>
                <w:b/>
                <w:color w:val="000000"/>
                <w:vertAlign w:val="superscript"/>
              </w:rPr>
              <w:t>th</w:t>
            </w:r>
          </w:p>
        </w:tc>
        <w:tc>
          <w:tcPr>
            <w:tcW w:w="1012" w:type="dxa"/>
            <w:shd w:val="clear" w:color="auto" w:fill="auto"/>
            <w:noWrap/>
            <w:vAlign w:val="center"/>
            <w:hideMark/>
          </w:tcPr>
          <w:p w14:paraId="5770BEEC" w14:textId="77777777" w:rsidR="000A2F48" w:rsidRPr="009E1126" w:rsidRDefault="000A2F48" w:rsidP="00693DFB">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50</w:t>
            </w:r>
            <w:r w:rsidRPr="009E1126">
              <w:rPr>
                <w:rFonts w:ascii="Calibri" w:eastAsia="Times New Roman" w:hAnsi="Calibri" w:cs="Times New Roman"/>
                <w:b/>
                <w:color w:val="000000"/>
                <w:vertAlign w:val="superscript"/>
              </w:rPr>
              <w:t>th</w:t>
            </w:r>
          </w:p>
        </w:tc>
        <w:tc>
          <w:tcPr>
            <w:tcW w:w="1012" w:type="dxa"/>
            <w:shd w:val="clear" w:color="auto" w:fill="auto"/>
            <w:noWrap/>
            <w:vAlign w:val="center"/>
            <w:hideMark/>
          </w:tcPr>
          <w:p w14:paraId="1B594D76" w14:textId="77777777" w:rsidR="000A2F48" w:rsidRPr="009E1126" w:rsidRDefault="000A2F48" w:rsidP="00693DFB">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75</w:t>
            </w:r>
            <w:r w:rsidRPr="009E1126">
              <w:rPr>
                <w:rFonts w:ascii="Calibri" w:eastAsia="Times New Roman" w:hAnsi="Calibri" w:cs="Times New Roman"/>
                <w:b/>
                <w:color w:val="000000"/>
                <w:vertAlign w:val="superscript"/>
              </w:rPr>
              <w:t>th</w:t>
            </w:r>
          </w:p>
        </w:tc>
        <w:tc>
          <w:tcPr>
            <w:tcW w:w="1012" w:type="dxa"/>
            <w:shd w:val="clear" w:color="auto" w:fill="auto"/>
            <w:noWrap/>
            <w:vAlign w:val="center"/>
            <w:hideMark/>
          </w:tcPr>
          <w:p w14:paraId="4BFD66A8" w14:textId="77777777" w:rsidR="000A2F48" w:rsidRPr="009E1126" w:rsidRDefault="000A2F48" w:rsidP="00693DFB">
            <w:pPr>
              <w:spacing w:after="0" w:line="240" w:lineRule="auto"/>
              <w:jc w:val="center"/>
              <w:rPr>
                <w:rFonts w:ascii="Calibri" w:eastAsia="Times New Roman" w:hAnsi="Calibri" w:cs="Times New Roman"/>
                <w:b/>
                <w:color w:val="000000"/>
              </w:rPr>
            </w:pPr>
            <w:r>
              <w:rPr>
                <w:rFonts w:ascii="Calibri" w:eastAsia="Times New Roman" w:hAnsi="Calibri" w:cs="Times New Roman"/>
                <w:b/>
                <w:color w:val="000000"/>
              </w:rPr>
              <w:t>90</w:t>
            </w:r>
            <w:r w:rsidRPr="009E1126">
              <w:rPr>
                <w:rFonts w:ascii="Calibri" w:eastAsia="Times New Roman" w:hAnsi="Calibri" w:cs="Times New Roman"/>
                <w:b/>
                <w:color w:val="000000"/>
                <w:vertAlign w:val="superscript"/>
              </w:rPr>
              <w:t>th</w:t>
            </w:r>
          </w:p>
        </w:tc>
        <w:tc>
          <w:tcPr>
            <w:tcW w:w="1012" w:type="dxa"/>
            <w:shd w:val="clear" w:color="auto" w:fill="auto"/>
            <w:noWrap/>
            <w:vAlign w:val="center"/>
            <w:hideMark/>
          </w:tcPr>
          <w:p w14:paraId="53581D1D" w14:textId="77777777" w:rsidR="000A2F48" w:rsidRPr="009E1126" w:rsidRDefault="000A2F48" w:rsidP="00693DFB">
            <w:pPr>
              <w:spacing w:after="0" w:line="240" w:lineRule="auto"/>
              <w:jc w:val="center"/>
              <w:rPr>
                <w:rFonts w:ascii="Calibri" w:eastAsia="Times New Roman" w:hAnsi="Calibri" w:cs="Times New Roman"/>
                <w:b/>
                <w:color w:val="000000"/>
              </w:rPr>
            </w:pPr>
            <w:r w:rsidRPr="009E1126">
              <w:rPr>
                <w:rFonts w:ascii="Calibri" w:eastAsia="Times New Roman" w:hAnsi="Calibri" w:cs="Times New Roman"/>
                <w:b/>
                <w:color w:val="000000"/>
              </w:rPr>
              <w:t>IQR</w:t>
            </w:r>
          </w:p>
        </w:tc>
      </w:tr>
      <w:tr w:rsidR="00DE59C3" w:rsidRPr="00311CAB" w14:paraId="7013CB47" w14:textId="77777777" w:rsidTr="00DE59C3">
        <w:trPr>
          <w:trHeight w:val="287"/>
        </w:trPr>
        <w:tc>
          <w:tcPr>
            <w:tcW w:w="1239" w:type="dxa"/>
            <w:shd w:val="clear" w:color="auto" w:fill="F2DBDB" w:themeFill="accent2" w:themeFillTint="33"/>
            <w:noWrap/>
            <w:vAlign w:val="center"/>
            <w:hideMark/>
          </w:tcPr>
          <w:p w14:paraId="1D0812F0" w14:textId="77777777" w:rsidR="00307886" w:rsidRPr="00311CAB" w:rsidRDefault="00307886" w:rsidP="0030788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All*</w:t>
            </w:r>
          </w:p>
        </w:tc>
        <w:tc>
          <w:tcPr>
            <w:tcW w:w="941" w:type="dxa"/>
            <w:shd w:val="clear" w:color="auto" w:fill="F2DBDB" w:themeFill="accent2" w:themeFillTint="33"/>
            <w:noWrap/>
            <w:vAlign w:val="bottom"/>
            <w:hideMark/>
          </w:tcPr>
          <w:p w14:paraId="59CB5255" w14:textId="3C1713F0" w:rsidR="00307886" w:rsidRPr="00311CAB"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9,028</w:t>
            </w:r>
          </w:p>
        </w:tc>
        <w:tc>
          <w:tcPr>
            <w:tcW w:w="1012" w:type="dxa"/>
            <w:shd w:val="clear" w:color="auto" w:fill="F2DBDB" w:themeFill="accent2" w:themeFillTint="33"/>
            <w:vAlign w:val="bottom"/>
          </w:tcPr>
          <w:p w14:paraId="68227C37" w14:textId="5C64AF2F" w:rsidR="00307886" w:rsidRPr="009E1126" w:rsidRDefault="00307886" w:rsidP="00307886">
            <w:pPr>
              <w:spacing w:after="0" w:line="240" w:lineRule="auto"/>
              <w:jc w:val="center"/>
              <w:rPr>
                <w:rFonts w:ascii="Calibri" w:eastAsiaTheme="minorHAnsi" w:hAnsi="Calibri"/>
                <w:color w:val="000000"/>
              </w:rPr>
            </w:pPr>
            <w:r>
              <w:rPr>
                <w:rFonts w:ascii="Calibri" w:hAnsi="Calibri" w:cs="Calibri"/>
                <w:color w:val="000000"/>
              </w:rPr>
              <w:t>65.6%</w:t>
            </w:r>
          </w:p>
        </w:tc>
        <w:tc>
          <w:tcPr>
            <w:tcW w:w="1012" w:type="dxa"/>
            <w:shd w:val="clear" w:color="auto" w:fill="F2DBDB" w:themeFill="accent2" w:themeFillTint="33"/>
            <w:noWrap/>
            <w:vAlign w:val="bottom"/>
            <w:hideMark/>
          </w:tcPr>
          <w:p w14:paraId="0E04350E" w14:textId="1DA1857A" w:rsidR="00307886" w:rsidRPr="00311CAB"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31.6%</w:t>
            </w:r>
          </w:p>
        </w:tc>
        <w:tc>
          <w:tcPr>
            <w:tcW w:w="1012" w:type="dxa"/>
            <w:shd w:val="clear" w:color="auto" w:fill="F2DBDB" w:themeFill="accent2" w:themeFillTint="33"/>
            <w:noWrap/>
            <w:vAlign w:val="bottom"/>
            <w:hideMark/>
          </w:tcPr>
          <w:p w14:paraId="52742337" w14:textId="588A6645" w:rsidR="00307886" w:rsidRPr="00311CAB"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54.5%</w:t>
            </w:r>
          </w:p>
        </w:tc>
        <w:tc>
          <w:tcPr>
            <w:tcW w:w="1012" w:type="dxa"/>
            <w:shd w:val="clear" w:color="auto" w:fill="F2DBDB" w:themeFill="accent2" w:themeFillTint="33"/>
            <w:noWrap/>
            <w:vAlign w:val="bottom"/>
            <w:hideMark/>
          </w:tcPr>
          <w:p w14:paraId="4C77D99C" w14:textId="508253CF" w:rsidR="00307886" w:rsidRPr="00311CAB"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70.0%</w:t>
            </w:r>
          </w:p>
        </w:tc>
        <w:tc>
          <w:tcPr>
            <w:tcW w:w="1012" w:type="dxa"/>
            <w:shd w:val="clear" w:color="auto" w:fill="F2DBDB" w:themeFill="accent2" w:themeFillTint="33"/>
            <w:noWrap/>
            <w:vAlign w:val="bottom"/>
            <w:hideMark/>
          </w:tcPr>
          <w:p w14:paraId="2CE40D57" w14:textId="32D617DF" w:rsidR="00307886" w:rsidRPr="00311CAB"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82.1%</w:t>
            </w:r>
          </w:p>
        </w:tc>
        <w:tc>
          <w:tcPr>
            <w:tcW w:w="1012" w:type="dxa"/>
            <w:shd w:val="clear" w:color="auto" w:fill="F2DBDB" w:themeFill="accent2" w:themeFillTint="33"/>
            <w:noWrap/>
            <w:vAlign w:val="bottom"/>
            <w:hideMark/>
          </w:tcPr>
          <w:p w14:paraId="43E08A03" w14:textId="5A5EA086" w:rsidR="00307886" w:rsidRPr="00311CAB"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92.9%</w:t>
            </w:r>
          </w:p>
        </w:tc>
        <w:tc>
          <w:tcPr>
            <w:tcW w:w="1012" w:type="dxa"/>
            <w:shd w:val="clear" w:color="auto" w:fill="F2DBDB" w:themeFill="accent2" w:themeFillTint="33"/>
            <w:noWrap/>
            <w:vAlign w:val="bottom"/>
            <w:hideMark/>
          </w:tcPr>
          <w:p w14:paraId="181B72E7" w14:textId="7B411EB3" w:rsidR="00307886" w:rsidRPr="00311CAB"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27.6%</w:t>
            </w:r>
          </w:p>
        </w:tc>
      </w:tr>
      <w:tr w:rsidR="00DE59C3" w:rsidRPr="00311CAB" w14:paraId="3E0261BC" w14:textId="77777777" w:rsidTr="00DE59C3">
        <w:trPr>
          <w:trHeight w:val="259"/>
        </w:trPr>
        <w:tc>
          <w:tcPr>
            <w:tcW w:w="1239" w:type="dxa"/>
            <w:shd w:val="clear" w:color="auto" w:fill="auto"/>
            <w:noWrap/>
            <w:vAlign w:val="center"/>
          </w:tcPr>
          <w:p w14:paraId="426A47F2" w14:textId="77777777" w:rsidR="00307886" w:rsidRDefault="00307886" w:rsidP="0030788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Northeast</w:t>
            </w:r>
          </w:p>
        </w:tc>
        <w:tc>
          <w:tcPr>
            <w:tcW w:w="941" w:type="dxa"/>
            <w:shd w:val="clear" w:color="auto" w:fill="auto"/>
            <w:noWrap/>
            <w:vAlign w:val="bottom"/>
          </w:tcPr>
          <w:p w14:paraId="0256F100" w14:textId="0C43BA0F" w:rsidR="00307886" w:rsidRDefault="00307886" w:rsidP="00307886">
            <w:pPr>
              <w:spacing w:after="0" w:line="240" w:lineRule="auto"/>
              <w:jc w:val="center"/>
              <w:rPr>
                <w:rFonts w:ascii="Calibri" w:hAnsi="Calibri"/>
                <w:color w:val="000000"/>
              </w:rPr>
            </w:pPr>
            <w:r>
              <w:rPr>
                <w:rFonts w:ascii="Calibri" w:hAnsi="Calibri" w:cs="Calibri"/>
                <w:color w:val="000000"/>
              </w:rPr>
              <w:t>767</w:t>
            </w:r>
          </w:p>
        </w:tc>
        <w:tc>
          <w:tcPr>
            <w:tcW w:w="1012" w:type="dxa"/>
            <w:vAlign w:val="bottom"/>
          </w:tcPr>
          <w:p w14:paraId="5C68378F" w14:textId="1D457CAF" w:rsidR="00307886" w:rsidRDefault="00307886" w:rsidP="00307886">
            <w:pPr>
              <w:spacing w:after="0" w:line="240" w:lineRule="auto"/>
              <w:jc w:val="center"/>
              <w:rPr>
                <w:rFonts w:ascii="Calibri" w:hAnsi="Calibri"/>
                <w:color w:val="000000"/>
              </w:rPr>
            </w:pPr>
            <w:r>
              <w:rPr>
                <w:rFonts w:ascii="Calibri" w:hAnsi="Calibri" w:cs="Calibri"/>
                <w:color w:val="000000"/>
              </w:rPr>
              <w:t>66.1%</w:t>
            </w:r>
          </w:p>
        </w:tc>
        <w:tc>
          <w:tcPr>
            <w:tcW w:w="1012" w:type="dxa"/>
            <w:shd w:val="clear" w:color="auto" w:fill="auto"/>
            <w:noWrap/>
            <w:vAlign w:val="bottom"/>
          </w:tcPr>
          <w:p w14:paraId="25284963" w14:textId="0DCD1800" w:rsidR="00307886" w:rsidRDefault="00307886" w:rsidP="00307886">
            <w:pPr>
              <w:spacing w:after="0" w:line="240" w:lineRule="auto"/>
              <w:jc w:val="center"/>
              <w:rPr>
                <w:rFonts w:ascii="Calibri" w:hAnsi="Calibri"/>
                <w:color w:val="000000"/>
              </w:rPr>
            </w:pPr>
            <w:r>
              <w:rPr>
                <w:rFonts w:ascii="Calibri" w:hAnsi="Calibri" w:cs="Calibri"/>
                <w:color w:val="000000"/>
              </w:rPr>
              <w:t>37.5%</w:t>
            </w:r>
          </w:p>
        </w:tc>
        <w:tc>
          <w:tcPr>
            <w:tcW w:w="1012" w:type="dxa"/>
            <w:shd w:val="clear" w:color="auto" w:fill="auto"/>
            <w:noWrap/>
            <w:vAlign w:val="bottom"/>
          </w:tcPr>
          <w:p w14:paraId="15941CAE" w14:textId="101E63FC" w:rsidR="00307886" w:rsidRDefault="00307886" w:rsidP="00307886">
            <w:pPr>
              <w:spacing w:after="0" w:line="240" w:lineRule="auto"/>
              <w:jc w:val="center"/>
              <w:rPr>
                <w:rFonts w:ascii="Calibri" w:hAnsi="Calibri"/>
                <w:color w:val="000000"/>
              </w:rPr>
            </w:pPr>
            <w:r>
              <w:rPr>
                <w:rFonts w:ascii="Calibri" w:hAnsi="Calibri" w:cs="Calibri"/>
                <w:color w:val="000000"/>
              </w:rPr>
              <w:t>57.7%</w:t>
            </w:r>
          </w:p>
        </w:tc>
        <w:tc>
          <w:tcPr>
            <w:tcW w:w="1012" w:type="dxa"/>
            <w:shd w:val="clear" w:color="auto" w:fill="auto"/>
            <w:noWrap/>
            <w:vAlign w:val="bottom"/>
          </w:tcPr>
          <w:p w14:paraId="6E1CFE26" w14:textId="78EE85EC" w:rsidR="00307886" w:rsidRDefault="00307886" w:rsidP="00307886">
            <w:pPr>
              <w:spacing w:after="0" w:line="240" w:lineRule="auto"/>
              <w:jc w:val="center"/>
              <w:rPr>
                <w:rFonts w:ascii="Calibri" w:hAnsi="Calibri"/>
                <w:color w:val="000000"/>
              </w:rPr>
            </w:pPr>
            <w:r>
              <w:rPr>
                <w:rFonts w:ascii="Calibri" w:hAnsi="Calibri" w:cs="Calibri"/>
                <w:color w:val="000000"/>
              </w:rPr>
              <w:t>70.4%</w:t>
            </w:r>
          </w:p>
        </w:tc>
        <w:tc>
          <w:tcPr>
            <w:tcW w:w="1012" w:type="dxa"/>
            <w:shd w:val="clear" w:color="auto" w:fill="auto"/>
            <w:noWrap/>
            <w:vAlign w:val="bottom"/>
          </w:tcPr>
          <w:p w14:paraId="694EE7D2" w14:textId="7194A498" w:rsidR="00307886" w:rsidRDefault="00307886" w:rsidP="00307886">
            <w:pPr>
              <w:spacing w:after="0" w:line="240" w:lineRule="auto"/>
              <w:jc w:val="center"/>
              <w:rPr>
                <w:rFonts w:ascii="Calibri" w:hAnsi="Calibri"/>
                <w:color w:val="000000"/>
              </w:rPr>
            </w:pPr>
            <w:r>
              <w:rPr>
                <w:rFonts w:ascii="Calibri" w:hAnsi="Calibri" w:cs="Calibri"/>
                <w:color w:val="000000"/>
              </w:rPr>
              <w:t>78.6%</w:t>
            </w:r>
          </w:p>
        </w:tc>
        <w:tc>
          <w:tcPr>
            <w:tcW w:w="1012" w:type="dxa"/>
            <w:shd w:val="clear" w:color="auto" w:fill="auto"/>
            <w:noWrap/>
            <w:vAlign w:val="bottom"/>
          </w:tcPr>
          <w:p w14:paraId="13205269" w14:textId="6E7B50C7" w:rsidR="00307886" w:rsidRDefault="00307886" w:rsidP="00307886">
            <w:pPr>
              <w:spacing w:after="0" w:line="240" w:lineRule="auto"/>
              <w:jc w:val="center"/>
              <w:rPr>
                <w:rFonts w:ascii="Calibri" w:hAnsi="Calibri"/>
                <w:color w:val="000000"/>
              </w:rPr>
            </w:pPr>
            <w:r>
              <w:rPr>
                <w:rFonts w:ascii="Calibri" w:hAnsi="Calibri" w:cs="Calibri"/>
                <w:color w:val="000000"/>
              </w:rPr>
              <w:t>87.5%</w:t>
            </w:r>
          </w:p>
        </w:tc>
        <w:tc>
          <w:tcPr>
            <w:tcW w:w="1012" w:type="dxa"/>
            <w:shd w:val="clear" w:color="auto" w:fill="auto"/>
            <w:noWrap/>
            <w:vAlign w:val="bottom"/>
          </w:tcPr>
          <w:p w14:paraId="5A0647EE" w14:textId="0BD6E259" w:rsidR="00307886" w:rsidRDefault="00307886" w:rsidP="00307886">
            <w:pPr>
              <w:spacing w:after="0" w:line="240" w:lineRule="auto"/>
              <w:jc w:val="center"/>
              <w:rPr>
                <w:rFonts w:ascii="Calibri" w:hAnsi="Calibri"/>
                <w:color w:val="000000"/>
              </w:rPr>
            </w:pPr>
            <w:r>
              <w:rPr>
                <w:rFonts w:ascii="Calibri" w:hAnsi="Calibri" w:cs="Calibri"/>
                <w:color w:val="000000"/>
              </w:rPr>
              <w:t>20.9%</w:t>
            </w:r>
          </w:p>
        </w:tc>
      </w:tr>
      <w:tr w:rsidR="00DE59C3" w:rsidRPr="00311CAB" w14:paraId="024186BF" w14:textId="77777777" w:rsidTr="00DE59C3">
        <w:trPr>
          <w:trHeight w:val="259"/>
        </w:trPr>
        <w:tc>
          <w:tcPr>
            <w:tcW w:w="1239" w:type="dxa"/>
            <w:shd w:val="clear" w:color="auto" w:fill="auto"/>
            <w:noWrap/>
            <w:vAlign w:val="center"/>
          </w:tcPr>
          <w:p w14:paraId="7C6C2ED4" w14:textId="77777777" w:rsidR="00307886" w:rsidRDefault="00307886" w:rsidP="0030788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Midwest</w:t>
            </w:r>
          </w:p>
        </w:tc>
        <w:tc>
          <w:tcPr>
            <w:tcW w:w="941" w:type="dxa"/>
            <w:shd w:val="clear" w:color="auto" w:fill="auto"/>
            <w:noWrap/>
            <w:vAlign w:val="bottom"/>
          </w:tcPr>
          <w:p w14:paraId="5D4D6A6F" w14:textId="4DB63424" w:rsidR="00307886" w:rsidRDefault="00307886" w:rsidP="00307886">
            <w:pPr>
              <w:spacing w:after="0" w:line="240" w:lineRule="auto"/>
              <w:jc w:val="center"/>
              <w:rPr>
                <w:rFonts w:ascii="Calibri" w:hAnsi="Calibri"/>
                <w:color w:val="000000"/>
              </w:rPr>
            </w:pPr>
            <w:r>
              <w:rPr>
                <w:rFonts w:ascii="Calibri" w:hAnsi="Calibri" w:cs="Calibri"/>
                <w:color w:val="000000"/>
              </w:rPr>
              <w:t>2,397</w:t>
            </w:r>
          </w:p>
        </w:tc>
        <w:tc>
          <w:tcPr>
            <w:tcW w:w="1012" w:type="dxa"/>
            <w:vAlign w:val="bottom"/>
          </w:tcPr>
          <w:p w14:paraId="7DF9020E" w14:textId="61FB31AD" w:rsidR="00307886" w:rsidRDefault="00307886" w:rsidP="00307886">
            <w:pPr>
              <w:spacing w:after="0" w:line="240" w:lineRule="auto"/>
              <w:jc w:val="center"/>
              <w:rPr>
                <w:rFonts w:ascii="Calibri" w:hAnsi="Calibri"/>
                <w:color w:val="000000"/>
              </w:rPr>
            </w:pPr>
            <w:r>
              <w:rPr>
                <w:rFonts w:ascii="Calibri" w:hAnsi="Calibri" w:cs="Calibri"/>
                <w:color w:val="000000"/>
              </w:rPr>
              <w:t>64.6%</w:t>
            </w:r>
          </w:p>
        </w:tc>
        <w:tc>
          <w:tcPr>
            <w:tcW w:w="1012" w:type="dxa"/>
            <w:shd w:val="clear" w:color="auto" w:fill="auto"/>
            <w:noWrap/>
            <w:vAlign w:val="bottom"/>
          </w:tcPr>
          <w:p w14:paraId="54D0DC34" w14:textId="7CADA990" w:rsidR="00307886" w:rsidRDefault="00307886" w:rsidP="00307886">
            <w:pPr>
              <w:spacing w:after="0" w:line="240" w:lineRule="auto"/>
              <w:jc w:val="center"/>
              <w:rPr>
                <w:rFonts w:ascii="Calibri" w:hAnsi="Calibri"/>
                <w:color w:val="000000"/>
              </w:rPr>
            </w:pPr>
            <w:r>
              <w:rPr>
                <w:rFonts w:ascii="Calibri" w:hAnsi="Calibri" w:cs="Calibri"/>
                <w:color w:val="000000"/>
              </w:rPr>
              <w:t>33.3%</w:t>
            </w:r>
          </w:p>
        </w:tc>
        <w:tc>
          <w:tcPr>
            <w:tcW w:w="1012" w:type="dxa"/>
            <w:shd w:val="clear" w:color="auto" w:fill="auto"/>
            <w:noWrap/>
            <w:vAlign w:val="bottom"/>
          </w:tcPr>
          <w:p w14:paraId="6B9CA02A" w14:textId="2D4EF2D9" w:rsidR="00307886" w:rsidRDefault="00307886" w:rsidP="00307886">
            <w:pPr>
              <w:spacing w:after="0" w:line="240" w:lineRule="auto"/>
              <w:jc w:val="center"/>
              <w:rPr>
                <w:rFonts w:ascii="Calibri" w:hAnsi="Calibri"/>
                <w:color w:val="000000"/>
              </w:rPr>
            </w:pPr>
            <w:r>
              <w:rPr>
                <w:rFonts w:ascii="Calibri" w:hAnsi="Calibri" w:cs="Calibri"/>
                <w:color w:val="000000"/>
              </w:rPr>
              <w:t>52.8%</w:t>
            </w:r>
          </w:p>
        </w:tc>
        <w:tc>
          <w:tcPr>
            <w:tcW w:w="1012" w:type="dxa"/>
            <w:shd w:val="clear" w:color="auto" w:fill="auto"/>
            <w:noWrap/>
            <w:vAlign w:val="bottom"/>
          </w:tcPr>
          <w:p w14:paraId="72B94CF6" w14:textId="48C73A22" w:rsidR="00307886" w:rsidRDefault="00307886" w:rsidP="00307886">
            <w:pPr>
              <w:spacing w:after="0" w:line="240" w:lineRule="auto"/>
              <w:jc w:val="center"/>
              <w:rPr>
                <w:rFonts w:ascii="Calibri" w:hAnsi="Calibri"/>
                <w:color w:val="000000"/>
              </w:rPr>
            </w:pPr>
            <w:r>
              <w:rPr>
                <w:rFonts w:ascii="Calibri" w:hAnsi="Calibri" w:cs="Calibri"/>
                <w:color w:val="000000"/>
              </w:rPr>
              <w:t>68.0%</w:t>
            </w:r>
          </w:p>
        </w:tc>
        <w:tc>
          <w:tcPr>
            <w:tcW w:w="1012" w:type="dxa"/>
            <w:shd w:val="clear" w:color="auto" w:fill="auto"/>
            <w:noWrap/>
            <w:vAlign w:val="bottom"/>
          </w:tcPr>
          <w:p w14:paraId="49CA742D" w14:textId="1E0E193F" w:rsidR="00307886" w:rsidRDefault="00307886" w:rsidP="00307886">
            <w:pPr>
              <w:spacing w:after="0" w:line="240" w:lineRule="auto"/>
              <w:jc w:val="center"/>
              <w:rPr>
                <w:rFonts w:ascii="Calibri" w:hAnsi="Calibri"/>
                <w:color w:val="000000"/>
              </w:rPr>
            </w:pPr>
            <w:r>
              <w:rPr>
                <w:rFonts w:ascii="Calibri" w:hAnsi="Calibri" w:cs="Calibri"/>
                <w:color w:val="000000"/>
              </w:rPr>
              <w:t>81.1%</w:t>
            </w:r>
          </w:p>
        </w:tc>
        <w:tc>
          <w:tcPr>
            <w:tcW w:w="1012" w:type="dxa"/>
            <w:shd w:val="clear" w:color="auto" w:fill="auto"/>
            <w:noWrap/>
            <w:vAlign w:val="bottom"/>
          </w:tcPr>
          <w:p w14:paraId="76D7B118" w14:textId="1DEB5922" w:rsidR="00307886" w:rsidRDefault="00307886" w:rsidP="00307886">
            <w:pPr>
              <w:spacing w:after="0" w:line="240" w:lineRule="auto"/>
              <w:jc w:val="center"/>
              <w:rPr>
                <w:rFonts w:ascii="Calibri" w:hAnsi="Calibri"/>
                <w:color w:val="000000"/>
              </w:rPr>
            </w:pPr>
            <w:r>
              <w:rPr>
                <w:rFonts w:ascii="Calibri" w:hAnsi="Calibri" w:cs="Calibri"/>
                <w:color w:val="000000"/>
              </w:rPr>
              <w:t>91.4%</w:t>
            </w:r>
          </w:p>
        </w:tc>
        <w:tc>
          <w:tcPr>
            <w:tcW w:w="1012" w:type="dxa"/>
            <w:shd w:val="clear" w:color="auto" w:fill="auto"/>
            <w:noWrap/>
            <w:vAlign w:val="bottom"/>
          </w:tcPr>
          <w:p w14:paraId="4BB1E240" w14:textId="68C73F9F" w:rsidR="00307886" w:rsidRDefault="00307886" w:rsidP="00307886">
            <w:pPr>
              <w:spacing w:after="0" w:line="240" w:lineRule="auto"/>
              <w:jc w:val="center"/>
              <w:rPr>
                <w:rFonts w:ascii="Calibri" w:hAnsi="Calibri"/>
                <w:color w:val="000000"/>
              </w:rPr>
            </w:pPr>
            <w:r>
              <w:rPr>
                <w:rFonts w:ascii="Calibri" w:hAnsi="Calibri" w:cs="Calibri"/>
                <w:color w:val="000000"/>
              </w:rPr>
              <w:t>28.3%</w:t>
            </w:r>
          </w:p>
        </w:tc>
      </w:tr>
      <w:tr w:rsidR="00DE59C3" w:rsidRPr="00311CAB" w14:paraId="3002188C" w14:textId="77777777" w:rsidTr="00DE59C3">
        <w:trPr>
          <w:trHeight w:val="259"/>
        </w:trPr>
        <w:tc>
          <w:tcPr>
            <w:tcW w:w="1239" w:type="dxa"/>
            <w:shd w:val="clear" w:color="auto" w:fill="auto"/>
            <w:noWrap/>
            <w:vAlign w:val="center"/>
          </w:tcPr>
          <w:p w14:paraId="26DB0A88" w14:textId="77777777" w:rsidR="00307886" w:rsidRDefault="00307886" w:rsidP="0030788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South</w:t>
            </w:r>
          </w:p>
        </w:tc>
        <w:tc>
          <w:tcPr>
            <w:tcW w:w="941" w:type="dxa"/>
            <w:shd w:val="clear" w:color="auto" w:fill="auto"/>
            <w:noWrap/>
            <w:vAlign w:val="bottom"/>
          </w:tcPr>
          <w:p w14:paraId="3C2FBF47" w14:textId="3EE0A189" w:rsidR="00307886" w:rsidRDefault="00307886" w:rsidP="00307886">
            <w:pPr>
              <w:spacing w:after="0" w:line="240" w:lineRule="auto"/>
              <w:jc w:val="center"/>
              <w:rPr>
                <w:rFonts w:ascii="Calibri" w:hAnsi="Calibri"/>
                <w:color w:val="000000"/>
              </w:rPr>
            </w:pPr>
            <w:r>
              <w:rPr>
                <w:rFonts w:ascii="Calibri" w:hAnsi="Calibri" w:cs="Calibri"/>
                <w:color w:val="000000"/>
              </w:rPr>
              <w:t>4,017</w:t>
            </w:r>
          </w:p>
        </w:tc>
        <w:tc>
          <w:tcPr>
            <w:tcW w:w="1012" w:type="dxa"/>
            <w:vAlign w:val="bottom"/>
          </w:tcPr>
          <w:p w14:paraId="0EC9D64C" w14:textId="4AA1D864" w:rsidR="00307886" w:rsidRDefault="00307886" w:rsidP="00307886">
            <w:pPr>
              <w:spacing w:after="0" w:line="240" w:lineRule="auto"/>
              <w:jc w:val="center"/>
              <w:rPr>
                <w:rFonts w:ascii="Calibri" w:hAnsi="Calibri"/>
                <w:color w:val="000000"/>
              </w:rPr>
            </w:pPr>
            <w:r>
              <w:rPr>
                <w:rFonts w:ascii="Calibri" w:hAnsi="Calibri" w:cs="Calibri"/>
                <w:color w:val="000000"/>
              </w:rPr>
              <w:t>63.0%</w:t>
            </w:r>
          </w:p>
        </w:tc>
        <w:tc>
          <w:tcPr>
            <w:tcW w:w="1012" w:type="dxa"/>
            <w:shd w:val="clear" w:color="auto" w:fill="auto"/>
            <w:noWrap/>
            <w:vAlign w:val="bottom"/>
          </w:tcPr>
          <w:p w14:paraId="702ECA5E" w14:textId="3DF74314" w:rsidR="00307886" w:rsidRDefault="00307886" w:rsidP="00307886">
            <w:pPr>
              <w:spacing w:after="0" w:line="240" w:lineRule="auto"/>
              <w:jc w:val="center"/>
              <w:rPr>
                <w:rFonts w:ascii="Calibri" w:hAnsi="Calibri"/>
                <w:color w:val="000000"/>
              </w:rPr>
            </w:pPr>
            <w:r>
              <w:rPr>
                <w:rFonts w:ascii="Calibri" w:hAnsi="Calibri" w:cs="Calibri"/>
                <w:color w:val="000000"/>
              </w:rPr>
              <w:t>23.3%</w:t>
            </w:r>
          </w:p>
        </w:tc>
        <w:tc>
          <w:tcPr>
            <w:tcW w:w="1012" w:type="dxa"/>
            <w:shd w:val="clear" w:color="auto" w:fill="auto"/>
            <w:noWrap/>
            <w:vAlign w:val="bottom"/>
          </w:tcPr>
          <w:p w14:paraId="4E167128" w14:textId="51D52C6F" w:rsidR="00307886" w:rsidRDefault="00307886" w:rsidP="00307886">
            <w:pPr>
              <w:spacing w:after="0" w:line="240" w:lineRule="auto"/>
              <w:jc w:val="center"/>
              <w:rPr>
                <w:rFonts w:ascii="Calibri" w:hAnsi="Calibri"/>
                <w:color w:val="000000"/>
              </w:rPr>
            </w:pPr>
            <w:r>
              <w:rPr>
                <w:rFonts w:ascii="Calibri" w:hAnsi="Calibri" w:cs="Calibri"/>
                <w:color w:val="000000"/>
              </w:rPr>
              <w:t>50.0%</w:t>
            </w:r>
          </w:p>
        </w:tc>
        <w:tc>
          <w:tcPr>
            <w:tcW w:w="1012" w:type="dxa"/>
            <w:shd w:val="clear" w:color="auto" w:fill="auto"/>
            <w:noWrap/>
            <w:vAlign w:val="bottom"/>
          </w:tcPr>
          <w:p w14:paraId="4DFFF2DB" w14:textId="7A1673D0" w:rsidR="00307886" w:rsidRDefault="00307886" w:rsidP="00307886">
            <w:pPr>
              <w:spacing w:after="0" w:line="240" w:lineRule="auto"/>
              <w:jc w:val="center"/>
              <w:rPr>
                <w:rFonts w:ascii="Calibri" w:hAnsi="Calibri"/>
                <w:color w:val="000000"/>
              </w:rPr>
            </w:pPr>
            <w:r>
              <w:rPr>
                <w:rFonts w:ascii="Calibri" w:hAnsi="Calibri" w:cs="Calibri"/>
                <w:color w:val="000000"/>
              </w:rPr>
              <w:t>68.6%</w:t>
            </w:r>
          </w:p>
        </w:tc>
        <w:tc>
          <w:tcPr>
            <w:tcW w:w="1012" w:type="dxa"/>
            <w:shd w:val="clear" w:color="auto" w:fill="auto"/>
            <w:noWrap/>
            <w:vAlign w:val="bottom"/>
          </w:tcPr>
          <w:p w14:paraId="6F14A7E7" w14:textId="4A65FC6E" w:rsidR="00307886" w:rsidRDefault="00307886" w:rsidP="00307886">
            <w:pPr>
              <w:spacing w:after="0" w:line="240" w:lineRule="auto"/>
              <w:jc w:val="center"/>
              <w:rPr>
                <w:rFonts w:ascii="Calibri" w:hAnsi="Calibri"/>
                <w:color w:val="000000"/>
              </w:rPr>
            </w:pPr>
            <w:r>
              <w:rPr>
                <w:rFonts w:ascii="Calibri" w:hAnsi="Calibri" w:cs="Calibri"/>
                <w:color w:val="000000"/>
              </w:rPr>
              <w:t>81.0%</w:t>
            </w:r>
          </w:p>
        </w:tc>
        <w:tc>
          <w:tcPr>
            <w:tcW w:w="1012" w:type="dxa"/>
            <w:shd w:val="clear" w:color="auto" w:fill="auto"/>
            <w:noWrap/>
            <w:vAlign w:val="bottom"/>
          </w:tcPr>
          <w:p w14:paraId="067A3BC9" w14:textId="4591EA31" w:rsidR="00307886" w:rsidRDefault="00307886" w:rsidP="00307886">
            <w:pPr>
              <w:spacing w:after="0" w:line="240" w:lineRule="auto"/>
              <w:jc w:val="center"/>
              <w:rPr>
                <w:rFonts w:ascii="Calibri" w:hAnsi="Calibri"/>
                <w:color w:val="000000"/>
              </w:rPr>
            </w:pPr>
            <w:r>
              <w:rPr>
                <w:rFonts w:ascii="Calibri" w:hAnsi="Calibri" w:cs="Calibri"/>
                <w:color w:val="000000"/>
              </w:rPr>
              <w:t>92.0%</w:t>
            </w:r>
          </w:p>
        </w:tc>
        <w:tc>
          <w:tcPr>
            <w:tcW w:w="1012" w:type="dxa"/>
            <w:shd w:val="clear" w:color="auto" w:fill="auto"/>
            <w:noWrap/>
            <w:vAlign w:val="bottom"/>
          </w:tcPr>
          <w:p w14:paraId="1A545308" w14:textId="09D238AA" w:rsidR="00307886" w:rsidRDefault="00307886" w:rsidP="00307886">
            <w:pPr>
              <w:spacing w:after="0" w:line="240" w:lineRule="auto"/>
              <w:jc w:val="center"/>
              <w:rPr>
                <w:rFonts w:ascii="Calibri" w:hAnsi="Calibri"/>
                <w:color w:val="000000"/>
              </w:rPr>
            </w:pPr>
            <w:r>
              <w:rPr>
                <w:rFonts w:ascii="Calibri" w:hAnsi="Calibri" w:cs="Calibri"/>
                <w:color w:val="000000"/>
              </w:rPr>
              <w:t>31.0%</w:t>
            </w:r>
          </w:p>
        </w:tc>
      </w:tr>
      <w:tr w:rsidR="00DE59C3" w:rsidRPr="00311CAB" w14:paraId="51419BF2" w14:textId="77777777" w:rsidTr="00DE59C3">
        <w:trPr>
          <w:trHeight w:val="259"/>
        </w:trPr>
        <w:tc>
          <w:tcPr>
            <w:tcW w:w="1239" w:type="dxa"/>
            <w:shd w:val="clear" w:color="auto" w:fill="auto"/>
            <w:noWrap/>
            <w:vAlign w:val="center"/>
          </w:tcPr>
          <w:p w14:paraId="5B748701" w14:textId="77777777" w:rsidR="00307886" w:rsidRDefault="00307886" w:rsidP="0030788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West</w:t>
            </w:r>
          </w:p>
        </w:tc>
        <w:tc>
          <w:tcPr>
            <w:tcW w:w="941" w:type="dxa"/>
            <w:shd w:val="clear" w:color="auto" w:fill="auto"/>
            <w:noWrap/>
            <w:vAlign w:val="bottom"/>
          </w:tcPr>
          <w:p w14:paraId="206C0A88" w14:textId="60D48395" w:rsidR="00307886" w:rsidRDefault="00307886" w:rsidP="00307886">
            <w:pPr>
              <w:spacing w:after="0" w:line="240" w:lineRule="auto"/>
              <w:jc w:val="center"/>
              <w:rPr>
                <w:rFonts w:ascii="Calibri" w:hAnsi="Calibri"/>
                <w:color w:val="000000"/>
              </w:rPr>
            </w:pPr>
            <w:r>
              <w:rPr>
                <w:rFonts w:ascii="Calibri" w:hAnsi="Calibri" w:cs="Calibri"/>
                <w:color w:val="000000"/>
              </w:rPr>
              <w:t>1,807</w:t>
            </w:r>
          </w:p>
        </w:tc>
        <w:tc>
          <w:tcPr>
            <w:tcW w:w="1012" w:type="dxa"/>
            <w:vAlign w:val="bottom"/>
          </w:tcPr>
          <w:p w14:paraId="6BDCBCB9" w14:textId="53C8E350" w:rsidR="00307886" w:rsidRDefault="00307886" w:rsidP="00307886">
            <w:pPr>
              <w:spacing w:after="0" w:line="240" w:lineRule="auto"/>
              <w:jc w:val="center"/>
              <w:rPr>
                <w:rFonts w:ascii="Calibri" w:hAnsi="Calibri"/>
                <w:color w:val="000000"/>
              </w:rPr>
            </w:pPr>
            <w:r>
              <w:rPr>
                <w:rFonts w:ascii="Calibri" w:hAnsi="Calibri" w:cs="Calibri"/>
                <w:color w:val="000000"/>
              </w:rPr>
              <w:t>73.1%</w:t>
            </w:r>
          </w:p>
        </w:tc>
        <w:tc>
          <w:tcPr>
            <w:tcW w:w="1012" w:type="dxa"/>
            <w:shd w:val="clear" w:color="auto" w:fill="auto"/>
            <w:noWrap/>
            <w:vAlign w:val="bottom"/>
          </w:tcPr>
          <w:p w14:paraId="0E4103B0" w14:textId="5CC55B63" w:rsidR="00307886" w:rsidRDefault="00307886" w:rsidP="00307886">
            <w:pPr>
              <w:spacing w:after="0" w:line="240" w:lineRule="auto"/>
              <w:jc w:val="center"/>
              <w:rPr>
                <w:rFonts w:ascii="Calibri" w:hAnsi="Calibri"/>
                <w:color w:val="000000"/>
              </w:rPr>
            </w:pPr>
            <w:r>
              <w:rPr>
                <w:rFonts w:ascii="Calibri" w:hAnsi="Calibri" w:cs="Calibri"/>
                <w:color w:val="000000"/>
              </w:rPr>
              <w:t>50.0%</w:t>
            </w:r>
          </w:p>
        </w:tc>
        <w:tc>
          <w:tcPr>
            <w:tcW w:w="1012" w:type="dxa"/>
            <w:shd w:val="clear" w:color="auto" w:fill="auto"/>
            <w:noWrap/>
            <w:vAlign w:val="bottom"/>
          </w:tcPr>
          <w:p w14:paraId="6F3741CA" w14:textId="1A4FD150" w:rsidR="00307886" w:rsidRDefault="00307886" w:rsidP="00307886">
            <w:pPr>
              <w:spacing w:after="0" w:line="240" w:lineRule="auto"/>
              <w:jc w:val="center"/>
              <w:rPr>
                <w:rFonts w:ascii="Calibri" w:hAnsi="Calibri"/>
                <w:color w:val="000000"/>
              </w:rPr>
            </w:pPr>
            <w:r>
              <w:rPr>
                <w:rFonts w:ascii="Calibri" w:hAnsi="Calibri" w:cs="Calibri"/>
                <w:color w:val="000000"/>
              </w:rPr>
              <w:t>63.0%</w:t>
            </w:r>
          </w:p>
        </w:tc>
        <w:tc>
          <w:tcPr>
            <w:tcW w:w="1012" w:type="dxa"/>
            <w:shd w:val="clear" w:color="auto" w:fill="auto"/>
            <w:noWrap/>
            <w:vAlign w:val="bottom"/>
          </w:tcPr>
          <w:p w14:paraId="35E3CDD5" w14:textId="031DB691" w:rsidR="00307886" w:rsidRDefault="00307886" w:rsidP="00307886">
            <w:pPr>
              <w:spacing w:after="0" w:line="240" w:lineRule="auto"/>
              <w:jc w:val="center"/>
              <w:rPr>
                <w:rFonts w:ascii="Calibri" w:hAnsi="Calibri"/>
                <w:color w:val="000000"/>
              </w:rPr>
            </w:pPr>
            <w:r>
              <w:rPr>
                <w:rFonts w:ascii="Calibri" w:hAnsi="Calibri" w:cs="Calibri"/>
                <w:color w:val="000000"/>
              </w:rPr>
              <w:t>74.4%</w:t>
            </w:r>
          </w:p>
        </w:tc>
        <w:tc>
          <w:tcPr>
            <w:tcW w:w="1012" w:type="dxa"/>
            <w:shd w:val="clear" w:color="auto" w:fill="auto"/>
            <w:noWrap/>
            <w:vAlign w:val="bottom"/>
          </w:tcPr>
          <w:p w14:paraId="7F5C29FC" w14:textId="25F19D9D" w:rsidR="00307886" w:rsidRDefault="00307886" w:rsidP="00307886">
            <w:pPr>
              <w:spacing w:after="0" w:line="240" w:lineRule="auto"/>
              <w:jc w:val="center"/>
              <w:rPr>
                <w:rFonts w:ascii="Calibri" w:hAnsi="Calibri"/>
                <w:color w:val="000000"/>
              </w:rPr>
            </w:pPr>
            <w:r>
              <w:rPr>
                <w:rFonts w:ascii="Calibri" w:hAnsi="Calibri" w:cs="Calibri"/>
                <w:color w:val="000000"/>
              </w:rPr>
              <w:t>86.7%</w:t>
            </w:r>
          </w:p>
        </w:tc>
        <w:tc>
          <w:tcPr>
            <w:tcW w:w="1012" w:type="dxa"/>
            <w:shd w:val="clear" w:color="auto" w:fill="auto"/>
            <w:noWrap/>
            <w:vAlign w:val="bottom"/>
          </w:tcPr>
          <w:p w14:paraId="0DC39EF0" w14:textId="413847B6" w:rsidR="00307886" w:rsidRDefault="00307886" w:rsidP="00307886">
            <w:pPr>
              <w:spacing w:after="0" w:line="240" w:lineRule="auto"/>
              <w:jc w:val="center"/>
              <w:rPr>
                <w:rFonts w:ascii="Calibri" w:hAnsi="Calibri"/>
                <w:color w:val="000000"/>
              </w:rPr>
            </w:pPr>
            <w:r>
              <w:rPr>
                <w:rFonts w:ascii="Calibri" w:hAnsi="Calibri" w:cs="Calibri"/>
                <w:color w:val="000000"/>
              </w:rPr>
              <w:t>96.0%</w:t>
            </w:r>
          </w:p>
        </w:tc>
        <w:tc>
          <w:tcPr>
            <w:tcW w:w="1012" w:type="dxa"/>
            <w:shd w:val="clear" w:color="auto" w:fill="auto"/>
            <w:noWrap/>
            <w:vAlign w:val="bottom"/>
          </w:tcPr>
          <w:p w14:paraId="24B5105E" w14:textId="2723DA06" w:rsidR="00307886" w:rsidRDefault="00307886" w:rsidP="00307886">
            <w:pPr>
              <w:spacing w:after="0" w:line="240" w:lineRule="auto"/>
              <w:jc w:val="center"/>
              <w:rPr>
                <w:rFonts w:ascii="Calibri" w:hAnsi="Calibri"/>
                <w:color w:val="000000"/>
              </w:rPr>
            </w:pPr>
            <w:r>
              <w:rPr>
                <w:rFonts w:ascii="Calibri" w:hAnsi="Calibri" w:cs="Calibri"/>
                <w:color w:val="000000"/>
              </w:rPr>
              <w:t>23.6%</w:t>
            </w:r>
          </w:p>
        </w:tc>
      </w:tr>
    </w:tbl>
    <w:p w14:paraId="5D087CC9" w14:textId="6532EE34" w:rsidR="000A2F48" w:rsidRDefault="004715B5" w:rsidP="004715B5">
      <w:pPr>
        <w:spacing w:after="0" w:line="240" w:lineRule="auto"/>
      </w:pPr>
      <w:r>
        <w:t>*Note that “All” includes all HHAs in the 50 states and U.S. territories. The census regions only include U.S. States (thus, the number of HHAs in each census region does not all up to “All”).</w:t>
      </w:r>
    </w:p>
    <w:p w14:paraId="722AD183" w14:textId="77777777" w:rsidR="004715B5" w:rsidRDefault="004715B5" w:rsidP="004715B5">
      <w:pPr>
        <w:spacing w:after="0" w:line="240" w:lineRule="auto"/>
      </w:pPr>
    </w:p>
    <w:p w14:paraId="29A81E1C" w14:textId="28EE8EE4" w:rsidR="000A2F48" w:rsidRDefault="000A2F48" w:rsidP="000A2F48">
      <w:r>
        <w:t xml:space="preserve">This figure and table below shows the measure value by </w:t>
      </w:r>
      <w:r w:rsidR="004715B5">
        <w:t xml:space="preserve">“altered” </w:t>
      </w:r>
      <w:r>
        <w:t xml:space="preserve">QoPC Star Rating. The figure shows that the </w:t>
      </w:r>
      <w:r w:rsidRPr="00752FAE">
        <w:rPr>
          <w:i/>
        </w:rPr>
        <w:t xml:space="preserve">Improvement in </w:t>
      </w:r>
      <w:r w:rsidR="00307886">
        <w:rPr>
          <w:i/>
        </w:rPr>
        <w:t>Pain Interfering with Activity</w:t>
      </w:r>
      <w:r>
        <w:t xml:space="preserve"> measure steadily increases with a higher rating. The table below the figure shows the same information in table format. It includes the count of the number of HHAs with each rating as well as the statistical significance of a t-test between with sequential pairing. For example a t-test of the difference between the measure value for HHAs with 1.0 stars versus HHAs with 1.5 stars showed that the difference was different from zero with a p-value of 0.006 (i.e., statistically significant at the 5 percent level). All sequential pairwise differences were statistically significantly different from zero.</w:t>
      </w:r>
    </w:p>
    <w:p w14:paraId="4D282EC7" w14:textId="77777777" w:rsidR="00ED2A30" w:rsidRDefault="00ED2A30" w:rsidP="000A2F48"/>
    <w:p w14:paraId="199770BF" w14:textId="77777777" w:rsidR="00ED2A30" w:rsidRDefault="00ED2A30" w:rsidP="000A2F48"/>
    <w:p w14:paraId="61CD0ACE" w14:textId="77777777" w:rsidR="00ED2A30" w:rsidRDefault="00ED2A30" w:rsidP="000A2F48"/>
    <w:p w14:paraId="12245C40" w14:textId="77777777" w:rsidR="00ED2A30" w:rsidRDefault="00ED2A30" w:rsidP="000A2F48">
      <w:bookmarkStart w:id="14" w:name="_GoBack"/>
      <w:bookmarkEnd w:id="14"/>
    </w:p>
    <w:p w14:paraId="7B2D2F57" w14:textId="3B81870C" w:rsidR="004715B5" w:rsidRDefault="004715B5" w:rsidP="000A2F48">
      <w:r>
        <w:rPr>
          <w:b/>
        </w:rPr>
        <w:lastRenderedPageBreak/>
        <w:t>Measure Performance by “Altered” Quality of Patient Care Star Rating*</w:t>
      </w:r>
    </w:p>
    <w:p w14:paraId="3197F203" w14:textId="51206CF2" w:rsidR="000A2F48" w:rsidRDefault="00307886" w:rsidP="000A2F48">
      <w:r>
        <w:rPr>
          <w:noProof/>
        </w:rPr>
        <w:drawing>
          <wp:inline distT="0" distB="0" distL="0" distR="0" wp14:anchorId="0E3EF89D" wp14:editId="0B9C66B5">
            <wp:extent cx="4572000" cy="27432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bl>
      <w:tblPr>
        <w:tblW w:w="5465" w:type="dxa"/>
        <w:tblInd w:w="93" w:type="dxa"/>
        <w:tblLook w:val="04A0" w:firstRow="1" w:lastRow="0" w:firstColumn="1" w:lastColumn="0" w:noHBand="0" w:noVBand="1"/>
      </w:tblPr>
      <w:tblGrid>
        <w:gridCol w:w="1725"/>
        <w:gridCol w:w="1024"/>
        <w:gridCol w:w="1676"/>
        <w:gridCol w:w="1040"/>
      </w:tblGrid>
      <w:tr w:rsidR="000A2F48" w:rsidRPr="004B1595" w14:paraId="1DCB35C9" w14:textId="77777777" w:rsidTr="004715B5">
        <w:trPr>
          <w:trHeight w:val="271"/>
        </w:trPr>
        <w:tc>
          <w:tcPr>
            <w:tcW w:w="17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2C2EC3" w14:textId="7326B64A" w:rsidR="000A2F48" w:rsidRPr="004B1595" w:rsidRDefault="004715B5" w:rsidP="00693DF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 xml:space="preserve">Altered </w:t>
            </w:r>
            <w:r w:rsidR="000A2F48">
              <w:rPr>
                <w:rFonts w:ascii="Calibri" w:eastAsia="Times New Roman" w:hAnsi="Calibri" w:cs="Times New Roman"/>
                <w:color w:val="000000"/>
              </w:rPr>
              <w:t>QoPC Star Rating</w:t>
            </w:r>
          </w:p>
        </w:tc>
        <w:tc>
          <w:tcPr>
            <w:tcW w:w="1024" w:type="dxa"/>
            <w:tcBorders>
              <w:top w:val="single" w:sz="4" w:space="0" w:color="auto"/>
              <w:left w:val="nil"/>
              <w:bottom w:val="single" w:sz="4" w:space="0" w:color="auto"/>
              <w:right w:val="single" w:sz="4" w:space="0" w:color="auto"/>
            </w:tcBorders>
            <w:shd w:val="clear" w:color="auto" w:fill="auto"/>
            <w:noWrap/>
            <w:vAlign w:val="bottom"/>
            <w:hideMark/>
          </w:tcPr>
          <w:p w14:paraId="130AC83B" w14:textId="77777777" w:rsidR="000A2F48" w:rsidRPr="004B1595" w:rsidRDefault="000A2F48" w:rsidP="00693DF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HHA Count</w:t>
            </w:r>
          </w:p>
        </w:tc>
        <w:tc>
          <w:tcPr>
            <w:tcW w:w="1676" w:type="dxa"/>
            <w:tcBorders>
              <w:top w:val="single" w:sz="4" w:space="0" w:color="auto"/>
              <w:left w:val="nil"/>
              <w:bottom w:val="single" w:sz="4" w:space="0" w:color="auto"/>
              <w:right w:val="single" w:sz="4" w:space="0" w:color="auto"/>
            </w:tcBorders>
            <w:shd w:val="clear" w:color="auto" w:fill="auto"/>
            <w:noWrap/>
            <w:vAlign w:val="bottom"/>
            <w:hideMark/>
          </w:tcPr>
          <w:p w14:paraId="1FB04DA9" w14:textId="77777777" w:rsidR="000A2F48" w:rsidRPr="004B1595" w:rsidRDefault="000A2F48" w:rsidP="00693DF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Risk Adjusted Measure Value</w:t>
            </w:r>
          </w:p>
        </w:tc>
        <w:tc>
          <w:tcPr>
            <w:tcW w:w="1040" w:type="dxa"/>
            <w:tcBorders>
              <w:top w:val="single" w:sz="4" w:space="0" w:color="auto"/>
              <w:left w:val="nil"/>
              <w:bottom w:val="single" w:sz="4" w:space="0" w:color="auto"/>
              <w:right w:val="single" w:sz="4" w:space="0" w:color="auto"/>
            </w:tcBorders>
            <w:shd w:val="clear" w:color="auto" w:fill="auto"/>
            <w:noWrap/>
            <w:vAlign w:val="bottom"/>
            <w:hideMark/>
          </w:tcPr>
          <w:p w14:paraId="49A01826" w14:textId="77777777" w:rsidR="000A2F48" w:rsidRPr="004B1595" w:rsidRDefault="000A2F48" w:rsidP="00693DFB">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Pairwise p-value</w:t>
            </w:r>
          </w:p>
        </w:tc>
      </w:tr>
      <w:tr w:rsidR="00307886" w:rsidRPr="004B1595" w14:paraId="45766711"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17DB1A8B"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1.0</w:t>
            </w:r>
          </w:p>
        </w:tc>
        <w:tc>
          <w:tcPr>
            <w:tcW w:w="1024" w:type="dxa"/>
            <w:tcBorders>
              <w:top w:val="nil"/>
              <w:left w:val="nil"/>
              <w:bottom w:val="single" w:sz="4" w:space="0" w:color="auto"/>
              <w:right w:val="single" w:sz="4" w:space="0" w:color="auto"/>
            </w:tcBorders>
            <w:shd w:val="clear" w:color="auto" w:fill="auto"/>
            <w:noWrap/>
            <w:hideMark/>
          </w:tcPr>
          <w:p w14:paraId="4B95F4A7" w14:textId="64006C8F" w:rsidR="00307886" w:rsidRPr="00293E49" w:rsidRDefault="00307886" w:rsidP="00307886">
            <w:pPr>
              <w:spacing w:after="0" w:line="240" w:lineRule="auto"/>
              <w:jc w:val="center"/>
            </w:pPr>
            <w:r>
              <w:rPr>
                <w:rFonts w:ascii="Calibri" w:hAnsi="Calibri" w:cs="Calibri"/>
                <w:color w:val="000000"/>
              </w:rPr>
              <w:t>28</w:t>
            </w:r>
          </w:p>
        </w:tc>
        <w:tc>
          <w:tcPr>
            <w:tcW w:w="1676" w:type="dxa"/>
            <w:tcBorders>
              <w:top w:val="nil"/>
              <w:left w:val="nil"/>
              <w:bottom w:val="single" w:sz="4" w:space="0" w:color="auto"/>
              <w:right w:val="single" w:sz="4" w:space="0" w:color="auto"/>
            </w:tcBorders>
            <w:shd w:val="clear" w:color="auto" w:fill="auto"/>
            <w:noWrap/>
            <w:hideMark/>
          </w:tcPr>
          <w:p w14:paraId="52D7804F" w14:textId="7F519252" w:rsidR="00307886" w:rsidRPr="00F7515D" w:rsidRDefault="00307886" w:rsidP="00307886">
            <w:pPr>
              <w:spacing w:after="0" w:line="240" w:lineRule="auto"/>
              <w:jc w:val="center"/>
            </w:pPr>
            <w:r>
              <w:rPr>
                <w:rFonts w:ascii="Calibri" w:hAnsi="Calibri" w:cs="Calibri"/>
                <w:color w:val="000000"/>
              </w:rPr>
              <w:t>33.1%</w:t>
            </w:r>
          </w:p>
        </w:tc>
        <w:tc>
          <w:tcPr>
            <w:tcW w:w="1040" w:type="dxa"/>
            <w:tcBorders>
              <w:top w:val="nil"/>
              <w:left w:val="nil"/>
              <w:bottom w:val="single" w:sz="4" w:space="0" w:color="auto"/>
              <w:right w:val="single" w:sz="4" w:space="0" w:color="auto"/>
            </w:tcBorders>
            <w:shd w:val="clear" w:color="auto" w:fill="auto"/>
            <w:noWrap/>
            <w:vAlign w:val="bottom"/>
            <w:hideMark/>
          </w:tcPr>
          <w:p w14:paraId="30624824"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w:t>
            </w:r>
          </w:p>
        </w:tc>
      </w:tr>
      <w:tr w:rsidR="00307886" w:rsidRPr="004B1595" w14:paraId="4F145660"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6A5CD6C8"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1.5</w:t>
            </w:r>
          </w:p>
        </w:tc>
        <w:tc>
          <w:tcPr>
            <w:tcW w:w="1024" w:type="dxa"/>
            <w:tcBorders>
              <w:top w:val="nil"/>
              <w:left w:val="nil"/>
              <w:bottom w:val="single" w:sz="4" w:space="0" w:color="auto"/>
              <w:right w:val="single" w:sz="4" w:space="0" w:color="auto"/>
            </w:tcBorders>
            <w:shd w:val="clear" w:color="auto" w:fill="auto"/>
            <w:noWrap/>
            <w:hideMark/>
          </w:tcPr>
          <w:p w14:paraId="06A8AE2C" w14:textId="776754F6" w:rsidR="00307886" w:rsidRPr="00293E49" w:rsidRDefault="00307886" w:rsidP="00307886">
            <w:pPr>
              <w:spacing w:after="0" w:line="240" w:lineRule="auto"/>
              <w:jc w:val="center"/>
            </w:pPr>
            <w:r>
              <w:rPr>
                <w:rFonts w:ascii="Calibri" w:hAnsi="Calibri" w:cs="Calibri"/>
                <w:color w:val="000000"/>
              </w:rPr>
              <w:t>255</w:t>
            </w:r>
          </w:p>
        </w:tc>
        <w:tc>
          <w:tcPr>
            <w:tcW w:w="1676" w:type="dxa"/>
            <w:tcBorders>
              <w:top w:val="nil"/>
              <w:left w:val="nil"/>
              <w:bottom w:val="single" w:sz="4" w:space="0" w:color="auto"/>
              <w:right w:val="single" w:sz="4" w:space="0" w:color="auto"/>
            </w:tcBorders>
            <w:shd w:val="clear" w:color="auto" w:fill="auto"/>
            <w:noWrap/>
            <w:hideMark/>
          </w:tcPr>
          <w:p w14:paraId="102E7699" w14:textId="52336743" w:rsidR="00307886" w:rsidRPr="00F7515D" w:rsidRDefault="00307886" w:rsidP="00307886">
            <w:pPr>
              <w:spacing w:after="0" w:line="240" w:lineRule="auto"/>
              <w:jc w:val="center"/>
            </w:pPr>
            <w:r>
              <w:rPr>
                <w:rFonts w:ascii="Calibri" w:hAnsi="Calibri" w:cs="Calibri"/>
                <w:color w:val="000000"/>
              </w:rPr>
              <w:t>42.9%</w:t>
            </w:r>
          </w:p>
        </w:tc>
        <w:tc>
          <w:tcPr>
            <w:tcW w:w="1040" w:type="dxa"/>
            <w:tcBorders>
              <w:top w:val="nil"/>
              <w:left w:val="nil"/>
              <w:bottom w:val="single" w:sz="4" w:space="0" w:color="auto"/>
              <w:right w:val="single" w:sz="4" w:space="0" w:color="auto"/>
            </w:tcBorders>
            <w:shd w:val="clear" w:color="auto" w:fill="auto"/>
            <w:noWrap/>
            <w:hideMark/>
          </w:tcPr>
          <w:p w14:paraId="6188904A" w14:textId="77777777" w:rsidR="00307886" w:rsidRPr="00B633FA" w:rsidRDefault="00307886" w:rsidP="00307886">
            <w:pPr>
              <w:spacing w:after="0" w:line="240" w:lineRule="auto"/>
              <w:jc w:val="center"/>
            </w:pPr>
            <w:r w:rsidRPr="00B633FA">
              <w:t>0.006</w:t>
            </w:r>
          </w:p>
        </w:tc>
      </w:tr>
      <w:tr w:rsidR="00307886" w:rsidRPr="004B1595" w14:paraId="24D3443D"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5A428581"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2.0</w:t>
            </w:r>
          </w:p>
        </w:tc>
        <w:tc>
          <w:tcPr>
            <w:tcW w:w="1024" w:type="dxa"/>
            <w:tcBorders>
              <w:top w:val="nil"/>
              <w:left w:val="nil"/>
              <w:bottom w:val="single" w:sz="4" w:space="0" w:color="auto"/>
              <w:right w:val="single" w:sz="4" w:space="0" w:color="auto"/>
            </w:tcBorders>
            <w:shd w:val="clear" w:color="auto" w:fill="auto"/>
            <w:noWrap/>
            <w:hideMark/>
          </w:tcPr>
          <w:p w14:paraId="45087D88" w14:textId="190D65F6" w:rsidR="00307886" w:rsidRPr="00293E49" w:rsidRDefault="00307886" w:rsidP="00307886">
            <w:pPr>
              <w:spacing w:after="0" w:line="240" w:lineRule="auto"/>
              <w:jc w:val="center"/>
            </w:pPr>
            <w:r>
              <w:rPr>
                <w:rFonts w:ascii="Calibri" w:hAnsi="Calibri" w:cs="Calibri"/>
                <w:color w:val="000000"/>
              </w:rPr>
              <w:t>841</w:t>
            </w:r>
          </w:p>
        </w:tc>
        <w:tc>
          <w:tcPr>
            <w:tcW w:w="1676" w:type="dxa"/>
            <w:tcBorders>
              <w:top w:val="nil"/>
              <w:left w:val="nil"/>
              <w:bottom w:val="single" w:sz="4" w:space="0" w:color="auto"/>
              <w:right w:val="single" w:sz="4" w:space="0" w:color="auto"/>
            </w:tcBorders>
            <w:shd w:val="clear" w:color="auto" w:fill="auto"/>
            <w:noWrap/>
            <w:hideMark/>
          </w:tcPr>
          <w:p w14:paraId="71C491CF" w14:textId="320D4212" w:rsidR="00307886" w:rsidRPr="00F7515D" w:rsidRDefault="00307886" w:rsidP="00307886">
            <w:pPr>
              <w:spacing w:after="0" w:line="240" w:lineRule="auto"/>
              <w:jc w:val="center"/>
            </w:pPr>
            <w:r>
              <w:rPr>
                <w:rFonts w:ascii="Calibri" w:hAnsi="Calibri" w:cs="Calibri"/>
                <w:color w:val="000000"/>
              </w:rPr>
              <w:t>52.2%</w:t>
            </w:r>
          </w:p>
        </w:tc>
        <w:tc>
          <w:tcPr>
            <w:tcW w:w="1040" w:type="dxa"/>
            <w:tcBorders>
              <w:top w:val="nil"/>
              <w:left w:val="nil"/>
              <w:bottom w:val="single" w:sz="4" w:space="0" w:color="auto"/>
              <w:right w:val="single" w:sz="4" w:space="0" w:color="auto"/>
            </w:tcBorders>
            <w:shd w:val="clear" w:color="auto" w:fill="auto"/>
            <w:noWrap/>
            <w:hideMark/>
          </w:tcPr>
          <w:p w14:paraId="1D1AB660" w14:textId="77777777" w:rsidR="00307886" w:rsidRPr="00B633FA" w:rsidRDefault="00307886" w:rsidP="00307886">
            <w:pPr>
              <w:spacing w:after="0" w:line="240" w:lineRule="auto"/>
              <w:jc w:val="center"/>
            </w:pPr>
            <w:r w:rsidRPr="00B633FA">
              <w:t>0.000</w:t>
            </w:r>
          </w:p>
        </w:tc>
      </w:tr>
      <w:tr w:rsidR="00307886" w:rsidRPr="004B1595" w14:paraId="7330EC7D"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57ED96F3"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2.5</w:t>
            </w:r>
          </w:p>
        </w:tc>
        <w:tc>
          <w:tcPr>
            <w:tcW w:w="1024" w:type="dxa"/>
            <w:tcBorders>
              <w:top w:val="nil"/>
              <w:left w:val="nil"/>
              <w:bottom w:val="single" w:sz="4" w:space="0" w:color="auto"/>
              <w:right w:val="single" w:sz="4" w:space="0" w:color="auto"/>
            </w:tcBorders>
            <w:shd w:val="clear" w:color="auto" w:fill="auto"/>
            <w:noWrap/>
            <w:hideMark/>
          </w:tcPr>
          <w:p w14:paraId="50C4CA5C" w14:textId="41AC6CC1" w:rsidR="00307886" w:rsidRPr="00293E49" w:rsidRDefault="00307886" w:rsidP="00307886">
            <w:pPr>
              <w:spacing w:after="0" w:line="240" w:lineRule="auto"/>
              <w:jc w:val="center"/>
            </w:pPr>
            <w:r>
              <w:rPr>
                <w:rFonts w:ascii="Calibri" w:hAnsi="Calibri" w:cs="Calibri"/>
                <w:color w:val="000000"/>
              </w:rPr>
              <w:t>1,335</w:t>
            </w:r>
          </w:p>
        </w:tc>
        <w:tc>
          <w:tcPr>
            <w:tcW w:w="1676" w:type="dxa"/>
            <w:tcBorders>
              <w:top w:val="nil"/>
              <w:left w:val="nil"/>
              <w:bottom w:val="single" w:sz="4" w:space="0" w:color="auto"/>
              <w:right w:val="single" w:sz="4" w:space="0" w:color="auto"/>
            </w:tcBorders>
            <w:shd w:val="clear" w:color="auto" w:fill="auto"/>
            <w:noWrap/>
            <w:hideMark/>
          </w:tcPr>
          <w:p w14:paraId="2893FC59" w14:textId="0ED4F525" w:rsidR="00307886" w:rsidRPr="00F7515D" w:rsidRDefault="00307886" w:rsidP="00307886">
            <w:pPr>
              <w:spacing w:after="0" w:line="240" w:lineRule="auto"/>
              <w:jc w:val="center"/>
            </w:pPr>
            <w:r>
              <w:rPr>
                <w:rFonts w:ascii="Calibri" w:hAnsi="Calibri" w:cs="Calibri"/>
                <w:color w:val="000000"/>
              </w:rPr>
              <w:t>63.0%</w:t>
            </w:r>
          </w:p>
        </w:tc>
        <w:tc>
          <w:tcPr>
            <w:tcW w:w="1040" w:type="dxa"/>
            <w:tcBorders>
              <w:top w:val="nil"/>
              <w:left w:val="nil"/>
              <w:bottom w:val="single" w:sz="4" w:space="0" w:color="auto"/>
              <w:right w:val="single" w:sz="4" w:space="0" w:color="auto"/>
            </w:tcBorders>
            <w:shd w:val="clear" w:color="auto" w:fill="auto"/>
            <w:noWrap/>
            <w:hideMark/>
          </w:tcPr>
          <w:p w14:paraId="50449C67" w14:textId="77777777" w:rsidR="00307886" w:rsidRPr="00B633FA" w:rsidRDefault="00307886" w:rsidP="00307886">
            <w:pPr>
              <w:spacing w:after="0" w:line="240" w:lineRule="auto"/>
              <w:jc w:val="center"/>
            </w:pPr>
            <w:r w:rsidRPr="00B633FA">
              <w:t>0.000</w:t>
            </w:r>
          </w:p>
        </w:tc>
      </w:tr>
      <w:tr w:rsidR="00307886" w:rsidRPr="004B1595" w14:paraId="57373741"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36ED65C8"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3.0</w:t>
            </w:r>
          </w:p>
        </w:tc>
        <w:tc>
          <w:tcPr>
            <w:tcW w:w="1024" w:type="dxa"/>
            <w:tcBorders>
              <w:top w:val="nil"/>
              <w:left w:val="nil"/>
              <w:bottom w:val="single" w:sz="4" w:space="0" w:color="auto"/>
              <w:right w:val="single" w:sz="4" w:space="0" w:color="auto"/>
            </w:tcBorders>
            <w:shd w:val="clear" w:color="auto" w:fill="auto"/>
            <w:noWrap/>
            <w:hideMark/>
          </w:tcPr>
          <w:p w14:paraId="4C667290" w14:textId="1ACD356E" w:rsidR="00307886" w:rsidRPr="00293E49" w:rsidRDefault="00307886" w:rsidP="00307886">
            <w:pPr>
              <w:spacing w:after="0" w:line="240" w:lineRule="auto"/>
              <w:jc w:val="center"/>
            </w:pPr>
            <w:r>
              <w:rPr>
                <w:rFonts w:ascii="Calibri" w:hAnsi="Calibri" w:cs="Calibri"/>
                <w:color w:val="000000"/>
              </w:rPr>
              <w:t>1,733</w:t>
            </w:r>
          </w:p>
        </w:tc>
        <w:tc>
          <w:tcPr>
            <w:tcW w:w="1676" w:type="dxa"/>
            <w:tcBorders>
              <w:top w:val="nil"/>
              <w:left w:val="nil"/>
              <w:bottom w:val="single" w:sz="4" w:space="0" w:color="auto"/>
              <w:right w:val="single" w:sz="4" w:space="0" w:color="auto"/>
            </w:tcBorders>
            <w:shd w:val="clear" w:color="auto" w:fill="auto"/>
            <w:noWrap/>
            <w:hideMark/>
          </w:tcPr>
          <w:p w14:paraId="1145CE0A" w14:textId="4D877E26" w:rsidR="00307886" w:rsidRPr="00F7515D" w:rsidRDefault="00307886" w:rsidP="00307886">
            <w:pPr>
              <w:spacing w:after="0" w:line="240" w:lineRule="auto"/>
              <w:jc w:val="center"/>
            </w:pPr>
            <w:r>
              <w:rPr>
                <w:rFonts w:ascii="Calibri" w:hAnsi="Calibri" w:cs="Calibri"/>
                <w:color w:val="000000"/>
              </w:rPr>
              <w:t>69.5%</w:t>
            </w:r>
          </w:p>
        </w:tc>
        <w:tc>
          <w:tcPr>
            <w:tcW w:w="1040" w:type="dxa"/>
            <w:tcBorders>
              <w:top w:val="nil"/>
              <w:left w:val="nil"/>
              <w:bottom w:val="single" w:sz="4" w:space="0" w:color="auto"/>
              <w:right w:val="single" w:sz="4" w:space="0" w:color="auto"/>
            </w:tcBorders>
            <w:shd w:val="clear" w:color="auto" w:fill="auto"/>
            <w:noWrap/>
            <w:hideMark/>
          </w:tcPr>
          <w:p w14:paraId="3DFE134D" w14:textId="77777777" w:rsidR="00307886" w:rsidRPr="00B633FA" w:rsidRDefault="00307886" w:rsidP="00307886">
            <w:pPr>
              <w:spacing w:after="0" w:line="240" w:lineRule="auto"/>
              <w:jc w:val="center"/>
            </w:pPr>
            <w:r w:rsidRPr="00B633FA">
              <w:t>0.000</w:t>
            </w:r>
          </w:p>
        </w:tc>
      </w:tr>
      <w:tr w:rsidR="00307886" w:rsidRPr="004B1595" w14:paraId="0F9AC0FD"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7C4FA0FC"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3.5</w:t>
            </w:r>
          </w:p>
        </w:tc>
        <w:tc>
          <w:tcPr>
            <w:tcW w:w="1024" w:type="dxa"/>
            <w:tcBorders>
              <w:top w:val="nil"/>
              <w:left w:val="nil"/>
              <w:bottom w:val="single" w:sz="4" w:space="0" w:color="auto"/>
              <w:right w:val="single" w:sz="4" w:space="0" w:color="auto"/>
            </w:tcBorders>
            <w:shd w:val="clear" w:color="auto" w:fill="auto"/>
            <w:noWrap/>
            <w:hideMark/>
          </w:tcPr>
          <w:p w14:paraId="15DFE4BA" w14:textId="61FF52B1" w:rsidR="00307886" w:rsidRPr="00293E49" w:rsidRDefault="00307886" w:rsidP="00307886">
            <w:pPr>
              <w:spacing w:after="0" w:line="240" w:lineRule="auto"/>
              <w:jc w:val="center"/>
            </w:pPr>
            <w:r>
              <w:rPr>
                <w:rFonts w:ascii="Calibri" w:hAnsi="Calibri" w:cs="Calibri"/>
                <w:color w:val="000000"/>
              </w:rPr>
              <w:t>1,835</w:t>
            </w:r>
          </w:p>
        </w:tc>
        <w:tc>
          <w:tcPr>
            <w:tcW w:w="1676" w:type="dxa"/>
            <w:tcBorders>
              <w:top w:val="nil"/>
              <w:left w:val="nil"/>
              <w:bottom w:val="single" w:sz="4" w:space="0" w:color="auto"/>
              <w:right w:val="single" w:sz="4" w:space="0" w:color="auto"/>
            </w:tcBorders>
            <w:shd w:val="clear" w:color="auto" w:fill="auto"/>
            <w:noWrap/>
            <w:hideMark/>
          </w:tcPr>
          <w:p w14:paraId="49566CBE" w14:textId="1B1436CE" w:rsidR="00307886" w:rsidRPr="00F7515D" w:rsidRDefault="00307886" w:rsidP="00307886">
            <w:pPr>
              <w:spacing w:after="0" w:line="240" w:lineRule="auto"/>
              <w:jc w:val="center"/>
            </w:pPr>
            <w:r>
              <w:rPr>
                <w:rFonts w:ascii="Calibri" w:hAnsi="Calibri" w:cs="Calibri"/>
                <w:color w:val="000000"/>
              </w:rPr>
              <w:t>74.5%</w:t>
            </w:r>
          </w:p>
        </w:tc>
        <w:tc>
          <w:tcPr>
            <w:tcW w:w="1040" w:type="dxa"/>
            <w:tcBorders>
              <w:top w:val="nil"/>
              <w:left w:val="nil"/>
              <w:bottom w:val="single" w:sz="4" w:space="0" w:color="auto"/>
              <w:right w:val="single" w:sz="4" w:space="0" w:color="auto"/>
            </w:tcBorders>
            <w:shd w:val="clear" w:color="auto" w:fill="auto"/>
            <w:noWrap/>
            <w:hideMark/>
          </w:tcPr>
          <w:p w14:paraId="13967F35" w14:textId="77777777" w:rsidR="00307886" w:rsidRPr="00B633FA" w:rsidRDefault="00307886" w:rsidP="00307886">
            <w:pPr>
              <w:spacing w:after="0" w:line="240" w:lineRule="auto"/>
              <w:jc w:val="center"/>
            </w:pPr>
            <w:r w:rsidRPr="00B633FA">
              <w:t>0.000</w:t>
            </w:r>
          </w:p>
        </w:tc>
      </w:tr>
      <w:tr w:rsidR="00307886" w:rsidRPr="004B1595" w14:paraId="427AAB8C"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3EEA6E3F"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4.0</w:t>
            </w:r>
          </w:p>
        </w:tc>
        <w:tc>
          <w:tcPr>
            <w:tcW w:w="1024" w:type="dxa"/>
            <w:tcBorders>
              <w:top w:val="nil"/>
              <w:left w:val="nil"/>
              <w:bottom w:val="single" w:sz="4" w:space="0" w:color="auto"/>
              <w:right w:val="single" w:sz="4" w:space="0" w:color="auto"/>
            </w:tcBorders>
            <w:shd w:val="clear" w:color="auto" w:fill="auto"/>
            <w:noWrap/>
            <w:hideMark/>
          </w:tcPr>
          <w:p w14:paraId="4294338A" w14:textId="718742E4" w:rsidR="00307886" w:rsidRPr="00293E49" w:rsidRDefault="00307886" w:rsidP="00307886">
            <w:pPr>
              <w:spacing w:after="0" w:line="240" w:lineRule="auto"/>
              <w:jc w:val="center"/>
            </w:pPr>
            <w:r>
              <w:rPr>
                <w:rFonts w:ascii="Calibri" w:hAnsi="Calibri" w:cs="Calibri"/>
                <w:color w:val="000000"/>
              </w:rPr>
              <w:t>1,543</w:t>
            </w:r>
          </w:p>
        </w:tc>
        <w:tc>
          <w:tcPr>
            <w:tcW w:w="1676" w:type="dxa"/>
            <w:tcBorders>
              <w:top w:val="nil"/>
              <w:left w:val="nil"/>
              <w:bottom w:val="single" w:sz="4" w:space="0" w:color="auto"/>
              <w:right w:val="single" w:sz="4" w:space="0" w:color="auto"/>
            </w:tcBorders>
            <w:shd w:val="clear" w:color="auto" w:fill="auto"/>
            <w:noWrap/>
            <w:hideMark/>
          </w:tcPr>
          <w:p w14:paraId="4A8A0801" w14:textId="6D1E1EA9" w:rsidR="00307886" w:rsidRPr="00F7515D" w:rsidRDefault="00307886" w:rsidP="00307886">
            <w:pPr>
              <w:spacing w:after="0" w:line="240" w:lineRule="auto"/>
              <w:jc w:val="center"/>
            </w:pPr>
            <w:r>
              <w:rPr>
                <w:rFonts w:ascii="Calibri" w:hAnsi="Calibri" w:cs="Calibri"/>
                <w:color w:val="000000"/>
              </w:rPr>
              <w:t>80.0%</w:t>
            </w:r>
          </w:p>
        </w:tc>
        <w:tc>
          <w:tcPr>
            <w:tcW w:w="1040" w:type="dxa"/>
            <w:tcBorders>
              <w:top w:val="nil"/>
              <w:left w:val="nil"/>
              <w:bottom w:val="single" w:sz="4" w:space="0" w:color="auto"/>
              <w:right w:val="single" w:sz="4" w:space="0" w:color="auto"/>
            </w:tcBorders>
            <w:shd w:val="clear" w:color="auto" w:fill="auto"/>
            <w:noWrap/>
            <w:hideMark/>
          </w:tcPr>
          <w:p w14:paraId="2C61E428" w14:textId="77777777" w:rsidR="00307886" w:rsidRPr="00B633FA" w:rsidRDefault="00307886" w:rsidP="00307886">
            <w:pPr>
              <w:spacing w:after="0" w:line="240" w:lineRule="auto"/>
              <w:jc w:val="center"/>
            </w:pPr>
            <w:r w:rsidRPr="00B633FA">
              <w:t>0.000</w:t>
            </w:r>
          </w:p>
        </w:tc>
      </w:tr>
      <w:tr w:rsidR="00307886" w:rsidRPr="004B1595" w14:paraId="2AB06CFC"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7713EB9A"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4.5</w:t>
            </w:r>
          </w:p>
        </w:tc>
        <w:tc>
          <w:tcPr>
            <w:tcW w:w="1024" w:type="dxa"/>
            <w:tcBorders>
              <w:top w:val="nil"/>
              <w:left w:val="nil"/>
              <w:bottom w:val="single" w:sz="4" w:space="0" w:color="auto"/>
              <w:right w:val="single" w:sz="4" w:space="0" w:color="auto"/>
            </w:tcBorders>
            <w:shd w:val="clear" w:color="auto" w:fill="auto"/>
            <w:noWrap/>
            <w:hideMark/>
          </w:tcPr>
          <w:p w14:paraId="524279AA" w14:textId="378B2092" w:rsidR="00307886" w:rsidRPr="00293E49" w:rsidRDefault="00307886" w:rsidP="00307886">
            <w:pPr>
              <w:spacing w:after="0" w:line="240" w:lineRule="auto"/>
              <w:jc w:val="center"/>
            </w:pPr>
            <w:r>
              <w:rPr>
                <w:rFonts w:ascii="Calibri" w:hAnsi="Calibri" w:cs="Calibri"/>
                <w:color w:val="000000"/>
              </w:rPr>
              <w:t>938</w:t>
            </w:r>
          </w:p>
        </w:tc>
        <w:tc>
          <w:tcPr>
            <w:tcW w:w="1676" w:type="dxa"/>
            <w:tcBorders>
              <w:top w:val="nil"/>
              <w:left w:val="nil"/>
              <w:bottom w:val="single" w:sz="4" w:space="0" w:color="auto"/>
              <w:right w:val="single" w:sz="4" w:space="0" w:color="auto"/>
            </w:tcBorders>
            <w:shd w:val="clear" w:color="auto" w:fill="auto"/>
            <w:noWrap/>
            <w:hideMark/>
          </w:tcPr>
          <w:p w14:paraId="5B425F39" w14:textId="6F6D5F85" w:rsidR="00307886" w:rsidRPr="00F7515D" w:rsidRDefault="00307886" w:rsidP="00307886">
            <w:pPr>
              <w:spacing w:after="0" w:line="240" w:lineRule="auto"/>
              <w:jc w:val="center"/>
            </w:pPr>
            <w:r>
              <w:rPr>
                <w:rFonts w:ascii="Calibri" w:hAnsi="Calibri" w:cs="Calibri"/>
                <w:color w:val="000000"/>
              </w:rPr>
              <w:t>85.8%</w:t>
            </w:r>
          </w:p>
        </w:tc>
        <w:tc>
          <w:tcPr>
            <w:tcW w:w="1040" w:type="dxa"/>
            <w:tcBorders>
              <w:top w:val="nil"/>
              <w:left w:val="nil"/>
              <w:bottom w:val="single" w:sz="4" w:space="0" w:color="auto"/>
              <w:right w:val="single" w:sz="4" w:space="0" w:color="auto"/>
            </w:tcBorders>
            <w:shd w:val="clear" w:color="auto" w:fill="auto"/>
            <w:noWrap/>
            <w:hideMark/>
          </w:tcPr>
          <w:p w14:paraId="1C4C0033" w14:textId="77777777" w:rsidR="00307886" w:rsidRPr="00B633FA" w:rsidRDefault="00307886" w:rsidP="00307886">
            <w:pPr>
              <w:spacing w:after="0" w:line="240" w:lineRule="auto"/>
              <w:jc w:val="center"/>
            </w:pPr>
            <w:r w:rsidRPr="00B633FA">
              <w:t>0.000</w:t>
            </w:r>
          </w:p>
        </w:tc>
      </w:tr>
      <w:tr w:rsidR="00307886" w:rsidRPr="004B1595" w14:paraId="24C557BC"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4D51CBD3"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5.0</w:t>
            </w:r>
          </w:p>
        </w:tc>
        <w:tc>
          <w:tcPr>
            <w:tcW w:w="1024" w:type="dxa"/>
            <w:tcBorders>
              <w:top w:val="nil"/>
              <w:left w:val="nil"/>
              <w:bottom w:val="single" w:sz="4" w:space="0" w:color="auto"/>
              <w:right w:val="single" w:sz="4" w:space="0" w:color="auto"/>
            </w:tcBorders>
            <w:shd w:val="clear" w:color="auto" w:fill="auto"/>
            <w:noWrap/>
            <w:hideMark/>
          </w:tcPr>
          <w:p w14:paraId="5605340B" w14:textId="51F67364" w:rsidR="00307886" w:rsidRDefault="00307886" w:rsidP="00307886">
            <w:pPr>
              <w:spacing w:after="0" w:line="240" w:lineRule="auto"/>
              <w:jc w:val="center"/>
            </w:pPr>
            <w:r>
              <w:rPr>
                <w:rFonts w:ascii="Calibri" w:hAnsi="Calibri" w:cs="Calibri"/>
                <w:color w:val="000000"/>
              </w:rPr>
              <w:t>349</w:t>
            </w:r>
          </w:p>
        </w:tc>
        <w:tc>
          <w:tcPr>
            <w:tcW w:w="1676" w:type="dxa"/>
            <w:tcBorders>
              <w:top w:val="nil"/>
              <w:left w:val="nil"/>
              <w:bottom w:val="single" w:sz="4" w:space="0" w:color="auto"/>
              <w:right w:val="single" w:sz="4" w:space="0" w:color="auto"/>
            </w:tcBorders>
            <w:shd w:val="clear" w:color="auto" w:fill="auto"/>
            <w:noWrap/>
            <w:hideMark/>
          </w:tcPr>
          <w:p w14:paraId="20AA7466" w14:textId="76B5A9C1" w:rsidR="00307886" w:rsidRDefault="00307886" w:rsidP="00307886">
            <w:pPr>
              <w:spacing w:after="0" w:line="240" w:lineRule="auto"/>
              <w:jc w:val="center"/>
            </w:pPr>
            <w:r>
              <w:rPr>
                <w:rFonts w:ascii="Calibri" w:hAnsi="Calibri" w:cs="Calibri"/>
                <w:color w:val="000000"/>
              </w:rPr>
              <w:t>90.3%</w:t>
            </w:r>
          </w:p>
        </w:tc>
        <w:tc>
          <w:tcPr>
            <w:tcW w:w="1040" w:type="dxa"/>
            <w:tcBorders>
              <w:top w:val="nil"/>
              <w:left w:val="nil"/>
              <w:bottom w:val="single" w:sz="4" w:space="0" w:color="auto"/>
              <w:right w:val="single" w:sz="4" w:space="0" w:color="auto"/>
            </w:tcBorders>
            <w:shd w:val="clear" w:color="auto" w:fill="auto"/>
            <w:noWrap/>
            <w:hideMark/>
          </w:tcPr>
          <w:p w14:paraId="46401DD5" w14:textId="77777777" w:rsidR="00307886" w:rsidRDefault="00307886" w:rsidP="00307886">
            <w:pPr>
              <w:spacing w:after="0" w:line="240" w:lineRule="auto"/>
              <w:jc w:val="center"/>
            </w:pPr>
            <w:r w:rsidRPr="00B633FA">
              <w:t>0.000</w:t>
            </w:r>
          </w:p>
        </w:tc>
      </w:tr>
      <w:tr w:rsidR="00307886" w:rsidRPr="004B1595" w14:paraId="1A41AFF8" w14:textId="77777777" w:rsidTr="00307886">
        <w:trPr>
          <w:trHeight w:val="271"/>
        </w:trPr>
        <w:tc>
          <w:tcPr>
            <w:tcW w:w="1725" w:type="dxa"/>
            <w:tcBorders>
              <w:top w:val="nil"/>
              <w:left w:val="single" w:sz="4" w:space="0" w:color="auto"/>
              <w:bottom w:val="single" w:sz="4" w:space="0" w:color="auto"/>
              <w:right w:val="single" w:sz="4" w:space="0" w:color="auto"/>
            </w:tcBorders>
            <w:shd w:val="clear" w:color="auto" w:fill="auto"/>
            <w:noWrap/>
            <w:vAlign w:val="bottom"/>
            <w:hideMark/>
          </w:tcPr>
          <w:p w14:paraId="41C39B97" w14:textId="77777777" w:rsidR="00307886" w:rsidRPr="004B1595" w:rsidRDefault="00307886" w:rsidP="00307886">
            <w:pPr>
              <w:spacing w:after="0" w:line="240" w:lineRule="auto"/>
              <w:jc w:val="center"/>
              <w:rPr>
                <w:rFonts w:ascii="Calibri" w:eastAsia="Times New Roman" w:hAnsi="Calibri" w:cs="Times New Roman"/>
                <w:color w:val="000000"/>
              </w:rPr>
            </w:pPr>
            <w:r w:rsidRPr="004B1595">
              <w:rPr>
                <w:rFonts w:ascii="Calibri" w:eastAsia="Times New Roman" w:hAnsi="Calibri" w:cs="Times New Roman"/>
                <w:color w:val="000000"/>
              </w:rPr>
              <w:t> </w:t>
            </w:r>
            <w:r>
              <w:rPr>
                <w:rFonts w:ascii="Calibri" w:eastAsia="Times New Roman" w:hAnsi="Calibri" w:cs="Times New Roman"/>
                <w:color w:val="000000"/>
              </w:rPr>
              <w:t>Missing</w:t>
            </w:r>
          </w:p>
        </w:tc>
        <w:tc>
          <w:tcPr>
            <w:tcW w:w="1024" w:type="dxa"/>
            <w:tcBorders>
              <w:top w:val="nil"/>
              <w:left w:val="nil"/>
              <w:bottom w:val="single" w:sz="4" w:space="0" w:color="auto"/>
              <w:right w:val="single" w:sz="4" w:space="0" w:color="auto"/>
            </w:tcBorders>
            <w:shd w:val="clear" w:color="auto" w:fill="auto"/>
            <w:noWrap/>
            <w:vAlign w:val="bottom"/>
            <w:hideMark/>
          </w:tcPr>
          <w:p w14:paraId="0834D6F6" w14:textId="323E3691" w:rsidR="00307886" w:rsidRPr="004B1595" w:rsidRDefault="00307886" w:rsidP="00307886">
            <w:pPr>
              <w:spacing w:after="0" w:line="240" w:lineRule="auto"/>
              <w:jc w:val="center"/>
              <w:rPr>
                <w:rFonts w:ascii="Calibri" w:eastAsia="Times New Roman" w:hAnsi="Calibri" w:cs="Times New Roman"/>
                <w:color w:val="000000"/>
              </w:rPr>
            </w:pPr>
            <w:r>
              <w:rPr>
                <w:rFonts w:ascii="Calibri" w:hAnsi="Calibri" w:cs="Calibri"/>
                <w:color w:val="000000"/>
              </w:rPr>
              <w:t>171</w:t>
            </w:r>
          </w:p>
        </w:tc>
        <w:tc>
          <w:tcPr>
            <w:tcW w:w="1676" w:type="dxa"/>
            <w:tcBorders>
              <w:top w:val="nil"/>
              <w:left w:val="nil"/>
              <w:bottom w:val="single" w:sz="4" w:space="0" w:color="auto"/>
              <w:right w:val="single" w:sz="4" w:space="0" w:color="auto"/>
            </w:tcBorders>
            <w:shd w:val="clear" w:color="auto" w:fill="auto"/>
            <w:noWrap/>
            <w:hideMark/>
          </w:tcPr>
          <w:p w14:paraId="6E274C71" w14:textId="43088781" w:rsidR="00307886" w:rsidRPr="00F7515D" w:rsidRDefault="00307886" w:rsidP="00307886">
            <w:pPr>
              <w:spacing w:after="0" w:line="240" w:lineRule="auto"/>
              <w:jc w:val="center"/>
            </w:pPr>
            <w:r>
              <w:rPr>
                <w:rFonts w:ascii="Calibri" w:hAnsi="Calibri" w:cs="Calibri"/>
                <w:color w:val="000000"/>
              </w:rPr>
              <w:t>64.4%</w:t>
            </w:r>
          </w:p>
        </w:tc>
        <w:tc>
          <w:tcPr>
            <w:tcW w:w="1040" w:type="dxa"/>
            <w:tcBorders>
              <w:top w:val="nil"/>
              <w:left w:val="nil"/>
              <w:bottom w:val="single" w:sz="4" w:space="0" w:color="auto"/>
              <w:right w:val="single" w:sz="4" w:space="0" w:color="auto"/>
            </w:tcBorders>
            <w:shd w:val="clear" w:color="auto" w:fill="auto"/>
            <w:noWrap/>
            <w:vAlign w:val="bottom"/>
            <w:hideMark/>
          </w:tcPr>
          <w:p w14:paraId="74AC8A47" w14:textId="77777777" w:rsidR="00307886" w:rsidRPr="004B1595" w:rsidRDefault="00307886" w:rsidP="00307886">
            <w:pPr>
              <w:spacing w:after="0" w:line="240" w:lineRule="auto"/>
              <w:jc w:val="center"/>
              <w:rPr>
                <w:rFonts w:ascii="Calibri" w:eastAsia="Times New Roman" w:hAnsi="Calibri" w:cs="Times New Roman"/>
                <w:color w:val="000000"/>
              </w:rPr>
            </w:pPr>
            <w:r>
              <w:rPr>
                <w:rFonts w:ascii="Calibri" w:eastAsia="Times New Roman" w:hAnsi="Calibri" w:cs="Times New Roman"/>
                <w:color w:val="000000"/>
              </w:rPr>
              <w:t>-</w:t>
            </w:r>
          </w:p>
        </w:tc>
      </w:tr>
    </w:tbl>
    <w:p w14:paraId="65087F67" w14:textId="04376B66" w:rsidR="000A2F48" w:rsidRDefault="004715B5" w:rsidP="000A2F48">
      <w:r>
        <w:t xml:space="preserve">*The QoPC Star Rating was altered by removing the Improvement in </w:t>
      </w:r>
      <w:r w:rsidR="00DE59C3">
        <w:t>Pain Interfering with Activity</w:t>
      </w:r>
      <w:r>
        <w:t xml:space="preserve"> measure from the rating calculation. </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CABD00C" w14:textId="18591064"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w:t>
      </w:r>
      <w:r w:rsidR="00D61410" w:rsidRPr="000372AA">
        <w:rPr>
          <w:rFonts w:cstheme="minorHAnsi"/>
          <w:b/>
          <w:bCs/>
        </w:rPr>
        <w:t>interpretation of the results in terms of demonstrating the ability to identify statistically significant and</w:t>
      </w:r>
      <w:r w:rsidR="005038D5" w:rsidRPr="000372AA">
        <w:rPr>
          <w:rFonts w:cstheme="minorHAnsi"/>
          <w:b/>
          <w:bCs/>
        </w:rPr>
        <w:t>/or</w:t>
      </w:r>
      <w:r w:rsidR="00D61410" w:rsidRPr="000372AA">
        <w:rPr>
          <w:rFonts w:cstheme="minorHAnsi"/>
          <w:b/>
          <w:bCs/>
        </w:rPr>
        <w:t xml:space="preserve"> clinically/practically meaningful differences in performance across measured entities? (i</w:t>
      </w:r>
      <w:r w:rsidR="00D61410" w:rsidRPr="00CD2B78">
        <w:rPr>
          <w:rFonts w:cstheme="minorHAnsi"/>
          <w:b/>
          <w:bCs/>
          <w:i/>
        </w:rPr>
        <w:t>.e., what d</w:t>
      </w:r>
      <w:r w:rsidR="004C2443" w:rsidRPr="00CD2B78">
        <w:rPr>
          <w:rFonts w:cstheme="minorHAnsi"/>
          <w:b/>
          <w:bCs/>
          <w:i/>
        </w:rPr>
        <w:t>o the results mean in terms of statistical and meaningful differences?</w:t>
      </w:r>
      <w:r w:rsidR="00D61410" w:rsidRPr="00CD2B78">
        <w:rPr>
          <w:rFonts w:cstheme="minorHAnsi"/>
          <w:b/>
          <w:bCs/>
        </w:rPr>
        <w:t>)</w:t>
      </w:r>
      <w:r w:rsidR="00D61410" w:rsidRPr="00A25024">
        <w:rPr>
          <w:rFonts w:cstheme="minorHAnsi"/>
          <w:bCs/>
        </w:rPr>
        <w:br/>
      </w:r>
    </w:p>
    <w:p w14:paraId="565DC3CE" w14:textId="5A97F460" w:rsidR="000A2F48" w:rsidRDefault="000A2F48" w:rsidP="000A2F48">
      <w:r>
        <w:t xml:space="preserve">Based on these findings, we conclude that the </w:t>
      </w:r>
      <w:r w:rsidRPr="00752FAE">
        <w:rPr>
          <w:i/>
        </w:rPr>
        <w:t xml:space="preserve">Improvement in </w:t>
      </w:r>
      <w:r w:rsidR="00307886">
        <w:rPr>
          <w:i/>
        </w:rPr>
        <w:t>Pain Interfering with Activity</w:t>
      </w:r>
      <w:r>
        <w:t xml:space="preserve"> measure is able to produce meaningful differences across HHAs. First, the measure exhibits sufficient variation – it is not topped out and there is room for measure improvement among the majority of HHAs. Second, measure performance is related to other metrics in the direction expected with statistically significant differences in measure performance across strata.</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CD2B78">
        <w:rPr>
          <w:rFonts w:cstheme="minorHAnsi"/>
          <w:b/>
          <w:bCs/>
          <w:i/>
        </w:rPr>
        <w:lastRenderedPageBreak/>
        <w:t xml:space="preserve">If only one set of specifications, this section can be </w:t>
      </w:r>
      <w:r w:rsidR="00BE592D" w:rsidRPr="00CD2B78">
        <w:rPr>
          <w:rFonts w:cstheme="minorHAnsi"/>
          <w:b/>
          <w:bCs/>
          <w:i/>
        </w:rPr>
        <w:t>skipped</w:t>
      </w:r>
      <w:r w:rsidR="00BE592D" w:rsidRPr="000372AA">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Pr="00CD2B78" w:rsidRDefault="002B2116" w:rsidP="00DB3627">
      <w:pPr>
        <w:autoSpaceDE w:val="0"/>
        <w:autoSpaceDN w:val="0"/>
        <w:adjustRightInd w:val="0"/>
        <w:spacing w:after="0" w:line="240" w:lineRule="auto"/>
        <w:rPr>
          <w:rFonts w:cstheme="minorHAnsi"/>
          <w:b/>
          <w:bCs/>
          <w:i/>
        </w:rPr>
      </w:pPr>
      <w:r w:rsidRPr="000372AA">
        <w:rPr>
          <w:rFonts w:cstheme="minorHAnsi"/>
          <w:b/>
          <w:bCs/>
          <w:u w:val="single"/>
        </w:rPr>
        <w:t>Note</w:t>
      </w:r>
      <w:r w:rsidRPr="00CD2B78">
        <w:rPr>
          <w:rFonts w:cstheme="minorHAnsi"/>
          <w:b/>
          <w:bCs/>
          <w:i/>
        </w:rPr>
        <w:t xml:space="preserve">: </w:t>
      </w:r>
      <w:r w:rsidR="00F1412B" w:rsidRPr="00CD2B78">
        <w:rPr>
          <w:rFonts w:ascii="Calibri-Italic" w:eastAsiaTheme="minorHAnsi" w:hAnsi="Calibri-Italic" w:cs="Calibri-Italic"/>
          <w:b/>
          <w:i/>
          <w:iCs/>
        </w:rPr>
        <w:t xml:space="preserve">This item is directed to measures that are risk-adjusted (with or without </w:t>
      </w:r>
      <w:r w:rsidR="00AF2D68" w:rsidRPr="00CD2B78">
        <w:rPr>
          <w:rFonts w:ascii="Calibri-Italic" w:eastAsiaTheme="minorHAnsi" w:hAnsi="Calibri-Italic" w:cs="Calibri-Italic"/>
          <w:b/>
          <w:i/>
          <w:iCs/>
        </w:rPr>
        <w:t>social risk</w:t>
      </w:r>
      <w:r w:rsidR="00F1412B" w:rsidRPr="00CD2B78">
        <w:rPr>
          <w:rFonts w:ascii="Calibri-Italic" w:eastAsiaTheme="minorHAnsi" w:hAnsi="Calibri-Italic" w:cs="Calibri-Italic"/>
          <w:b/>
          <w:i/>
          <w:iCs/>
        </w:rPr>
        <w:t xml:space="preserve"> factors) </w:t>
      </w:r>
      <w:r w:rsidR="00F1412B" w:rsidRPr="000372AA">
        <w:rPr>
          <w:rFonts w:ascii="Calibri-Italic" w:eastAsiaTheme="minorHAnsi" w:hAnsi="Calibri-Italic" w:cs="Calibri-Italic"/>
          <w:b/>
          <w:i/>
          <w:iCs/>
        </w:rPr>
        <w:t>OR</w:t>
      </w:r>
      <w:r w:rsidR="00F1412B" w:rsidRPr="00CD2B78">
        <w:rPr>
          <w:rFonts w:ascii="Calibri-Italic" w:eastAsiaTheme="minorHAnsi" w:hAnsi="Calibri-Italic" w:cs="Calibri-Italic"/>
          <w:b/>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00F1412B" w:rsidRPr="000372AA">
        <w:rPr>
          <w:rFonts w:ascii="Calibri-BoldItalic" w:eastAsiaTheme="minorHAnsi" w:hAnsi="Calibri-BoldItalic" w:cs="Calibri-BoldItalic"/>
          <w:b/>
          <w:bCs/>
          <w:i/>
          <w:iCs/>
        </w:rPr>
        <w:t xml:space="preserve">Comparability is not required when comparing performance scores with and without </w:t>
      </w:r>
      <w:r w:rsidR="00AF2D68" w:rsidRPr="000372AA">
        <w:rPr>
          <w:rFonts w:ascii="Calibri-BoldItalic" w:eastAsiaTheme="minorHAnsi" w:hAnsi="Calibri-BoldItalic" w:cs="Calibri-BoldItalic"/>
          <w:b/>
          <w:bCs/>
          <w:i/>
          <w:iCs/>
        </w:rPr>
        <w:t>social risk</w:t>
      </w:r>
      <w:r w:rsidR="00F1412B" w:rsidRPr="000372AA">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50CD570"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0372AA">
        <w:rPr>
          <w:rFonts w:cstheme="minorHAnsi"/>
          <w:b/>
          <w:bCs/>
        </w:rPr>
        <w:t>specifications</w:t>
      </w:r>
      <w:r w:rsidR="000F06B5" w:rsidRPr="00CD2B78">
        <w:rPr>
          <w:rFonts w:cstheme="minorHAnsi"/>
          <w:b/>
          <w:bCs/>
        </w:rPr>
        <w:t xml:space="preserve"> (</w:t>
      </w:r>
      <w:r w:rsidR="008871A9" w:rsidRPr="00CD2B78">
        <w:rPr>
          <w:rFonts w:cstheme="minorHAnsi"/>
          <w:b/>
          <w:bCs/>
          <w:i/>
        </w:rPr>
        <w:t>describe the steps―do not just name a method</w:t>
      </w:r>
      <w:r w:rsidR="006C3A4F" w:rsidRPr="00CD2B78">
        <w:rPr>
          <w:rFonts w:cstheme="minorHAnsi"/>
          <w:b/>
          <w:bCs/>
          <w:i/>
        </w:rPr>
        <w:t>; what statistical analysis was used</w:t>
      </w:r>
      <w:r w:rsidR="000F06B5" w:rsidRPr="00CD2B78">
        <w:rPr>
          <w:rFonts w:cstheme="minorHAnsi"/>
          <w:b/>
          <w:bCs/>
        </w:rPr>
        <w:t>)</w:t>
      </w:r>
      <w:r w:rsidR="000F06B5" w:rsidRPr="00A25024">
        <w:rPr>
          <w:rFonts w:cstheme="minorHAnsi"/>
          <w:bCs/>
        </w:rPr>
        <w:br/>
        <w:t xml:space="preserve"> </w:t>
      </w:r>
    </w:p>
    <w:p w14:paraId="0CABD014" w14:textId="32031781" w:rsidR="000F06B5" w:rsidRDefault="000A2F48" w:rsidP="00DB3627">
      <w:pPr>
        <w:pStyle w:val="ListParagraph"/>
        <w:autoSpaceDE w:val="0"/>
        <w:autoSpaceDN w:val="0"/>
        <w:adjustRightInd w:val="0"/>
        <w:spacing w:after="0" w:line="240" w:lineRule="auto"/>
        <w:ind w:left="0"/>
        <w:rPr>
          <w:rFonts w:cstheme="minorHAnsi"/>
          <w:bCs/>
        </w:rPr>
      </w:pPr>
      <w:r>
        <w:rPr>
          <w:rFonts w:cstheme="minorHAnsi"/>
          <w:bCs/>
        </w:rPr>
        <w:t>N/A – one set of data/specifications are used</w:t>
      </w:r>
    </w:p>
    <w:p w14:paraId="71C8EEBD" w14:textId="77777777" w:rsidR="000A2F48" w:rsidRPr="00A25024" w:rsidRDefault="000A2F48" w:rsidP="00DB3627">
      <w:pPr>
        <w:pStyle w:val="ListParagraph"/>
        <w:autoSpaceDE w:val="0"/>
        <w:autoSpaceDN w:val="0"/>
        <w:adjustRightInd w:val="0"/>
        <w:spacing w:after="0" w:line="240" w:lineRule="auto"/>
        <w:ind w:left="0"/>
        <w:rPr>
          <w:rFonts w:cstheme="minorHAnsi"/>
          <w:bCs/>
        </w:rPr>
      </w:pPr>
    </w:p>
    <w:p w14:paraId="0CABD015" w14:textId="377012FB" w:rsidR="00A35F8F" w:rsidRDefault="009C7513"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0372AA">
        <w:rPr>
          <w:rFonts w:cstheme="minorHAnsi"/>
          <w:b/>
          <w:bCs/>
        </w:rPr>
        <w:t>specifications?</w:t>
      </w:r>
      <w:r w:rsidR="000F06B5" w:rsidRPr="00CD2B78">
        <w:rPr>
          <w:rFonts w:cstheme="minorHAnsi"/>
          <w:b/>
          <w:bCs/>
        </w:rPr>
        <w:t xml:space="preserve"> </w:t>
      </w:r>
      <w:r w:rsidR="00287649" w:rsidRPr="00CD2B78">
        <w:rPr>
          <w:rFonts w:cstheme="minorHAnsi"/>
          <w:b/>
          <w:bCs/>
        </w:rPr>
        <w:t>(</w:t>
      </w:r>
      <w:r w:rsidR="00287649" w:rsidRPr="00CD2B78">
        <w:rPr>
          <w:rFonts w:cstheme="minorHAnsi"/>
          <w:b/>
          <w:bCs/>
          <w:i/>
        </w:rPr>
        <w:t>e.g., correlation</w:t>
      </w:r>
      <w:r w:rsidR="006C3A4F" w:rsidRPr="00CD2B78">
        <w:rPr>
          <w:rFonts w:cstheme="minorHAnsi"/>
          <w:b/>
          <w:bCs/>
          <w:i/>
        </w:rPr>
        <w:t>, rank order</w:t>
      </w:r>
      <w:r w:rsidR="00287649" w:rsidRPr="00CD2B78">
        <w:rPr>
          <w:rFonts w:cstheme="minorHAnsi"/>
          <w:b/>
          <w:bCs/>
        </w:rPr>
        <w:t>)</w:t>
      </w:r>
      <w:r w:rsidR="000F06B5" w:rsidRPr="00A25024">
        <w:rPr>
          <w:rFonts w:cstheme="minorHAnsi"/>
          <w:bCs/>
        </w:rPr>
        <w:br/>
      </w:r>
    </w:p>
    <w:p w14:paraId="72E386C0" w14:textId="77777777" w:rsidR="000A2F48" w:rsidRDefault="000A2F48" w:rsidP="000A2F48">
      <w:pPr>
        <w:pStyle w:val="ListParagraph"/>
        <w:autoSpaceDE w:val="0"/>
        <w:autoSpaceDN w:val="0"/>
        <w:adjustRightInd w:val="0"/>
        <w:spacing w:after="0" w:line="240" w:lineRule="auto"/>
        <w:ind w:left="0"/>
        <w:rPr>
          <w:rFonts w:cstheme="minorHAnsi"/>
          <w:bCs/>
        </w:rPr>
      </w:pPr>
      <w:r>
        <w:rPr>
          <w:rFonts w:cstheme="minorHAnsi"/>
          <w:bCs/>
        </w:rPr>
        <w:t>N/A – one set of data/specifications are used</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0CABD017" w14:textId="0C9FD55C" w:rsidR="0079180E" w:rsidRDefault="009C7513"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w:t>
      </w:r>
      <w:r w:rsidR="00287649" w:rsidRPr="000372AA">
        <w:rPr>
          <w:rFonts w:cstheme="minorHAnsi"/>
          <w:b/>
          <w:bCs/>
        </w:rPr>
        <w:t xml:space="preserve">different </w:t>
      </w:r>
      <w:r w:rsidR="00864CA8" w:rsidRPr="000372AA">
        <w:rPr>
          <w:rFonts w:cstheme="minorHAnsi"/>
          <w:b/>
          <w:bCs/>
        </w:rPr>
        <w:t>data sources/</w:t>
      </w:r>
      <w:r w:rsidR="00287649" w:rsidRPr="000372AA">
        <w:rPr>
          <w:rFonts w:cstheme="minorHAnsi"/>
          <w:b/>
          <w:bCs/>
        </w:rPr>
        <w:t>specifications</w:t>
      </w:r>
      <w:r w:rsidR="002B0C3A" w:rsidRPr="000372AA">
        <w:rPr>
          <w:rFonts w:cstheme="minorHAnsi"/>
          <w:b/>
          <w:bCs/>
        </w:rPr>
        <w:t>?</w:t>
      </w:r>
      <w:r w:rsidR="00A35F8F" w:rsidRPr="00CD2B78">
        <w:rPr>
          <w:rFonts w:cstheme="minorHAnsi"/>
          <w:b/>
          <w:bCs/>
        </w:rPr>
        <w:t xml:space="preserve"> </w:t>
      </w:r>
      <w:r w:rsidR="002B0C3A" w:rsidRPr="00CD2B78">
        <w:rPr>
          <w:rFonts w:cstheme="minorHAnsi"/>
          <w:b/>
          <w:bCs/>
        </w:rPr>
        <w:t>(i</w:t>
      </w:r>
      <w:r w:rsidR="002B0C3A" w:rsidRPr="00CD2B78">
        <w:rPr>
          <w:rFonts w:cstheme="minorHAnsi"/>
          <w:b/>
          <w:bCs/>
          <w:i/>
        </w:rPr>
        <w:t xml:space="preserve">.e., what do the results mean and what are the norms for the test </w:t>
      </w:r>
      <w:proofErr w:type="gramStart"/>
      <w:r w:rsidR="002B0C3A" w:rsidRPr="00CD2B78">
        <w:rPr>
          <w:rFonts w:cstheme="minorHAnsi"/>
          <w:b/>
          <w:bCs/>
          <w:i/>
        </w:rPr>
        <w:t>conducted</w:t>
      </w:r>
      <w:proofErr w:type="gramEnd"/>
      <w:r w:rsidR="002B0C3A" w:rsidRPr="00CD2B78">
        <w:rPr>
          <w:rFonts w:cstheme="minorHAnsi"/>
          <w:b/>
          <w:bCs/>
        </w:rPr>
        <w:t>)</w:t>
      </w:r>
      <w:r w:rsidR="00A35F8F" w:rsidRPr="00DB3627">
        <w:rPr>
          <w:rFonts w:cstheme="minorHAnsi"/>
          <w:bCs/>
        </w:rPr>
        <w:br/>
      </w:r>
    </w:p>
    <w:p w14:paraId="1DB55755" w14:textId="77777777" w:rsidR="000A2F48" w:rsidRDefault="000A2F48" w:rsidP="000A2F48">
      <w:pPr>
        <w:pStyle w:val="ListParagraph"/>
        <w:autoSpaceDE w:val="0"/>
        <w:autoSpaceDN w:val="0"/>
        <w:adjustRightInd w:val="0"/>
        <w:spacing w:after="0" w:line="240" w:lineRule="auto"/>
        <w:ind w:left="0"/>
        <w:rPr>
          <w:rFonts w:cstheme="minorHAnsi"/>
          <w:bCs/>
        </w:rPr>
      </w:pPr>
      <w:r>
        <w:rPr>
          <w:rFonts w:cstheme="minorHAnsi"/>
          <w:bCs/>
        </w:rPr>
        <w:t>N/A – one set of data/specifications are used</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3092ED9A" w14:textId="77777777" w:rsidR="005F4DF4"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 xml:space="preserve">identify the extent and distribution of missing </w:t>
      </w:r>
      <w:r w:rsidR="00771B2A" w:rsidRPr="000372AA">
        <w:rPr>
          <w:rFonts w:ascii="Calibri" w:eastAsia="Calibri" w:hAnsi="Calibri" w:cs="Calibri"/>
          <w:b/>
        </w:rPr>
        <w:t>data (or nonresponse) and demonstrate that performance results are not biased</w:t>
      </w:r>
      <w:r w:rsidR="00771B2A" w:rsidRPr="00CD2B78">
        <w:rPr>
          <w:rFonts w:ascii="Calibri" w:eastAsia="Calibri" w:hAnsi="Calibri" w:cs="Calibri"/>
          <w:b/>
        </w:rPr>
        <w:t xml:space="preserve"> due to systematic missing data (or differences between responders and nonresponders) and how the specified handling of missing data minimizes bias</w:t>
      </w:r>
      <w:r w:rsidR="00771B2A" w:rsidRPr="00CD2B78">
        <w:rPr>
          <w:rFonts w:cstheme="minorHAnsi"/>
          <w:b/>
          <w:bCs/>
        </w:rPr>
        <w:t xml:space="preserve"> </w:t>
      </w:r>
      <w:r w:rsidR="008F7E67" w:rsidRPr="00CD2B78">
        <w:rPr>
          <w:rFonts w:cstheme="minorHAnsi"/>
          <w:b/>
          <w:bCs/>
        </w:rPr>
        <w:t>(</w:t>
      </w:r>
      <w:r w:rsidR="008F7E67" w:rsidRPr="00CD2B78">
        <w:rPr>
          <w:rFonts w:cstheme="minorHAnsi"/>
          <w:b/>
          <w:bCs/>
          <w:i/>
        </w:rPr>
        <w:t>describe the steps―do not just name a method; what statistical analysis was used</w:t>
      </w:r>
      <w:r w:rsidR="008F7E67" w:rsidRPr="00CD2B78">
        <w:rPr>
          <w:rFonts w:cstheme="minorHAnsi"/>
          <w:b/>
          <w:bCs/>
        </w:rPr>
        <w:t>)</w:t>
      </w:r>
      <w:r w:rsidR="008F7E67" w:rsidRPr="00A25024">
        <w:rPr>
          <w:rFonts w:cstheme="minorHAnsi"/>
          <w:bCs/>
        </w:rPr>
        <w:br/>
      </w:r>
    </w:p>
    <w:p w14:paraId="389642E7" w14:textId="77777777" w:rsidR="005F4DF4" w:rsidRPr="00A25024" w:rsidRDefault="005F4DF4" w:rsidP="005F4DF4">
      <w:pPr>
        <w:autoSpaceDE w:val="0"/>
        <w:autoSpaceDN w:val="0"/>
        <w:adjustRightInd w:val="0"/>
        <w:spacing w:after="0" w:line="240" w:lineRule="auto"/>
        <w:rPr>
          <w:rFonts w:cstheme="minorHAnsi"/>
          <w:bCs/>
        </w:rPr>
      </w:pPr>
      <w:r>
        <w:rPr>
          <w:rFonts w:cstheme="minorHAnsi"/>
          <w:bCs/>
        </w:rPr>
        <w:t xml:space="preserve">There are minimal issues with missing data because the OASIS submission system rejects assessments with missing values. The provider must then resubmit the assessment.  </w:t>
      </w:r>
    </w:p>
    <w:p w14:paraId="0CABD01B" w14:textId="0FB1F1CF" w:rsidR="008F7E67" w:rsidRPr="00A25024" w:rsidRDefault="008F7E67" w:rsidP="008F7E67">
      <w:pPr>
        <w:autoSpaceDE w:val="0"/>
        <w:autoSpaceDN w:val="0"/>
        <w:adjustRightInd w:val="0"/>
        <w:spacing w:after="0" w:line="240" w:lineRule="auto"/>
        <w:rPr>
          <w:rFonts w:cstheme="minorHAnsi"/>
          <w:bCs/>
        </w:rPr>
      </w:pPr>
      <w:r w:rsidRPr="00A25024">
        <w:rPr>
          <w:rFonts w:cstheme="minorHAnsi"/>
          <w:bCs/>
        </w:rPr>
        <w:t xml:space="preserve"> </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sidRPr="000372AA">
        <w:rPr>
          <w:rFonts w:cstheme="minorHAnsi"/>
          <w:b/>
          <w:bCs/>
        </w:rPr>
        <w:t>related to missing data</w:t>
      </w:r>
      <w:r w:rsidR="008F7E67" w:rsidRPr="000372AA">
        <w:rPr>
          <w:rFonts w:cstheme="minorHAnsi"/>
          <w:b/>
          <w:bCs/>
        </w:rPr>
        <w:t>? (</w:t>
      </w:r>
      <w:r w:rsidR="008F7E67" w:rsidRPr="00CD2B78">
        <w:rPr>
          <w:rFonts w:cstheme="minorHAnsi"/>
          <w:b/>
          <w:bCs/>
          <w:i/>
        </w:rPr>
        <w:t>e.g.,</w:t>
      </w:r>
      <w:r w:rsidR="008B604D" w:rsidRPr="000372AA">
        <w:rPr>
          <w:rFonts w:cstheme="minorHAnsi"/>
          <w:b/>
          <w:bCs/>
        </w:rPr>
        <w:t xml:space="preserve"> </w:t>
      </w:r>
      <w:r w:rsidR="00145D4F" w:rsidRPr="00CD2B78">
        <w:rPr>
          <w:rFonts w:cstheme="minorHAnsi"/>
          <w:b/>
          <w:bCs/>
          <w:i/>
        </w:rPr>
        <w:t xml:space="preserve">results of sensitivity analysis of </w:t>
      </w:r>
      <w:r w:rsidR="005560E7" w:rsidRPr="00CD2B78">
        <w:rPr>
          <w:rFonts w:cstheme="minorHAnsi"/>
          <w:b/>
          <w:bCs/>
          <w:i/>
        </w:rPr>
        <w:t xml:space="preserve">the </w:t>
      </w:r>
      <w:r w:rsidR="00145D4F" w:rsidRPr="00CD2B78">
        <w:rPr>
          <w:rFonts w:cstheme="minorHAnsi"/>
          <w:b/>
          <w:bCs/>
          <w:i/>
        </w:rPr>
        <w:t xml:space="preserve">effect of various rules for missing data/nonresponse; </w:t>
      </w:r>
      <w:r w:rsidR="00145D4F" w:rsidRPr="00CD2B78">
        <w:rPr>
          <w:rFonts w:cstheme="minorHAnsi"/>
          <w:b/>
          <w:bCs/>
          <w:i/>
          <w:u w:val="single"/>
        </w:rPr>
        <w:t>if no empirical sensitivity analysis</w:t>
      </w:r>
      <w:r w:rsidR="00145D4F" w:rsidRPr="00CD2B78">
        <w:rPr>
          <w:rFonts w:cstheme="minorHAnsi"/>
          <w:b/>
          <w:bCs/>
          <w:i/>
        </w:rPr>
        <w:t>, identify the approaches for handling missing data that were considered and pros and cons of each</w:t>
      </w:r>
      <w:r w:rsidR="008F7E67" w:rsidRPr="00CD2B78">
        <w:rPr>
          <w:rFonts w:cstheme="minorHAnsi"/>
          <w:b/>
          <w:bCs/>
        </w:rPr>
        <w:t>)</w:t>
      </w:r>
      <w:r w:rsidR="008F7E67" w:rsidRPr="00A25024">
        <w:rPr>
          <w:rFonts w:cstheme="minorHAnsi"/>
          <w:bCs/>
        </w:rPr>
        <w:br/>
      </w:r>
    </w:p>
    <w:p w14:paraId="2227ACC1" w14:textId="77777777" w:rsidR="005F4DF4" w:rsidRPr="00A25024" w:rsidRDefault="005F4DF4" w:rsidP="005F4DF4">
      <w:pPr>
        <w:autoSpaceDE w:val="0"/>
        <w:autoSpaceDN w:val="0"/>
        <w:adjustRightInd w:val="0"/>
        <w:spacing w:after="0" w:line="240" w:lineRule="auto"/>
        <w:rPr>
          <w:rFonts w:cstheme="minorHAnsi"/>
          <w:bCs/>
        </w:rPr>
      </w:pPr>
      <w:r>
        <w:rPr>
          <w:rFonts w:cstheme="minorHAnsi"/>
          <w:bCs/>
        </w:rPr>
        <w:lastRenderedPageBreak/>
        <w:t xml:space="preserve">There are minimal issues with missing data because the OASIS submission system rejects assessments with missing values. The provider must then resubmit the assessment.  </w:t>
      </w:r>
    </w:p>
    <w:p w14:paraId="7791744D" w14:textId="77777777" w:rsidR="005F4DF4" w:rsidRDefault="005F4DF4"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 xml:space="preserve">performance results are </w:t>
      </w:r>
      <w:r w:rsidR="00771B2A" w:rsidRPr="000372AA">
        <w:rPr>
          <w:rFonts w:ascii="Calibri" w:eastAsia="Calibri" w:hAnsi="Calibri" w:cs="Calibri"/>
          <w:b/>
        </w:rPr>
        <w:t>not biased</w:t>
      </w:r>
      <w:r w:rsidR="00771B2A" w:rsidRPr="00CD2B78">
        <w:rPr>
          <w:rFonts w:ascii="Calibri" w:eastAsia="Calibri" w:hAnsi="Calibri" w:cs="Calibri"/>
          <w:b/>
        </w:rPr>
        <w:t xml:space="preserve"> due to systematic missing data (or differences between responders and nonresponders) and how the specified handling of missing data minimizes bias</w:t>
      </w:r>
      <w:r w:rsidR="008F7E67" w:rsidRPr="000372AA">
        <w:rPr>
          <w:rFonts w:cstheme="minorHAnsi"/>
          <w:b/>
          <w:bCs/>
        </w:rPr>
        <w:t>?</w:t>
      </w:r>
      <w:r w:rsidR="008F7E67" w:rsidRPr="00CD2B78">
        <w:rPr>
          <w:rFonts w:cstheme="minorHAnsi"/>
          <w:b/>
          <w:bCs/>
        </w:rPr>
        <w:t xml:space="preserve"> (i</w:t>
      </w:r>
      <w:r w:rsidR="008F7E67" w:rsidRPr="00CD2B78">
        <w:rPr>
          <w:rFonts w:cstheme="minorHAnsi"/>
          <w:b/>
          <w:bCs/>
          <w:i/>
        </w:rPr>
        <w:t xml:space="preserve">.e., what do the results mean </w:t>
      </w:r>
      <w:r w:rsidR="00145D4F" w:rsidRPr="00CD2B78">
        <w:rPr>
          <w:rFonts w:cstheme="minorHAnsi"/>
          <w:b/>
          <w:bCs/>
          <w:i/>
        </w:rPr>
        <w:t xml:space="preserve">in terms of supporting the selected approach for missing data </w:t>
      </w:r>
      <w:r w:rsidR="008F7E67" w:rsidRPr="00CD2B78">
        <w:rPr>
          <w:rFonts w:cstheme="minorHAnsi"/>
          <w:b/>
          <w:bCs/>
          <w:i/>
        </w:rPr>
        <w:t>and what are the norms for the test conducted</w:t>
      </w:r>
      <w:r w:rsidR="00145D4F" w:rsidRPr="00CD2B78">
        <w:rPr>
          <w:rFonts w:cstheme="minorHAnsi"/>
          <w:b/>
          <w:bCs/>
          <w:i/>
        </w:rPr>
        <w:t xml:space="preserve">; </w:t>
      </w:r>
      <w:r w:rsidR="00145D4F" w:rsidRPr="00CD2B78">
        <w:rPr>
          <w:rFonts w:cstheme="minorHAnsi"/>
          <w:b/>
          <w:bCs/>
          <w:i/>
          <w:u w:val="single"/>
        </w:rPr>
        <w:t>if no empirical analysis</w:t>
      </w:r>
      <w:r w:rsidR="00145D4F" w:rsidRPr="00CD2B78">
        <w:rPr>
          <w:rFonts w:cstheme="minorHAnsi"/>
          <w:b/>
          <w:bCs/>
          <w:i/>
        </w:rPr>
        <w:t>, provide rationale for the selected approach for missing data</w:t>
      </w:r>
      <w:r w:rsidR="008F7E67" w:rsidRPr="00CD2B78">
        <w:rPr>
          <w:rFonts w:cstheme="minorHAnsi"/>
          <w:b/>
          <w:bCs/>
        </w:rPr>
        <w:t>)</w:t>
      </w:r>
    </w:p>
    <w:p w14:paraId="17ECAB49" w14:textId="77777777" w:rsidR="005F4DF4" w:rsidRDefault="005F4DF4" w:rsidP="005F4DF4">
      <w:pPr>
        <w:autoSpaceDE w:val="0"/>
        <w:autoSpaceDN w:val="0"/>
        <w:adjustRightInd w:val="0"/>
        <w:spacing w:after="0" w:line="240" w:lineRule="auto"/>
        <w:rPr>
          <w:rFonts w:cstheme="minorHAnsi"/>
          <w:bCs/>
        </w:rPr>
      </w:pPr>
    </w:p>
    <w:p w14:paraId="671B287A" w14:textId="77777777" w:rsidR="005F4DF4" w:rsidRPr="00A25024" w:rsidRDefault="005F4DF4" w:rsidP="005F4DF4">
      <w:pPr>
        <w:autoSpaceDE w:val="0"/>
        <w:autoSpaceDN w:val="0"/>
        <w:adjustRightInd w:val="0"/>
        <w:spacing w:after="0" w:line="240" w:lineRule="auto"/>
        <w:rPr>
          <w:rFonts w:cstheme="minorHAnsi"/>
          <w:bCs/>
        </w:rPr>
      </w:pPr>
      <w:r>
        <w:rPr>
          <w:rFonts w:cstheme="minorHAnsi"/>
          <w:bCs/>
        </w:rPr>
        <w:t xml:space="preserve">There are minimal issues with missing data because the OASIS submission system rejects assessments with missing values. The provider must then resubmit the assessment.  </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468A62" w15:done="0"/>
  <w15:commentEx w15:paraId="00D66411" w15:done="0"/>
  <w15:commentEx w15:paraId="208DF2F3" w15:done="0"/>
  <w15:commentEx w15:paraId="0BDC9A54" w15:done="0"/>
  <w15:commentEx w15:paraId="0207B267" w15:done="0"/>
  <w15:commentEx w15:paraId="60C7A326" w15:done="0"/>
  <w15:commentEx w15:paraId="143C8156" w15:done="0"/>
  <w15:commentEx w15:paraId="3D94D671" w15:done="0"/>
  <w15:commentEx w15:paraId="3645DA9B" w15:done="0"/>
  <w15:commentEx w15:paraId="1BAAAC72" w15:done="0"/>
  <w15:commentEx w15:paraId="7CF45ECD" w15:done="0"/>
  <w15:commentEx w15:paraId="338D1373" w15:done="0"/>
  <w15:commentEx w15:paraId="43C35939" w15:done="0"/>
  <w15:commentEx w15:paraId="528682B1" w15:done="0"/>
  <w15:commentEx w15:paraId="24015FDC" w15:done="0"/>
  <w15:commentEx w15:paraId="6D377353" w15:done="0"/>
  <w15:commentEx w15:paraId="26044C70" w15:done="0"/>
  <w15:commentEx w15:paraId="6C7D4960" w15:done="0"/>
  <w15:commentEx w15:paraId="1E235CB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778D34" w14:textId="77777777" w:rsidR="00A96009" w:rsidRDefault="00A96009" w:rsidP="005C73CA">
      <w:pPr>
        <w:spacing w:after="0" w:line="240" w:lineRule="auto"/>
      </w:pPr>
      <w:r>
        <w:separator/>
      </w:r>
    </w:p>
  </w:endnote>
  <w:endnote w:type="continuationSeparator" w:id="0">
    <w:p w14:paraId="61E68F6B" w14:textId="77777777" w:rsidR="00A96009" w:rsidRDefault="00A96009"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FKNNFM+TimesNewRoman,Itali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FKNBDB+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026" w14:textId="636E0D3D" w:rsidR="00A96009" w:rsidRDefault="00A96009">
    <w:pPr>
      <w:pStyle w:val="Footer"/>
    </w:pPr>
    <w:r>
      <w:t>Version 7.1 9/6/2017</w:t>
    </w:r>
    <w:r>
      <w:ptab w:relativeTo="margin" w:alignment="right" w:leader="none"/>
    </w:r>
    <w:r>
      <w:fldChar w:fldCharType="begin"/>
    </w:r>
    <w:r>
      <w:instrText xml:space="preserve"> PAGE   \* MERGEFORMAT </w:instrText>
    </w:r>
    <w:r>
      <w:fldChar w:fldCharType="separate"/>
    </w:r>
    <w:r w:rsidR="00ED2A30">
      <w:rPr>
        <w:noProof/>
      </w:rPr>
      <w:t>27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2F221F" w14:textId="77777777" w:rsidR="00A96009" w:rsidRDefault="00A96009" w:rsidP="005C73CA">
      <w:pPr>
        <w:spacing w:after="0" w:line="240" w:lineRule="auto"/>
      </w:pPr>
      <w:r>
        <w:separator/>
      </w:r>
    </w:p>
  </w:footnote>
  <w:footnote w:type="continuationSeparator" w:id="0">
    <w:p w14:paraId="1761351A" w14:textId="77777777" w:rsidR="00A96009" w:rsidRDefault="00A96009" w:rsidP="005C73CA">
      <w:pPr>
        <w:spacing w:after="0" w:line="240" w:lineRule="auto"/>
      </w:pPr>
      <w:r>
        <w:continuationSeparator/>
      </w:r>
    </w:p>
  </w:footnote>
  <w:footnote w:id="1">
    <w:p w14:paraId="33C87248" w14:textId="6E4FB8EE" w:rsidR="00A96009" w:rsidRDefault="00A96009">
      <w:pPr>
        <w:pStyle w:val="FootnoteText"/>
      </w:pPr>
      <w:r>
        <w:rPr>
          <w:rStyle w:val="FootnoteReference"/>
        </w:rPr>
        <w:footnoteRef/>
      </w:r>
      <w:r>
        <w:t xml:space="preserve"> A minimum of 40 episodes is used instead of the 20 episode criteria for public reporting because the ICC requires splitting each HHA into two samples. To ensure that each sample has a 20 episode minimum, we use a 40 episode minimum for the HHA when evaluating test-retest reliability.</w:t>
      </w:r>
      <w:r w:rsidRPr="00AD1313">
        <w:t xml:space="preserve"> </w:t>
      </w:r>
      <w:r>
        <w:t xml:space="preserve"> </w:t>
      </w:r>
    </w:p>
  </w:footnote>
  <w:footnote w:id="2">
    <w:p w14:paraId="6542300B" w14:textId="77777777" w:rsidR="00A96009" w:rsidRPr="00200CF9" w:rsidRDefault="00A96009" w:rsidP="00D57727">
      <w:pPr>
        <w:pStyle w:val="FootnoteText"/>
      </w:pPr>
      <w:r>
        <w:rPr>
          <w:rStyle w:val="FootnoteReference"/>
        </w:rPr>
        <w:footnoteRef/>
      </w:r>
      <w:r>
        <w:t xml:space="preserve"> </w:t>
      </w:r>
      <w:r w:rsidRPr="006A23D2">
        <w:t>For more information about re</w:t>
      </w:r>
      <w:r>
        <w:t xml:space="preserve">liability testing for </w:t>
      </w:r>
      <w:r w:rsidRPr="006A23D2">
        <w:t>performance measurement</w:t>
      </w:r>
      <w:r>
        <w:t>, as well as the methodology for constructing the reliability score reported on Table 6</w:t>
      </w:r>
      <w:r w:rsidRPr="006A23D2">
        <w:t>, see “Reliability of Provider Profiling: A Tutorial” by John Adams, RAND</w:t>
      </w:r>
      <w:r w:rsidRPr="004F4778">
        <w:t xml:space="preserve">.  </w:t>
      </w:r>
      <w:r w:rsidRPr="006A23D2">
        <w:t>http://www.rand.org/pubs/technical_reports/TR653.html</w:t>
      </w:r>
    </w:p>
  </w:footnote>
  <w:footnote w:id="3">
    <w:p w14:paraId="73284D0F" w14:textId="77777777" w:rsidR="00A96009" w:rsidRDefault="00A96009" w:rsidP="002132D3">
      <w:pPr>
        <w:pStyle w:val="FootnoteText"/>
      </w:pPr>
      <w:r>
        <w:rPr>
          <w:rStyle w:val="FootnoteReference"/>
        </w:rPr>
        <w:footnoteRef/>
      </w:r>
      <w:r>
        <w:t xml:space="preserve"> Abt Associates (2018). “OASIS Field Test Summary Report: Outcome and Assessment Information Set (OASIS) Quality Measure Development and Maintenance Project.”</w:t>
      </w:r>
    </w:p>
  </w:footnote>
  <w:footnote w:id="4">
    <w:p w14:paraId="35086437" w14:textId="1FC399FB" w:rsidR="00A96009" w:rsidRDefault="00A96009">
      <w:pPr>
        <w:pStyle w:val="FootnoteText"/>
      </w:pPr>
      <w:r>
        <w:rPr>
          <w:rStyle w:val="FootnoteReference"/>
        </w:rPr>
        <w:footnoteRef/>
      </w:r>
      <w:r>
        <w:t xml:space="preserve"> Landis JR, Koch GG. The measurement of observer agreement for categorical data. Biometrics, 1977. 33(1):159-174.</w:t>
      </w:r>
    </w:p>
  </w:footnote>
  <w:footnote w:id="5">
    <w:p w14:paraId="797EE3EE" w14:textId="77777777" w:rsidR="00A96009" w:rsidRDefault="00A96009" w:rsidP="00CF3C68">
      <w:pPr>
        <w:pStyle w:val="FootnoteText"/>
      </w:pPr>
      <w:r>
        <w:rPr>
          <w:rStyle w:val="FootnoteReference"/>
        </w:rPr>
        <w:footnoteRef/>
      </w:r>
      <w:r>
        <w:t xml:space="preserve"> National Academies of Sciences, Engineering, and Medicine. (2016). Accounting for Social Risk Factors in Medicare Payment: Identifying Social Risk Factors. National Academies Press; Office of the Assistant Secretary for Planning and Evaluation (2016). Report to Congress: Social Risk Factors and Performance </w:t>
      </w:r>
      <w:proofErr w:type="gramStart"/>
      <w:r>
        <w:t>Under</w:t>
      </w:r>
      <w:proofErr w:type="gramEnd"/>
      <w:r>
        <w:t xml:space="preserve"> Medicare’s Value-Based Purchasing Programs. United States Department of Health and Human Services; </w:t>
      </w:r>
      <w:r w:rsidRPr="009A1141">
        <w:rPr>
          <w:sz w:val="18"/>
          <w:szCs w:val="18"/>
        </w:rPr>
        <w:t xml:space="preserve">National Quality Forum (2016). </w:t>
      </w:r>
      <w:r w:rsidRPr="008D63C8">
        <w:t xml:space="preserve">Early Results of SES Trial Reveal Need for Better Data and SES Variables. Available at: </w:t>
      </w:r>
      <w:hyperlink r:id="rId1" w:history="1">
        <w:r w:rsidRPr="008D63C8">
          <w:t>http://www.qualityforum.org/SES_Trial_Period_Update.aspx</w:t>
        </w:r>
      </w:hyperlink>
    </w:p>
  </w:footnote>
  <w:footnote w:id="6">
    <w:p w14:paraId="0B821FAF" w14:textId="77777777" w:rsidR="00A96009" w:rsidRDefault="00A96009">
      <w:pPr>
        <w:pStyle w:val="FootnoteText"/>
        <w:rPr>
          <w:rFonts w:ascii="Times" w:hAnsi="Times" w:cs="Arial"/>
          <w:color w:val="222222"/>
          <w:shd w:val="clear" w:color="auto" w:fill="FFFFFF"/>
        </w:rPr>
      </w:pPr>
      <w:r>
        <w:rPr>
          <w:rStyle w:val="FootnoteReference"/>
        </w:rPr>
        <w:footnoteRef/>
      </w:r>
      <w:r>
        <w:t xml:space="preserve"> </w:t>
      </w:r>
      <w:r>
        <w:rPr>
          <w:rFonts w:ascii="Times" w:hAnsi="Times" w:cs="Arial"/>
          <w:color w:val="222222"/>
          <w:shd w:val="clear" w:color="auto" w:fill="FFFFFF"/>
        </w:rPr>
        <w:t>Befort, C. A., Nazir, N., &amp; Perri, M. G. (2012). Prevalence of obesity among adults from rural and urban areas of the United States: findings from NHANES (2005</w:t>
      </w:r>
      <w:r>
        <w:rPr>
          <w:rFonts w:ascii="Cambria Math" w:hAnsi="Cambria Math" w:cs="Cambria Math"/>
          <w:color w:val="222222"/>
          <w:shd w:val="clear" w:color="auto" w:fill="FFFFFF"/>
        </w:rPr>
        <w:t>‐</w:t>
      </w:r>
      <w:r>
        <w:rPr>
          <w:rFonts w:ascii="Times" w:hAnsi="Times" w:cs="Arial"/>
          <w:color w:val="222222"/>
          <w:shd w:val="clear" w:color="auto" w:fill="FFFFFF"/>
        </w:rPr>
        <w:t>2008).</w:t>
      </w:r>
      <w:r>
        <w:rPr>
          <w:rStyle w:val="apple-converted-space"/>
          <w:rFonts w:ascii="Times" w:hAnsi="Times" w:cs="Arial"/>
          <w:color w:val="222222"/>
          <w:shd w:val="clear" w:color="auto" w:fill="FFFFFF"/>
        </w:rPr>
        <w:t> </w:t>
      </w:r>
      <w:r>
        <w:rPr>
          <w:rFonts w:ascii="Times" w:hAnsi="Times" w:cs="Arial"/>
          <w:i/>
          <w:iCs/>
          <w:color w:val="222222"/>
        </w:rPr>
        <w:t>The Journal of Rural Health</w:t>
      </w:r>
      <w:r>
        <w:rPr>
          <w:rFonts w:ascii="Times" w:hAnsi="Times" w:cs="Arial"/>
          <w:color w:val="222222"/>
          <w:shd w:val="clear" w:color="auto" w:fill="FFFFFF"/>
        </w:rPr>
        <w:t>,</w:t>
      </w:r>
      <w:r>
        <w:rPr>
          <w:rStyle w:val="apple-converted-space"/>
          <w:rFonts w:ascii="Times" w:hAnsi="Times" w:cs="Arial"/>
          <w:color w:val="222222"/>
          <w:shd w:val="clear" w:color="auto" w:fill="FFFFFF"/>
        </w:rPr>
        <w:t> </w:t>
      </w:r>
      <w:r>
        <w:rPr>
          <w:rFonts w:ascii="Times" w:hAnsi="Times" w:cs="Arial"/>
          <w:i/>
          <w:iCs/>
          <w:color w:val="222222"/>
        </w:rPr>
        <w:t>28</w:t>
      </w:r>
      <w:r>
        <w:rPr>
          <w:rFonts w:ascii="Times" w:hAnsi="Times" w:cs="Arial"/>
          <w:color w:val="222222"/>
          <w:shd w:val="clear" w:color="auto" w:fill="FFFFFF"/>
        </w:rPr>
        <w:t xml:space="preserve">(4), 392-397. </w:t>
      </w:r>
    </w:p>
    <w:p w14:paraId="78886A3F" w14:textId="77777777" w:rsidR="00A96009" w:rsidRDefault="00A96009">
      <w:pPr>
        <w:pStyle w:val="FootnoteText"/>
        <w:rPr>
          <w:rFonts w:ascii="Times" w:hAnsi="Times" w:cs="Arial"/>
          <w:color w:val="222222"/>
          <w:shd w:val="clear" w:color="auto" w:fill="FFFFFF"/>
        </w:rPr>
      </w:pPr>
    </w:p>
    <w:p w14:paraId="6F195113" w14:textId="1A062364" w:rsidR="00A96009" w:rsidRDefault="00A96009">
      <w:pPr>
        <w:pStyle w:val="FootnoteText"/>
      </w:pPr>
      <w:r>
        <w:rPr>
          <w:rFonts w:ascii="Times" w:hAnsi="Times" w:cs="Arial"/>
          <w:color w:val="222222"/>
          <w:shd w:val="clear" w:color="auto" w:fill="FFFFFF"/>
        </w:rPr>
        <w:t>Dye, C., Willoughby, D., Aybar-Damali, B., Grady, C., Oran, R., &amp; Knudson, A. (2018). Improving Chronic Disease Self-Management by Older Home Health Patients through Community Health Coaching. </w:t>
      </w:r>
      <w:r>
        <w:rPr>
          <w:rFonts w:ascii="Times" w:hAnsi="Times" w:cs="Arial"/>
          <w:i/>
          <w:iCs/>
          <w:color w:val="222222"/>
        </w:rPr>
        <w:t>International journal of environmental research and public health</w:t>
      </w:r>
      <w:r>
        <w:rPr>
          <w:rFonts w:ascii="Times" w:hAnsi="Times" w:cs="Arial"/>
          <w:color w:val="222222"/>
          <w:shd w:val="clear" w:color="auto" w:fill="FFFFFF"/>
        </w:rPr>
        <w:t>, </w:t>
      </w:r>
      <w:r>
        <w:rPr>
          <w:rFonts w:ascii="Times" w:hAnsi="Times" w:cs="Arial"/>
          <w:i/>
          <w:iCs/>
          <w:color w:val="222222"/>
        </w:rPr>
        <w:t>15</w:t>
      </w:r>
      <w:r>
        <w:rPr>
          <w:rFonts w:ascii="Times" w:hAnsi="Times" w:cs="Arial"/>
          <w:color w:val="222222"/>
          <w:shd w:val="clear" w:color="auto" w:fill="FFFFFF"/>
        </w:rPr>
        <w:t>(4), 660.</w:t>
      </w:r>
    </w:p>
  </w:footnote>
  <w:footnote w:id="7">
    <w:p w14:paraId="19AFA4C7" w14:textId="1478C891" w:rsidR="00A96009" w:rsidRDefault="00A96009">
      <w:pPr>
        <w:pStyle w:val="FootnoteText"/>
      </w:pPr>
      <w:r>
        <w:rPr>
          <w:rStyle w:val="FootnoteReference"/>
        </w:rPr>
        <w:footnoteRef/>
      </w:r>
      <w:r>
        <w:t xml:space="preserve"> </w:t>
      </w:r>
      <w:r w:rsidRPr="004F0080">
        <w:t>https://www.cms.gov/Medicare/Quality-Initiatives-Patient-Assessment-Instruments/HomeHealthQualityInits/Downloads/QoPC-Methodology_for_April_2018.pdf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ABD025" w14:textId="77777777" w:rsidR="00A96009" w:rsidRPr="00105D8B" w:rsidRDefault="00A96009"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40F6D26"/>
    <w:multiLevelType w:val="hybridMultilevel"/>
    <w:tmpl w:val="25128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A0D16A8"/>
    <w:multiLevelType w:val="hybridMultilevel"/>
    <w:tmpl w:val="B98EF7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2DF38D4"/>
    <w:multiLevelType w:val="hybridMultilevel"/>
    <w:tmpl w:val="AE6E386C"/>
    <w:lvl w:ilvl="0" w:tplc="53DC6F98">
      <w:start w:val="1"/>
      <w:numFmt w:val="bullet"/>
      <w:lvlText w:val="−"/>
      <w:lvlJc w:val="left"/>
      <w:pPr>
        <w:ind w:left="2205" w:hanging="360"/>
      </w:pPr>
      <w:rPr>
        <w:rFonts w:ascii="Arial" w:hAnsi="Arial" w:hint="default"/>
      </w:rPr>
    </w:lvl>
    <w:lvl w:ilvl="1" w:tplc="04090003" w:tentative="1">
      <w:start w:val="1"/>
      <w:numFmt w:val="bullet"/>
      <w:lvlText w:val="o"/>
      <w:lvlJc w:val="left"/>
      <w:pPr>
        <w:ind w:left="2925" w:hanging="360"/>
      </w:pPr>
      <w:rPr>
        <w:rFonts w:ascii="Courier New" w:hAnsi="Courier New" w:cs="Courier New" w:hint="default"/>
      </w:rPr>
    </w:lvl>
    <w:lvl w:ilvl="2" w:tplc="04090005" w:tentative="1">
      <w:start w:val="1"/>
      <w:numFmt w:val="bullet"/>
      <w:lvlText w:val=""/>
      <w:lvlJc w:val="left"/>
      <w:pPr>
        <w:ind w:left="3645" w:hanging="360"/>
      </w:pPr>
      <w:rPr>
        <w:rFonts w:ascii="Wingdings" w:hAnsi="Wingdings" w:hint="default"/>
      </w:rPr>
    </w:lvl>
    <w:lvl w:ilvl="3" w:tplc="04090001" w:tentative="1">
      <w:start w:val="1"/>
      <w:numFmt w:val="bullet"/>
      <w:lvlText w:val=""/>
      <w:lvlJc w:val="left"/>
      <w:pPr>
        <w:ind w:left="4365" w:hanging="360"/>
      </w:pPr>
      <w:rPr>
        <w:rFonts w:ascii="Symbol" w:hAnsi="Symbol" w:hint="default"/>
      </w:rPr>
    </w:lvl>
    <w:lvl w:ilvl="4" w:tplc="04090003" w:tentative="1">
      <w:start w:val="1"/>
      <w:numFmt w:val="bullet"/>
      <w:lvlText w:val="o"/>
      <w:lvlJc w:val="left"/>
      <w:pPr>
        <w:ind w:left="5085" w:hanging="360"/>
      </w:pPr>
      <w:rPr>
        <w:rFonts w:ascii="Courier New" w:hAnsi="Courier New" w:cs="Courier New" w:hint="default"/>
      </w:rPr>
    </w:lvl>
    <w:lvl w:ilvl="5" w:tplc="04090005" w:tentative="1">
      <w:start w:val="1"/>
      <w:numFmt w:val="bullet"/>
      <w:lvlText w:val=""/>
      <w:lvlJc w:val="left"/>
      <w:pPr>
        <w:ind w:left="5805" w:hanging="360"/>
      </w:pPr>
      <w:rPr>
        <w:rFonts w:ascii="Wingdings" w:hAnsi="Wingdings" w:hint="default"/>
      </w:rPr>
    </w:lvl>
    <w:lvl w:ilvl="6" w:tplc="04090001" w:tentative="1">
      <w:start w:val="1"/>
      <w:numFmt w:val="bullet"/>
      <w:lvlText w:val=""/>
      <w:lvlJc w:val="left"/>
      <w:pPr>
        <w:ind w:left="6525" w:hanging="360"/>
      </w:pPr>
      <w:rPr>
        <w:rFonts w:ascii="Symbol" w:hAnsi="Symbol" w:hint="default"/>
      </w:rPr>
    </w:lvl>
    <w:lvl w:ilvl="7" w:tplc="04090003" w:tentative="1">
      <w:start w:val="1"/>
      <w:numFmt w:val="bullet"/>
      <w:lvlText w:val="o"/>
      <w:lvlJc w:val="left"/>
      <w:pPr>
        <w:ind w:left="7245" w:hanging="360"/>
      </w:pPr>
      <w:rPr>
        <w:rFonts w:ascii="Courier New" w:hAnsi="Courier New" w:cs="Courier New" w:hint="default"/>
      </w:rPr>
    </w:lvl>
    <w:lvl w:ilvl="8" w:tplc="04090005" w:tentative="1">
      <w:start w:val="1"/>
      <w:numFmt w:val="bullet"/>
      <w:lvlText w:val=""/>
      <w:lvlJc w:val="left"/>
      <w:pPr>
        <w:ind w:left="7965" w:hanging="360"/>
      </w:pPr>
      <w:rPr>
        <w:rFonts w:ascii="Wingdings" w:hAnsi="Wingdings" w:hint="default"/>
      </w:rPr>
    </w:lvl>
  </w:abstractNum>
  <w:abstractNum w:abstractNumId="24">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6946886"/>
    <w:multiLevelType w:val="hybridMultilevel"/>
    <w:tmpl w:val="30664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51C6841"/>
    <w:multiLevelType w:val="hybridMultilevel"/>
    <w:tmpl w:val="945285D2"/>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9">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E9B3A7D"/>
    <w:multiLevelType w:val="hybridMultilevel"/>
    <w:tmpl w:val="0C2A102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433954"/>
    <w:multiLevelType w:val="hybridMultilevel"/>
    <w:tmpl w:val="AFDAE7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DB2317"/>
    <w:multiLevelType w:val="hybridMultilevel"/>
    <w:tmpl w:val="17662C70"/>
    <w:lvl w:ilvl="0" w:tplc="82E028D0">
      <w:start w:val="1"/>
      <w:numFmt w:val="decimal"/>
      <w:lvlText w:val="%1."/>
      <w:lvlJc w:val="left"/>
      <w:pPr>
        <w:ind w:left="1440" w:hanging="360"/>
      </w:pPr>
      <w:rPr>
        <w:rFonts w:cs="FKNNFM+TimesNewRoman,Italic"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4"/>
  </w:num>
  <w:num w:numId="4">
    <w:abstractNumId w:val="7"/>
  </w:num>
  <w:num w:numId="5">
    <w:abstractNumId w:val="3"/>
  </w:num>
  <w:num w:numId="6">
    <w:abstractNumId w:val="2"/>
  </w:num>
  <w:num w:numId="7">
    <w:abstractNumId w:val="5"/>
  </w:num>
  <w:num w:numId="8">
    <w:abstractNumId w:val="24"/>
  </w:num>
  <w:num w:numId="9">
    <w:abstractNumId w:val="12"/>
  </w:num>
  <w:num w:numId="10">
    <w:abstractNumId w:val="32"/>
  </w:num>
  <w:num w:numId="11">
    <w:abstractNumId w:val="14"/>
  </w:num>
  <w:num w:numId="12">
    <w:abstractNumId w:val="29"/>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10"/>
  </w:num>
  <w:num w:numId="17">
    <w:abstractNumId w:val="31"/>
  </w:num>
  <w:num w:numId="18">
    <w:abstractNumId w:val="27"/>
  </w:num>
  <w:num w:numId="19">
    <w:abstractNumId w:val="26"/>
  </w:num>
  <w:num w:numId="20">
    <w:abstractNumId w:val="18"/>
  </w:num>
  <w:num w:numId="21">
    <w:abstractNumId w:val="22"/>
  </w:num>
  <w:num w:numId="22">
    <w:abstractNumId w:val="17"/>
  </w:num>
  <w:num w:numId="23">
    <w:abstractNumId w:val="8"/>
  </w:num>
  <w:num w:numId="24">
    <w:abstractNumId w:val="16"/>
  </w:num>
  <w:num w:numId="25">
    <w:abstractNumId w:val="15"/>
  </w:num>
  <w:num w:numId="26">
    <w:abstractNumId w:val="35"/>
  </w:num>
  <w:num w:numId="27">
    <w:abstractNumId w:val="0"/>
  </w:num>
  <w:num w:numId="28">
    <w:abstractNumId w:val="11"/>
  </w:num>
  <w:num w:numId="29">
    <w:abstractNumId w:val="19"/>
  </w:num>
  <w:num w:numId="30">
    <w:abstractNumId w:val="25"/>
  </w:num>
  <w:num w:numId="31">
    <w:abstractNumId w:val="1"/>
  </w:num>
  <w:num w:numId="32">
    <w:abstractNumId w:val="28"/>
  </w:num>
  <w:num w:numId="33">
    <w:abstractNumId w:val="9"/>
  </w:num>
  <w:num w:numId="34">
    <w:abstractNumId w:val="33"/>
  </w:num>
  <w:num w:numId="35">
    <w:abstractNumId w:val="23"/>
  </w:num>
  <w:num w:numId="36">
    <w:abstractNumId w:val="30"/>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OL SCHWARTZ">
    <w15:presenceInfo w15:providerId="AD" w15:userId="S-1-5-21-4095628063-3556742122-3606576086-74500"/>
  </w15:person>
  <w15:person w15:author="Seyoun Kim">
    <w15:presenceInfo w15:providerId="AD" w15:userId="S-1-5-21-4161449151-3199555679-2224323722-62967"/>
  </w15:person>
  <w15:person w15:author="Alan Levitt">
    <w15:presenceInfo w15:providerId="AD" w15:userId="S-1-5-21-4095628063-3556742122-3606576086-100756"/>
  </w15:person>
  <w15:person w15:author="Morris Hamilton">
    <w15:presenceInfo w15:providerId="AD" w15:userId="S-1-5-21-4161449151-3199555679-2224323722-62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11B91"/>
    <w:rsid w:val="00014A4E"/>
    <w:rsid w:val="000167DD"/>
    <w:rsid w:val="00021170"/>
    <w:rsid w:val="0002128B"/>
    <w:rsid w:val="00024DFD"/>
    <w:rsid w:val="00027AB8"/>
    <w:rsid w:val="000309DD"/>
    <w:rsid w:val="00031414"/>
    <w:rsid w:val="00033038"/>
    <w:rsid w:val="00033D63"/>
    <w:rsid w:val="0003436F"/>
    <w:rsid w:val="000372AA"/>
    <w:rsid w:val="0004044B"/>
    <w:rsid w:val="000414E8"/>
    <w:rsid w:val="0004593A"/>
    <w:rsid w:val="00047AE4"/>
    <w:rsid w:val="00050A3E"/>
    <w:rsid w:val="00052A6F"/>
    <w:rsid w:val="00053F02"/>
    <w:rsid w:val="00054E6C"/>
    <w:rsid w:val="0005612B"/>
    <w:rsid w:val="000574AB"/>
    <w:rsid w:val="0006147A"/>
    <w:rsid w:val="0006234F"/>
    <w:rsid w:val="000665A9"/>
    <w:rsid w:val="000775F8"/>
    <w:rsid w:val="00080CF7"/>
    <w:rsid w:val="000851B2"/>
    <w:rsid w:val="00092566"/>
    <w:rsid w:val="000968F8"/>
    <w:rsid w:val="00097012"/>
    <w:rsid w:val="000A2F48"/>
    <w:rsid w:val="000B032A"/>
    <w:rsid w:val="000B2DF7"/>
    <w:rsid w:val="000B3880"/>
    <w:rsid w:val="000B3F72"/>
    <w:rsid w:val="000B50F9"/>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35FDF"/>
    <w:rsid w:val="00145149"/>
    <w:rsid w:val="00145D4F"/>
    <w:rsid w:val="0014773C"/>
    <w:rsid w:val="0017696D"/>
    <w:rsid w:val="001848FC"/>
    <w:rsid w:val="00186C8A"/>
    <w:rsid w:val="00190D29"/>
    <w:rsid w:val="00193F21"/>
    <w:rsid w:val="001969C5"/>
    <w:rsid w:val="001A6CDD"/>
    <w:rsid w:val="001C12EE"/>
    <w:rsid w:val="001C3C78"/>
    <w:rsid w:val="001C7B02"/>
    <w:rsid w:val="001D655E"/>
    <w:rsid w:val="001E4DD4"/>
    <w:rsid w:val="001E69DC"/>
    <w:rsid w:val="001F169D"/>
    <w:rsid w:val="001F1DA1"/>
    <w:rsid w:val="001F309F"/>
    <w:rsid w:val="001F576B"/>
    <w:rsid w:val="001F6F93"/>
    <w:rsid w:val="001F7A20"/>
    <w:rsid w:val="00203680"/>
    <w:rsid w:val="0021054A"/>
    <w:rsid w:val="0021195A"/>
    <w:rsid w:val="002132D3"/>
    <w:rsid w:val="00213383"/>
    <w:rsid w:val="00220250"/>
    <w:rsid w:val="00222444"/>
    <w:rsid w:val="00222D7D"/>
    <w:rsid w:val="0022546C"/>
    <w:rsid w:val="0022691B"/>
    <w:rsid w:val="00232163"/>
    <w:rsid w:val="002376F8"/>
    <w:rsid w:val="002408E4"/>
    <w:rsid w:val="00241591"/>
    <w:rsid w:val="00250361"/>
    <w:rsid w:val="00250B4F"/>
    <w:rsid w:val="0025762F"/>
    <w:rsid w:val="0026347A"/>
    <w:rsid w:val="00275563"/>
    <w:rsid w:val="00280224"/>
    <w:rsid w:val="0028114D"/>
    <w:rsid w:val="00287649"/>
    <w:rsid w:val="00287E84"/>
    <w:rsid w:val="0029286C"/>
    <w:rsid w:val="0029300E"/>
    <w:rsid w:val="002B0C3A"/>
    <w:rsid w:val="002B2116"/>
    <w:rsid w:val="002B214A"/>
    <w:rsid w:val="002B2D9B"/>
    <w:rsid w:val="002B5016"/>
    <w:rsid w:val="002B742C"/>
    <w:rsid w:val="002B7F4D"/>
    <w:rsid w:val="002C285C"/>
    <w:rsid w:val="002C3B7A"/>
    <w:rsid w:val="002C7BE4"/>
    <w:rsid w:val="002D417D"/>
    <w:rsid w:val="002D5E5D"/>
    <w:rsid w:val="002E78A0"/>
    <w:rsid w:val="002F228A"/>
    <w:rsid w:val="002F2687"/>
    <w:rsid w:val="002F48E1"/>
    <w:rsid w:val="002F4F3B"/>
    <w:rsid w:val="00304C86"/>
    <w:rsid w:val="003059EB"/>
    <w:rsid w:val="00307886"/>
    <w:rsid w:val="003116AC"/>
    <w:rsid w:val="00314E37"/>
    <w:rsid w:val="00315567"/>
    <w:rsid w:val="00330144"/>
    <w:rsid w:val="00334329"/>
    <w:rsid w:val="0034067E"/>
    <w:rsid w:val="00345CBA"/>
    <w:rsid w:val="00346245"/>
    <w:rsid w:val="00356267"/>
    <w:rsid w:val="00356BAD"/>
    <w:rsid w:val="003605B4"/>
    <w:rsid w:val="003627AC"/>
    <w:rsid w:val="00366914"/>
    <w:rsid w:val="00372FE3"/>
    <w:rsid w:val="003755CB"/>
    <w:rsid w:val="00383F85"/>
    <w:rsid w:val="00387BA1"/>
    <w:rsid w:val="00394DC3"/>
    <w:rsid w:val="003A306C"/>
    <w:rsid w:val="003A7DE7"/>
    <w:rsid w:val="003A7FDE"/>
    <w:rsid w:val="003B1006"/>
    <w:rsid w:val="003C4FCB"/>
    <w:rsid w:val="003C5F11"/>
    <w:rsid w:val="003C6994"/>
    <w:rsid w:val="003D294B"/>
    <w:rsid w:val="003D6401"/>
    <w:rsid w:val="003E1863"/>
    <w:rsid w:val="003F401A"/>
    <w:rsid w:val="00401085"/>
    <w:rsid w:val="00401F10"/>
    <w:rsid w:val="0040413C"/>
    <w:rsid w:val="00413AC6"/>
    <w:rsid w:val="0041606D"/>
    <w:rsid w:val="00416962"/>
    <w:rsid w:val="004206A8"/>
    <w:rsid w:val="00430E11"/>
    <w:rsid w:val="004348CC"/>
    <w:rsid w:val="00436FF5"/>
    <w:rsid w:val="00450C58"/>
    <w:rsid w:val="004658FF"/>
    <w:rsid w:val="004715B5"/>
    <w:rsid w:val="00472334"/>
    <w:rsid w:val="00474ED7"/>
    <w:rsid w:val="004756E1"/>
    <w:rsid w:val="0048008A"/>
    <w:rsid w:val="00483E94"/>
    <w:rsid w:val="00484120"/>
    <w:rsid w:val="004853A0"/>
    <w:rsid w:val="00490479"/>
    <w:rsid w:val="00496B5F"/>
    <w:rsid w:val="004A2E10"/>
    <w:rsid w:val="004B0682"/>
    <w:rsid w:val="004B17FF"/>
    <w:rsid w:val="004B1BA0"/>
    <w:rsid w:val="004B6CEE"/>
    <w:rsid w:val="004C1042"/>
    <w:rsid w:val="004C1C95"/>
    <w:rsid w:val="004C2443"/>
    <w:rsid w:val="004C498F"/>
    <w:rsid w:val="004C5D29"/>
    <w:rsid w:val="004C681A"/>
    <w:rsid w:val="004D4D8A"/>
    <w:rsid w:val="004F0080"/>
    <w:rsid w:val="004F570A"/>
    <w:rsid w:val="004F5E7C"/>
    <w:rsid w:val="004F68EE"/>
    <w:rsid w:val="005038D5"/>
    <w:rsid w:val="00504967"/>
    <w:rsid w:val="00505051"/>
    <w:rsid w:val="00511BA4"/>
    <w:rsid w:val="005149E7"/>
    <w:rsid w:val="00520998"/>
    <w:rsid w:val="00522334"/>
    <w:rsid w:val="005232D6"/>
    <w:rsid w:val="005333CC"/>
    <w:rsid w:val="005363F1"/>
    <w:rsid w:val="00537C1B"/>
    <w:rsid w:val="0055007C"/>
    <w:rsid w:val="005542CB"/>
    <w:rsid w:val="00554922"/>
    <w:rsid w:val="00555282"/>
    <w:rsid w:val="005560E7"/>
    <w:rsid w:val="005612CC"/>
    <w:rsid w:val="00563029"/>
    <w:rsid w:val="00565946"/>
    <w:rsid w:val="00567D12"/>
    <w:rsid w:val="0057354C"/>
    <w:rsid w:val="00576062"/>
    <w:rsid w:val="0058046B"/>
    <w:rsid w:val="0059559F"/>
    <w:rsid w:val="0059766E"/>
    <w:rsid w:val="005A49FF"/>
    <w:rsid w:val="005A7634"/>
    <w:rsid w:val="005B1C7D"/>
    <w:rsid w:val="005B6F04"/>
    <w:rsid w:val="005C0447"/>
    <w:rsid w:val="005C739F"/>
    <w:rsid w:val="005C73CA"/>
    <w:rsid w:val="005D03A3"/>
    <w:rsid w:val="005D4768"/>
    <w:rsid w:val="005D55EA"/>
    <w:rsid w:val="005E2CAB"/>
    <w:rsid w:val="005E429E"/>
    <w:rsid w:val="005F4DF4"/>
    <w:rsid w:val="00601ED4"/>
    <w:rsid w:val="006025EE"/>
    <w:rsid w:val="006030BC"/>
    <w:rsid w:val="00612866"/>
    <w:rsid w:val="00616EB5"/>
    <w:rsid w:val="006233EB"/>
    <w:rsid w:val="006269D4"/>
    <w:rsid w:val="00627169"/>
    <w:rsid w:val="006327D8"/>
    <w:rsid w:val="0064070A"/>
    <w:rsid w:val="00643A01"/>
    <w:rsid w:val="00645BE9"/>
    <w:rsid w:val="00651D44"/>
    <w:rsid w:val="006574D2"/>
    <w:rsid w:val="00662E89"/>
    <w:rsid w:val="00663563"/>
    <w:rsid w:val="006676D4"/>
    <w:rsid w:val="00670CBE"/>
    <w:rsid w:val="006729A2"/>
    <w:rsid w:val="00675535"/>
    <w:rsid w:val="00676AB2"/>
    <w:rsid w:val="00681359"/>
    <w:rsid w:val="00686D04"/>
    <w:rsid w:val="00690ECB"/>
    <w:rsid w:val="0069157C"/>
    <w:rsid w:val="00693DFB"/>
    <w:rsid w:val="00696262"/>
    <w:rsid w:val="006A227A"/>
    <w:rsid w:val="006C3A4F"/>
    <w:rsid w:val="006C4845"/>
    <w:rsid w:val="006D4428"/>
    <w:rsid w:val="006D58FA"/>
    <w:rsid w:val="006D6BC1"/>
    <w:rsid w:val="006E2BFC"/>
    <w:rsid w:val="006E5C57"/>
    <w:rsid w:val="006F22A5"/>
    <w:rsid w:val="006F4F0A"/>
    <w:rsid w:val="00702C73"/>
    <w:rsid w:val="00713394"/>
    <w:rsid w:val="0071761C"/>
    <w:rsid w:val="00724677"/>
    <w:rsid w:val="00724CF3"/>
    <w:rsid w:val="00725AC2"/>
    <w:rsid w:val="00732880"/>
    <w:rsid w:val="007416B9"/>
    <w:rsid w:val="007422FD"/>
    <w:rsid w:val="00743E46"/>
    <w:rsid w:val="00747C45"/>
    <w:rsid w:val="00750DC0"/>
    <w:rsid w:val="00752FAE"/>
    <w:rsid w:val="00756FDB"/>
    <w:rsid w:val="007629B6"/>
    <w:rsid w:val="007665BF"/>
    <w:rsid w:val="00770FCB"/>
    <w:rsid w:val="00771B2A"/>
    <w:rsid w:val="00774C66"/>
    <w:rsid w:val="007757CE"/>
    <w:rsid w:val="00775800"/>
    <w:rsid w:val="0079180E"/>
    <w:rsid w:val="007950CC"/>
    <w:rsid w:val="0079538B"/>
    <w:rsid w:val="007961B8"/>
    <w:rsid w:val="00797624"/>
    <w:rsid w:val="007A09EE"/>
    <w:rsid w:val="007A4828"/>
    <w:rsid w:val="007B093D"/>
    <w:rsid w:val="007B2069"/>
    <w:rsid w:val="007B7CF8"/>
    <w:rsid w:val="007C04A1"/>
    <w:rsid w:val="007C21FA"/>
    <w:rsid w:val="007D13B1"/>
    <w:rsid w:val="007D19C3"/>
    <w:rsid w:val="007D4351"/>
    <w:rsid w:val="007D7019"/>
    <w:rsid w:val="007E18DB"/>
    <w:rsid w:val="007E4CD2"/>
    <w:rsid w:val="007E6F1C"/>
    <w:rsid w:val="007F559F"/>
    <w:rsid w:val="00804C69"/>
    <w:rsid w:val="00805BCD"/>
    <w:rsid w:val="0080711D"/>
    <w:rsid w:val="008155CD"/>
    <w:rsid w:val="00833325"/>
    <w:rsid w:val="00840A41"/>
    <w:rsid w:val="00842F3C"/>
    <w:rsid w:val="00847701"/>
    <w:rsid w:val="008505D1"/>
    <w:rsid w:val="00855158"/>
    <w:rsid w:val="00857EA3"/>
    <w:rsid w:val="00857EE8"/>
    <w:rsid w:val="0086464B"/>
    <w:rsid w:val="008647FC"/>
    <w:rsid w:val="00864CA8"/>
    <w:rsid w:val="00865E2D"/>
    <w:rsid w:val="00870E6C"/>
    <w:rsid w:val="00875846"/>
    <w:rsid w:val="00877CDE"/>
    <w:rsid w:val="00881138"/>
    <w:rsid w:val="00881C08"/>
    <w:rsid w:val="00884486"/>
    <w:rsid w:val="008871A9"/>
    <w:rsid w:val="008916BA"/>
    <w:rsid w:val="00892176"/>
    <w:rsid w:val="008A1DB7"/>
    <w:rsid w:val="008A403A"/>
    <w:rsid w:val="008A4C13"/>
    <w:rsid w:val="008B17E2"/>
    <w:rsid w:val="008B604D"/>
    <w:rsid w:val="008C22CF"/>
    <w:rsid w:val="008C54A9"/>
    <w:rsid w:val="008D32F7"/>
    <w:rsid w:val="008E2735"/>
    <w:rsid w:val="008E4E1B"/>
    <w:rsid w:val="008E67C3"/>
    <w:rsid w:val="008E7F4A"/>
    <w:rsid w:val="008F27F1"/>
    <w:rsid w:val="008F589F"/>
    <w:rsid w:val="008F76A9"/>
    <w:rsid w:val="008F7E67"/>
    <w:rsid w:val="00900DBF"/>
    <w:rsid w:val="00902A2B"/>
    <w:rsid w:val="009048B9"/>
    <w:rsid w:val="00904E91"/>
    <w:rsid w:val="00915886"/>
    <w:rsid w:val="009214DC"/>
    <w:rsid w:val="00924770"/>
    <w:rsid w:val="00927027"/>
    <w:rsid w:val="009344BA"/>
    <w:rsid w:val="00946E61"/>
    <w:rsid w:val="00947F78"/>
    <w:rsid w:val="00952BD7"/>
    <w:rsid w:val="00953234"/>
    <w:rsid w:val="00961EAF"/>
    <w:rsid w:val="0096278F"/>
    <w:rsid w:val="009726E1"/>
    <w:rsid w:val="00972A04"/>
    <w:rsid w:val="00977591"/>
    <w:rsid w:val="00980E75"/>
    <w:rsid w:val="00987C45"/>
    <w:rsid w:val="00994BE0"/>
    <w:rsid w:val="009A25B1"/>
    <w:rsid w:val="009A4608"/>
    <w:rsid w:val="009A6A57"/>
    <w:rsid w:val="009A70BF"/>
    <w:rsid w:val="009B1A15"/>
    <w:rsid w:val="009C0852"/>
    <w:rsid w:val="009C13CA"/>
    <w:rsid w:val="009C32C6"/>
    <w:rsid w:val="009C665F"/>
    <w:rsid w:val="009C6B71"/>
    <w:rsid w:val="009C7513"/>
    <w:rsid w:val="009D00B1"/>
    <w:rsid w:val="009D1610"/>
    <w:rsid w:val="009D2E8B"/>
    <w:rsid w:val="009D3882"/>
    <w:rsid w:val="009D7E38"/>
    <w:rsid w:val="009E095B"/>
    <w:rsid w:val="009E1846"/>
    <w:rsid w:val="009E78FF"/>
    <w:rsid w:val="009E7CC7"/>
    <w:rsid w:val="009F4C2F"/>
    <w:rsid w:val="00A01494"/>
    <w:rsid w:val="00A019D5"/>
    <w:rsid w:val="00A21CC0"/>
    <w:rsid w:val="00A22FA9"/>
    <w:rsid w:val="00A24262"/>
    <w:rsid w:val="00A25024"/>
    <w:rsid w:val="00A35F8F"/>
    <w:rsid w:val="00A41377"/>
    <w:rsid w:val="00A4263D"/>
    <w:rsid w:val="00A430BF"/>
    <w:rsid w:val="00A509B8"/>
    <w:rsid w:val="00A52AB9"/>
    <w:rsid w:val="00A56670"/>
    <w:rsid w:val="00A6210B"/>
    <w:rsid w:val="00A64EBF"/>
    <w:rsid w:val="00A71200"/>
    <w:rsid w:val="00A7323A"/>
    <w:rsid w:val="00A831B4"/>
    <w:rsid w:val="00A869F9"/>
    <w:rsid w:val="00A90D61"/>
    <w:rsid w:val="00A96009"/>
    <w:rsid w:val="00A97798"/>
    <w:rsid w:val="00AA0BDA"/>
    <w:rsid w:val="00AA5213"/>
    <w:rsid w:val="00AA65A6"/>
    <w:rsid w:val="00AC1D8E"/>
    <w:rsid w:val="00AC204C"/>
    <w:rsid w:val="00AC2C87"/>
    <w:rsid w:val="00AC48FA"/>
    <w:rsid w:val="00AD0240"/>
    <w:rsid w:val="00AD1313"/>
    <w:rsid w:val="00AD4137"/>
    <w:rsid w:val="00AD5101"/>
    <w:rsid w:val="00AE6B18"/>
    <w:rsid w:val="00AF2D68"/>
    <w:rsid w:val="00B037BA"/>
    <w:rsid w:val="00B17DF6"/>
    <w:rsid w:val="00B20139"/>
    <w:rsid w:val="00B218DA"/>
    <w:rsid w:val="00B342FA"/>
    <w:rsid w:val="00B45126"/>
    <w:rsid w:val="00B53E8B"/>
    <w:rsid w:val="00B67A96"/>
    <w:rsid w:val="00B71EB8"/>
    <w:rsid w:val="00B7714A"/>
    <w:rsid w:val="00B774D2"/>
    <w:rsid w:val="00B8015A"/>
    <w:rsid w:val="00B82A57"/>
    <w:rsid w:val="00BA053B"/>
    <w:rsid w:val="00BB35AE"/>
    <w:rsid w:val="00BB4AF9"/>
    <w:rsid w:val="00BB579C"/>
    <w:rsid w:val="00BC03A1"/>
    <w:rsid w:val="00BC0D25"/>
    <w:rsid w:val="00BD2505"/>
    <w:rsid w:val="00BE592D"/>
    <w:rsid w:val="00BF52B0"/>
    <w:rsid w:val="00BF5697"/>
    <w:rsid w:val="00C14CCC"/>
    <w:rsid w:val="00C1695E"/>
    <w:rsid w:val="00C22C1C"/>
    <w:rsid w:val="00C22D2A"/>
    <w:rsid w:val="00C23075"/>
    <w:rsid w:val="00C3112C"/>
    <w:rsid w:val="00C33F2E"/>
    <w:rsid w:val="00C34936"/>
    <w:rsid w:val="00C34C14"/>
    <w:rsid w:val="00C355B9"/>
    <w:rsid w:val="00C37EF1"/>
    <w:rsid w:val="00C401C4"/>
    <w:rsid w:val="00C41680"/>
    <w:rsid w:val="00C505F7"/>
    <w:rsid w:val="00C60A25"/>
    <w:rsid w:val="00C765C5"/>
    <w:rsid w:val="00C775CE"/>
    <w:rsid w:val="00C77818"/>
    <w:rsid w:val="00C82479"/>
    <w:rsid w:val="00C867F0"/>
    <w:rsid w:val="00C92E4B"/>
    <w:rsid w:val="00CA06D8"/>
    <w:rsid w:val="00CA345A"/>
    <w:rsid w:val="00CA4D00"/>
    <w:rsid w:val="00CB49FF"/>
    <w:rsid w:val="00CC02CF"/>
    <w:rsid w:val="00CC086A"/>
    <w:rsid w:val="00CD0E24"/>
    <w:rsid w:val="00CD0F66"/>
    <w:rsid w:val="00CD2B78"/>
    <w:rsid w:val="00CD364B"/>
    <w:rsid w:val="00CE23B8"/>
    <w:rsid w:val="00CE284E"/>
    <w:rsid w:val="00CE50D7"/>
    <w:rsid w:val="00CF14DE"/>
    <w:rsid w:val="00CF389A"/>
    <w:rsid w:val="00CF3C68"/>
    <w:rsid w:val="00CF4CBE"/>
    <w:rsid w:val="00CF70DC"/>
    <w:rsid w:val="00CF71DA"/>
    <w:rsid w:val="00D00344"/>
    <w:rsid w:val="00D1754D"/>
    <w:rsid w:val="00D2223F"/>
    <w:rsid w:val="00D274A4"/>
    <w:rsid w:val="00D277AF"/>
    <w:rsid w:val="00D31163"/>
    <w:rsid w:val="00D320B1"/>
    <w:rsid w:val="00D33AFD"/>
    <w:rsid w:val="00D36489"/>
    <w:rsid w:val="00D369E9"/>
    <w:rsid w:val="00D40A03"/>
    <w:rsid w:val="00D42195"/>
    <w:rsid w:val="00D50704"/>
    <w:rsid w:val="00D53D76"/>
    <w:rsid w:val="00D56527"/>
    <w:rsid w:val="00D5760A"/>
    <w:rsid w:val="00D57727"/>
    <w:rsid w:val="00D61410"/>
    <w:rsid w:val="00D72A04"/>
    <w:rsid w:val="00D8181D"/>
    <w:rsid w:val="00D968D8"/>
    <w:rsid w:val="00D97456"/>
    <w:rsid w:val="00DA563D"/>
    <w:rsid w:val="00DA7277"/>
    <w:rsid w:val="00DB1481"/>
    <w:rsid w:val="00DB3627"/>
    <w:rsid w:val="00DB4724"/>
    <w:rsid w:val="00DB6944"/>
    <w:rsid w:val="00DC1C1D"/>
    <w:rsid w:val="00DC4746"/>
    <w:rsid w:val="00DD6276"/>
    <w:rsid w:val="00DE59C3"/>
    <w:rsid w:val="00DE7149"/>
    <w:rsid w:val="00DF4CC6"/>
    <w:rsid w:val="00DF5B31"/>
    <w:rsid w:val="00E0314C"/>
    <w:rsid w:val="00E1508F"/>
    <w:rsid w:val="00E2456D"/>
    <w:rsid w:val="00E261DF"/>
    <w:rsid w:val="00E27240"/>
    <w:rsid w:val="00E27EDD"/>
    <w:rsid w:val="00E30584"/>
    <w:rsid w:val="00E310B9"/>
    <w:rsid w:val="00E37E1B"/>
    <w:rsid w:val="00E55396"/>
    <w:rsid w:val="00E562C0"/>
    <w:rsid w:val="00E57FAF"/>
    <w:rsid w:val="00E672D6"/>
    <w:rsid w:val="00E76024"/>
    <w:rsid w:val="00E774DD"/>
    <w:rsid w:val="00E84CFA"/>
    <w:rsid w:val="00E856A2"/>
    <w:rsid w:val="00E8575A"/>
    <w:rsid w:val="00E967AD"/>
    <w:rsid w:val="00E96884"/>
    <w:rsid w:val="00E97AFE"/>
    <w:rsid w:val="00EA5435"/>
    <w:rsid w:val="00EA5F47"/>
    <w:rsid w:val="00EA73F7"/>
    <w:rsid w:val="00EB455E"/>
    <w:rsid w:val="00EC4F73"/>
    <w:rsid w:val="00EC79DE"/>
    <w:rsid w:val="00ED2A30"/>
    <w:rsid w:val="00ED3E56"/>
    <w:rsid w:val="00ED4ACE"/>
    <w:rsid w:val="00EE4D35"/>
    <w:rsid w:val="00EF2C19"/>
    <w:rsid w:val="00EF2DA7"/>
    <w:rsid w:val="00EF60CA"/>
    <w:rsid w:val="00F01E56"/>
    <w:rsid w:val="00F1412B"/>
    <w:rsid w:val="00F15AB9"/>
    <w:rsid w:val="00F15BFA"/>
    <w:rsid w:val="00F34FAB"/>
    <w:rsid w:val="00F435AA"/>
    <w:rsid w:val="00F5738A"/>
    <w:rsid w:val="00F612D4"/>
    <w:rsid w:val="00F7306C"/>
    <w:rsid w:val="00F7389E"/>
    <w:rsid w:val="00F77F1D"/>
    <w:rsid w:val="00F8141C"/>
    <w:rsid w:val="00F82BD0"/>
    <w:rsid w:val="00F87CCB"/>
    <w:rsid w:val="00FA349E"/>
    <w:rsid w:val="00FA48C7"/>
    <w:rsid w:val="00FB51FB"/>
    <w:rsid w:val="00FB73C1"/>
    <w:rsid w:val="00FD6789"/>
    <w:rsid w:val="00FF5E33"/>
    <w:rsid w:val="00FF6ED6"/>
    <w:rsid w:val="00FF6F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4:docId w14:val="0CAB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Body125">
    <w:name w:val="Body 1.25"/>
    <w:basedOn w:val="BodyText"/>
    <w:link w:val="Body125Char"/>
    <w:uiPriority w:val="6"/>
    <w:qFormat/>
    <w:rsid w:val="00D57727"/>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D57727"/>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D57727"/>
    <w:pPr>
      <w:spacing w:after="120"/>
    </w:pPr>
  </w:style>
  <w:style w:type="character" w:customStyle="1" w:styleId="BodyTextChar">
    <w:name w:val="Body Text Char"/>
    <w:basedOn w:val="DefaultParagraphFont"/>
    <w:link w:val="BodyText"/>
    <w:uiPriority w:val="99"/>
    <w:semiHidden/>
    <w:rsid w:val="00D57727"/>
  </w:style>
  <w:style w:type="paragraph" w:customStyle="1" w:styleId="tt">
    <w:name w:val="tt"/>
    <w:aliases w:val="table text,Table Text"/>
    <w:basedOn w:val="Normal"/>
    <w:link w:val="ttChar"/>
    <w:uiPriority w:val="17"/>
    <w:qFormat/>
    <w:rsid w:val="00D57727"/>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D57727"/>
    <w:rPr>
      <w:rFonts w:ascii="Arial Narrow" w:eastAsia="Times New Roman" w:hAnsi="Arial Narrow" w:cs="Times New Roman"/>
      <w:sz w:val="18"/>
      <w:szCs w:val="20"/>
    </w:rPr>
  </w:style>
  <w:style w:type="character" w:customStyle="1" w:styleId="apple-converted-space">
    <w:name w:val="apple-converted-space"/>
    <w:basedOn w:val="DefaultParagraphFont"/>
    <w:rsid w:val="00A90D61"/>
  </w:style>
  <w:style w:type="paragraph" w:customStyle="1" w:styleId="Default">
    <w:name w:val="Default"/>
    <w:rsid w:val="00047AE4"/>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15"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uiPriority w:val="99"/>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45149"/>
    <w:rPr>
      <w:rFonts w:ascii="Times New Roman" w:eastAsia="Calibri" w:hAnsi="Times New Roman" w:cs="Times New Roman"/>
      <w:sz w:val="20"/>
      <w:szCs w:val="20"/>
    </w:rPr>
  </w:style>
  <w:style w:type="character" w:styleId="FootnoteReference">
    <w:name w:val="footnote reference"/>
    <w:basedOn w:val="DefaultParagraphFont"/>
    <w:uiPriority w:val="99"/>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Body125">
    <w:name w:val="Body 1.25"/>
    <w:basedOn w:val="BodyText"/>
    <w:link w:val="Body125Char"/>
    <w:uiPriority w:val="6"/>
    <w:qFormat/>
    <w:rsid w:val="00D57727"/>
    <w:pPr>
      <w:spacing w:before="120" w:line="300" w:lineRule="auto"/>
      <w:ind w:firstLine="720"/>
    </w:pPr>
    <w:rPr>
      <w:rFonts w:ascii="Times New Roman" w:eastAsia="Calibri" w:hAnsi="Times New Roman" w:cs="Times New Roman"/>
      <w:color w:val="000000"/>
      <w:sz w:val="24"/>
      <w:szCs w:val="24"/>
    </w:rPr>
  </w:style>
  <w:style w:type="character" w:customStyle="1" w:styleId="Body125Char">
    <w:name w:val="Body 1.25 Char"/>
    <w:link w:val="Body125"/>
    <w:uiPriority w:val="6"/>
    <w:rsid w:val="00D57727"/>
    <w:rPr>
      <w:rFonts w:ascii="Times New Roman" w:eastAsia="Calibri" w:hAnsi="Times New Roman" w:cs="Times New Roman"/>
      <w:color w:val="000000"/>
      <w:sz w:val="24"/>
      <w:szCs w:val="24"/>
    </w:rPr>
  </w:style>
  <w:style w:type="paragraph" w:styleId="BodyText">
    <w:name w:val="Body Text"/>
    <w:basedOn w:val="Normal"/>
    <w:link w:val="BodyTextChar"/>
    <w:uiPriority w:val="99"/>
    <w:semiHidden/>
    <w:unhideWhenUsed/>
    <w:rsid w:val="00D57727"/>
    <w:pPr>
      <w:spacing w:after="120"/>
    </w:pPr>
  </w:style>
  <w:style w:type="character" w:customStyle="1" w:styleId="BodyTextChar">
    <w:name w:val="Body Text Char"/>
    <w:basedOn w:val="DefaultParagraphFont"/>
    <w:link w:val="BodyText"/>
    <w:uiPriority w:val="99"/>
    <w:semiHidden/>
    <w:rsid w:val="00D57727"/>
  </w:style>
  <w:style w:type="paragraph" w:customStyle="1" w:styleId="tt">
    <w:name w:val="tt"/>
    <w:aliases w:val="table text,Table Text"/>
    <w:basedOn w:val="Normal"/>
    <w:link w:val="ttChar"/>
    <w:uiPriority w:val="17"/>
    <w:qFormat/>
    <w:rsid w:val="00D57727"/>
    <w:pPr>
      <w:spacing w:before="60" w:after="60" w:line="240" w:lineRule="auto"/>
      <w:ind w:left="432"/>
    </w:pPr>
    <w:rPr>
      <w:rFonts w:ascii="Arial Narrow" w:eastAsia="Times New Roman" w:hAnsi="Arial Narrow" w:cs="Times New Roman"/>
      <w:sz w:val="18"/>
      <w:szCs w:val="20"/>
    </w:rPr>
  </w:style>
  <w:style w:type="character" w:customStyle="1" w:styleId="ttChar">
    <w:name w:val="tt Char"/>
    <w:aliases w:val="table text Char,Table Text Char"/>
    <w:link w:val="tt"/>
    <w:uiPriority w:val="17"/>
    <w:locked/>
    <w:rsid w:val="00D57727"/>
    <w:rPr>
      <w:rFonts w:ascii="Arial Narrow" w:eastAsia="Times New Roman" w:hAnsi="Arial Narrow" w:cs="Times New Roman"/>
      <w:sz w:val="18"/>
      <w:szCs w:val="20"/>
    </w:rPr>
  </w:style>
  <w:style w:type="character" w:customStyle="1" w:styleId="apple-converted-space">
    <w:name w:val="apple-converted-space"/>
    <w:basedOn w:val="DefaultParagraphFont"/>
    <w:rsid w:val="00A90D61"/>
  </w:style>
  <w:style w:type="paragraph" w:customStyle="1" w:styleId="Default">
    <w:name w:val="Default"/>
    <w:rsid w:val="00047AE4"/>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343014">
      <w:bodyDiv w:val="1"/>
      <w:marLeft w:val="0"/>
      <w:marRight w:val="0"/>
      <w:marTop w:val="0"/>
      <w:marBottom w:val="0"/>
      <w:divBdr>
        <w:top w:val="none" w:sz="0" w:space="0" w:color="auto"/>
        <w:left w:val="none" w:sz="0" w:space="0" w:color="auto"/>
        <w:bottom w:val="none" w:sz="0" w:space="0" w:color="auto"/>
        <w:right w:val="none" w:sz="0" w:space="0" w:color="auto"/>
      </w:divBdr>
    </w:div>
    <w:div w:id="43197977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22784710">
      <w:bodyDiv w:val="1"/>
      <w:marLeft w:val="0"/>
      <w:marRight w:val="0"/>
      <w:marTop w:val="0"/>
      <w:marBottom w:val="0"/>
      <w:divBdr>
        <w:top w:val="none" w:sz="0" w:space="0" w:color="auto"/>
        <w:left w:val="none" w:sz="0" w:space="0" w:color="auto"/>
        <w:bottom w:val="none" w:sz="0" w:space="0" w:color="auto"/>
        <w:right w:val="none" w:sz="0" w:space="0" w:color="auto"/>
      </w:divBdr>
    </w:div>
    <w:div w:id="541482507">
      <w:bodyDiv w:val="1"/>
      <w:marLeft w:val="0"/>
      <w:marRight w:val="0"/>
      <w:marTop w:val="0"/>
      <w:marBottom w:val="0"/>
      <w:divBdr>
        <w:top w:val="none" w:sz="0" w:space="0" w:color="auto"/>
        <w:left w:val="none" w:sz="0" w:space="0" w:color="auto"/>
        <w:bottom w:val="none" w:sz="0" w:space="0" w:color="auto"/>
        <w:right w:val="none" w:sz="0" w:space="0" w:color="auto"/>
      </w:divBdr>
    </w:div>
    <w:div w:id="733545462">
      <w:bodyDiv w:val="1"/>
      <w:marLeft w:val="0"/>
      <w:marRight w:val="0"/>
      <w:marTop w:val="0"/>
      <w:marBottom w:val="0"/>
      <w:divBdr>
        <w:top w:val="none" w:sz="0" w:space="0" w:color="auto"/>
        <w:left w:val="none" w:sz="0" w:space="0" w:color="auto"/>
        <w:bottom w:val="none" w:sz="0" w:space="0" w:color="auto"/>
        <w:right w:val="none" w:sz="0" w:space="0" w:color="auto"/>
      </w:divBdr>
    </w:div>
    <w:div w:id="941037407">
      <w:bodyDiv w:val="1"/>
      <w:marLeft w:val="0"/>
      <w:marRight w:val="0"/>
      <w:marTop w:val="0"/>
      <w:marBottom w:val="0"/>
      <w:divBdr>
        <w:top w:val="none" w:sz="0" w:space="0" w:color="auto"/>
        <w:left w:val="none" w:sz="0" w:space="0" w:color="auto"/>
        <w:bottom w:val="none" w:sz="0" w:space="0" w:color="auto"/>
        <w:right w:val="none" w:sz="0" w:space="0" w:color="auto"/>
      </w:divBdr>
    </w:div>
    <w:div w:id="1200825814">
      <w:bodyDiv w:val="1"/>
      <w:marLeft w:val="0"/>
      <w:marRight w:val="0"/>
      <w:marTop w:val="0"/>
      <w:marBottom w:val="0"/>
      <w:divBdr>
        <w:top w:val="none" w:sz="0" w:space="0" w:color="auto"/>
        <w:left w:val="none" w:sz="0" w:space="0" w:color="auto"/>
        <w:bottom w:val="none" w:sz="0" w:space="0" w:color="auto"/>
        <w:right w:val="none" w:sz="0" w:space="0" w:color="auto"/>
      </w:divBdr>
    </w:div>
    <w:div w:id="1272082580">
      <w:bodyDiv w:val="1"/>
      <w:marLeft w:val="0"/>
      <w:marRight w:val="0"/>
      <w:marTop w:val="0"/>
      <w:marBottom w:val="0"/>
      <w:divBdr>
        <w:top w:val="none" w:sz="0" w:space="0" w:color="auto"/>
        <w:left w:val="none" w:sz="0" w:space="0" w:color="auto"/>
        <w:bottom w:val="none" w:sz="0" w:space="0" w:color="auto"/>
        <w:right w:val="none" w:sz="0" w:space="0" w:color="auto"/>
      </w:divBdr>
    </w:div>
    <w:div w:id="136821907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93058471">
      <w:bodyDiv w:val="1"/>
      <w:marLeft w:val="0"/>
      <w:marRight w:val="0"/>
      <w:marTop w:val="0"/>
      <w:marBottom w:val="0"/>
      <w:divBdr>
        <w:top w:val="none" w:sz="0" w:space="0" w:color="auto"/>
        <w:left w:val="none" w:sz="0" w:space="0" w:color="auto"/>
        <w:bottom w:val="none" w:sz="0" w:space="0" w:color="auto"/>
        <w:right w:val="none" w:sz="0" w:space="0" w:color="auto"/>
      </w:divBdr>
    </w:div>
    <w:div w:id="1594894525">
      <w:bodyDiv w:val="1"/>
      <w:marLeft w:val="0"/>
      <w:marRight w:val="0"/>
      <w:marTop w:val="0"/>
      <w:marBottom w:val="0"/>
      <w:divBdr>
        <w:top w:val="none" w:sz="0" w:space="0" w:color="auto"/>
        <w:left w:val="none" w:sz="0" w:space="0" w:color="auto"/>
        <w:bottom w:val="none" w:sz="0" w:space="0" w:color="auto"/>
        <w:right w:val="none" w:sz="0" w:space="0" w:color="auto"/>
      </w:divBdr>
    </w:div>
    <w:div w:id="1658457671">
      <w:bodyDiv w:val="1"/>
      <w:marLeft w:val="0"/>
      <w:marRight w:val="0"/>
      <w:marTop w:val="0"/>
      <w:marBottom w:val="0"/>
      <w:divBdr>
        <w:top w:val="none" w:sz="0" w:space="0" w:color="auto"/>
        <w:left w:val="none" w:sz="0" w:space="0" w:color="auto"/>
        <w:bottom w:val="none" w:sz="0" w:space="0" w:color="auto"/>
        <w:right w:val="none" w:sz="0" w:space="0" w:color="auto"/>
      </w:divBdr>
    </w:div>
    <w:div w:id="1786077612">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828788739">
      <w:bodyDiv w:val="1"/>
      <w:marLeft w:val="0"/>
      <w:marRight w:val="0"/>
      <w:marTop w:val="0"/>
      <w:marBottom w:val="0"/>
      <w:divBdr>
        <w:top w:val="none" w:sz="0" w:space="0" w:color="auto"/>
        <w:left w:val="none" w:sz="0" w:space="0" w:color="auto"/>
        <w:bottom w:val="none" w:sz="0" w:space="0" w:color="auto"/>
        <w:right w:val="none" w:sz="0" w:space="0" w:color="auto"/>
      </w:divBdr>
    </w:div>
    <w:div w:id="1941795165">
      <w:bodyDiv w:val="1"/>
      <w:marLeft w:val="0"/>
      <w:marRight w:val="0"/>
      <w:marTop w:val="0"/>
      <w:marBottom w:val="0"/>
      <w:divBdr>
        <w:top w:val="none" w:sz="0" w:space="0" w:color="auto"/>
        <w:left w:val="none" w:sz="0" w:space="0" w:color="auto"/>
        <w:bottom w:val="none" w:sz="0" w:space="0" w:color="auto"/>
        <w:right w:val="none" w:sz="0" w:space="0" w:color="auto"/>
      </w:divBdr>
    </w:div>
    <w:div w:id="1961108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chart" Target="charts/chart2.xml"/><Relationship Id="rId23"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1.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www.qualityforum.org/SES_Trial_Period_Update.aspx" TargetMode="External"/></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camfile01\DATA2\Projects\MIDS%20OASIS%20QMs\Task%204-Quality%20Measure%20Development%20and%20Reevaluation\NQF\NQF\2018\Endorsement%20maintenance\MH\Hosmer_Lemeshow_Graphs.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amfile01.corp.abtassoc.com\DATA2\Projects\MIDS%20OASIS%20QMs\Task%204-Quality%20Measure%20Development%20and%20Reevaluation\NQF\NQF\2018\Endorsement%20maintenance\Improvement%20in%20ambul_locomotion_0167\Testing_Betty\Meaningful_perf_tabl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1"/>
              <a:t>Risk Deciles, Improvement in Pain Frequency</a:t>
            </a:r>
          </a:p>
          <a:p>
            <a:pPr>
              <a:defRPr sz="1400" b="0" i="0" u="none" strike="noStrike" kern="1200" spc="0" baseline="0">
                <a:solidFill>
                  <a:schemeClr val="tx1">
                    <a:lumMod val="65000"/>
                    <a:lumOff val="35000"/>
                  </a:schemeClr>
                </a:solidFill>
                <a:latin typeface="+mn-lt"/>
                <a:ea typeface="+mn-ea"/>
                <a:cs typeface="+mn-cs"/>
              </a:defRPr>
            </a:pPr>
            <a:r>
              <a:rPr lang="en-US" b="1"/>
              <a:t>Calendar Year 2016</a:t>
            </a:r>
            <a:r>
              <a:rPr lang="en-US" b="1" baseline="0"/>
              <a:t> Episodes</a:t>
            </a:r>
            <a:endParaRPr lang="en-US" b="1"/>
          </a:p>
        </c:rich>
      </c:tx>
      <c:layout/>
      <c:overlay val="0"/>
      <c:spPr>
        <a:noFill/>
        <a:ln>
          <a:noFill/>
        </a:ln>
        <a:effectLst/>
      </c:spPr>
    </c:title>
    <c:autoTitleDeleted val="0"/>
    <c:plotArea>
      <c:layout/>
      <c:barChart>
        <c:barDir val="col"/>
        <c:grouping val="clustered"/>
        <c:varyColors val="0"/>
        <c:ser>
          <c:idx val="0"/>
          <c:order val="0"/>
          <c:tx>
            <c:strRef>
              <c:f>PAIN!$E$1</c:f>
              <c:strCache>
                <c:ptCount val="1"/>
                <c:pt idx="0">
                  <c:v>Predicted</c:v>
                </c:pt>
              </c:strCache>
            </c:strRef>
          </c:tx>
          <c:spPr>
            <a:solidFill>
              <a:srgbClr val="0070C0"/>
            </a:solidFill>
            <a:ln>
              <a:solidFill>
                <a:srgbClr val="0070C0"/>
              </a:solidFill>
            </a:ln>
            <a:effectLst/>
          </c:spPr>
          <c:invertIfNegative val="0"/>
          <c:cat>
            <c:numRef>
              <c:f>PAIN!$A$2:$A$11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PAIN!$E$2:$E$11</c:f>
              <c:numCache>
                <c:formatCode>General</c:formatCode>
                <c:ptCount val="10"/>
                <c:pt idx="0">
                  <c:v>0.52821499999999999</c:v>
                </c:pt>
                <c:pt idx="1">
                  <c:v>0.63495299999999999</c:v>
                </c:pt>
                <c:pt idx="2">
                  <c:v>0.68334099999999998</c:v>
                </c:pt>
                <c:pt idx="3">
                  <c:v>0.71679400000000004</c:v>
                </c:pt>
                <c:pt idx="4">
                  <c:v>0.74361600000000005</c:v>
                </c:pt>
                <c:pt idx="5">
                  <c:v>0.76757200000000003</c:v>
                </c:pt>
                <c:pt idx="6">
                  <c:v>0.791242</c:v>
                </c:pt>
                <c:pt idx="7">
                  <c:v>0.81798899999999997</c:v>
                </c:pt>
                <c:pt idx="8">
                  <c:v>0.85443899999999995</c:v>
                </c:pt>
                <c:pt idx="9">
                  <c:v>0.90495700000000001</c:v>
                </c:pt>
              </c:numCache>
            </c:numRef>
          </c:val>
        </c:ser>
        <c:ser>
          <c:idx val="1"/>
          <c:order val="1"/>
          <c:tx>
            <c:strRef>
              <c:f>PAIN!$D$1</c:f>
              <c:strCache>
                <c:ptCount val="1"/>
                <c:pt idx="0">
                  <c:v>Observed</c:v>
                </c:pt>
              </c:strCache>
            </c:strRef>
          </c:tx>
          <c:spPr>
            <a:solidFill>
              <a:srgbClr val="CC0000"/>
            </a:solidFill>
            <a:ln>
              <a:solidFill>
                <a:srgbClr val="CC0000"/>
              </a:solidFill>
            </a:ln>
            <a:effectLst/>
          </c:spPr>
          <c:invertIfNegative val="0"/>
          <c:cat>
            <c:numRef>
              <c:f>PAIN!$A$2:$A$11</c:f>
              <c:numCache>
                <c:formatCode>General</c:formatCode>
                <c:ptCount val="10"/>
                <c:pt idx="0">
                  <c:v>1</c:v>
                </c:pt>
                <c:pt idx="1">
                  <c:v>2</c:v>
                </c:pt>
                <c:pt idx="2">
                  <c:v>3</c:v>
                </c:pt>
                <c:pt idx="3">
                  <c:v>4</c:v>
                </c:pt>
                <c:pt idx="4">
                  <c:v>5</c:v>
                </c:pt>
                <c:pt idx="5">
                  <c:v>6</c:v>
                </c:pt>
                <c:pt idx="6">
                  <c:v>7</c:v>
                </c:pt>
                <c:pt idx="7">
                  <c:v>8</c:v>
                </c:pt>
                <c:pt idx="8">
                  <c:v>9</c:v>
                </c:pt>
                <c:pt idx="9">
                  <c:v>10</c:v>
                </c:pt>
              </c:numCache>
            </c:numRef>
          </c:cat>
          <c:val>
            <c:numRef>
              <c:f>PAIN!$D$2:$D$11</c:f>
              <c:numCache>
                <c:formatCode>General</c:formatCode>
                <c:ptCount val="10"/>
                <c:pt idx="0">
                  <c:v>0.53927400000000003</c:v>
                </c:pt>
                <c:pt idx="1">
                  <c:v>0.63286100000000001</c:v>
                </c:pt>
                <c:pt idx="2">
                  <c:v>0.680504</c:v>
                </c:pt>
                <c:pt idx="3">
                  <c:v>0.71582199999999996</c:v>
                </c:pt>
                <c:pt idx="4">
                  <c:v>0.74250000000000005</c:v>
                </c:pt>
                <c:pt idx="5">
                  <c:v>0.76595100000000005</c:v>
                </c:pt>
                <c:pt idx="6">
                  <c:v>0.78664400000000001</c:v>
                </c:pt>
                <c:pt idx="7">
                  <c:v>0.80968200000000001</c:v>
                </c:pt>
                <c:pt idx="8">
                  <c:v>0.848275</c:v>
                </c:pt>
                <c:pt idx="9">
                  <c:v>0.92392300000000005</c:v>
                </c:pt>
              </c:numCache>
            </c:numRef>
          </c:val>
        </c:ser>
        <c:dLbls>
          <c:showLegendKey val="0"/>
          <c:showVal val="0"/>
          <c:showCatName val="0"/>
          <c:showSerName val="0"/>
          <c:showPercent val="0"/>
          <c:showBubbleSize val="0"/>
        </c:dLbls>
        <c:gapWidth val="219"/>
        <c:overlap val="-27"/>
        <c:axId val="34157696"/>
        <c:axId val="34159616"/>
      </c:barChart>
      <c:catAx>
        <c:axId val="34157696"/>
        <c:scaling>
          <c:orientation val="minMax"/>
        </c:scaling>
        <c:delete val="0"/>
        <c:axPos val="b"/>
        <c:title>
          <c:tx>
            <c:rich>
              <a:bodyPr rot="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b="1"/>
                  <a:t>Predicted Risk Decile</a:t>
                </a:r>
              </a:p>
            </c:rich>
          </c:tx>
          <c:layout/>
          <c:overlay val="0"/>
          <c:spPr>
            <a:noFill/>
            <a:ln>
              <a:noFill/>
            </a:ln>
            <a:effectLst/>
          </c:sp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crossAx val="34159616"/>
        <c:crosses val="autoZero"/>
        <c:auto val="1"/>
        <c:lblAlgn val="ctr"/>
        <c:lblOffset val="100"/>
        <c:noMultiLvlLbl val="0"/>
      </c:catAx>
      <c:valAx>
        <c:axId val="34159616"/>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r>
                  <a:rPr lang="en-US" sz="1400" b="1"/>
                  <a:t>Average Predicted/Observed Performance</a:t>
                </a:r>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400" b="0" i="0" u="none" strike="noStrike" kern="1200" baseline="0">
                <a:solidFill>
                  <a:schemeClr val="tx1">
                    <a:lumMod val="65000"/>
                    <a:lumOff val="35000"/>
                  </a:schemeClr>
                </a:solidFill>
                <a:latin typeface="+mn-lt"/>
                <a:ea typeface="+mn-ea"/>
                <a:cs typeface="+mn-cs"/>
              </a:defRPr>
            </a:pPr>
            <a:endParaRPr lang="en-US"/>
          </a:p>
        </c:txPr>
        <c:crossAx val="34157696"/>
        <c:crosses val="autoZero"/>
        <c:crossBetween val="between"/>
        <c:majorUnit val="0.2"/>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1400" b="1"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plotArea>
      <c:layout/>
      <c:barChart>
        <c:barDir val="col"/>
        <c:grouping val="clustered"/>
        <c:varyColors val="0"/>
        <c:ser>
          <c:idx val="1"/>
          <c:order val="0"/>
          <c:tx>
            <c:strRef>
              <c:f>Sheet2!$B$14</c:f>
              <c:strCache>
                <c:ptCount val="1"/>
                <c:pt idx="0">
                  <c:v>pain_ra</c:v>
                </c:pt>
              </c:strCache>
            </c:strRef>
          </c:tx>
          <c:invertIfNegative val="0"/>
          <c:dLbls>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Sheet2!$A$15:$A$23</c:f>
              <c:numCache>
                <c:formatCode>0.0</c:formatCode>
                <c:ptCount val="9"/>
                <c:pt idx="0">
                  <c:v>1</c:v>
                </c:pt>
                <c:pt idx="1">
                  <c:v>1.5</c:v>
                </c:pt>
                <c:pt idx="2">
                  <c:v>2</c:v>
                </c:pt>
                <c:pt idx="3">
                  <c:v>2.5</c:v>
                </c:pt>
                <c:pt idx="4">
                  <c:v>3</c:v>
                </c:pt>
                <c:pt idx="5">
                  <c:v>3.5</c:v>
                </c:pt>
                <c:pt idx="6">
                  <c:v>4</c:v>
                </c:pt>
                <c:pt idx="7">
                  <c:v>4.5</c:v>
                </c:pt>
                <c:pt idx="8">
                  <c:v>5</c:v>
                </c:pt>
              </c:numCache>
            </c:numRef>
          </c:cat>
          <c:val>
            <c:numRef>
              <c:f>Sheet2!$B$15:$B$23</c:f>
              <c:numCache>
                <c:formatCode>0.0%</c:formatCode>
                <c:ptCount val="9"/>
                <c:pt idx="0">
                  <c:v>0.33073819999999998</c:v>
                </c:pt>
                <c:pt idx="1">
                  <c:v>0.42927300000000002</c:v>
                </c:pt>
                <c:pt idx="2">
                  <c:v>0.52152799999999999</c:v>
                </c:pt>
                <c:pt idx="3">
                  <c:v>0.6302683</c:v>
                </c:pt>
                <c:pt idx="4">
                  <c:v>0.69461059999999997</c:v>
                </c:pt>
                <c:pt idx="5">
                  <c:v>0.74484550000000005</c:v>
                </c:pt>
                <c:pt idx="6">
                  <c:v>0.80044479999999996</c:v>
                </c:pt>
                <c:pt idx="7">
                  <c:v>0.85807520000000004</c:v>
                </c:pt>
                <c:pt idx="8">
                  <c:v>0.90270779999999995</c:v>
                </c:pt>
              </c:numCache>
            </c:numRef>
          </c:val>
        </c:ser>
        <c:dLbls>
          <c:showLegendKey val="0"/>
          <c:showVal val="0"/>
          <c:showCatName val="0"/>
          <c:showSerName val="0"/>
          <c:showPercent val="0"/>
          <c:showBubbleSize val="0"/>
        </c:dLbls>
        <c:gapWidth val="150"/>
        <c:axId val="34190080"/>
        <c:axId val="34192000"/>
      </c:barChart>
      <c:catAx>
        <c:axId val="34190080"/>
        <c:scaling>
          <c:orientation val="minMax"/>
        </c:scaling>
        <c:delete val="0"/>
        <c:axPos val="b"/>
        <c:title>
          <c:tx>
            <c:rich>
              <a:bodyPr/>
              <a:lstStyle/>
              <a:p>
                <a:pPr>
                  <a:defRPr/>
                </a:pPr>
                <a:r>
                  <a:rPr lang="en-US"/>
                  <a:t>Altered QoPC Star Rating</a:t>
                </a:r>
              </a:p>
            </c:rich>
          </c:tx>
          <c:layout/>
          <c:overlay val="0"/>
        </c:title>
        <c:numFmt formatCode="0.0" sourceLinked="1"/>
        <c:majorTickMark val="out"/>
        <c:minorTickMark val="none"/>
        <c:tickLblPos val="nextTo"/>
        <c:crossAx val="34192000"/>
        <c:crosses val="autoZero"/>
        <c:auto val="1"/>
        <c:lblAlgn val="ctr"/>
        <c:lblOffset val="100"/>
        <c:noMultiLvlLbl val="0"/>
      </c:catAx>
      <c:valAx>
        <c:axId val="34192000"/>
        <c:scaling>
          <c:orientation val="minMax"/>
        </c:scaling>
        <c:delete val="0"/>
        <c:axPos val="l"/>
        <c:majorGridlines/>
        <c:title>
          <c:tx>
            <c:rich>
              <a:bodyPr rot="-5400000" vert="horz"/>
              <a:lstStyle/>
              <a:p>
                <a:pPr>
                  <a:defRPr/>
                </a:pPr>
                <a:r>
                  <a:rPr lang="en-US"/>
                  <a:t>Measure Value</a:t>
                </a:r>
              </a:p>
            </c:rich>
          </c:tx>
          <c:layout/>
          <c:overlay val="0"/>
        </c:title>
        <c:numFmt formatCode="0%" sourceLinked="0"/>
        <c:majorTickMark val="out"/>
        <c:minorTickMark val="none"/>
        <c:tickLblPos val="nextTo"/>
        <c:crossAx val="34190080"/>
        <c:crosses val="autoZero"/>
        <c:crossBetween val="between"/>
      </c:valAx>
    </c:plotArea>
    <c:plotVisOnly val="1"/>
    <c:dispBlanksAs val="gap"/>
    <c:showDLblsOverMax val="0"/>
  </c:chart>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FKNNFM+TimesNewRoman,Italic">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FKNBDB+TimesNewRoman">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E0A3C"/>
    <w:rsid w:val="00126CAB"/>
    <w:rsid w:val="00127222"/>
    <w:rsid w:val="001736D7"/>
    <w:rsid w:val="00190AF4"/>
    <w:rsid w:val="001A23DA"/>
    <w:rsid w:val="00223FA3"/>
    <w:rsid w:val="002A288F"/>
    <w:rsid w:val="002C65A7"/>
    <w:rsid w:val="002F052A"/>
    <w:rsid w:val="00350176"/>
    <w:rsid w:val="003840F0"/>
    <w:rsid w:val="00437537"/>
    <w:rsid w:val="004A5C35"/>
    <w:rsid w:val="004D785E"/>
    <w:rsid w:val="004E2E7A"/>
    <w:rsid w:val="004E5AEB"/>
    <w:rsid w:val="00503C98"/>
    <w:rsid w:val="00513FC9"/>
    <w:rsid w:val="0053654E"/>
    <w:rsid w:val="005D7457"/>
    <w:rsid w:val="00610196"/>
    <w:rsid w:val="00632A7E"/>
    <w:rsid w:val="00632AB6"/>
    <w:rsid w:val="00730B33"/>
    <w:rsid w:val="00772B2A"/>
    <w:rsid w:val="007C672A"/>
    <w:rsid w:val="007D4368"/>
    <w:rsid w:val="00822666"/>
    <w:rsid w:val="00823ECC"/>
    <w:rsid w:val="00826796"/>
    <w:rsid w:val="00853F8E"/>
    <w:rsid w:val="00866C97"/>
    <w:rsid w:val="00874FC1"/>
    <w:rsid w:val="008849C2"/>
    <w:rsid w:val="009017AE"/>
    <w:rsid w:val="00942131"/>
    <w:rsid w:val="009C542D"/>
    <w:rsid w:val="009E7424"/>
    <w:rsid w:val="00A01A18"/>
    <w:rsid w:val="00A32FE7"/>
    <w:rsid w:val="00A41C59"/>
    <w:rsid w:val="00A52E4B"/>
    <w:rsid w:val="00A95183"/>
    <w:rsid w:val="00AB4AF7"/>
    <w:rsid w:val="00AD7C4F"/>
    <w:rsid w:val="00B115FD"/>
    <w:rsid w:val="00B445F5"/>
    <w:rsid w:val="00BD40CB"/>
    <w:rsid w:val="00C362A2"/>
    <w:rsid w:val="00C90121"/>
    <w:rsid w:val="00C96E73"/>
    <w:rsid w:val="00CA1FE8"/>
    <w:rsid w:val="00CA344F"/>
    <w:rsid w:val="00CA660C"/>
    <w:rsid w:val="00D1676E"/>
    <w:rsid w:val="00D359A6"/>
    <w:rsid w:val="00D63259"/>
    <w:rsid w:val="00DC0246"/>
    <w:rsid w:val="00E6518A"/>
    <w:rsid w:val="00EA658E"/>
    <w:rsid w:val="00F540AB"/>
    <w:rsid w:val="00F915BA"/>
    <w:rsid w:val="00FF1A58"/>
    <w:rsid w:val="00FF36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2FE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32FE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D700C901-3C40-4C03-AF30-8401D54B3554}">
  <ds:schemaRefs>
    <ds:schemaRef ds:uri="http://purl.org/dc/terms/"/>
    <ds:schemaRef ds:uri="http://schemas.openxmlformats.org/package/2006/metadata/core-properties"/>
    <ds:schemaRef ds:uri="http://schemas.microsoft.com/office/2006/documentManagement/types"/>
    <ds:schemaRef ds:uri="http://www.w3.org/XML/1998/namespace"/>
    <ds:schemaRef ds:uri="http://purl.org/dc/elements/1.1/"/>
    <ds:schemaRef ds:uri="http://purl.org/dc/dcmitype/"/>
    <ds:schemaRef ds:uri="http://schemas.microsoft.com/office/infopath/2007/PartnerControls"/>
    <ds:schemaRef ds:uri="836b82f1-340d-495e-85b5-201c5296619a"/>
    <ds:schemaRef ds:uri="http://schemas.microsoft.com/office/2006/metadata/properties"/>
  </ds:schemaRefs>
</ds:datastoreItem>
</file>

<file path=customXml/itemProps5.xml><?xml version="1.0" encoding="utf-8"?>
<ds:datastoreItem xmlns:ds="http://schemas.openxmlformats.org/officeDocument/2006/customXml" ds:itemID="{A889B2E2-9607-4D37-947A-3393B91ED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27</Pages>
  <Words>10015</Words>
  <Characters>57090</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66972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Betty Fout</cp:lastModifiedBy>
  <cp:revision>5</cp:revision>
  <dcterms:created xsi:type="dcterms:W3CDTF">2018-07-30T14:30:00Z</dcterms:created>
  <dcterms:modified xsi:type="dcterms:W3CDTF">2018-07-30T20:27:00Z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y fmtid="{D5CDD505-2E9C-101B-9397-08002B2CF9AE}" pid="3" name="_NewReviewCycle">
    <vt:lpwstr/>
  </property>
</Properties>
</file>