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5C44AA1F"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sdt>
            <w:sdtPr>
              <w:rPr>
                <w:rStyle w:val="Style1"/>
                <w:rFonts w:cstheme="minorHAnsi"/>
                <w:b/>
                <w:noProof/>
                <w:color w:val="auto"/>
              </w:rPr>
              <w:id w:val="1372493211"/>
              <w:placeholder>
                <w:docPart w:val="0AE349E60BD0433FACB49EBA5700833F"/>
              </w:placeholder>
            </w:sdtPr>
            <w:sdtEndPr>
              <w:rPr>
                <w:rStyle w:val="Style1"/>
              </w:rPr>
            </w:sdtEndPr>
            <w:sdtContent>
              <w:r w:rsidR="00C473CB">
                <w:rPr>
                  <w:rStyle w:val="Style1"/>
                </w:rPr>
                <w:t>0204</w:t>
              </w:r>
            </w:sdtContent>
          </w:sdt>
        </w:sdtContent>
      </w:sdt>
    </w:p>
    <w:p w14:paraId="55B8DA2F" w14:textId="02A500BF"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noProof/>
                <w:color w:val="auto"/>
              </w:rPr>
              <w:id w:val="-1276944859"/>
              <w:placeholder>
                <w:docPart w:val="F05A592861B0404DB98BBE6F1D0701F9"/>
              </w:placeholder>
            </w:sdtPr>
            <w:sdtEndPr>
              <w:rPr>
                <w:rStyle w:val="Style1"/>
              </w:rPr>
            </w:sdtEndPr>
            <w:sdtContent>
              <w:r w:rsidR="00C473CB">
                <w:rPr>
                  <w:rStyle w:val="Style1"/>
                </w:rPr>
                <w:t>Skill Mix (Registered Nurse [RN], Licensed Vocational/Practical Nurse [LVN/LPN], unlicensed assistive personnel [UAP], and contract)</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84F82AD"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noProof/>
          </w:rPr>
          <w:id w:val="-1689821638"/>
          <w:placeholder>
            <w:docPart w:val="6A100845774148B09AFD987423307E3B"/>
          </w:placeholder>
          <w:date w:fullDate="2015-04-10T00:00:00Z">
            <w:dateFormat w:val="M/d/yyyy"/>
            <w:lid w:val="en-US"/>
            <w:storeMappedDataAs w:val="dateTime"/>
            <w:calendar w:val="gregorian"/>
          </w:date>
        </w:sdtPr>
        <w:sdtEndPr/>
        <w:sdtContent>
          <w:r w:rsidR="00C473CB">
            <w:rPr>
              <w:noProof/>
            </w:rPr>
            <w:t>4/10/2015</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BD5DB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BD5DB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BD5DB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BD5DBE"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66B89A01" w:rsidR="00496AF8" w:rsidRPr="003B1CC5" w:rsidRDefault="00BD5DBE" w:rsidP="00015986">
      <w:pPr>
        <w:ind w:left="432" w:hanging="432"/>
        <w:rPr>
          <w:bCs/>
        </w:rPr>
      </w:pPr>
      <w:sdt>
        <w:sdtPr>
          <w:rPr>
            <w:bCs/>
            <w:color w:val="0000FF"/>
          </w:rPr>
          <w:id w:val="1676770628"/>
          <w14:checkbox>
            <w14:checked w14:val="1"/>
            <w14:checkedState w14:val="2612" w14:font="MS Gothic"/>
            <w14:uncheckedState w14:val="2610" w14:font="MS Gothic"/>
          </w14:checkbox>
        </w:sdtPr>
        <w:sdtEndPr/>
        <w:sdtContent>
          <w:r w:rsidR="006E4ED0">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dtPr>
        <w:sdtEndPr>
          <w:rPr>
            <w:rStyle w:val="DefaultParagraphFont"/>
            <w:rFonts w:cstheme="minorBidi"/>
            <w:bCs/>
            <w:color w:val="auto"/>
            <w:u w:val="none"/>
          </w:rPr>
        </w:sdtEndPr>
        <w:sdtContent>
          <w:r w:rsidR="00C473CB">
            <w:rPr>
              <w:bCs/>
            </w:rPr>
            <w:t xml:space="preserve">:  </w:t>
          </w:r>
          <w:sdt>
            <w:sdtPr>
              <w:rPr>
                <w:rStyle w:val="Style2"/>
                <w:rFonts w:cstheme="minorHAnsi"/>
              </w:rPr>
              <w:id w:val="1338661271"/>
            </w:sdtPr>
            <w:sdtEndPr>
              <w:rPr>
                <w:rStyle w:val="Style2"/>
              </w:rPr>
            </w:sdtEndPr>
            <w:sdtContent>
              <w:sdt>
                <w:sdtPr>
                  <w:rPr>
                    <w:rStyle w:val="Style2"/>
                    <w:noProof/>
                    <w:color w:val="auto"/>
                    <w:u w:val="none"/>
                  </w:rPr>
                  <w:id w:val="775210198"/>
                </w:sdtPr>
                <w:sdtEndPr>
                  <w:rPr>
                    <w:rStyle w:val="Style2"/>
                  </w:rPr>
                </w:sdtEndPr>
                <w:sdtContent>
                  <w:r w:rsidR="00C473CB">
                    <w:rPr>
                      <w:rStyle w:val="Style1"/>
                    </w:rPr>
                    <w:t>Skill Mix (Registered Nurse [RN], Licensed Vocational/Practical Nurse [LVN/LPN], unlicensed assistive personnel [UAP], and contract)</w:t>
                  </w:r>
                </w:sdtContent>
              </w:sdt>
            </w:sdtContent>
          </w:sdt>
        </w:sdtContent>
      </w:sdt>
    </w:p>
    <w:p w14:paraId="55B8DA58" w14:textId="77777777" w:rsidR="00496AF8" w:rsidRPr="003B1CC5" w:rsidRDefault="00BD5DB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2EAA17A7"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4E5A1F1C" w14:textId="3CED9897" w:rsidR="00C473CB" w:rsidRDefault="00C473CB" w:rsidP="002B06BD">
      <w:pPr>
        <w:ind w:left="432" w:hanging="432"/>
        <w:rPr>
          <w:iCs/>
        </w:rPr>
      </w:pPr>
    </w:p>
    <w:tbl>
      <w:tblPr>
        <w:tblStyle w:val="TableGrid"/>
        <w:tblW w:w="907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1"/>
        <w:gridCol w:w="1748"/>
        <w:gridCol w:w="1864"/>
        <w:gridCol w:w="1748"/>
        <w:gridCol w:w="1847"/>
      </w:tblGrid>
      <w:tr w:rsidR="00C473CB" w14:paraId="0F35A510" w14:textId="77777777" w:rsidTr="006E4ED0">
        <w:trPr>
          <w:trHeight w:val="263"/>
        </w:trPr>
        <w:tc>
          <w:tcPr>
            <w:tcW w:w="1871" w:type="dxa"/>
            <w:tcBorders>
              <w:bottom w:val="single" w:sz="4" w:space="0" w:color="auto"/>
            </w:tcBorders>
          </w:tcPr>
          <w:p w14:paraId="62427320" w14:textId="77777777" w:rsidR="00C473CB" w:rsidRDefault="00C473CB" w:rsidP="002B06BD">
            <w:pPr>
              <w:ind w:left="0" w:firstLine="0"/>
              <w:rPr>
                <w:iCs/>
              </w:rPr>
            </w:pPr>
          </w:p>
        </w:tc>
        <w:tc>
          <w:tcPr>
            <w:tcW w:w="1748" w:type="dxa"/>
            <w:vMerge w:val="restart"/>
            <w:tcBorders>
              <w:right w:val="single" w:sz="4" w:space="0" w:color="auto"/>
            </w:tcBorders>
          </w:tcPr>
          <w:p w14:paraId="2A478963" w14:textId="467982AA" w:rsidR="00C473CB" w:rsidRDefault="006E4ED0" w:rsidP="002B06BD">
            <w:pPr>
              <w:ind w:left="0" w:firstLine="0"/>
              <w:rPr>
                <w:iCs/>
              </w:rPr>
            </w:pPr>
            <w:r>
              <w:rPr>
                <w:iCs/>
                <w:noProof/>
              </w:rPr>
              <mc:AlternateContent>
                <mc:Choice Requires="wps">
                  <w:drawing>
                    <wp:anchor distT="0" distB="0" distL="114300" distR="114300" simplePos="0" relativeHeight="251661312" behindDoc="0" locked="0" layoutInCell="1" allowOverlap="1" wp14:anchorId="7CE4D9AF" wp14:editId="15A2624F">
                      <wp:simplePos x="0" y="0"/>
                      <wp:positionH relativeFrom="column">
                        <wp:posOffset>-52029</wp:posOffset>
                      </wp:positionH>
                      <wp:positionV relativeFrom="paragraph">
                        <wp:posOffset>1219437</wp:posOffset>
                      </wp:positionV>
                      <wp:extent cx="1080135" cy="718457"/>
                      <wp:effectExtent l="0" t="0" r="81915" b="62865"/>
                      <wp:wrapNone/>
                      <wp:docPr id="2" name="Straight Arrow Connector 2"/>
                      <wp:cNvGraphicFramePr/>
                      <a:graphic xmlns:a="http://schemas.openxmlformats.org/drawingml/2006/main">
                        <a:graphicData uri="http://schemas.microsoft.com/office/word/2010/wordprocessingShape">
                          <wps:wsp>
                            <wps:cNvCnPr/>
                            <wps:spPr>
                              <a:xfrm>
                                <a:off x="0" y="0"/>
                                <a:ext cx="1080135" cy="718457"/>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02D89E" id="_x0000_t32" coordsize="21600,21600" o:spt="32" o:oned="t" path="m,l21600,21600e" filled="f">
                      <v:path arrowok="t" fillok="f" o:connecttype="none"/>
                      <o:lock v:ext="edit" shapetype="t"/>
                    </v:shapetype>
                    <v:shape id="Straight Arrow Connector 2" o:spid="_x0000_s1026" type="#_x0000_t32" style="position:absolute;margin-left:-4.1pt;margin-top:96pt;width:85.05pt;height:5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" strokecolor="black [3213]" strokeweight="1.25pt">
                      <v:stroke endarrow="block"/>
                    </v:shape>
                  </w:pict>
                </mc:Fallback>
              </mc:AlternateContent>
            </w:r>
            <w:r>
              <w:rPr>
                <w:iCs/>
                <w:noProof/>
              </w:rPr>
              <mc:AlternateContent>
                <mc:Choice Requires="wps">
                  <w:drawing>
                    <wp:anchor distT="0" distB="0" distL="114300" distR="114300" simplePos="0" relativeHeight="251659264" behindDoc="0" locked="0" layoutInCell="1" allowOverlap="1" wp14:anchorId="0CBF77E3" wp14:editId="54BCDCE9">
                      <wp:simplePos x="0" y="0"/>
                      <wp:positionH relativeFrom="column">
                        <wp:posOffset>-47004</wp:posOffset>
                      </wp:positionH>
                      <wp:positionV relativeFrom="paragraph">
                        <wp:posOffset>420593</wp:posOffset>
                      </wp:positionV>
                      <wp:extent cx="1080198" cy="758567"/>
                      <wp:effectExtent l="0" t="38100" r="62865" b="22860"/>
                      <wp:wrapNone/>
                      <wp:docPr id="1" name="Straight Arrow Connector 1"/>
                      <wp:cNvGraphicFramePr/>
                      <a:graphic xmlns:a="http://schemas.openxmlformats.org/drawingml/2006/main">
                        <a:graphicData uri="http://schemas.microsoft.com/office/word/2010/wordprocessingShape">
                          <wps:wsp>
                            <wps:cNvCnPr/>
                            <wps:spPr>
                              <a:xfrm flipV="1">
                                <a:off x="0" y="0"/>
                                <a:ext cx="1080198" cy="758567"/>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AEBEB3" id="Straight Arrow Connector 1" o:spid="_x0000_s1026" type="#_x0000_t32" style="position:absolute;margin-left:-3.7pt;margin-top:33.1pt;width:85.05pt;height:59.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" strokecolor="black [3213]" strokeweight="1.25pt">
                      <v:stroke endarrow="block"/>
                    </v:shape>
                  </w:pict>
                </mc:Fallback>
              </mc:AlternateContent>
            </w:r>
          </w:p>
        </w:tc>
        <w:tc>
          <w:tcPr>
            <w:tcW w:w="1864" w:type="dxa"/>
            <w:tcBorders>
              <w:top w:val="single" w:sz="4" w:space="0" w:color="auto"/>
              <w:left w:val="single" w:sz="4" w:space="0" w:color="auto"/>
              <w:right w:val="single" w:sz="4" w:space="0" w:color="auto"/>
            </w:tcBorders>
            <w:vAlign w:val="center"/>
          </w:tcPr>
          <w:p w14:paraId="156E70FC" w14:textId="1E79FB34" w:rsidR="00C473CB" w:rsidRDefault="00C473CB" w:rsidP="006E4ED0">
            <w:pPr>
              <w:ind w:left="0" w:firstLine="0"/>
              <w:jc w:val="center"/>
              <w:rPr>
                <w:iCs/>
              </w:rPr>
            </w:pPr>
            <w:r>
              <w:rPr>
                <w:iCs/>
              </w:rPr>
              <w:t>Job Enjoyment</w:t>
            </w:r>
          </w:p>
        </w:tc>
        <w:tc>
          <w:tcPr>
            <w:tcW w:w="1748" w:type="dxa"/>
            <w:vMerge w:val="restart"/>
            <w:tcBorders>
              <w:left w:val="single" w:sz="4" w:space="0" w:color="auto"/>
              <w:right w:val="single" w:sz="4" w:space="0" w:color="auto"/>
            </w:tcBorders>
          </w:tcPr>
          <w:p w14:paraId="48F13B1A" w14:textId="4532D013" w:rsidR="00C473CB" w:rsidRDefault="006E4ED0" w:rsidP="002B06BD">
            <w:pPr>
              <w:ind w:left="0" w:firstLine="0"/>
              <w:rPr>
                <w:iCs/>
              </w:rPr>
            </w:pPr>
            <w:r>
              <w:rPr>
                <w:iCs/>
                <w:noProof/>
              </w:rPr>
              <mc:AlternateContent>
                <mc:Choice Requires="wps">
                  <w:drawing>
                    <wp:anchor distT="0" distB="0" distL="114300" distR="114300" simplePos="0" relativeHeight="251665408" behindDoc="0" locked="0" layoutInCell="1" allowOverlap="1" wp14:anchorId="49653661" wp14:editId="0B5A7F00">
                      <wp:simplePos x="0" y="0"/>
                      <wp:positionH relativeFrom="column">
                        <wp:posOffset>-84643</wp:posOffset>
                      </wp:positionH>
                      <wp:positionV relativeFrom="paragraph">
                        <wp:posOffset>529534</wp:posOffset>
                      </wp:positionV>
                      <wp:extent cx="1110343" cy="0"/>
                      <wp:effectExtent l="38100" t="76200" r="13970" b="95250"/>
                      <wp:wrapNone/>
                      <wp:docPr id="6" name="Straight Arrow Connector 6"/>
                      <wp:cNvGraphicFramePr/>
                      <a:graphic xmlns:a="http://schemas.openxmlformats.org/drawingml/2006/main">
                        <a:graphicData uri="http://schemas.microsoft.com/office/word/2010/wordprocessingShape">
                          <wps:wsp>
                            <wps:cNvCnPr/>
                            <wps:spPr>
                              <a:xfrm>
                                <a:off x="0" y="0"/>
                                <a:ext cx="1110343" cy="0"/>
                              </a:xfrm>
                              <a:prstGeom prst="straightConnector1">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AB376C" id="Straight Arrow Connector 6" o:spid="_x0000_s1026" type="#_x0000_t32" style="position:absolute;margin-left:-6.65pt;margin-top:41.7pt;width:87.4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" strokecolor="black [3213]" strokeweight="1.25pt">
                      <v:stroke startarrow="block" endarrow="block"/>
                    </v:shape>
                  </w:pict>
                </mc:Fallback>
              </mc:AlternateContent>
            </w:r>
          </w:p>
        </w:tc>
        <w:tc>
          <w:tcPr>
            <w:tcW w:w="1847" w:type="dxa"/>
            <w:tcBorders>
              <w:top w:val="single" w:sz="4" w:space="0" w:color="auto"/>
              <w:left w:val="single" w:sz="4" w:space="0" w:color="auto"/>
              <w:right w:val="single" w:sz="4" w:space="0" w:color="auto"/>
            </w:tcBorders>
            <w:vAlign w:val="center"/>
          </w:tcPr>
          <w:p w14:paraId="69754031" w14:textId="22A88258" w:rsidR="00C473CB" w:rsidRDefault="00C473CB" w:rsidP="006E4ED0">
            <w:pPr>
              <w:ind w:left="0" w:firstLine="0"/>
              <w:jc w:val="center"/>
              <w:rPr>
                <w:iCs/>
              </w:rPr>
            </w:pPr>
            <w:r>
              <w:rPr>
                <w:iCs/>
              </w:rPr>
              <w:t>Nurse Turnover</w:t>
            </w:r>
          </w:p>
        </w:tc>
      </w:tr>
      <w:tr w:rsidR="00C473CB" w14:paraId="2EE82BF2" w14:textId="77777777" w:rsidTr="006E4ED0">
        <w:trPr>
          <w:trHeight w:val="511"/>
        </w:trPr>
        <w:tc>
          <w:tcPr>
            <w:tcW w:w="1871" w:type="dxa"/>
            <w:tcBorders>
              <w:top w:val="single" w:sz="4" w:space="0" w:color="auto"/>
              <w:left w:val="single" w:sz="4" w:space="0" w:color="auto"/>
              <w:right w:val="single" w:sz="4" w:space="0" w:color="auto"/>
            </w:tcBorders>
            <w:vAlign w:val="center"/>
          </w:tcPr>
          <w:p w14:paraId="180A0B7D" w14:textId="46DC33F7" w:rsidR="00C473CB" w:rsidRDefault="00C473CB" w:rsidP="00C473CB">
            <w:pPr>
              <w:ind w:left="0" w:firstLine="0"/>
              <w:jc w:val="center"/>
              <w:rPr>
                <w:iCs/>
              </w:rPr>
            </w:pPr>
            <w:r>
              <w:rPr>
                <w:iCs/>
              </w:rPr>
              <w:t>Nurse Work Environment</w:t>
            </w:r>
          </w:p>
        </w:tc>
        <w:tc>
          <w:tcPr>
            <w:tcW w:w="1748" w:type="dxa"/>
            <w:vMerge/>
            <w:tcBorders>
              <w:left w:val="single" w:sz="4" w:space="0" w:color="auto"/>
              <w:right w:val="single" w:sz="4" w:space="0" w:color="auto"/>
            </w:tcBorders>
            <w:vAlign w:val="center"/>
          </w:tcPr>
          <w:p w14:paraId="5467887C" w14:textId="77777777" w:rsidR="00C473CB" w:rsidRDefault="00C473CB" w:rsidP="00C473CB">
            <w:pPr>
              <w:ind w:left="0" w:firstLine="0"/>
              <w:jc w:val="center"/>
              <w:rPr>
                <w:iCs/>
              </w:rPr>
            </w:pPr>
          </w:p>
        </w:tc>
        <w:tc>
          <w:tcPr>
            <w:tcW w:w="1864" w:type="dxa"/>
            <w:tcBorders>
              <w:left w:val="single" w:sz="4" w:space="0" w:color="auto"/>
              <w:right w:val="single" w:sz="4" w:space="0" w:color="auto"/>
            </w:tcBorders>
            <w:vAlign w:val="center"/>
          </w:tcPr>
          <w:p w14:paraId="22EBE13A" w14:textId="1CB90A47" w:rsidR="00C473CB" w:rsidRDefault="00C473CB" w:rsidP="006E4ED0">
            <w:pPr>
              <w:ind w:left="0" w:firstLine="0"/>
              <w:jc w:val="center"/>
              <w:rPr>
                <w:iCs/>
              </w:rPr>
            </w:pPr>
          </w:p>
        </w:tc>
        <w:tc>
          <w:tcPr>
            <w:tcW w:w="1748" w:type="dxa"/>
            <w:vMerge/>
            <w:tcBorders>
              <w:left w:val="single" w:sz="4" w:space="0" w:color="auto"/>
              <w:right w:val="single" w:sz="4" w:space="0" w:color="auto"/>
            </w:tcBorders>
            <w:vAlign w:val="center"/>
          </w:tcPr>
          <w:p w14:paraId="4E2C424A" w14:textId="77777777" w:rsidR="00C473CB" w:rsidRDefault="00C473CB" w:rsidP="00C473CB">
            <w:pPr>
              <w:ind w:left="0" w:firstLine="0"/>
              <w:jc w:val="center"/>
              <w:rPr>
                <w:iCs/>
              </w:rPr>
            </w:pPr>
          </w:p>
        </w:tc>
        <w:tc>
          <w:tcPr>
            <w:tcW w:w="1847" w:type="dxa"/>
            <w:tcBorders>
              <w:left w:val="single" w:sz="4" w:space="0" w:color="auto"/>
              <w:right w:val="single" w:sz="4" w:space="0" w:color="auto"/>
            </w:tcBorders>
            <w:vAlign w:val="center"/>
          </w:tcPr>
          <w:p w14:paraId="12F7F105" w14:textId="4640A204" w:rsidR="00C473CB" w:rsidRDefault="00C473CB" w:rsidP="006E4ED0">
            <w:pPr>
              <w:ind w:left="0" w:firstLine="0"/>
              <w:jc w:val="center"/>
              <w:rPr>
                <w:iCs/>
              </w:rPr>
            </w:pPr>
          </w:p>
        </w:tc>
      </w:tr>
      <w:tr w:rsidR="00C473CB" w14:paraId="3A5BE0F1" w14:textId="77777777" w:rsidTr="006E4ED0">
        <w:trPr>
          <w:trHeight w:val="263"/>
        </w:trPr>
        <w:tc>
          <w:tcPr>
            <w:tcW w:w="1871" w:type="dxa"/>
            <w:tcBorders>
              <w:left w:val="single" w:sz="4" w:space="0" w:color="auto"/>
              <w:right w:val="single" w:sz="4" w:space="0" w:color="auto"/>
            </w:tcBorders>
            <w:vAlign w:val="center"/>
          </w:tcPr>
          <w:p w14:paraId="1BEAAA40" w14:textId="77777777" w:rsidR="00C473CB" w:rsidRDefault="00C473CB" w:rsidP="00C473CB">
            <w:pPr>
              <w:ind w:left="0" w:firstLine="0"/>
              <w:jc w:val="center"/>
              <w:rPr>
                <w:iCs/>
              </w:rPr>
            </w:pPr>
          </w:p>
        </w:tc>
        <w:tc>
          <w:tcPr>
            <w:tcW w:w="1748" w:type="dxa"/>
            <w:vMerge/>
            <w:tcBorders>
              <w:left w:val="single" w:sz="4" w:space="0" w:color="auto"/>
              <w:right w:val="single" w:sz="4" w:space="0" w:color="auto"/>
            </w:tcBorders>
            <w:vAlign w:val="center"/>
          </w:tcPr>
          <w:p w14:paraId="149209BB" w14:textId="77777777" w:rsidR="00C473CB" w:rsidRDefault="00C473CB" w:rsidP="00C473CB">
            <w:pPr>
              <w:ind w:left="0" w:firstLine="0"/>
              <w:jc w:val="center"/>
              <w:rPr>
                <w:iCs/>
              </w:rPr>
            </w:pPr>
          </w:p>
        </w:tc>
        <w:tc>
          <w:tcPr>
            <w:tcW w:w="1864" w:type="dxa"/>
            <w:tcBorders>
              <w:left w:val="single" w:sz="4" w:space="0" w:color="auto"/>
              <w:bottom w:val="single" w:sz="4" w:space="0" w:color="auto"/>
              <w:right w:val="single" w:sz="4" w:space="0" w:color="auto"/>
            </w:tcBorders>
            <w:vAlign w:val="center"/>
          </w:tcPr>
          <w:p w14:paraId="418C126A" w14:textId="64FBAF32" w:rsidR="00C473CB" w:rsidRDefault="00C473CB" w:rsidP="006E4ED0">
            <w:pPr>
              <w:ind w:left="0" w:firstLine="0"/>
              <w:jc w:val="center"/>
              <w:rPr>
                <w:iCs/>
              </w:rPr>
            </w:pPr>
            <w:r>
              <w:rPr>
                <w:iCs/>
              </w:rPr>
              <w:t>Stress and Burnout</w:t>
            </w:r>
          </w:p>
        </w:tc>
        <w:tc>
          <w:tcPr>
            <w:tcW w:w="1748" w:type="dxa"/>
            <w:vMerge/>
            <w:tcBorders>
              <w:left w:val="single" w:sz="4" w:space="0" w:color="auto"/>
              <w:right w:val="single" w:sz="4" w:space="0" w:color="auto"/>
            </w:tcBorders>
            <w:vAlign w:val="center"/>
          </w:tcPr>
          <w:p w14:paraId="35AB514A" w14:textId="77777777" w:rsidR="00C473CB" w:rsidRDefault="00C473CB" w:rsidP="00C473CB">
            <w:pPr>
              <w:ind w:left="0" w:firstLine="0"/>
              <w:jc w:val="center"/>
              <w:rPr>
                <w:iCs/>
              </w:rPr>
            </w:pPr>
          </w:p>
        </w:tc>
        <w:tc>
          <w:tcPr>
            <w:tcW w:w="1847" w:type="dxa"/>
            <w:tcBorders>
              <w:left w:val="single" w:sz="4" w:space="0" w:color="auto"/>
              <w:bottom w:val="single" w:sz="4" w:space="0" w:color="auto"/>
              <w:right w:val="single" w:sz="4" w:space="0" w:color="auto"/>
            </w:tcBorders>
            <w:vAlign w:val="center"/>
          </w:tcPr>
          <w:p w14:paraId="085A4320" w14:textId="123CB4EE" w:rsidR="00C473CB" w:rsidRDefault="00C473CB" w:rsidP="006E4ED0">
            <w:pPr>
              <w:ind w:left="0" w:firstLine="0"/>
              <w:jc w:val="center"/>
              <w:rPr>
                <w:iCs/>
              </w:rPr>
            </w:pPr>
            <w:r>
              <w:rPr>
                <w:iCs/>
              </w:rPr>
              <w:t>Patient Safety Outcomes</w:t>
            </w:r>
          </w:p>
        </w:tc>
      </w:tr>
      <w:tr w:rsidR="006E4ED0" w14:paraId="32CA633D" w14:textId="77777777" w:rsidTr="006E4ED0">
        <w:trPr>
          <w:trHeight w:val="774"/>
        </w:trPr>
        <w:tc>
          <w:tcPr>
            <w:tcW w:w="1871" w:type="dxa"/>
            <w:tcBorders>
              <w:left w:val="single" w:sz="4" w:space="0" w:color="auto"/>
              <w:right w:val="single" w:sz="4" w:space="0" w:color="auto"/>
            </w:tcBorders>
            <w:vAlign w:val="center"/>
          </w:tcPr>
          <w:p w14:paraId="71D1603B" w14:textId="06C7ED07" w:rsidR="006E4ED0" w:rsidRDefault="006E4ED0" w:rsidP="00C473CB">
            <w:pPr>
              <w:ind w:left="0" w:firstLine="0"/>
              <w:jc w:val="center"/>
              <w:rPr>
                <w:iCs/>
              </w:rPr>
            </w:pPr>
            <w:r>
              <w:rPr>
                <w:iCs/>
              </w:rPr>
              <w:t>Nursing Hours Per Patient Day</w:t>
            </w:r>
          </w:p>
        </w:tc>
        <w:tc>
          <w:tcPr>
            <w:tcW w:w="1748" w:type="dxa"/>
            <w:vMerge/>
            <w:tcBorders>
              <w:left w:val="single" w:sz="4" w:space="0" w:color="auto"/>
            </w:tcBorders>
            <w:vAlign w:val="center"/>
          </w:tcPr>
          <w:p w14:paraId="086599BE" w14:textId="77777777" w:rsidR="006E4ED0" w:rsidRDefault="006E4ED0" w:rsidP="00C473CB">
            <w:pPr>
              <w:ind w:left="0" w:firstLine="0"/>
              <w:jc w:val="center"/>
              <w:rPr>
                <w:iCs/>
              </w:rPr>
            </w:pPr>
          </w:p>
        </w:tc>
        <w:tc>
          <w:tcPr>
            <w:tcW w:w="1864" w:type="dxa"/>
            <w:vMerge w:val="restart"/>
            <w:tcBorders>
              <w:top w:val="single" w:sz="4" w:space="0" w:color="auto"/>
            </w:tcBorders>
            <w:vAlign w:val="center"/>
          </w:tcPr>
          <w:p w14:paraId="3CC7CD7D" w14:textId="2599D8CB" w:rsidR="006E4ED0" w:rsidRDefault="006E4ED0" w:rsidP="00C473CB">
            <w:pPr>
              <w:ind w:left="0" w:firstLine="0"/>
              <w:jc w:val="center"/>
              <w:rPr>
                <w:iCs/>
              </w:rPr>
            </w:pPr>
            <w:r>
              <w:rPr>
                <w:iCs/>
                <w:noProof/>
              </w:rPr>
              <mc:AlternateContent>
                <mc:Choice Requires="wps">
                  <w:drawing>
                    <wp:anchor distT="0" distB="0" distL="114300" distR="114300" simplePos="0" relativeHeight="251667456" behindDoc="0" locked="0" layoutInCell="1" allowOverlap="1" wp14:anchorId="1A1E9EDE" wp14:editId="3A317909">
                      <wp:simplePos x="0" y="0"/>
                      <wp:positionH relativeFrom="column">
                        <wp:posOffset>537210</wp:posOffset>
                      </wp:positionH>
                      <wp:positionV relativeFrom="paragraph">
                        <wp:posOffset>6985</wp:posOffset>
                      </wp:positionV>
                      <wp:extent cx="9525" cy="676275"/>
                      <wp:effectExtent l="76200" t="38100" r="66675" b="47625"/>
                      <wp:wrapNone/>
                      <wp:docPr id="3" name="Straight Arrow Connector 3"/>
                      <wp:cNvGraphicFramePr/>
                      <a:graphic xmlns:a="http://schemas.openxmlformats.org/drawingml/2006/main">
                        <a:graphicData uri="http://schemas.microsoft.com/office/word/2010/wordprocessingShape">
                          <wps:wsp>
                            <wps:cNvCnPr/>
                            <wps:spPr>
                              <a:xfrm>
                                <a:off x="0" y="0"/>
                                <a:ext cx="9525" cy="676275"/>
                              </a:xfrm>
                              <a:prstGeom prst="straightConnector1">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C4872D" id="Straight Arrow Connector 3" o:spid="_x0000_s1026" type="#_x0000_t32" style="position:absolute;margin-left:42.3pt;margin-top:.55pt;width:.75pt;height:5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" strokecolor="black [3213]" strokeweight="1.25pt">
                      <v:stroke startarrow="block" endarrow="block"/>
                    </v:shape>
                  </w:pict>
                </mc:Fallback>
              </mc:AlternateContent>
            </w:r>
          </w:p>
        </w:tc>
        <w:tc>
          <w:tcPr>
            <w:tcW w:w="1748" w:type="dxa"/>
            <w:vMerge/>
            <w:vAlign w:val="center"/>
          </w:tcPr>
          <w:p w14:paraId="5823087B" w14:textId="77777777" w:rsidR="006E4ED0" w:rsidRDefault="006E4ED0" w:rsidP="00C473CB">
            <w:pPr>
              <w:ind w:left="0" w:firstLine="0"/>
              <w:jc w:val="center"/>
              <w:rPr>
                <w:iCs/>
              </w:rPr>
            </w:pPr>
          </w:p>
        </w:tc>
        <w:tc>
          <w:tcPr>
            <w:tcW w:w="1847" w:type="dxa"/>
            <w:vMerge w:val="restart"/>
            <w:tcBorders>
              <w:top w:val="single" w:sz="4" w:space="0" w:color="auto"/>
            </w:tcBorders>
            <w:vAlign w:val="center"/>
          </w:tcPr>
          <w:p w14:paraId="530928E1" w14:textId="73064723" w:rsidR="006E4ED0" w:rsidRDefault="006E4ED0" w:rsidP="00C473CB">
            <w:pPr>
              <w:ind w:left="0" w:firstLine="0"/>
              <w:jc w:val="center"/>
              <w:rPr>
                <w:iCs/>
              </w:rPr>
            </w:pPr>
            <w:r>
              <w:rPr>
                <w:iCs/>
                <w:noProof/>
              </w:rPr>
              <mc:AlternateContent>
                <mc:Choice Requires="wps">
                  <w:drawing>
                    <wp:anchor distT="0" distB="0" distL="114300" distR="114300" simplePos="0" relativeHeight="251669504" behindDoc="0" locked="0" layoutInCell="1" allowOverlap="1" wp14:anchorId="52E3FCA7" wp14:editId="427663C7">
                      <wp:simplePos x="0" y="0"/>
                      <wp:positionH relativeFrom="column">
                        <wp:posOffset>489585</wp:posOffset>
                      </wp:positionH>
                      <wp:positionV relativeFrom="paragraph">
                        <wp:posOffset>-9525</wp:posOffset>
                      </wp:positionV>
                      <wp:extent cx="9525" cy="676275"/>
                      <wp:effectExtent l="76200" t="38100" r="66675" b="47625"/>
                      <wp:wrapNone/>
                      <wp:docPr id="7" name="Straight Arrow Connector 7"/>
                      <wp:cNvGraphicFramePr/>
                      <a:graphic xmlns:a="http://schemas.openxmlformats.org/drawingml/2006/main">
                        <a:graphicData uri="http://schemas.microsoft.com/office/word/2010/wordprocessingShape">
                          <wps:wsp>
                            <wps:cNvCnPr/>
                            <wps:spPr>
                              <a:xfrm>
                                <a:off x="0" y="0"/>
                                <a:ext cx="9525" cy="676275"/>
                              </a:xfrm>
                              <a:prstGeom prst="straightConnector1">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5A4EDD" id="Straight Arrow Connector 7" o:spid="_x0000_s1026" type="#_x0000_t32" style="position:absolute;margin-left:38.55pt;margin-top:-.75pt;width:.75pt;height:5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" strokecolor="black [3213]" strokeweight="1.25pt">
                      <v:stroke startarrow="block" endarrow="block"/>
                    </v:shape>
                  </w:pict>
                </mc:Fallback>
              </mc:AlternateContent>
            </w:r>
          </w:p>
        </w:tc>
      </w:tr>
      <w:tr w:rsidR="006E4ED0" w14:paraId="35191D9D" w14:textId="77777777" w:rsidTr="006E4ED0">
        <w:trPr>
          <w:trHeight w:val="263"/>
        </w:trPr>
        <w:tc>
          <w:tcPr>
            <w:tcW w:w="1871" w:type="dxa"/>
            <w:tcBorders>
              <w:left w:val="single" w:sz="4" w:space="0" w:color="auto"/>
              <w:right w:val="single" w:sz="4" w:space="0" w:color="auto"/>
            </w:tcBorders>
            <w:vAlign w:val="center"/>
          </w:tcPr>
          <w:p w14:paraId="194DE98A" w14:textId="77777777" w:rsidR="006E4ED0" w:rsidRDefault="006E4ED0" w:rsidP="00C473CB">
            <w:pPr>
              <w:ind w:left="0" w:firstLine="0"/>
              <w:jc w:val="center"/>
              <w:rPr>
                <w:iCs/>
              </w:rPr>
            </w:pPr>
          </w:p>
        </w:tc>
        <w:tc>
          <w:tcPr>
            <w:tcW w:w="1748" w:type="dxa"/>
            <w:vMerge w:val="restart"/>
            <w:tcBorders>
              <w:left w:val="single" w:sz="4" w:space="0" w:color="auto"/>
            </w:tcBorders>
            <w:vAlign w:val="center"/>
          </w:tcPr>
          <w:p w14:paraId="5D050675" w14:textId="7236C8AC" w:rsidR="006E4ED0" w:rsidRDefault="006E4ED0" w:rsidP="00C473CB">
            <w:pPr>
              <w:ind w:left="0" w:firstLine="0"/>
              <w:jc w:val="center"/>
              <w:rPr>
                <w:iCs/>
              </w:rPr>
            </w:pPr>
          </w:p>
        </w:tc>
        <w:tc>
          <w:tcPr>
            <w:tcW w:w="1864" w:type="dxa"/>
            <w:vMerge/>
            <w:tcBorders>
              <w:bottom w:val="single" w:sz="4" w:space="0" w:color="auto"/>
            </w:tcBorders>
            <w:vAlign w:val="center"/>
          </w:tcPr>
          <w:p w14:paraId="24D5A09B" w14:textId="77777777" w:rsidR="006E4ED0" w:rsidRDefault="006E4ED0" w:rsidP="00C473CB">
            <w:pPr>
              <w:ind w:left="0" w:firstLine="0"/>
              <w:jc w:val="center"/>
              <w:rPr>
                <w:iCs/>
              </w:rPr>
            </w:pPr>
          </w:p>
        </w:tc>
        <w:tc>
          <w:tcPr>
            <w:tcW w:w="1748" w:type="dxa"/>
            <w:vMerge w:val="restart"/>
            <w:vAlign w:val="center"/>
          </w:tcPr>
          <w:p w14:paraId="327F1594" w14:textId="76B1B151" w:rsidR="006E4ED0" w:rsidRDefault="006E4ED0" w:rsidP="00C473CB">
            <w:pPr>
              <w:ind w:left="0" w:firstLine="0"/>
              <w:jc w:val="center"/>
              <w:rPr>
                <w:iCs/>
              </w:rPr>
            </w:pPr>
          </w:p>
        </w:tc>
        <w:tc>
          <w:tcPr>
            <w:tcW w:w="1847" w:type="dxa"/>
            <w:vMerge/>
            <w:tcBorders>
              <w:bottom w:val="single" w:sz="4" w:space="0" w:color="auto"/>
            </w:tcBorders>
            <w:vAlign w:val="center"/>
          </w:tcPr>
          <w:p w14:paraId="506B9C3E" w14:textId="7D1F6B17" w:rsidR="006E4ED0" w:rsidRDefault="006E4ED0" w:rsidP="00C473CB">
            <w:pPr>
              <w:ind w:left="0" w:firstLine="0"/>
              <w:jc w:val="center"/>
              <w:rPr>
                <w:iCs/>
              </w:rPr>
            </w:pPr>
          </w:p>
        </w:tc>
      </w:tr>
      <w:tr w:rsidR="00C473CB" w14:paraId="7809E610" w14:textId="77777777" w:rsidTr="006E4ED0">
        <w:trPr>
          <w:trHeight w:val="511"/>
        </w:trPr>
        <w:tc>
          <w:tcPr>
            <w:tcW w:w="1871" w:type="dxa"/>
            <w:tcBorders>
              <w:left w:val="single" w:sz="4" w:space="0" w:color="auto"/>
              <w:right w:val="single" w:sz="4" w:space="0" w:color="auto"/>
            </w:tcBorders>
            <w:vAlign w:val="center"/>
          </w:tcPr>
          <w:p w14:paraId="1F91ED2C" w14:textId="10429CB3" w:rsidR="00C473CB" w:rsidRDefault="00C473CB" w:rsidP="00C473CB">
            <w:pPr>
              <w:ind w:left="0" w:firstLine="0"/>
              <w:jc w:val="center"/>
              <w:rPr>
                <w:iCs/>
              </w:rPr>
            </w:pPr>
            <w:r>
              <w:rPr>
                <w:iCs/>
              </w:rPr>
              <w:t>RN Hours Per Patient Day</w:t>
            </w:r>
          </w:p>
        </w:tc>
        <w:tc>
          <w:tcPr>
            <w:tcW w:w="1748" w:type="dxa"/>
            <w:vMerge/>
            <w:tcBorders>
              <w:left w:val="single" w:sz="4" w:space="0" w:color="auto"/>
              <w:right w:val="single" w:sz="4" w:space="0" w:color="auto"/>
            </w:tcBorders>
            <w:vAlign w:val="center"/>
          </w:tcPr>
          <w:p w14:paraId="3C44825B" w14:textId="77777777" w:rsidR="00C473CB" w:rsidRDefault="00C473CB" w:rsidP="00C473CB">
            <w:pPr>
              <w:ind w:left="0" w:firstLine="0"/>
              <w:jc w:val="center"/>
              <w:rPr>
                <w:iCs/>
              </w:rPr>
            </w:pPr>
          </w:p>
        </w:tc>
        <w:tc>
          <w:tcPr>
            <w:tcW w:w="1864" w:type="dxa"/>
            <w:tcBorders>
              <w:top w:val="single" w:sz="4" w:space="0" w:color="auto"/>
              <w:left w:val="single" w:sz="4" w:space="0" w:color="auto"/>
              <w:right w:val="single" w:sz="4" w:space="0" w:color="auto"/>
            </w:tcBorders>
            <w:vAlign w:val="center"/>
          </w:tcPr>
          <w:p w14:paraId="2B49C0F1" w14:textId="782FE562" w:rsidR="00C473CB" w:rsidRDefault="00C473CB" w:rsidP="00C473CB">
            <w:pPr>
              <w:ind w:left="0" w:firstLine="0"/>
              <w:jc w:val="center"/>
              <w:rPr>
                <w:iCs/>
              </w:rPr>
            </w:pPr>
            <w:r>
              <w:rPr>
                <w:iCs/>
              </w:rPr>
              <w:t>Missed Nursing Care</w:t>
            </w:r>
          </w:p>
        </w:tc>
        <w:tc>
          <w:tcPr>
            <w:tcW w:w="1748" w:type="dxa"/>
            <w:vMerge/>
            <w:tcBorders>
              <w:left w:val="single" w:sz="4" w:space="0" w:color="auto"/>
              <w:right w:val="single" w:sz="4" w:space="0" w:color="auto"/>
            </w:tcBorders>
            <w:vAlign w:val="center"/>
          </w:tcPr>
          <w:p w14:paraId="477B95E6" w14:textId="77777777" w:rsidR="00C473CB" w:rsidRDefault="00C473CB" w:rsidP="00C473CB">
            <w:pPr>
              <w:ind w:left="0" w:firstLine="0"/>
              <w:jc w:val="center"/>
              <w:rPr>
                <w:iCs/>
              </w:rPr>
            </w:pPr>
          </w:p>
        </w:tc>
        <w:tc>
          <w:tcPr>
            <w:tcW w:w="1847" w:type="dxa"/>
            <w:tcBorders>
              <w:top w:val="single" w:sz="4" w:space="0" w:color="auto"/>
              <w:left w:val="single" w:sz="4" w:space="0" w:color="auto"/>
              <w:right w:val="single" w:sz="4" w:space="0" w:color="auto"/>
            </w:tcBorders>
            <w:vAlign w:val="center"/>
          </w:tcPr>
          <w:p w14:paraId="6B3262CE" w14:textId="3D1ACBC4" w:rsidR="00C473CB" w:rsidRDefault="00C473CB" w:rsidP="00C473CB">
            <w:pPr>
              <w:ind w:left="0" w:firstLine="0"/>
              <w:jc w:val="center"/>
              <w:rPr>
                <w:iCs/>
              </w:rPr>
            </w:pPr>
            <w:r>
              <w:rPr>
                <w:iCs/>
              </w:rPr>
              <w:t>Safety</w:t>
            </w:r>
          </w:p>
        </w:tc>
      </w:tr>
      <w:tr w:rsidR="00C473CB" w14:paraId="3118E4C4" w14:textId="77777777" w:rsidTr="006E4ED0">
        <w:trPr>
          <w:trHeight w:val="263"/>
        </w:trPr>
        <w:tc>
          <w:tcPr>
            <w:tcW w:w="1871" w:type="dxa"/>
            <w:tcBorders>
              <w:left w:val="single" w:sz="4" w:space="0" w:color="auto"/>
              <w:right w:val="single" w:sz="4" w:space="0" w:color="auto"/>
            </w:tcBorders>
            <w:vAlign w:val="center"/>
          </w:tcPr>
          <w:p w14:paraId="2ECBF524" w14:textId="77777777" w:rsidR="00C473CB" w:rsidRDefault="00C473CB" w:rsidP="00C473CB">
            <w:pPr>
              <w:ind w:left="0" w:firstLine="0"/>
              <w:jc w:val="center"/>
              <w:rPr>
                <w:iCs/>
              </w:rPr>
            </w:pPr>
          </w:p>
        </w:tc>
        <w:tc>
          <w:tcPr>
            <w:tcW w:w="1748" w:type="dxa"/>
            <w:vMerge/>
            <w:tcBorders>
              <w:left w:val="single" w:sz="4" w:space="0" w:color="auto"/>
              <w:right w:val="single" w:sz="4" w:space="0" w:color="auto"/>
            </w:tcBorders>
            <w:vAlign w:val="center"/>
          </w:tcPr>
          <w:p w14:paraId="61882D55" w14:textId="77777777" w:rsidR="00C473CB" w:rsidRDefault="00C473CB" w:rsidP="00C473CB">
            <w:pPr>
              <w:ind w:left="0" w:firstLine="0"/>
              <w:jc w:val="center"/>
              <w:rPr>
                <w:iCs/>
              </w:rPr>
            </w:pPr>
          </w:p>
        </w:tc>
        <w:tc>
          <w:tcPr>
            <w:tcW w:w="1864" w:type="dxa"/>
            <w:tcBorders>
              <w:left w:val="single" w:sz="4" w:space="0" w:color="auto"/>
              <w:right w:val="single" w:sz="4" w:space="0" w:color="auto"/>
            </w:tcBorders>
            <w:vAlign w:val="center"/>
          </w:tcPr>
          <w:p w14:paraId="40400C1E" w14:textId="40C63D2A" w:rsidR="00C473CB" w:rsidRDefault="006E4ED0" w:rsidP="00C473CB">
            <w:pPr>
              <w:ind w:left="0" w:firstLine="0"/>
              <w:jc w:val="center"/>
              <w:rPr>
                <w:iCs/>
              </w:rPr>
            </w:pPr>
            <w:r>
              <w:rPr>
                <w:iCs/>
                <w:noProof/>
              </w:rPr>
              <mc:AlternateContent>
                <mc:Choice Requires="wps">
                  <w:drawing>
                    <wp:anchor distT="0" distB="0" distL="114300" distR="114300" simplePos="0" relativeHeight="251663360" behindDoc="0" locked="0" layoutInCell="1" allowOverlap="1" wp14:anchorId="10254974" wp14:editId="1D6A5036">
                      <wp:simplePos x="0" y="0"/>
                      <wp:positionH relativeFrom="column">
                        <wp:posOffset>1108918</wp:posOffset>
                      </wp:positionH>
                      <wp:positionV relativeFrom="paragraph">
                        <wp:posOffset>8520</wp:posOffset>
                      </wp:positionV>
                      <wp:extent cx="1110343" cy="0"/>
                      <wp:effectExtent l="0" t="76200" r="13970" b="95250"/>
                      <wp:wrapNone/>
                      <wp:docPr id="5" name="Straight Arrow Connector 5"/>
                      <wp:cNvGraphicFramePr/>
                      <a:graphic xmlns:a="http://schemas.openxmlformats.org/drawingml/2006/main">
                        <a:graphicData uri="http://schemas.microsoft.com/office/word/2010/wordprocessingShape">
                          <wps:wsp>
                            <wps:cNvCnPr/>
                            <wps:spPr>
                              <a:xfrm>
                                <a:off x="0" y="0"/>
                                <a:ext cx="1110343"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3EF1D8" id="Straight Arrow Connector 5" o:spid="_x0000_s1026" type="#_x0000_t32" style="position:absolute;margin-left:87.3pt;margin-top:.65pt;width:87.4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" strokecolor="black [3213]" strokeweight="1.25pt">
                      <v:stroke endarrow="block"/>
                    </v:shape>
                  </w:pict>
                </mc:Fallback>
              </mc:AlternateContent>
            </w:r>
          </w:p>
        </w:tc>
        <w:tc>
          <w:tcPr>
            <w:tcW w:w="1748" w:type="dxa"/>
            <w:vMerge/>
            <w:tcBorders>
              <w:left w:val="single" w:sz="4" w:space="0" w:color="auto"/>
              <w:right w:val="single" w:sz="4" w:space="0" w:color="auto"/>
            </w:tcBorders>
            <w:vAlign w:val="center"/>
          </w:tcPr>
          <w:p w14:paraId="741DA680" w14:textId="77777777" w:rsidR="00C473CB" w:rsidRDefault="00C473CB" w:rsidP="00C473CB">
            <w:pPr>
              <w:ind w:left="0" w:firstLine="0"/>
              <w:jc w:val="center"/>
              <w:rPr>
                <w:iCs/>
              </w:rPr>
            </w:pPr>
          </w:p>
        </w:tc>
        <w:tc>
          <w:tcPr>
            <w:tcW w:w="1847" w:type="dxa"/>
            <w:tcBorders>
              <w:left w:val="single" w:sz="4" w:space="0" w:color="auto"/>
              <w:right w:val="single" w:sz="4" w:space="0" w:color="auto"/>
            </w:tcBorders>
            <w:vAlign w:val="center"/>
          </w:tcPr>
          <w:p w14:paraId="308960E8" w14:textId="77777777" w:rsidR="00C473CB" w:rsidRDefault="00C473CB" w:rsidP="00C473CB">
            <w:pPr>
              <w:ind w:left="0" w:firstLine="0"/>
              <w:jc w:val="center"/>
              <w:rPr>
                <w:iCs/>
              </w:rPr>
            </w:pPr>
          </w:p>
        </w:tc>
      </w:tr>
      <w:tr w:rsidR="00C473CB" w14:paraId="0280A410" w14:textId="77777777" w:rsidTr="006E4ED0">
        <w:trPr>
          <w:trHeight w:val="511"/>
        </w:trPr>
        <w:tc>
          <w:tcPr>
            <w:tcW w:w="1871" w:type="dxa"/>
            <w:tcBorders>
              <w:left w:val="single" w:sz="4" w:space="0" w:color="auto"/>
              <w:bottom w:val="single" w:sz="4" w:space="0" w:color="auto"/>
              <w:right w:val="single" w:sz="4" w:space="0" w:color="auto"/>
            </w:tcBorders>
            <w:vAlign w:val="center"/>
          </w:tcPr>
          <w:p w14:paraId="230D0FE4" w14:textId="2E87CD89" w:rsidR="00C473CB" w:rsidRDefault="00C473CB" w:rsidP="00C473CB">
            <w:pPr>
              <w:ind w:left="0" w:firstLine="0"/>
              <w:jc w:val="center"/>
              <w:rPr>
                <w:iCs/>
              </w:rPr>
            </w:pPr>
            <w:r>
              <w:rPr>
                <w:iCs/>
              </w:rPr>
              <w:t>Skill Mix</w:t>
            </w:r>
          </w:p>
        </w:tc>
        <w:tc>
          <w:tcPr>
            <w:tcW w:w="1748" w:type="dxa"/>
            <w:vMerge/>
            <w:tcBorders>
              <w:left w:val="single" w:sz="4" w:space="0" w:color="auto"/>
              <w:right w:val="single" w:sz="4" w:space="0" w:color="auto"/>
            </w:tcBorders>
            <w:vAlign w:val="center"/>
          </w:tcPr>
          <w:p w14:paraId="47276BC1" w14:textId="77777777" w:rsidR="00C473CB" w:rsidRDefault="00C473CB" w:rsidP="00C473CB">
            <w:pPr>
              <w:ind w:left="0" w:firstLine="0"/>
              <w:jc w:val="center"/>
              <w:rPr>
                <w:iCs/>
              </w:rPr>
            </w:pPr>
          </w:p>
        </w:tc>
        <w:tc>
          <w:tcPr>
            <w:tcW w:w="1864" w:type="dxa"/>
            <w:tcBorders>
              <w:left w:val="single" w:sz="4" w:space="0" w:color="auto"/>
              <w:bottom w:val="single" w:sz="4" w:space="0" w:color="auto"/>
              <w:right w:val="single" w:sz="4" w:space="0" w:color="auto"/>
            </w:tcBorders>
            <w:vAlign w:val="center"/>
          </w:tcPr>
          <w:p w14:paraId="4E5DA15B" w14:textId="48A3A095" w:rsidR="00C473CB" w:rsidRDefault="00C473CB" w:rsidP="00C473CB">
            <w:pPr>
              <w:ind w:left="0" w:firstLine="0"/>
              <w:jc w:val="center"/>
              <w:rPr>
                <w:iCs/>
              </w:rPr>
            </w:pPr>
            <w:r>
              <w:rPr>
                <w:iCs/>
              </w:rPr>
              <w:t>Nursing Surveillance</w:t>
            </w:r>
          </w:p>
        </w:tc>
        <w:tc>
          <w:tcPr>
            <w:tcW w:w="1748" w:type="dxa"/>
            <w:vMerge/>
            <w:tcBorders>
              <w:left w:val="single" w:sz="4" w:space="0" w:color="auto"/>
              <w:right w:val="single" w:sz="4" w:space="0" w:color="auto"/>
            </w:tcBorders>
            <w:vAlign w:val="center"/>
          </w:tcPr>
          <w:p w14:paraId="7903FC84" w14:textId="77777777" w:rsidR="00C473CB" w:rsidRDefault="00C473CB" w:rsidP="00C473CB">
            <w:pPr>
              <w:ind w:left="0" w:firstLine="0"/>
              <w:jc w:val="center"/>
              <w:rPr>
                <w:iCs/>
              </w:rPr>
            </w:pPr>
          </w:p>
        </w:tc>
        <w:tc>
          <w:tcPr>
            <w:tcW w:w="1847" w:type="dxa"/>
            <w:tcBorders>
              <w:left w:val="single" w:sz="4" w:space="0" w:color="auto"/>
              <w:bottom w:val="single" w:sz="4" w:space="0" w:color="auto"/>
              <w:right w:val="single" w:sz="4" w:space="0" w:color="auto"/>
            </w:tcBorders>
            <w:vAlign w:val="center"/>
          </w:tcPr>
          <w:p w14:paraId="28FB59B4" w14:textId="0F46B134" w:rsidR="00C473CB" w:rsidRDefault="00C473CB" w:rsidP="00C473CB">
            <w:pPr>
              <w:ind w:left="0" w:firstLine="0"/>
              <w:jc w:val="center"/>
              <w:rPr>
                <w:iCs/>
              </w:rPr>
            </w:pPr>
            <w:r>
              <w:rPr>
                <w:iCs/>
              </w:rPr>
              <w:t>Quality of Care</w:t>
            </w:r>
          </w:p>
        </w:tc>
      </w:tr>
    </w:tbl>
    <w:p w14:paraId="0203A968" w14:textId="77777777" w:rsidR="00C473CB" w:rsidRPr="00676BD4" w:rsidRDefault="00C473CB" w:rsidP="002B06BD">
      <w:pPr>
        <w:ind w:left="432" w:hanging="432"/>
        <w:rPr>
          <w:iCs/>
        </w:rPr>
      </w:pPr>
    </w:p>
    <w:p w14:paraId="55B8DA5B" w14:textId="77777777" w:rsidR="002B06BD" w:rsidRPr="003B1CC5" w:rsidRDefault="002B06BD" w:rsidP="002E2177">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proofErr w:type="gramStart"/>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w:t>
      </w:r>
      <w:proofErr w:type="gramEnd"/>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6067900" w:rsidR="00A9011D" w:rsidRPr="00A9011D" w:rsidRDefault="006E4ED0" w:rsidP="00A9011D">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X</w:t>
      </w:r>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55B8DA6C" w14:textId="7021C722" w:rsidR="00A9011D" w:rsidRPr="000F4A7F" w:rsidRDefault="006E4ED0" w:rsidP="002E2177">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X</w:t>
      </w:r>
      <w:r w:rsidR="00A9011D"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3890"/>
        <w:gridCol w:w="5460"/>
      </w:tblGrid>
      <w:tr w:rsidR="00AB4ECE" w:rsidRPr="006E4ED0" w14:paraId="55B8DA76" w14:textId="77777777" w:rsidTr="00F90F82">
        <w:tc>
          <w:tcPr>
            <w:tcW w:w="4068" w:type="dxa"/>
          </w:tcPr>
          <w:p w14:paraId="55B8DA6F" w14:textId="77777777" w:rsidR="00AB4ECE" w:rsidRPr="006E4ED0" w:rsidRDefault="00AB4ECE" w:rsidP="002E2177">
            <w:pPr>
              <w:ind w:left="0" w:firstLine="0"/>
              <w:rPr>
                <w:b/>
              </w:rPr>
            </w:pPr>
            <w:r w:rsidRPr="006E4ED0">
              <w:rPr>
                <w:b/>
              </w:rPr>
              <w:t>Source of Systematic Review:</w:t>
            </w:r>
          </w:p>
          <w:p w14:paraId="55B8DA70" w14:textId="77777777" w:rsidR="00AB4ECE" w:rsidRPr="006E4ED0" w:rsidRDefault="00AB4ECE" w:rsidP="00AB4ECE">
            <w:pPr>
              <w:pStyle w:val="ListParagraph"/>
              <w:numPr>
                <w:ilvl w:val="0"/>
                <w:numId w:val="9"/>
              </w:numPr>
              <w:rPr>
                <w:b/>
              </w:rPr>
            </w:pPr>
            <w:r w:rsidRPr="006E4ED0">
              <w:rPr>
                <w:b/>
              </w:rPr>
              <w:t>Title</w:t>
            </w:r>
          </w:p>
          <w:p w14:paraId="55B8DA71" w14:textId="77777777" w:rsidR="00AB4ECE" w:rsidRPr="006E4ED0" w:rsidRDefault="00AB4ECE" w:rsidP="00AB4ECE">
            <w:pPr>
              <w:pStyle w:val="ListParagraph"/>
              <w:numPr>
                <w:ilvl w:val="0"/>
                <w:numId w:val="9"/>
              </w:numPr>
              <w:rPr>
                <w:b/>
              </w:rPr>
            </w:pPr>
            <w:r w:rsidRPr="006E4ED0">
              <w:rPr>
                <w:b/>
              </w:rPr>
              <w:t>Author</w:t>
            </w:r>
          </w:p>
          <w:p w14:paraId="55B8DA72" w14:textId="77777777" w:rsidR="00AB4ECE" w:rsidRPr="006E4ED0" w:rsidRDefault="00AB4ECE" w:rsidP="00AB4ECE">
            <w:pPr>
              <w:pStyle w:val="ListParagraph"/>
              <w:numPr>
                <w:ilvl w:val="0"/>
                <w:numId w:val="9"/>
              </w:numPr>
              <w:rPr>
                <w:b/>
              </w:rPr>
            </w:pPr>
            <w:r w:rsidRPr="006E4ED0">
              <w:rPr>
                <w:b/>
              </w:rPr>
              <w:t>Date</w:t>
            </w:r>
          </w:p>
          <w:p w14:paraId="55B8DA73" w14:textId="77777777" w:rsidR="00AB4ECE" w:rsidRPr="006E4ED0" w:rsidRDefault="00AB4ECE" w:rsidP="00AB4ECE">
            <w:pPr>
              <w:pStyle w:val="ListParagraph"/>
              <w:numPr>
                <w:ilvl w:val="0"/>
                <w:numId w:val="9"/>
              </w:numPr>
              <w:rPr>
                <w:b/>
              </w:rPr>
            </w:pPr>
            <w:r w:rsidRPr="006E4ED0">
              <w:rPr>
                <w:b/>
              </w:rPr>
              <w:t>Citation, including page number</w:t>
            </w:r>
          </w:p>
          <w:p w14:paraId="55B8DA74" w14:textId="77777777" w:rsidR="00AB4ECE" w:rsidRPr="006E4ED0" w:rsidRDefault="00AB4ECE" w:rsidP="00AB4ECE">
            <w:pPr>
              <w:pStyle w:val="ListParagraph"/>
              <w:numPr>
                <w:ilvl w:val="0"/>
                <w:numId w:val="9"/>
              </w:numPr>
              <w:rPr>
                <w:b/>
              </w:rPr>
            </w:pPr>
            <w:r w:rsidRPr="006E4ED0">
              <w:rPr>
                <w:b/>
              </w:rPr>
              <w:t>URL</w:t>
            </w:r>
          </w:p>
        </w:tc>
        <w:tc>
          <w:tcPr>
            <w:tcW w:w="5130" w:type="dxa"/>
          </w:tcPr>
          <w:p w14:paraId="52403727" w14:textId="1FC4B42D" w:rsidR="006E4ED0" w:rsidRPr="006E4ED0" w:rsidRDefault="006E4ED0" w:rsidP="006E4ED0">
            <w:pPr>
              <w:pStyle w:val="ListParagraph"/>
              <w:numPr>
                <w:ilvl w:val="0"/>
                <w:numId w:val="9"/>
              </w:numPr>
              <w:rPr>
                <w:b/>
              </w:rPr>
            </w:pPr>
            <w:r w:rsidRPr="006E4ED0">
              <w:rPr>
                <w:b/>
              </w:rPr>
              <w:t xml:space="preserve">Title: </w:t>
            </w:r>
            <w:r w:rsidRPr="006E4ED0">
              <w:t>Effect of nurse-to-patient ratios on patient morbidity and mortality</w:t>
            </w:r>
          </w:p>
          <w:p w14:paraId="0490A60B" w14:textId="3373E0BC" w:rsidR="006E4ED0" w:rsidRPr="006E4ED0" w:rsidRDefault="006E4ED0" w:rsidP="006E4ED0">
            <w:pPr>
              <w:pStyle w:val="ListParagraph"/>
              <w:numPr>
                <w:ilvl w:val="0"/>
                <w:numId w:val="9"/>
              </w:numPr>
              <w:rPr>
                <w:b/>
              </w:rPr>
            </w:pPr>
            <w:r w:rsidRPr="006E4ED0">
              <w:rPr>
                <w:b/>
              </w:rPr>
              <w:t xml:space="preserve">Author: </w:t>
            </w:r>
            <w:proofErr w:type="spellStart"/>
            <w:r w:rsidRPr="006E4ED0">
              <w:t>Shekelle</w:t>
            </w:r>
            <w:proofErr w:type="spellEnd"/>
            <w:r w:rsidRPr="006E4ED0">
              <w:t>, P.G.</w:t>
            </w:r>
          </w:p>
          <w:p w14:paraId="690A4AAB" w14:textId="77777777" w:rsidR="006E4ED0" w:rsidRPr="006E4ED0" w:rsidRDefault="006E4ED0" w:rsidP="00B36D0C">
            <w:pPr>
              <w:pStyle w:val="ListParagraph"/>
              <w:numPr>
                <w:ilvl w:val="0"/>
                <w:numId w:val="9"/>
              </w:numPr>
              <w:rPr>
                <w:b/>
              </w:rPr>
            </w:pPr>
            <w:r w:rsidRPr="006E4ED0">
              <w:rPr>
                <w:b/>
              </w:rPr>
              <w:t xml:space="preserve">Date: </w:t>
            </w:r>
            <w:r w:rsidRPr="006E4ED0">
              <w:t>2013</w:t>
            </w:r>
          </w:p>
          <w:p w14:paraId="4A10659D" w14:textId="2105729A" w:rsidR="006E4ED0" w:rsidRPr="006E4ED0" w:rsidRDefault="006E4ED0" w:rsidP="00B36D0C">
            <w:pPr>
              <w:pStyle w:val="ListParagraph"/>
              <w:numPr>
                <w:ilvl w:val="0"/>
                <w:numId w:val="9"/>
              </w:numPr>
              <w:rPr>
                <w:b/>
              </w:rPr>
            </w:pPr>
            <w:r w:rsidRPr="006E4ED0">
              <w:rPr>
                <w:b/>
              </w:rPr>
              <w:t xml:space="preserve">Citation, including page number: </w:t>
            </w:r>
            <w:proofErr w:type="spellStart"/>
            <w:r w:rsidRPr="006E4ED0">
              <w:t>Shekelle</w:t>
            </w:r>
            <w:proofErr w:type="spellEnd"/>
            <w:r w:rsidRPr="006E4ED0">
              <w:t xml:space="preserve">, P.G. (2013). Chapter 34. Effect of nurse-to-patient ratios on patient morbidity and mortality. In </w:t>
            </w:r>
            <w:proofErr w:type="spellStart"/>
            <w:r w:rsidRPr="006E4ED0">
              <w:rPr>
                <w:rFonts w:cs="Times New Roman"/>
              </w:rPr>
              <w:t>Shekelle</w:t>
            </w:r>
            <w:proofErr w:type="spellEnd"/>
            <w:r w:rsidRPr="006E4ED0">
              <w:rPr>
                <w:rFonts w:cs="Times New Roman"/>
              </w:rPr>
              <w:t xml:space="preserve">, P. G., Wachter, R. M., </w:t>
            </w:r>
            <w:proofErr w:type="spellStart"/>
            <w:r w:rsidRPr="006E4ED0">
              <w:rPr>
                <w:rFonts w:cs="Times New Roman"/>
              </w:rPr>
              <w:t>Pronovost</w:t>
            </w:r>
            <w:proofErr w:type="spellEnd"/>
            <w:r w:rsidRPr="006E4ED0">
              <w:rPr>
                <w:rFonts w:cs="Times New Roman"/>
              </w:rPr>
              <w:t xml:space="preserve">, P. J., </w:t>
            </w:r>
            <w:proofErr w:type="spellStart"/>
            <w:r w:rsidRPr="006E4ED0">
              <w:rPr>
                <w:rFonts w:cs="Times New Roman"/>
              </w:rPr>
              <w:t>Schoelles</w:t>
            </w:r>
            <w:proofErr w:type="spellEnd"/>
            <w:r w:rsidRPr="006E4ED0">
              <w:rPr>
                <w:rFonts w:cs="Times New Roman"/>
              </w:rPr>
              <w:t xml:space="preserve">, K., McDonald, K. M., </w:t>
            </w:r>
            <w:proofErr w:type="spellStart"/>
            <w:r w:rsidRPr="006E4ED0">
              <w:rPr>
                <w:rFonts w:cs="Times New Roman"/>
              </w:rPr>
              <w:t>Dy</w:t>
            </w:r>
            <w:proofErr w:type="spellEnd"/>
            <w:r w:rsidRPr="006E4ED0">
              <w:rPr>
                <w:rFonts w:cs="Times New Roman"/>
              </w:rPr>
              <w:t xml:space="preserve">, S. M., … Winters, B. D. (Ed.), </w:t>
            </w:r>
            <w:r w:rsidRPr="006E4ED0">
              <w:rPr>
                <w:rFonts w:cs="Times New Roman"/>
                <w:i/>
                <w:iCs/>
              </w:rPr>
              <w:t>Making Health Care Safer II: An updated critical analysis of the evidence for patient safety practices</w:t>
            </w:r>
            <w:r w:rsidRPr="006E4ED0">
              <w:rPr>
                <w:rFonts w:cs="Times New Roman"/>
              </w:rPr>
              <w:t xml:space="preserve">. </w:t>
            </w:r>
          </w:p>
          <w:p w14:paraId="55B8DA75" w14:textId="1398F96A" w:rsidR="00AB4ECE" w:rsidRPr="006E4ED0" w:rsidRDefault="006E4ED0" w:rsidP="006E4ED0">
            <w:pPr>
              <w:pStyle w:val="ListParagraph"/>
              <w:numPr>
                <w:ilvl w:val="0"/>
                <w:numId w:val="9"/>
              </w:numPr>
              <w:rPr>
                <w:b/>
              </w:rPr>
            </w:pPr>
            <w:r w:rsidRPr="006E4ED0">
              <w:rPr>
                <w:b/>
              </w:rPr>
              <w:t xml:space="preserve">URL: </w:t>
            </w:r>
            <w:r w:rsidRPr="006E4ED0">
              <w:rPr>
                <w:rFonts w:cs="Times New Roman"/>
              </w:rPr>
              <w:t>http://www.ahrq.gov/research/findings/evidence-based-reports/ptsafetyuptp.html</w:t>
            </w:r>
          </w:p>
        </w:tc>
      </w:tr>
      <w:tr w:rsidR="00AB4ECE" w:rsidRPr="006E4ED0" w14:paraId="55B8DA79" w14:textId="77777777" w:rsidTr="00F90F82">
        <w:tc>
          <w:tcPr>
            <w:tcW w:w="4068" w:type="dxa"/>
          </w:tcPr>
          <w:p w14:paraId="55B8DA77" w14:textId="77777777" w:rsidR="00AB4ECE" w:rsidRPr="006E4ED0" w:rsidRDefault="00AB4ECE" w:rsidP="002E2177">
            <w:pPr>
              <w:ind w:left="0" w:firstLine="0"/>
            </w:pPr>
            <w:r w:rsidRPr="006E4ED0">
              <w:t>Quote the guideline or recommendation verbatim about the process, structure or intermediate outcome being measured.</w:t>
            </w:r>
            <w:r w:rsidR="000E5C93" w:rsidRPr="006E4ED0">
              <w:t xml:space="preserve"> </w:t>
            </w:r>
            <w:r w:rsidR="000E5C93" w:rsidRPr="006E4ED0">
              <w:lastRenderedPageBreak/>
              <w:t>If not a guideline, summarize the conclusions from the SR.</w:t>
            </w:r>
          </w:p>
        </w:tc>
        <w:tc>
          <w:tcPr>
            <w:tcW w:w="5130" w:type="dxa"/>
          </w:tcPr>
          <w:p w14:paraId="1297FACB" w14:textId="77777777" w:rsidR="006E4ED0" w:rsidRPr="006E4ED0" w:rsidRDefault="006E4ED0" w:rsidP="006E4ED0">
            <w:pPr>
              <w:ind w:left="0" w:firstLine="0"/>
            </w:pPr>
            <w:r w:rsidRPr="006E4ED0">
              <w:lastRenderedPageBreak/>
              <w:t>Nurse staffing ratios were defined broadly. Included staffing measures were FTEs per patient day, nurse-to-</w:t>
            </w:r>
            <w:r w:rsidRPr="006E4ED0">
              <w:lastRenderedPageBreak/>
              <w:t xml:space="preserve">patient ratios, skill mix, and staffing in relation to adjusted targets. </w:t>
            </w:r>
          </w:p>
          <w:p w14:paraId="55B8DA78" w14:textId="77777777" w:rsidR="00AB4ECE" w:rsidRPr="006E4ED0" w:rsidRDefault="00AB4ECE" w:rsidP="002E2177">
            <w:pPr>
              <w:ind w:left="0" w:firstLine="0"/>
            </w:pPr>
          </w:p>
        </w:tc>
      </w:tr>
      <w:tr w:rsidR="00AB4ECE" w:rsidRPr="006E4ED0" w14:paraId="55B8DA7C" w14:textId="77777777" w:rsidTr="00F90F82">
        <w:tc>
          <w:tcPr>
            <w:tcW w:w="4068" w:type="dxa"/>
          </w:tcPr>
          <w:p w14:paraId="55B8DA7A" w14:textId="77777777" w:rsidR="00AB4ECE" w:rsidRPr="006E4ED0" w:rsidRDefault="00AB4ECE" w:rsidP="00E42FAA">
            <w:pPr>
              <w:ind w:left="0" w:firstLine="0"/>
            </w:pPr>
            <w:r w:rsidRPr="006E4ED0">
              <w:lastRenderedPageBreak/>
              <w:t xml:space="preserve">Grade assigned to the </w:t>
            </w:r>
            <w:r w:rsidRPr="006E4ED0">
              <w:rPr>
                <w:b/>
              </w:rPr>
              <w:t>evidence</w:t>
            </w:r>
            <w:r w:rsidRPr="006E4ED0">
              <w:t xml:space="preserve"> associated with the recommendation with the definition of the grade</w:t>
            </w:r>
          </w:p>
        </w:tc>
        <w:tc>
          <w:tcPr>
            <w:tcW w:w="5130" w:type="dxa"/>
          </w:tcPr>
          <w:p w14:paraId="53641238" w14:textId="77777777" w:rsidR="006E4ED0" w:rsidRPr="006E4ED0" w:rsidRDefault="006E4ED0" w:rsidP="006E4ED0">
            <w:pPr>
              <w:ind w:left="0" w:firstLine="0"/>
            </w:pPr>
            <w:r w:rsidRPr="006E4ED0">
              <w:t>Nurse to patient ratios to prevent death:</w:t>
            </w:r>
          </w:p>
          <w:p w14:paraId="411BCA95" w14:textId="77777777" w:rsidR="006E4ED0" w:rsidRPr="006E4ED0" w:rsidRDefault="006E4ED0" w:rsidP="006E4ED0">
            <w:pPr>
              <w:pStyle w:val="ListParagraph"/>
              <w:numPr>
                <w:ilvl w:val="0"/>
                <w:numId w:val="12"/>
              </w:numPr>
            </w:pPr>
            <w:r w:rsidRPr="006E4ED0">
              <w:t>Scope of the problem (frequency/severity): Common/high</w:t>
            </w:r>
          </w:p>
          <w:p w14:paraId="6237809B" w14:textId="77777777" w:rsidR="006E4ED0" w:rsidRPr="006E4ED0" w:rsidRDefault="006E4ED0" w:rsidP="006E4ED0">
            <w:pPr>
              <w:pStyle w:val="ListParagraph"/>
              <w:numPr>
                <w:ilvl w:val="0"/>
                <w:numId w:val="12"/>
              </w:numPr>
            </w:pPr>
            <w:r w:rsidRPr="006E4ED0">
              <w:t>Strength of the evidence for effectiveness: Moderate</w:t>
            </w:r>
          </w:p>
          <w:p w14:paraId="064DA948" w14:textId="77777777" w:rsidR="006E4ED0" w:rsidRPr="006E4ED0" w:rsidRDefault="006E4ED0" w:rsidP="006E4ED0">
            <w:pPr>
              <w:pStyle w:val="ListParagraph"/>
              <w:numPr>
                <w:ilvl w:val="0"/>
                <w:numId w:val="12"/>
              </w:numPr>
            </w:pPr>
            <w:r w:rsidRPr="006E4ED0">
              <w:t>Evidence of potential harm: Low</w:t>
            </w:r>
          </w:p>
          <w:p w14:paraId="6C63E301" w14:textId="77777777" w:rsidR="006E4ED0" w:rsidRPr="006E4ED0" w:rsidRDefault="006E4ED0" w:rsidP="006E4ED0">
            <w:pPr>
              <w:pStyle w:val="ListParagraph"/>
              <w:numPr>
                <w:ilvl w:val="0"/>
                <w:numId w:val="12"/>
              </w:numPr>
            </w:pPr>
            <w:r w:rsidRPr="006E4ED0">
              <w:t>Estimate of cost: High</w:t>
            </w:r>
          </w:p>
          <w:p w14:paraId="4F0891E0" w14:textId="77777777" w:rsidR="006E4ED0" w:rsidRPr="006E4ED0" w:rsidRDefault="006E4ED0" w:rsidP="006E4ED0">
            <w:pPr>
              <w:pStyle w:val="ListParagraph"/>
              <w:numPr>
                <w:ilvl w:val="0"/>
                <w:numId w:val="12"/>
              </w:numPr>
            </w:pPr>
            <w:r w:rsidRPr="006E4ED0">
              <w:t>Implementation (how much do we know/how hard is it): A lot/Not difficult</w:t>
            </w:r>
          </w:p>
          <w:p w14:paraId="16D1299A" w14:textId="77777777" w:rsidR="006E4ED0" w:rsidRPr="006E4ED0" w:rsidRDefault="006E4ED0" w:rsidP="006E4ED0">
            <w:pPr>
              <w:ind w:left="0" w:firstLine="0"/>
            </w:pPr>
            <w:r w:rsidRPr="006E4ED0">
              <w:t>Nurse to patient ratios to prevent falls, pressure ulcers, and other nursing sensitive outcomes:</w:t>
            </w:r>
          </w:p>
          <w:p w14:paraId="7135A9A5" w14:textId="77777777" w:rsidR="006E4ED0" w:rsidRPr="006E4ED0" w:rsidRDefault="006E4ED0" w:rsidP="006E4ED0">
            <w:pPr>
              <w:pStyle w:val="ListParagraph"/>
              <w:numPr>
                <w:ilvl w:val="0"/>
                <w:numId w:val="12"/>
              </w:numPr>
            </w:pPr>
            <w:r w:rsidRPr="006E4ED0">
              <w:t>Scope of the problem (frequency/severity): Common/high</w:t>
            </w:r>
          </w:p>
          <w:p w14:paraId="32BA21B1" w14:textId="77777777" w:rsidR="006E4ED0" w:rsidRPr="006E4ED0" w:rsidRDefault="006E4ED0" w:rsidP="006E4ED0">
            <w:pPr>
              <w:pStyle w:val="ListParagraph"/>
              <w:numPr>
                <w:ilvl w:val="0"/>
                <w:numId w:val="12"/>
              </w:numPr>
            </w:pPr>
            <w:r w:rsidRPr="006E4ED0">
              <w:t>Strength of the evidence for effectiveness: Low</w:t>
            </w:r>
          </w:p>
          <w:p w14:paraId="29AB5BCB" w14:textId="77777777" w:rsidR="006E4ED0" w:rsidRPr="006E4ED0" w:rsidRDefault="006E4ED0" w:rsidP="006E4ED0">
            <w:pPr>
              <w:pStyle w:val="ListParagraph"/>
              <w:numPr>
                <w:ilvl w:val="0"/>
                <w:numId w:val="12"/>
              </w:numPr>
            </w:pPr>
            <w:r w:rsidRPr="006E4ED0">
              <w:t>Evidence of potential harm: Low</w:t>
            </w:r>
          </w:p>
          <w:p w14:paraId="2DED4214" w14:textId="77777777" w:rsidR="006E4ED0" w:rsidRPr="006E4ED0" w:rsidRDefault="006E4ED0" w:rsidP="006E4ED0">
            <w:pPr>
              <w:pStyle w:val="ListParagraph"/>
              <w:numPr>
                <w:ilvl w:val="0"/>
                <w:numId w:val="12"/>
              </w:numPr>
            </w:pPr>
            <w:r w:rsidRPr="006E4ED0">
              <w:t>Estimate of cost: High</w:t>
            </w:r>
          </w:p>
          <w:p w14:paraId="020CD01D" w14:textId="77777777" w:rsidR="006E4ED0" w:rsidRPr="006E4ED0" w:rsidRDefault="006E4ED0" w:rsidP="006E4ED0">
            <w:pPr>
              <w:pStyle w:val="ListParagraph"/>
              <w:numPr>
                <w:ilvl w:val="0"/>
                <w:numId w:val="12"/>
              </w:numPr>
            </w:pPr>
            <w:r w:rsidRPr="006E4ED0">
              <w:t>Implementation (how much do we know/how hard is it): A lot/Not difficult</w:t>
            </w:r>
          </w:p>
          <w:p w14:paraId="55B8DA7B" w14:textId="77777777" w:rsidR="00AB4ECE" w:rsidRPr="006E4ED0" w:rsidRDefault="00AB4ECE" w:rsidP="002E2177">
            <w:pPr>
              <w:ind w:left="0" w:firstLine="0"/>
            </w:pPr>
          </w:p>
        </w:tc>
      </w:tr>
      <w:tr w:rsidR="00AB4ECE" w:rsidRPr="006E4ED0" w14:paraId="55B8DA7F" w14:textId="77777777" w:rsidTr="00F90F82">
        <w:tc>
          <w:tcPr>
            <w:tcW w:w="4068" w:type="dxa"/>
          </w:tcPr>
          <w:p w14:paraId="55B8DA7D" w14:textId="77777777" w:rsidR="00AB4ECE" w:rsidRPr="006E4ED0" w:rsidRDefault="00AB4ECE" w:rsidP="00E42FAA">
            <w:pPr>
              <w:ind w:left="0" w:firstLine="0"/>
            </w:pPr>
            <w:r w:rsidRPr="006E4ED0">
              <w:t>Provide all other grades and definitions from the evidence grading system</w:t>
            </w:r>
          </w:p>
        </w:tc>
        <w:tc>
          <w:tcPr>
            <w:tcW w:w="5130" w:type="dxa"/>
          </w:tcPr>
          <w:p w14:paraId="048F7BA4" w14:textId="77777777" w:rsidR="006E4ED0" w:rsidRPr="006E4ED0" w:rsidRDefault="006E4ED0" w:rsidP="006E4ED0">
            <w:pPr>
              <w:ind w:left="0" w:firstLine="0"/>
              <w:rPr>
                <w:noProof/>
              </w:rPr>
            </w:pPr>
            <w:r w:rsidRPr="006E4ED0">
              <w:rPr>
                <w:noProof/>
              </w:rPr>
              <w:t>Defintions:</w:t>
            </w:r>
          </w:p>
          <w:p w14:paraId="0F86FA41" w14:textId="77777777" w:rsidR="006E4ED0" w:rsidRPr="006E4ED0" w:rsidRDefault="006E4ED0" w:rsidP="006E4ED0">
            <w:pPr>
              <w:ind w:left="0" w:firstLine="0"/>
            </w:pPr>
            <w:r w:rsidRPr="006E4ED0">
              <w:rPr>
                <w:b/>
                <w:bCs/>
              </w:rPr>
              <w:t xml:space="preserve">Scope of the problem: </w:t>
            </w:r>
            <w:r w:rsidRPr="006E4ED0">
              <w:t xml:space="preserve">Included the frequency of the safety problem and the severity of each average event. </w:t>
            </w:r>
          </w:p>
          <w:p w14:paraId="483B4184" w14:textId="77777777" w:rsidR="006E4ED0" w:rsidRPr="006E4ED0" w:rsidRDefault="006E4ED0" w:rsidP="006E4ED0">
            <w:pPr>
              <w:ind w:left="0" w:firstLine="0"/>
            </w:pPr>
            <w:r w:rsidRPr="006E4ED0">
              <w:rPr>
                <w:b/>
                <w:bCs/>
              </w:rPr>
              <w:t xml:space="preserve">Strength of evidence for effectiveness. </w:t>
            </w:r>
            <w:r w:rsidRPr="006E4ED0">
              <w:rPr>
                <w:bCs/>
              </w:rPr>
              <w:t>I</w:t>
            </w:r>
            <w:r w:rsidRPr="006E4ED0">
              <w:t xml:space="preserve">ncluded assessments evidence about context, implementation, and the use of theory or logic models, inconsistency, precision, and the possibility of reporting bias. </w:t>
            </w:r>
          </w:p>
          <w:p w14:paraId="244D3DBF" w14:textId="77777777" w:rsidR="006E4ED0" w:rsidRPr="006E4ED0" w:rsidRDefault="006E4ED0" w:rsidP="006E4ED0">
            <w:pPr>
              <w:ind w:left="0" w:firstLine="0"/>
            </w:pPr>
            <w:r w:rsidRPr="006E4ED0">
              <w:rPr>
                <w:b/>
                <w:bCs/>
              </w:rPr>
              <w:t xml:space="preserve">Evidence on potential for harmful unintended consequences. </w:t>
            </w:r>
            <w:r w:rsidRPr="006E4ED0">
              <w:t xml:space="preserve">includes actual harm and the potential for harm, ranging from high risk of harm to low (or negligible) risk of harm </w:t>
            </w:r>
          </w:p>
          <w:p w14:paraId="4246853B" w14:textId="77777777" w:rsidR="006E4ED0" w:rsidRPr="006E4ED0" w:rsidRDefault="006E4ED0" w:rsidP="006E4ED0">
            <w:pPr>
              <w:ind w:left="0" w:firstLine="0"/>
            </w:pPr>
            <w:r w:rsidRPr="006E4ED0">
              <w:rPr>
                <w:b/>
                <w:bCs/>
              </w:rPr>
              <w:t xml:space="preserve">Estimate of costs. </w:t>
            </w:r>
          </w:p>
          <w:p w14:paraId="2671EECB" w14:textId="77777777" w:rsidR="006E4ED0" w:rsidRPr="006E4ED0" w:rsidRDefault="006E4ED0" w:rsidP="006E4ED0">
            <w:pPr>
              <w:ind w:left="0" w:firstLine="720"/>
            </w:pPr>
            <w:r w:rsidRPr="006E4ED0">
              <w:t xml:space="preserve"> </w:t>
            </w:r>
            <w:r w:rsidRPr="006E4ED0">
              <w:rPr>
                <w:b/>
                <w:bCs/>
              </w:rPr>
              <w:t xml:space="preserve">Low cost. </w:t>
            </w:r>
            <w:r w:rsidRPr="006E4ED0">
              <w:t xml:space="preserve">Patient safety practice that does not require hiring new staff or large capital outlays </w:t>
            </w:r>
          </w:p>
          <w:p w14:paraId="7BE2AAB9" w14:textId="77777777" w:rsidR="006E4ED0" w:rsidRPr="006E4ED0" w:rsidRDefault="006E4ED0" w:rsidP="006E4ED0">
            <w:pPr>
              <w:ind w:left="0" w:firstLine="720"/>
            </w:pPr>
            <w:r w:rsidRPr="006E4ED0">
              <w:rPr>
                <w:b/>
                <w:bCs/>
              </w:rPr>
              <w:t xml:space="preserve">Medium cost. </w:t>
            </w:r>
            <w:r w:rsidRPr="006E4ED0">
              <w:t xml:space="preserve">Patient safety practices that might require hiring one or a few new staff members, have modest capital outlays, or incur ongoing monitoring costs. </w:t>
            </w:r>
          </w:p>
          <w:p w14:paraId="41BC7843" w14:textId="77777777" w:rsidR="006E4ED0" w:rsidRPr="006E4ED0" w:rsidRDefault="006E4ED0" w:rsidP="006E4ED0">
            <w:pPr>
              <w:ind w:left="0" w:firstLine="720"/>
            </w:pPr>
            <w:r w:rsidRPr="006E4ED0">
              <w:rPr>
                <w:b/>
                <w:bCs/>
              </w:rPr>
              <w:t xml:space="preserve">High cost. </w:t>
            </w:r>
            <w:r w:rsidRPr="006E4ED0">
              <w:t xml:space="preserve">Patient Safety Practices that require hiring substantial numbers of new staff, have considerable capital outlays, or both. </w:t>
            </w:r>
          </w:p>
          <w:p w14:paraId="765E8252" w14:textId="77777777" w:rsidR="006E4ED0" w:rsidRPr="006E4ED0" w:rsidRDefault="006E4ED0" w:rsidP="006E4ED0">
            <w:pPr>
              <w:ind w:left="0" w:firstLine="0"/>
              <w:rPr>
                <w:noProof/>
              </w:rPr>
            </w:pPr>
            <w:r w:rsidRPr="006E4ED0">
              <w:rPr>
                <w:b/>
                <w:bCs/>
              </w:rPr>
              <w:lastRenderedPageBreak/>
              <w:t xml:space="preserve">Implementation issues. </w:t>
            </w:r>
            <w:r w:rsidRPr="006E4ED0">
              <w:t xml:space="preserve">how much we know about how to implement the PSP and how difficult it is to implement. </w:t>
            </w:r>
          </w:p>
          <w:p w14:paraId="55B8DA7E" w14:textId="77777777" w:rsidR="00AB4ECE" w:rsidRPr="006E4ED0" w:rsidRDefault="00AB4ECE" w:rsidP="002E2177">
            <w:pPr>
              <w:ind w:left="0" w:firstLine="0"/>
            </w:pPr>
          </w:p>
        </w:tc>
      </w:tr>
      <w:tr w:rsidR="00AB4ECE" w:rsidRPr="006E4ED0" w14:paraId="55B8DA82" w14:textId="77777777" w:rsidTr="00F90F82">
        <w:tc>
          <w:tcPr>
            <w:tcW w:w="4068" w:type="dxa"/>
          </w:tcPr>
          <w:p w14:paraId="55B8DA80" w14:textId="77777777" w:rsidR="00AB4ECE" w:rsidRPr="006E4ED0" w:rsidRDefault="00AB4ECE" w:rsidP="00E42FAA">
            <w:pPr>
              <w:ind w:left="0" w:firstLine="0"/>
            </w:pPr>
            <w:r w:rsidRPr="006E4ED0">
              <w:lastRenderedPageBreak/>
              <w:t xml:space="preserve">Grade assigned to the </w:t>
            </w:r>
            <w:r w:rsidRPr="006E4ED0">
              <w:rPr>
                <w:b/>
              </w:rPr>
              <w:t>recommendation</w:t>
            </w:r>
            <w:r w:rsidRPr="006E4ED0">
              <w:t xml:space="preserve"> with definition of the grade</w:t>
            </w:r>
          </w:p>
        </w:tc>
        <w:tc>
          <w:tcPr>
            <w:tcW w:w="5130" w:type="dxa"/>
          </w:tcPr>
          <w:p w14:paraId="55B8DA81" w14:textId="3C2093A5" w:rsidR="00AB4ECE" w:rsidRPr="006E4ED0" w:rsidRDefault="003A0972" w:rsidP="002E2177">
            <w:pPr>
              <w:ind w:left="0" w:firstLine="0"/>
            </w:pPr>
            <w:r w:rsidRPr="003A0972">
              <w:t>They concluded that nurse staffing ratios are consistently associated with reduced risk of death, however the evidence in this area cannot be rated as high because of a lack of experimental/intervention studies in which nurse staffing was deliberately altered to assess effect. The grade for the association of nurse staffing ratios was considered low for other outcomes because of a lack of data and a lack of studies showing a dose-response relationship.</w:t>
            </w:r>
          </w:p>
        </w:tc>
      </w:tr>
      <w:tr w:rsidR="00AB4ECE" w:rsidRPr="006E4ED0" w14:paraId="55B8DA85" w14:textId="77777777" w:rsidTr="00F90F82">
        <w:tc>
          <w:tcPr>
            <w:tcW w:w="4068" w:type="dxa"/>
          </w:tcPr>
          <w:p w14:paraId="55B8DA83" w14:textId="77777777" w:rsidR="00AB4ECE" w:rsidRPr="006E4ED0" w:rsidRDefault="00AB4ECE" w:rsidP="00E42FAA">
            <w:pPr>
              <w:ind w:left="0" w:firstLine="0"/>
            </w:pPr>
            <w:r w:rsidRPr="006E4ED0">
              <w:t>Provide all other grades and definitions from the recommendation grading system</w:t>
            </w:r>
          </w:p>
        </w:tc>
        <w:tc>
          <w:tcPr>
            <w:tcW w:w="5130" w:type="dxa"/>
          </w:tcPr>
          <w:p w14:paraId="55B8DA84" w14:textId="77777777" w:rsidR="00AB4ECE" w:rsidRPr="006E4ED0" w:rsidRDefault="00AB4ECE" w:rsidP="002E2177">
            <w:pPr>
              <w:ind w:left="0" w:firstLine="0"/>
            </w:pPr>
          </w:p>
        </w:tc>
      </w:tr>
      <w:tr w:rsidR="00AB4ECE" w:rsidRPr="006E4ED0" w14:paraId="55B8DA8A" w14:textId="77777777" w:rsidTr="00F90F82">
        <w:tc>
          <w:tcPr>
            <w:tcW w:w="4068" w:type="dxa"/>
          </w:tcPr>
          <w:p w14:paraId="55B8DA86" w14:textId="77777777" w:rsidR="00AB4ECE" w:rsidRPr="006E4ED0" w:rsidRDefault="000E5C93" w:rsidP="002E2177">
            <w:pPr>
              <w:ind w:left="0" w:firstLine="0"/>
            </w:pPr>
            <w:r w:rsidRPr="006E4ED0">
              <w:t>Body of evidence:</w:t>
            </w:r>
          </w:p>
          <w:p w14:paraId="55B8DA87" w14:textId="77777777" w:rsidR="000E5C93" w:rsidRPr="006E4ED0" w:rsidRDefault="000E5C93" w:rsidP="000E5C93">
            <w:pPr>
              <w:pStyle w:val="ListParagraph"/>
              <w:numPr>
                <w:ilvl w:val="0"/>
                <w:numId w:val="10"/>
              </w:numPr>
            </w:pPr>
            <w:r w:rsidRPr="006E4ED0">
              <w:t>Quantity – how many studies?</w:t>
            </w:r>
          </w:p>
          <w:p w14:paraId="55B8DA88" w14:textId="77777777" w:rsidR="000E5C93" w:rsidRPr="006E4ED0" w:rsidRDefault="000E5C93" w:rsidP="000E5C93">
            <w:pPr>
              <w:pStyle w:val="ListParagraph"/>
              <w:numPr>
                <w:ilvl w:val="0"/>
                <w:numId w:val="10"/>
              </w:numPr>
            </w:pPr>
            <w:r w:rsidRPr="006E4ED0">
              <w:t>Quality – what type of studies?</w:t>
            </w:r>
          </w:p>
        </w:tc>
        <w:tc>
          <w:tcPr>
            <w:tcW w:w="5130" w:type="dxa"/>
          </w:tcPr>
          <w:p w14:paraId="70AEC16A" w14:textId="5A72858C" w:rsidR="00AB4ECE" w:rsidRPr="006E4ED0" w:rsidRDefault="003A0972" w:rsidP="006E4ED0">
            <w:pPr>
              <w:pStyle w:val="ListParagraph"/>
              <w:numPr>
                <w:ilvl w:val="0"/>
                <w:numId w:val="10"/>
              </w:numPr>
              <w:ind w:left="360"/>
            </w:pPr>
            <w:r>
              <w:t xml:space="preserve">Quantity: </w:t>
            </w:r>
            <w:r w:rsidR="006E4ED0" w:rsidRPr="006E4ED0">
              <w:t>9 longitudinal studies, 1 cross-sectional</w:t>
            </w:r>
          </w:p>
          <w:p w14:paraId="0F309BEA" w14:textId="77777777" w:rsidR="006E4ED0" w:rsidRPr="006E4ED0" w:rsidRDefault="006E4ED0" w:rsidP="006E4ED0">
            <w:pPr>
              <w:ind w:left="0" w:firstLine="0"/>
            </w:pPr>
          </w:p>
          <w:p w14:paraId="55B8DA89" w14:textId="0D4B5A87" w:rsidR="006E4ED0" w:rsidRPr="006E4ED0" w:rsidRDefault="003A0972" w:rsidP="006E4ED0">
            <w:pPr>
              <w:pStyle w:val="ListParagraph"/>
              <w:numPr>
                <w:ilvl w:val="0"/>
                <w:numId w:val="10"/>
              </w:numPr>
              <w:ind w:left="360"/>
            </w:pPr>
            <w:r>
              <w:t xml:space="preserve">Quality: </w:t>
            </w:r>
            <w:r w:rsidR="006E4ED0" w:rsidRPr="006E4ED0">
              <w:t xml:space="preserve">The studies </w:t>
            </w:r>
            <w:proofErr w:type="gramStart"/>
            <w:r w:rsidR="006E4ED0" w:rsidRPr="006E4ED0">
              <w:t>as a whole lacked</w:t>
            </w:r>
            <w:proofErr w:type="gramEnd"/>
            <w:r w:rsidR="006E4ED0" w:rsidRPr="006E4ED0">
              <w:t xml:space="preserve"> consistency with staffing definitions making comparisons across studies complicated. </w:t>
            </w:r>
          </w:p>
        </w:tc>
      </w:tr>
      <w:tr w:rsidR="00AB4ECE" w:rsidRPr="006E4ED0" w14:paraId="55B8DA8D" w14:textId="77777777" w:rsidTr="00F90F82">
        <w:tc>
          <w:tcPr>
            <w:tcW w:w="4068" w:type="dxa"/>
          </w:tcPr>
          <w:p w14:paraId="55B8DA8B" w14:textId="77777777" w:rsidR="00AB4ECE" w:rsidRPr="006E4ED0" w:rsidRDefault="000E5C93" w:rsidP="002E2177">
            <w:pPr>
              <w:ind w:left="0" w:firstLine="0"/>
            </w:pPr>
            <w:r w:rsidRPr="006E4ED0">
              <w:t xml:space="preserve">Estimates of benefit and consistency across studies </w:t>
            </w:r>
          </w:p>
        </w:tc>
        <w:tc>
          <w:tcPr>
            <w:tcW w:w="5130" w:type="dxa"/>
          </w:tcPr>
          <w:p w14:paraId="7E233824" w14:textId="1F3DE7B2" w:rsidR="006E4ED0" w:rsidRPr="006E4ED0" w:rsidRDefault="006E4ED0" w:rsidP="006E4ED0">
            <w:pPr>
              <w:ind w:left="0" w:firstLine="0"/>
            </w:pPr>
            <w:r w:rsidRPr="006E4ED0">
              <w:t>Alth</w:t>
            </w:r>
            <w:r w:rsidR="003A0972">
              <w:t>ough the review did not examine</w:t>
            </w:r>
            <w:r w:rsidRPr="006E4ED0">
              <w:t xml:space="preserve"> pooled effects, the studies in general found that better nurse staffing was related to lower odds of mortality. The findings for other outcomes were more mixed. </w:t>
            </w:r>
          </w:p>
          <w:p w14:paraId="55B8DA8C" w14:textId="77777777" w:rsidR="00AB4ECE" w:rsidRPr="006E4ED0" w:rsidRDefault="00AB4ECE" w:rsidP="002E2177">
            <w:pPr>
              <w:ind w:left="0" w:firstLine="0"/>
            </w:pPr>
          </w:p>
        </w:tc>
      </w:tr>
      <w:tr w:rsidR="000E5C93" w:rsidRPr="006E4ED0" w14:paraId="55B8DA90" w14:textId="77777777" w:rsidTr="00F90F82">
        <w:tc>
          <w:tcPr>
            <w:tcW w:w="4068" w:type="dxa"/>
          </w:tcPr>
          <w:p w14:paraId="55B8DA8E" w14:textId="77777777" w:rsidR="000E5C93" w:rsidRPr="006E4ED0" w:rsidRDefault="000E5C93" w:rsidP="002E2177">
            <w:pPr>
              <w:ind w:left="0" w:firstLine="0"/>
            </w:pPr>
            <w:r w:rsidRPr="006E4ED0">
              <w:t>What harms were identified?</w:t>
            </w:r>
          </w:p>
        </w:tc>
        <w:tc>
          <w:tcPr>
            <w:tcW w:w="5130" w:type="dxa"/>
          </w:tcPr>
          <w:p w14:paraId="55B8DA8F" w14:textId="55CD0D9A" w:rsidR="000E5C93" w:rsidRPr="006E4ED0" w:rsidRDefault="006E4ED0" w:rsidP="002E2177">
            <w:pPr>
              <w:ind w:left="0" w:firstLine="0"/>
            </w:pPr>
            <w:r w:rsidRPr="006E4ED0">
              <w:t xml:space="preserve">Three studies mentioned potential harms. One study noted a decrease in the use of non-RN nursing staff. Two other studies noted increases in pressure ulcers, although this could have been due to increased detection. </w:t>
            </w:r>
          </w:p>
        </w:tc>
      </w:tr>
      <w:tr w:rsidR="000E5C93" w:rsidRPr="006E4ED0" w14:paraId="55B8DA93" w14:textId="77777777" w:rsidTr="00F90F82">
        <w:tc>
          <w:tcPr>
            <w:tcW w:w="4068" w:type="dxa"/>
          </w:tcPr>
          <w:p w14:paraId="55B8DA91" w14:textId="77777777" w:rsidR="000E5C93" w:rsidRPr="006E4ED0" w:rsidRDefault="000E5C93" w:rsidP="000E5C93">
            <w:pPr>
              <w:ind w:left="0" w:firstLine="0"/>
            </w:pPr>
            <w:r w:rsidRPr="006E4ED0">
              <w:t>Identify any new studies conducted since the SR. Do the new studies change the conclusions from the SR?</w:t>
            </w:r>
          </w:p>
        </w:tc>
        <w:tc>
          <w:tcPr>
            <w:tcW w:w="5130" w:type="dxa"/>
          </w:tcPr>
          <w:p w14:paraId="6BC95CD2" w14:textId="77777777" w:rsidR="00D05F43" w:rsidRDefault="00D05F43" w:rsidP="00D05F43">
            <w:pPr>
              <w:ind w:left="0" w:firstLine="0"/>
            </w:pPr>
            <w:r w:rsidRPr="00B20395">
              <w:t>More recently, Driscoll and colleagues (2018) published a systematic literature review and meta-analysis of nurse staffing, measured as either nurse-to-patient ratios or NHPPD, and patient outcomes. While the quality of the individual studies was graded, overall grades for the evidence was not provided. In the meta-analysis, a higher nurse staffing level decreased the risk of in-hospital mortality by 14% in intensive care unit and/or cardiac/cardiothoracic units.</w:t>
            </w:r>
          </w:p>
          <w:p w14:paraId="26FACFAA" w14:textId="77777777" w:rsidR="00D05F43" w:rsidRDefault="00D05F43" w:rsidP="00D05F43">
            <w:pPr>
              <w:ind w:left="0" w:firstLine="0"/>
            </w:pPr>
          </w:p>
          <w:p w14:paraId="44006670" w14:textId="77777777" w:rsidR="00D05F43" w:rsidRDefault="00D05F43" w:rsidP="00D05F43">
            <w:pPr>
              <w:ind w:left="0" w:firstLine="0"/>
              <w:rPr>
                <w:rFonts w:ascii="Calibri" w:hAnsi="Calibri" w:cs="Calibri"/>
              </w:rPr>
            </w:pPr>
            <w:r w:rsidRPr="008F6093">
              <w:rPr>
                <w:rFonts w:ascii="Calibri" w:hAnsi="Calibri" w:cs="Calibri"/>
              </w:rPr>
              <w:t xml:space="preserve">Driscoll, A., Grant, M. J., Carroll, D., Dalton, S., Deaton, C., </w:t>
            </w:r>
          </w:p>
          <w:p w14:paraId="55B8DA92" w14:textId="79728D96" w:rsidR="000E5C93" w:rsidRPr="006E4ED0" w:rsidRDefault="00D05F43" w:rsidP="00D05F43">
            <w:pPr>
              <w:ind w:left="0" w:firstLine="0"/>
            </w:pPr>
            <w:r>
              <w:rPr>
                <w:rFonts w:ascii="Calibri" w:hAnsi="Calibri" w:cs="Calibri"/>
              </w:rPr>
              <w:tab/>
            </w:r>
            <w:r w:rsidRPr="008F6093">
              <w:rPr>
                <w:rFonts w:ascii="Calibri" w:hAnsi="Calibri" w:cs="Calibri"/>
              </w:rPr>
              <w:t xml:space="preserve">Jones, I., … </w:t>
            </w:r>
            <w:proofErr w:type="spellStart"/>
            <w:r w:rsidRPr="008F6093">
              <w:rPr>
                <w:rFonts w:ascii="Calibri" w:hAnsi="Calibri" w:cs="Calibri"/>
              </w:rPr>
              <w:t>Astin</w:t>
            </w:r>
            <w:proofErr w:type="spellEnd"/>
            <w:r w:rsidRPr="008F6093">
              <w:rPr>
                <w:rFonts w:ascii="Calibri" w:hAnsi="Calibri" w:cs="Calibri"/>
              </w:rPr>
              <w:t>, F. (2018). The effect of nurse-to-</w:t>
            </w:r>
            <w:r>
              <w:rPr>
                <w:rFonts w:ascii="Calibri" w:hAnsi="Calibri" w:cs="Calibri"/>
              </w:rPr>
              <w:tab/>
            </w:r>
            <w:r w:rsidRPr="008F6093">
              <w:rPr>
                <w:rFonts w:ascii="Calibri" w:hAnsi="Calibri" w:cs="Calibri"/>
              </w:rPr>
              <w:t xml:space="preserve">patient ratios on nurse-sensitive patient outcomes </w:t>
            </w:r>
            <w:r>
              <w:rPr>
                <w:rFonts w:ascii="Calibri" w:hAnsi="Calibri" w:cs="Calibri"/>
              </w:rPr>
              <w:tab/>
            </w:r>
            <w:r w:rsidRPr="008F6093">
              <w:rPr>
                <w:rFonts w:ascii="Calibri" w:hAnsi="Calibri" w:cs="Calibri"/>
              </w:rPr>
              <w:t xml:space="preserve">in acute specialist units: a systematic review and </w:t>
            </w:r>
            <w:r>
              <w:rPr>
                <w:rFonts w:ascii="Calibri" w:hAnsi="Calibri" w:cs="Calibri"/>
              </w:rPr>
              <w:tab/>
            </w:r>
            <w:r w:rsidRPr="008F6093">
              <w:rPr>
                <w:rFonts w:ascii="Calibri" w:hAnsi="Calibri" w:cs="Calibri"/>
              </w:rPr>
              <w:t xml:space="preserve">meta-analysis. </w:t>
            </w:r>
            <w:r w:rsidRPr="008F6093">
              <w:rPr>
                <w:rFonts w:ascii="Calibri" w:hAnsi="Calibri" w:cs="Calibri"/>
                <w:i/>
                <w:iCs/>
              </w:rPr>
              <w:t xml:space="preserve">European Journal of Cardiovascular </w:t>
            </w:r>
            <w:r>
              <w:rPr>
                <w:rFonts w:ascii="Calibri" w:hAnsi="Calibri" w:cs="Calibri"/>
                <w:i/>
                <w:iCs/>
              </w:rPr>
              <w:tab/>
            </w:r>
            <w:r w:rsidRPr="008F6093">
              <w:rPr>
                <w:rFonts w:ascii="Calibri" w:hAnsi="Calibri" w:cs="Calibri"/>
                <w:i/>
                <w:iCs/>
              </w:rPr>
              <w:t xml:space="preserve">Nursing: Journal of the Working Group on </w:t>
            </w:r>
            <w:r>
              <w:rPr>
                <w:rFonts w:ascii="Calibri" w:hAnsi="Calibri" w:cs="Calibri"/>
                <w:i/>
                <w:iCs/>
              </w:rPr>
              <w:lastRenderedPageBreak/>
              <w:tab/>
            </w:r>
            <w:r w:rsidRPr="008F6093">
              <w:rPr>
                <w:rFonts w:ascii="Calibri" w:hAnsi="Calibri" w:cs="Calibri"/>
                <w:i/>
                <w:iCs/>
              </w:rPr>
              <w:t xml:space="preserve">Cardiovascular Nursing of the European Society of </w:t>
            </w:r>
            <w:r>
              <w:rPr>
                <w:rFonts w:ascii="Calibri" w:hAnsi="Calibri" w:cs="Calibri"/>
                <w:i/>
                <w:iCs/>
              </w:rPr>
              <w:tab/>
            </w:r>
            <w:r w:rsidRPr="008F6093">
              <w:rPr>
                <w:rFonts w:ascii="Calibri" w:hAnsi="Calibri" w:cs="Calibri"/>
                <w:i/>
                <w:iCs/>
              </w:rPr>
              <w:t>Cardiology</w:t>
            </w:r>
            <w:r w:rsidRPr="008F6093">
              <w:rPr>
                <w:rFonts w:ascii="Calibri" w:hAnsi="Calibri" w:cs="Calibri"/>
              </w:rPr>
              <w:t xml:space="preserve">, </w:t>
            </w:r>
            <w:r w:rsidRPr="008F6093">
              <w:rPr>
                <w:rFonts w:ascii="Calibri" w:hAnsi="Calibri" w:cs="Calibri"/>
                <w:i/>
                <w:iCs/>
              </w:rPr>
              <w:t>17</w:t>
            </w:r>
            <w:r w:rsidRPr="008F6093">
              <w:rPr>
                <w:rFonts w:ascii="Calibri" w:hAnsi="Calibri" w:cs="Calibri"/>
              </w:rPr>
              <w:t xml:space="preserve">(1), 6–22. </w:t>
            </w:r>
            <w:r>
              <w:rPr>
                <w:rFonts w:ascii="Calibri" w:hAnsi="Calibri" w:cs="Calibri"/>
              </w:rPr>
              <w:tab/>
            </w:r>
            <w:hyperlink r:id="rId16" w:history="1">
              <w:r w:rsidRPr="00E05577">
                <w:rPr>
                  <w:rStyle w:val="Hyperlink"/>
                  <w:rFonts w:ascii="Calibri" w:hAnsi="Calibri" w:cs="Calibri"/>
                </w:rPr>
                <w:t>https://doi.org/10.1177/1474515117721561</w:t>
              </w:r>
            </w:hyperlink>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401FA0F5"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186EB81D" w14:textId="0FC16181" w:rsidR="003A0972" w:rsidRDefault="003A0972" w:rsidP="002E2177">
      <w:pPr>
        <w:ind w:left="0" w:firstLine="0"/>
        <w:rPr>
          <w:i/>
        </w:rPr>
      </w:pPr>
    </w:p>
    <w:p w14:paraId="0850687B" w14:textId="77777777" w:rsidR="00D05F43" w:rsidRDefault="00D05F43" w:rsidP="00D05F43">
      <w:pPr>
        <w:ind w:left="0" w:firstLine="0"/>
      </w:pPr>
      <w:r>
        <w:t xml:space="preserve">Other systematic reviews on nurse staffing exist, however they do not provide graded evidence. Kane (2007) conducted a meta-analysis of studies examining the effects of nurse-to-patient ratios on patient outcomes. Increased RN staffing was associated with lower odds of mortality, hospital acquired pneumonia, unplanned </w:t>
      </w:r>
      <w:proofErr w:type="spellStart"/>
      <w:r>
        <w:t>extubation</w:t>
      </w:r>
      <w:proofErr w:type="spellEnd"/>
      <w:r>
        <w:t xml:space="preserve">, respiratory failure, cardiac arrest, and failure to rescue. </w:t>
      </w:r>
      <w:r w:rsidRPr="00B20395">
        <w:t>More recently, Driscoll and colleagues (2018) published a systematic literature review and meta-analysis of nurse staffing, measured as either nurse-to-patient ratios or NHPPD, and patient outcomes. While the quality of the individual studies was graded, overall grades for the evidence was not provided. In the meta-analysis, a higher nurse staffing level decreased the risk of in-hospital mortality by 14% in intensive care unit and/or cardiac/cardiothoracic units.</w:t>
      </w:r>
    </w:p>
    <w:p w14:paraId="0FC4DFE6" w14:textId="77777777" w:rsidR="00D05F43" w:rsidRDefault="00D05F43" w:rsidP="00D05F43">
      <w:pPr>
        <w:ind w:left="0" w:firstLine="0"/>
      </w:pPr>
    </w:p>
    <w:p w14:paraId="0ECE2A4A" w14:textId="77777777" w:rsidR="00D05F43" w:rsidRDefault="00D05F43" w:rsidP="00D05F43">
      <w:pPr>
        <w:pStyle w:val="Bibliography"/>
        <w:rPr>
          <w:rFonts w:ascii="Calibri" w:hAnsi="Calibri" w:cs="Calibri"/>
        </w:rPr>
      </w:pPr>
      <w:r w:rsidRPr="008F6093">
        <w:rPr>
          <w:rFonts w:ascii="Calibri" w:hAnsi="Calibri" w:cs="Calibri"/>
        </w:rPr>
        <w:t xml:space="preserve">Driscoll, A., Grant, M. J., Carroll, D., Dalton, S., Deaton, C., Jones, I., … </w:t>
      </w:r>
      <w:proofErr w:type="spellStart"/>
      <w:r w:rsidRPr="008F6093">
        <w:rPr>
          <w:rFonts w:ascii="Calibri" w:hAnsi="Calibri" w:cs="Calibri"/>
        </w:rPr>
        <w:t>Astin</w:t>
      </w:r>
      <w:proofErr w:type="spellEnd"/>
      <w:r w:rsidRPr="008F6093">
        <w:rPr>
          <w:rFonts w:ascii="Calibri" w:hAnsi="Calibri" w:cs="Calibri"/>
        </w:rPr>
        <w:t xml:space="preserve">, F. (2018). The effect of nurse-to-patient ratios on nurse-sensitive patient outcomes in acute specialist units: a systematic review and meta-analysis. </w:t>
      </w:r>
      <w:r w:rsidRPr="008F6093">
        <w:rPr>
          <w:rFonts w:ascii="Calibri" w:hAnsi="Calibri" w:cs="Calibri"/>
          <w:i/>
          <w:iCs/>
        </w:rPr>
        <w:t>European Journal of Cardiovascular Nursing: Journal of the Working Group on Cardiovascular Nursing of the European Society of Cardiology</w:t>
      </w:r>
      <w:r w:rsidRPr="008F6093">
        <w:rPr>
          <w:rFonts w:ascii="Calibri" w:hAnsi="Calibri" w:cs="Calibri"/>
        </w:rPr>
        <w:t xml:space="preserve">, </w:t>
      </w:r>
      <w:r w:rsidRPr="008F6093">
        <w:rPr>
          <w:rFonts w:ascii="Calibri" w:hAnsi="Calibri" w:cs="Calibri"/>
          <w:i/>
          <w:iCs/>
        </w:rPr>
        <w:t>17</w:t>
      </w:r>
      <w:r w:rsidRPr="008F6093">
        <w:rPr>
          <w:rFonts w:ascii="Calibri" w:hAnsi="Calibri" w:cs="Calibri"/>
        </w:rPr>
        <w:t xml:space="preserve">(1), 6–22. </w:t>
      </w:r>
      <w:hyperlink r:id="rId17" w:history="1">
        <w:r w:rsidRPr="00E05577">
          <w:rPr>
            <w:rStyle w:val="Hyperlink"/>
            <w:rFonts w:ascii="Calibri" w:hAnsi="Calibri" w:cs="Calibri"/>
          </w:rPr>
          <w:t>https://doi.org/10.1177/1474515117721561</w:t>
        </w:r>
      </w:hyperlink>
    </w:p>
    <w:p w14:paraId="1639010C" w14:textId="77777777" w:rsidR="00D05F43" w:rsidRDefault="00D05F43" w:rsidP="00D05F43"/>
    <w:p w14:paraId="23E9EAA0" w14:textId="77777777" w:rsidR="00D05F43" w:rsidRPr="005B2C66" w:rsidRDefault="00D05F43" w:rsidP="00D05F43">
      <w:pPr>
        <w:pStyle w:val="Bibliography"/>
        <w:rPr>
          <w:rFonts w:ascii="Calibri" w:hAnsi="Calibri" w:cs="Calibri"/>
        </w:rPr>
      </w:pPr>
      <w:r w:rsidRPr="005B2C66">
        <w:rPr>
          <w:rFonts w:ascii="Calibri" w:hAnsi="Calibri" w:cs="Calibri"/>
        </w:rPr>
        <w:t xml:space="preserve">Kane, R. L., </w:t>
      </w:r>
      <w:proofErr w:type="spellStart"/>
      <w:r w:rsidRPr="005B2C66">
        <w:rPr>
          <w:rFonts w:ascii="Calibri" w:hAnsi="Calibri" w:cs="Calibri"/>
        </w:rPr>
        <w:t>Shamliyan</w:t>
      </w:r>
      <w:proofErr w:type="spellEnd"/>
      <w:r w:rsidRPr="005B2C66">
        <w:rPr>
          <w:rFonts w:ascii="Calibri" w:hAnsi="Calibri" w:cs="Calibri"/>
        </w:rPr>
        <w:t xml:space="preserve">, T. A., Mueller, C., Duval, S., &amp; Wilt, T. J. (2007). The association of registered nurse staffing levels and patient outcomes: systematic review and meta-analysis. </w:t>
      </w:r>
      <w:r w:rsidRPr="005B2C66">
        <w:rPr>
          <w:rFonts w:ascii="Calibri" w:hAnsi="Calibri" w:cs="Calibri"/>
          <w:i/>
          <w:iCs/>
        </w:rPr>
        <w:t>Medical Care</w:t>
      </w:r>
      <w:r w:rsidRPr="005B2C66">
        <w:rPr>
          <w:rFonts w:ascii="Calibri" w:hAnsi="Calibri" w:cs="Calibri"/>
        </w:rPr>
        <w:t xml:space="preserve">, </w:t>
      </w:r>
      <w:r w:rsidRPr="005B2C66">
        <w:rPr>
          <w:rFonts w:ascii="Calibri" w:hAnsi="Calibri" w:cs="Calibri"/>
          <w:i/>
          <w:iCs/>
        </w:rPr>
        <w:t>45</w:t>
      </w:r>
      <w:r w:rsidRPr="005B2C66">
        <w:rPr>
          <w:rFonts w:ascii="Calibri" w:hAnsi="Calibri" w:cs="Calibri"/>
        </w:rPr>
        <w:t>(12), 1195–1204. https://doi.org/10.1097/MLR.0b013e3181468ca3</w:t>
      </w:r>
    </w:p>
    <w:p w14:paraId="5FDAB79E" w14:textId="77777777" w:rsidR="00D05F43" w:rsidRDefault="00D05F43" w:rsidP="00D05F43">
      <w:pPr>
        <w:ind w:left="0" w:firstLine="0"/>
      </w:pPr>
    </w:p>
    <w:p w14:paraId="64C30AC7" w14:textId="77777777" w:rsidR="00D05F43" w:rsidRDefault="00D05F43" w:rsidP="00D05F43">
      <w:pPr>
        <w:ind w:left="0" w:firstLine="0"/>
      </w:pPr>
    </w:p>
    <w:p w14:paraId="29816117" w14:textId="77777777" w:rsidR="00D05F43" w:rsidRDefault="00D05F43" w:rsidP="00D05F43">
      <w:pPr>
        <w:ind w:left="0" w:firstLine="0"/>
      </w:pPr>
      <w:r>
        <w:t xml:space="preserve">Because of the lack of systematic reviews addressing skill mix, we provide an overview of the evidence below. </w:t>
      </w:r>
    </w:p>
    <w:p w14:paraId="08C64904" w14:textId="77777777" w:rsidR="003A0972" w:rsidRPr="003A0972" w:rsidRDefault="003A0972" w:rsidP="002E2177">
      <w:pPr>
        <w:ind w:left="0" w:firstLine="0"/>
      </w:pPr>
      <w:bookmarkStart w:id="7" w:name="_GoBack"/>
      <w:bookmarkEnd w:id="7"/>
    </w:p>
    <w:p w14:paraId="55B8DA98" w14:textId="77777777" w:rsidR="00837121" w:rsidRPr="003B1CC5" w:rsidRDefault="00837121" w:rsidP="002E2177">
      <w:pPr>
        <w:ind w:left="0" w:firstLine="0"/>
      </w:pPr>
    </w:p>
    <w:p w14:paraId="55B8DA99" w14:textId="58677C74"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151E5E76" w14:textId="00F04E5B" w:rsidR="003A0972" w:rsidRDefault="003A0972" w:rsidP="002E2177">
      <w:pPr>
        <w:ind w:left="0" w:firstLine="0"/>
      </w:pPr>
    </w:p>
    <w:p w14:paraId="1975A3A5" w14:textId="77777777" w:rsidR="003A0972" w:rsidRDefault="003A0972" w:rsidP="003A0972">
      <w:r>
        <w:t xml:space="preserve">Evidence of the Association between </w:t>
      </w:r>
      <w:r>
        <w:rPr>
          <w:b/>
        </w:rPr>
        <w:t>Nursing Staff Skill Mix (% of Hours Supplied by RNs)</w:t>
      </w:r>
      <w:r>
        <w:t xml:space="preserve"> and Patient Outcomes</w:t>
      </w:r>
    </w:p>
    <w:tbl>
      <w:tblPr>
        <w:tblStyle w:val="LightShading"/>
        <w:tblW w:w="0" w:type="auto"/>
        <w:tblInd w:w="0" w:type="dxa"/>
        <w:tblLook w:val="04A0" w:firstRow="1" w:lastRow="0" w:firstColumn="1" w:lastColumn="0" w:noHBand="0" w:noVBand="1"/>
      </w:tblPr>
      <w:tblGrid>
        <w:gridCol w:w="3146"/>
        <w:gridCol w:w="3117"/>
        <w:gridCol w:w="3097"/>
      </w:tblGrid>
      <w:tr w:rsidR="003A0972" w14:paraId="645F7243" w14:textId="77777777" w:rsidTr="003A09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hideMark/>
          </w:tcPr>
          <w:p w14:paraId="5113B952" w14:textId="77777777" w:rsidR="003A0972" w:rsidRDefault="003A0972">
            <w:r>
              <w:t>Patient Outcome</w:t>
            </w:r>
          </w:p>
        </w:tc>
        <w:tc>
          <w:tcPr>
            <w:tcW w:w="3294" w:type="dxa"/>
            <w:hideMark/>
          </w:tcPr>
          <w:p w14:paraId="7CB96A75" w14:textId="77777777" w:rsidR="003A0972" w:rsidRDefault="003A0972">
            <w:pPr>
              <w:cnfStyle w:val="100000000000" w:firstRow="1" w:lastRow="0" w:firstColumn="0" w:lastColumn="0" w:oddVBand="0" w:evenVBand="0" w:oddHBand="0" w:evenHBand="0" w:firstRowFirstColumn="0" w:firstRowLastColumn="0" w:lastRowFirstColumn="0" w:lastRowLastColumn="0"/>
            </w:pPr>
            <w:r>
              <w:t>Author (year)</w:t>
            </w:r>
          </w:p>
        </w:tc>
        <w:tc>
          <w:tcPr>
            <w:tcW w:w="3294" w:type="dxa"/>
            <w:hideMark/>
          </w:tcPr>
          <w:p w14:paraId="70360B61" w14:textId="77777777" w:rsidR="003A0972" w:rsidRDefault="003A0972">
            <w:pPr>
              <w:cnfStyle w:val="100000000000" w:firstRow="1" w:lastRow="0" w:firstColumn="0" w:lastColumn="0" w:oddVBand="0" w:evenVBand="0" w:oddHBand="0" w:evenHBand="0" w:firstRowFirstColumn="0" w:firstRowLastColumn="0" w:lastRowFirstColumn="0" w:lastRowLastColumn="0"/>
            </w:pPr>
            <w:r>
              <w:t>Result</w:t>
            </w:r>
          </w:p>
        </w:tc>
      </w:tr>
      <w:tr w:rsidR="003A0972" w14:paraId="3A2B74EF"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hideMark/>
          </w:tcPr>
          <w:p w14:paraId="3CAF4F14" w14:textId="77777777" w:rsidR="003A0972" w:rsidRDefault="003A0972">
            <w:r>
              <w:t>Falls</w:t>
            </w:r>
          </w:p>
        </w:tc>
        <w:tc>
          <w:tcPr>
            <w:tcW w:w="3294" w:type="dxa"/>
            <w:tcBorders>
              <w:top w:val="nil"/>
              <w:bottom w:val="nil"/>
            </w:tcBorders>
            <w:hideMark/>
          </w:tcPr>
          <w:p w14:paraId="2C798AD5"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He et al (2016)</w:t>
            </w:r>
          </w:p>
        </w:tc>
        <w:tc>
          <w:tcPr>
            <w:tcW w:w="3294" w:type="dxa"/>
            <w:tcBorders>
              <w:top w:val="nil"/>
              <w:bottom w:val="nil"/>
            </w:tcBorders>
            <w:hideMark/>
          </w:tcPr>
          <w:p w14:paraId="4DCFDBAE"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w:t>
            </w:r>
          </w:p>
        </w:tc>
      </w:tr>
      <w:tr w:rsidR="003A0972" w14:paraId="672DE454"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3031BCAF" w14:textId="77777777" w:rsidR="003A0972" w:rsidRDefault="003A0972"/>
        </w:tc>
        <w:tc>
          <w:tcPr>
            <w:tcW w:w="3294" w:type="dxa"/>
            <w:tcBorders>
              <w:top w:val="nil"/>
              <w:left w:val="nil"/>
              <w:bottom w:val="nil"/>
              <w:right w:val="nil"/>
            </w:tcBorders>
            <w:hideMark/>
          </w:tcPr>
          <w:p w14:paraId="7F204077"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proofErr w:type="spellStart"/>
            <w:r>
              <w:rPr>
                <w:color w:val="FF0000"/>
              </w:rPr>
              <w:t>Tzeng</w:t>
            </w:r>
            <w:proofErr w:type="spellEnd"/>
            <w:r>
              <w:rPr>
                <w:color w:val="FF0000"/>
              </w:rPr>
              <w:t xml:space="preserve"> et al </w:t>
            </w:r>
            <w:r>
              <w:rPr>
                <w:color w:val="FF0000"/>
              </w:rPr>
              <w:fldChar w:fldCharType="begin"/>
            </w:r>
            <w:r>
              <w:rPr>
                <w:color w:val="FF0000"/>
              </w:rPr>
              <w:instrText xml:space="preserve"> ADDIN ZOTERO_ITEM CSL_CITATION {"citationID":"18pct1v62b","properties":{"formattedCitation":"(2012)","plainCitation":"(2012)"},"citationItems":[{"id":1294,"uris":["http://zotero.org/users/564815/items/DS3E82Q5"],"uri":["http://zotero.org/users/564815/items/DS3E82Q5"],"itemData":{"id":1294,"type":"article-journal","title":"The contribution of staff call light response time to fall and injurious fall rates: an exploratory study in four US hospitals using archived hospital data","container-title":"BMC health services research","page":"84","volume":"12","source":"NCBI PubMed","abstract":"BACKGROUND: Fall prevention programs for hospitalized patients have had limited success, and the effect of programs on decreasing total falls and fall-related injuries is still inconclusive. This exploratory multi-hospital study examined the unique contribution of call light response time to predicting total fall rates and injurious fall rates in inpatient acute care settings. The conceptual model was based on Donabedian's framework of structure, process, and health-care outcomes. The covariates included the hospital, unit type, total nursing hours per patient-day (HPPDs), percentage of the total nursing HPPDs supplied by registered nurses, percentage of patients aged 65 years or older, average case mix index, percentage of patients with altered mental status, percentage of patients with hearing problems, and call light use rate per patient-day.\nMETHODS: We analyzed data from 28 units from 4 Michigan hospitals, using archived data and chart reviews from January 2004 to May 2009. The patient care unit-month, defined as data aggregated by month for each patient care unit, was the unit of analysis (N = 1063). Hierarchical multiple regression analyses were used.\nRESULTS: Faster call light response time was associated with lower total fall and injurious fall rates. Units with a higher call light use rate had lower total fall and injurious fall rates. A higher percentage of productive nursing hours provided by registered nurses was associated with lower total fall and injurious fall rates. A higher percentage of patients with altered mental status was associated with a higher total fall rate but not a higher injurious fall rate. Units with a higher percentage of patients aged 65 years or older had lower injurious fall rates.\nCONCLUSIONS: Faster call light response time appeared to contribute to lower total fall and injurious fall rates, after controlling for the covariates. For practical relevance, hospital and nursing executives should consider strategizing fall and injurious fall prevention efforts by aiming for a decrease in staff response time to call lights. Monitoring call light response time on a regular basis is recommended and could be incorporated into evidence-based practice guidelines for fall prevention.","DOI":"10.1186/1472-6963-12-84","ISSN":"1472-6963","note":"PMID: 22462485 \nPMCID: PMC3364911","shortTitle":"The contribution of staff call light response time to fall and injurious fall rates","journalAbbreviation":"BMC Health Serv Res","language":"eng","author":[{"family":"Tzeng","given":"Huey-Ming"},{"family":"Titler","given":"Marita G."},{"family":"Ronis","given":"David L."},{"family":"Yin","given":"Chang-Yi"}],"issued":{"date-parts":[["2012"]]},"PMID":"22462485","PMCID":"PMC3364911"},"suppress-author":true}],"schema":"https://github.com/citation-style-language/schema/raw/master/csl-citation.json"} </w:instrText>
            </w:r>
            <w:r>
              <w:rPr>
                <w:color w:val="FF0000"/>
              </w:rPr>
              <w:fldChar w:fldCharType="separate"/>
            </w:r>
            <w:r>
              <w:rPr>
                <w:rFonts w:ascii="Calibri" w:hAnsi="Calibri"/>
                <w:color w:val="FF0000"/>
              </w:rPr>
              <w:t>(2012)</w:t>
            </w:r>
            <w:r>
              <w:rPr>
                <w:color w:val="FF0000"/>
              </w:rPr>
              <w:fldChar w:fldCharType="end"/>
            </w:r>
          </w:p>
        </w:tc>
        <w:tc>
          <w:tcPr>
            <w:tcW w:w="3294" w:type="dxa"/>
            <w:tcBorders>
              <w:top w:val="nil"/>
              <w:left w:val="nil"/>
              <w:bottom w:val="nil"/>
              <w:right w:val="nil"/>
            </w:tcBorders>
            <w:hideMark/>
          </w:tcPr>
          <w:p w14:paraId="13560C98"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w:t>
            </w:r>
          </w:p>
        </w:tc>
      </w:tr>
      <w:tr w:rsidR="003A0972" w14:paraId="63BB512C"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tcPr>
          <w:p w14:paraId="669D64CC" w14:textId="77777777" w:rsidR="003A0972" w:rsidRDefault="003A0972"/>
        </w:tc>
        <w:tc>
          <w:tcPr>
            <w:tcW w:w="3294" w:type="dxa"/>
            <w:tcBorders>
              <w:top w:val="nil"/>
              <w:bottom w:val="nil"/>
            </w:tcBorders>
            <w:hideMark/>
          </w:tcPr>
          <w:p w14:paraId="3F30D0BC"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 xml:space="preserve">He et al </w:t>
            </w:r>
            <w:r>
              <w:rPr>
                <w:color w:val="FF0000"/>
              </w:rPr>
              <w:fldChar w:fldCharType="begin"/>
            </w:r>
            <w:r>
              <w:rPr>
                <w:color w:val="FF0000"/>
              </w:rPr>
              <w:instrText xml:space="preserve"> ADDIN ZOTERO_ITEM CSL_CITATION {"citationID":"1blsrfeh2v","properties":{"formattedCitation":"(2012)","plainCitation":"(2012)"},"citationItems":[{"id":1290,"uris":["http://zotero.org/users/564815/items/E2U7Z465"],"uri":["http://zotero.org/users/564815/items/E2U7Z465"],"itemData":{"id":1290,"type":"article-journal","title":"Unit-level time trends in inpatient fall rates of US hospitals","container-title":"Medical Care","page":"801-807","volume":"50","issue":"9","source":"NCBI PubMed","abstract":"BACKGROUND: Little is known about the recent development of the quality of nursing care.\nOBJECTIVE: To examine trends in the rate of total inpatient falls, one of the nursing-sensitive quality indicators, in US hospitals.\nRESEARCH DESIGN: A longitudinal study of unit-level data collected during 2004-2009 by the National Database of Nursing Quality Indicators. Hierarchical Poisson regression models were used for the analysis of the unit-level fall rate.\nSUBJECTS: Approximately 37,000 observations from 8915 nursing units (1994 critical care, 1328 step-down, 1663 medical, 1279 surgical, 2217 medical-surgical, and 434 rehabilitation units) in 1171 hospitals were examined.\nMEASURES: The outcome measure was the annual count of unit-level inpatient falls with the annual count of unit-level patient days taken as the exposure variable. Independent variables included hospital size (≥300 or &lt;300 beds), teaching status, and Magnet status and unit-level total nursing hours per patient day and proportion of total nursing hours supplied by RNs (skill-mix) at baseline.\nRESULTS: The mean fall rates for most unit types remained stable or decreased, whereas those for surgical units increased over time. A higher register nurses skill-mix and the total nursing hours per patient day were both associated with lower fall rates (P&lt;0.001); hospitals with more beds tended to have lower fall rates (P=0.001). Hospital Magnet and teaching status were not associated with the fall rate.\nCONCLUSIONS: Overall, the fall rate in the United States hospitals decreased over time, but the large variation in the fall rate at both the hospital and the unit level indicates much room for improvement in the quality of nursing care related to fall prevention.","DOI":"10.1097/MLR.0b013e31825a8b88","ISSN":"1537-1948","note":"PMID: 22889804","journalAbbreviation":"Med Care","language":"eng","author":[{"family":"He","given":"Jianghua"},{"family":"Dunton","given":"Nancy"},{"family":"Staggs","given":"Vincent"}],"issued":{"date-parts":[["2012",9]]},"PMID":"22889804"},"suppress-author":true}],"schema":"https://github.com/citation-style-language/schema/raw/master/csl-citation.json"} </w:instrText>
            </w:r>
            <w:r>
              <w:rPr>
                <w:color w:val="FF0000"/>
              </w:rPr>
              <w:fldChar w:fldCharType="separate"/>
            </w:r>
            <w:r>
              <w:rPr>
                <w:rFonts w:ascii="Calibri" w:hAnsi="Calibri"/>
                <w:color w:val="FF0000"/>
              </w:rPr>
              <w:t>(2012)</w:t>
            </w:r>
            <w:r>
              <w:rPr>
                <w:color w:val="FF0000"/>
              </w:rPr>
              <w:fldChar w:fldCharType="end"/>
            </w:r>
          </w:p>
        </w:tc>
        <w:tc>
          <w:tcPr>
            <w:tcW w:w="3294" w:type="dxa"/>
            <w:tcBorders>
              <w:top w:val="nil"/>
              <w:bottom w:val="nil"/>
            </w:tcBorders>
            <w:hideMark/>
          </w:tcPr>
          <w:p w14:paraId="4EC481FB"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w:t>
            </w:r>
          </w:p>
        </w:tc>
      </w:tr>
      <w:tr w:rsidR="003A0972" w14:paraId="02F25994"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242600C5" w14:textId="77777777" w:rsidR="003A0972" w:rsidRDefault="003A0972"/>
        </w:tc>
        <w:tc>
          <w:tcPr>
            <w:tcW w:w="3294" w:type="dxa"/>
            <w:tcBorders>
              <w:top w:val="nil"/>
              <w:left w:val="nil"/>
              <w:bottom w:val="nil"/>
              <w:right w:val="nil"/>
            </w:tcBorders>
            <w:hideMark/>
          </w:tcPr>
          <w:p w14:paraId="60F83BBD"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Patrician et al (2011)</w:t>
            </w:r>
          </w:p>
        </w:tc>
        <w:tc>
          <w:tcPr>
            <w:tcW w:w="3294" w:type="dxa"/>
            <w:tcBorders>
              <w:top w:val="nil"/>
              <w:left w:val="nil"/>
              <w:bottom w:val="nil"/>
              <w:right w:val="nil"/>
            </w:tcBorders>
            <w:hideMark/>
          </w:tcPr>
          <w:p w14:paraId="2E18A803"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 Medical-surgical and intensive care units</w:t>
            </w:r>
          </w:p>
        </w:tc>
      </w:tr>
      <w:tr w:rsidR="003A0972" w14:paraId="0B7E082E"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tcPr>
          <w:p w14:paraId="2663381E" w14:textId="77777777" w:rsidR="003A0972" w:rsidRDefault="003A0972"/>
        </w:tc>
        <w:tc>
          <w:tcPr>
            <w:tcW w:w="3294" w:type="dxa"/>
            <w:tcBorders>
              <w:top w:val="nil"/>
              <w:bottom w:val="nil"/>
            </w:tcBorders>
            <w:hideMark/>
          </w:tcPr>
          <w:p w14:paraId="476C96F7"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Dunton et al </w:t>
            </w:r>
            <w:r>
              <w:fldChar w:fldCharType="begin"/>
            </w:r>
            <w:r>
              <w:instrText xml:space="preserve"> ADDIN ZOTERO_ITEM CSL_CITATION {"citationID":"2esc2lf44i","properties":{"formattedCitation":"(2007)","plainCitation":"(2007)"},"citationItems":[{"id":1359,"uris":["http://zotero.org/users/564815/items/J7WN6926"],"uri":["http://zotero.org/users/564815/items/J7WN6926"],"itemData":{"id":1359,"type":"article-journal","title":"The relationship of nursing workforce characteristics to patient outcomes","container-title":"OJIN: The Online Journal of Issues in Nursing","page":"Manuscript 3","volume":"12","issue":"3","abstract":"Three reports from the Institute of Medicine found that errors in hospital care were more common than previously thought; that health care delivery should be reorganized to improve the quality of care; and that, operationally, nurses have a critical role in securing patient safety. Now the contribution of nursing to the reduction of adverse events must be established empirically, so that nursing-sensitive indicators can be incorporated in such health care-improvement strategies as public reporting of hospital quality and performance-based payment systems. This article reviews what is known from previous nursing outcomes research and identifies gaps in the current state of knowledge. It then describes the contribution to research that can be made through the National Database of Nursing Quality Indicators TM (NDNQI®). Next it reports an NDNQI study that found three nursing workforce characteristics to be related significantly to patient outcomes: total nursing hours per patient day, percentage of hours supplied by RNs, and years of experience in nursing, and concludes with a discussion of the implications of these findings for both for nursing administrators and outcomes-based, quality-improvement initiatives.","DOI":"10.3912/OJIN.Vol12No03Man03","author":[{"family":"Dunton","given":"Nancy"},{"family":"Gajewski","given":"Byron"},{"family":"Klaus","given":"Susan"},{"family":"Pierson","given":"Belinda"}],"issued":{"date-parts":[["2007",9,30]]},"accessed":{"date-parts":[["2015",3,18]]}},"suppress-author":true}],"schema":"https://github.com/citation-style-language/schema/raw/master/csl-citation.json"} </w:instrText>
            </w:r>
            <w:r>
              <w:fldChar w:fldCharType="separate"/>
            </w:r>
            <w:r>
              <w:rPr>
                <w:rFonts w:ascii="Calibri" w:hAnsi="Calibri"/>
              </w:rPr>
              <w:t>(2007)</w:t>
            </w:r>
            <w:r>
              <w:fldChar w:fldCharType="end"/>
            </w:r>
          </w:p>
        </w:tc>
        <w:tc>
          <w:tcPr>
            <w:tcW w:w="3294" w:type="dxa"/>
            <w:tcBorders>
              <w:top w:val="nil"/>
              <w:bottom w:val="nil"/>
            </w:tcBorders>
            <w:hideMark/>
          </w:tcPr>
          <w:p w14:paraId="2BE857D3" w14:textId="77777777" w:rsidR="003A0972" w:rsidRDefault="003A0972">
            <w:pPr>
              <w:cnfStyle w:val="000000100000" w:firstRow="0" w:lastRow="0" w:firstColumn="0" w:lastColumn="0" w:oddVBand="0" w:evenVBand="0" w:oddHBand="1" w:evenHBand="0" w:firstRowFirstColumn="0" w:firstRowLastColumn="0" w:lastRowFirstColumn="0" w:lastRowLastColumn="0"/>
            </w:pPr>
            <w:r>
              <w:t>(-)</w:t>
            </w:r>
          </w:p>
        </w:tc>
      </w:tr>
      <w:tr w:rsidR="003A0972" w14:paraId="5200A196"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7D0C8DF8" w14:textId="77777777" w:rsidR="003A0972" w:rsidRDefault="003A0972"/>
        </w:tc>
        <w:tc>
          <w:tcPr>
            <w:tcW w:w="3294" w:type="dxa"/>
            <w:tcBorders>
              <w:top w:val="nil"/>
              <w:left w:val="nil"/>
              <w:bottom w:val="nil"/>
              <w:right w:val="nil"/>
            </w:tcBorders>
            <w:hideMark/>
          </w:tcPr>
          <w:p w14:paraId="65AF6B50"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Dunton et al </w:t>
            </w:r>
            <w:r>
              <w:fldChar w:fldCharType="begin"/>
            </w:r>
            <w:r>
              <w:instrText xml:space="preserve"> ADDIN ZOTERO_ITEM CSL_CITATION {"citationID":"1ligijqh9m","properties":{"formattedCitation":"(2004)","plainCitation":"(2004)"},"citationItems":[{"id":1357,"uris":["http://zotero.org/users/564815/items/SV7JCHRV"],"uri":["http://zotero.org/users/564815/items/SV7JCHRV"],"itemData":{"id":1357,"type":"article-journal","title":"Nurse staffing and patient falls on acute care hospital units","container-title":"Nursing Outlook","page":"53-59","volume":"52","issue":"1","source":"NCBI PubMed","DOI":"10.1016/j.outlook.2003.11.006","ISSN":"0029-6554","note":"PMID: 15014380","journalAbbreviation":"Nurs Outlook","language":"eng","author":[{"family":"Dunton","given":"Nancy"},{"family":"Gajewski","given":"Byron"},{"family":"Taunton","given":"Roma Lee"},{"family":"Moore","given":"Jan"}],"issued":{"date-parts":[["2004",2]]},"PMID":"15014380"},"suppress-author":true}],"schema":"https://github.com/citation-style-language/schema/raw/master/csl-citation.json"} </w:instrText>
            </w:r>
            <w:r>
              <w:fldChar w:fldCharType="separate"/>
            </w:r>
            <w:r>
              <w:rPr>
                <w:rFonts w:ascii="Calibri" w:hAnsi="Calibri"/>
              </w:rPr>
              <w:t>(2004)</w:t>
            </w:r>
            <w:r>
              <w:fldChar w:fldCharType="end"/>
            </w:r>
          </w:p>
        </w:tc>
        <w:tc>
          <w:tcPr>
            <w:tcW w:w="3294" w:type="dxa"/>
            <w:tcBorders>
              <w:top w:val="nil"/>
              <w:left w:val="nil"/>
              <w:bottom w:val="nil"/>
              <w:right w:val="nil"/>
            </w:tcBorders>
            <w:hideMark/>
          </w:tcPr>
          <w:p w14:paraId="15B4BE99"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43965102"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tcPr>
          <w:p w14:paraId="7D43E58F" w14:textId="77777777" w:rsidR="003A0972" w:rsidRDefault="003A0972"/>
        </w:tc>
        <w:tc>
          <w:tcPr>
            <w:tcW w:w="3294" w:type="dxa"/>
            <w:tcBorders>
              <w:top w:val="nil"/>
              <w:bottom w:val="nil"/>
            </w:tcBorders>
            <w:hideMark/>
          </w:tcPr>
          <w:p w14:paraId="30CA98A2"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Cho et al </w:t>
            </w:r>
            <w:r>
              <w:fldChar w:fldCharType="begin"/>
            </w:r>
            <w:r>
              <w:instrText xml:space="preserve"> ADDIN ZOTERO_ITEM CSL_CITATION {"citationID":"kIoBU861","properties":{"formattedCitation":"(2003)","plainCitation":"(2003)"},"citationItems":[{"id":1355,"uris":["http://zotero.org/users/564815/items/4NBJFXHK"],"uri":["http://zotero.org/users/564815/items/4NBJFXHK"],"itemData":{"id":1355,"type":"article-journal","title":"The effects of nurse staffing on adverse events, morbidity, mortality, and medical costs","container-title":"Nursing Research","page":"71-79","volume":"52","issue":"2","source":"NCBI PubMed","abstract":"BACKGROUND: Nurse staffing levels are an important working condition issue for nurses and believed to be a determinant of the quality of nursing care and patient outcomes.\nOBJECTIVES: To examine the effects of nurse staffing on adverse events, morbidity, mortality, and medical costs.\nMETHODS: Using two existing databases, the study sample included 232 acute care California hospitals and 124,204 patients in 20 surgical diagnosis-related groups. The adverse events included patient fall/injury, pressure ulcer, adverse drug event, pneumonia, urinary tract infection, wound infection, and sepsis. Multilevel analysis was employed to examine, simultaneously, the effects of nurse staffing and patient and hospital characteristics on patient outcomes.\nRESULTS: Three statistically significant relationships were found between nurse staffing and adverse events. An increase of 1 hour worked by registered nurses (RN) per patient day was associated with an 8.9% decrease in the odds of pneumonia. Similarly, a 10% increase in RN Proportion was associated with a 9.5% decrease in the odds of pneumonia. Providing a greater number of nursing hours per patient day was associated with a higher probability of pressure ulcers. The occurrence of each adverse event was associated with a significantly prolonged length of stay and increased medical costs. Patients who had pneumonia, wound infection or sepsis had a greater probability of death during hospitalization.\nCONCLUSION: Patients are experiencing adverse events during hospitalization. Care systems to reduce adverse events and their consequences are needed. Having appropriate nurse staffing is a significant consideration in some cases.","ISSN":"0029-6562","note":"PMID: 12657982","journalAbbreviation":"Nurs Res","language":"eng","author":[{"family":"Cho","given":"Sung-Hyun"},{"family":"Ketefian","given":"Shaké"},{"family":"Barkauskas","given":"Violet H."},{"family":"Smith","given":"Dean G."}],"issued":{"date-parts":[["2003",4]]},"PMID":"12657982"},"suppress-author":true}],"schema":"https://github.com/citation-style-language/schema/raw/master/csl-citation.json"} </w:instrText>
            </w:r>
            <w:r>
              <w:fldChar w:fldCharType="separate"/>
            </w:r>
            <w:r>
              <w:rPr>
                <w:rFonts w:ascii="Calibri" w:hAnsi="Calibri"/>
              </w:rPr>
              <w:t>(2003)</w:t>
            </w:r>
            <w:r>
              <w:fldChar w:fldCharType="end"/>
            </w:r>
          </w:p>
        </w:tc>
        <w:tc>
          <w:tcPr>
            <w:tcW w:w="3294" w:type="dxa"/>
            <w:tcBorders>
              <w:top w:val="nil"/>
              <w:bottom w:val="nil"/>
            </w:tcBorders>
            <w:hideMark/>
          </w:tcPr>
          <w:p w14:paraId="674E5817" w14:textId="77777777" w:rsidR="003A0972" w:rsidRDefault="003A0972">
            <w:pPr>
              <w:cnfStyle w:val="000000100000" w:firstRow="0" w:lastRow="0" w:firstColumn="0" w:lastColumn="0" w:oddVBand="0" w:evenVBand="0" w:oddHBand="1" w:evenHBand="0" w:firstRowFirstColumn="0" w:firstRowLastColumn="0" w:lastRowFirstColumn="0" w:lastRowLastColumn="0"/>
            </w:pPr>
            <w:r>
              <w:t>(NS)</w:t>
            </w:r>
          </w:p>
        </w:tc>
      </w:tr>
      <w:tr w:rsidR="003A0972" w14:paraId="0021F59F"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single" w:sz="6" w:space="0" w:color="000000"/>
              <w:right w:val="nil"/>
            </w:tcBorders>
          </w:tcPr>
          <w:p w14:paraId="78AE8DB8" w14:textId="77777777" w:rsidR="003A0972" w:rsidRDefault="003A0972"/>
        </w:tc>
        <w:tc>
          <w:tcPr>
            <w:tcW w:w="3294" w:type="dxa"/>
            <w:tcBorders>
              <w:top w:val="nil"/>
              <w:left w:val="nil"/>
              <w:bottom w:val="single" w:sz="6" w:space="0" w:color="000000"/>
              <w:right w:val="nil"/>
            </w:tcBorders>
            <w:hideMark/>
          </w:tcPr>
          <w:p w14:paraId="5B7FBD6F" w14:textId="77777777" w:rsidR="003A0972" w:rsidRDefault="003A0972">
            <w:pPr>
              <w:cnfStyle w:val="000000000000" w:firstRow="0" w:lastRow="0" w:firstColumn="0" w:lastColumn="0" w:oddVBand="0" w:evenVBand="0" w:oddHBand="0" w:evenHBand="0" w:firstRowFirstColumn="0" w:firstRowLastColumn="0" w:lastRowFirstColumn="0" w:lastRowLastColumn="0"/>
            </w:pPr>
            <w:proofErr w:type="spellStart"/>
            <w:r>
              <w:t>Blegen</w:t>
            </w:r>
            <w:proofErr w:type="spellEnd"/>
            <w:r>
              <w:t xml:space="preserve"> &amp; Vaughn </w:t>
            </w:r>
            <w:r>
              <w:fldChar w:fldCharType="begin"/>
            </w:r>
            <w:r>
              <w:instrText xml:space="preserve"> ADDIN ZOTERO_ITEM CSL_CITATION {"citationID":"1otjassf22","properties":{"formattedCitation":"(1998)","plainCitation":"(1998)"},"citationItems":[{"id":1351,"uris":["http://zotero.org/users/564815/items/FHPF4PMG"],"uri":["http://zotero.org/users/564815/items/FHPF4PMG"],"itemData":{"id":1351,"type":"article-journal","title":"A multisite study of nurse staffing and patient occurrences","container-title":"Nursing Economic$","page":"196-203","volume":"16","issue":"4","source":"NCBI PubMed","abstract":"Restructuring of nursing care models has led to more \"non-professional\" caregivers, sometimes called unlicensed assistive personnel (UAPs) who provide more of the basic delegable direct patient care activities in collaboration with RNs. The purpose of this study, wherein data were collected from 39 units in 11 hospitals, was to determine the relationship between different levels of nurse staffing and patient outcomes (adverse occurrences). Using and tracking the same indicators of patient quality outcomes over a significant time period in different institutions with similar patient groups would greatly enhance the usefulness of such data. Among the more surprising findings in this study was the \"non-linear\" relationship between the proportion of RNs in the staff mix and MAEs. As the proportion of RNs on a unit increased from 50% to 85% \"the rate of MAEs declined, but as the RN proportion increased from 85% to 100% the rate of MAEs increased.\" Further investigations are needed to explain this finding.","ISSN":"0746-1739","note":"PMID: 9748985","journalAbbreviation":"Nurs Econ","language":"eng","author":[{"family":"Blegen","given":"M. A."},{"family":"Vaughn","given":"T."}],"issued":{"date-parts":[["1998",8]]},"PMID":"9748985"},"suppress-author":true}],"schema":"https://github.com/citation-style-language/schema/raw/master/csl-citation.json"} </w:instrText>
            </w:r>
            <w:r>
              <w:fldChar w:fldCharType="separate"/>
            </w:r>
            <w:r>
              <w:rPr>
                <w:rFonts w:ascii="Calibri" w:hAnsi="Calibri"/>
              </w:rPr>
              <w:t>(1998)</w:t>
            </w:r>
            <w:r>
              <w:fldChar w:fldCharType="end"/>
            </w:r>
          </w:p>
        </w:tc>
        <w:tc>
          <w:tcPr>
            <w:tcW w:w="3294" w:type="dxa"/>
            <w:tcBorders>
              <w:top w:val="nil"/>
              <w:left w:val="nil"/>
              <w:bottom w:val="single" w:sz="6" w:space="0" w:color="000000"/>
              <w:right w:val="nil"/>
            </w:tcBorders>
            <w:hideMark/>
          </w:tcPr>
          <w:p w14:paraId="4E933340"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44AD3E78"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6" w:space="0" w:color="000000"/>
              <w:bottom w:val="nil"/>
            </w:tcBorders>
            <w:hideMark/>
          </w:tcPr>
          <w:p w14:paraId="31D8804C" w14:textId="77777777" w:rsidR="003A0972" w:rsidRDefault="003A0972">
            <w:r>
              <w:t>Pressure Ulcers</w:t>
            </w:r>
          </w:p>
        </w:tc>
        <w:tc>
          <w:tcPr>
            <w:tcW w:w="3294" w:type="dxa"/>
            <w:tcBorders>
              <w:top w:val="single" w:sz="6" w:space="0" w:color="000000"/>
              <w:bottom w:val="nil"/>
            </w:tcBorders>
            <w:hideMark/>
          </w:tcPr>
          <w:p w14:paraId="59BEAB8A"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He (2016)</w:t>
            </w:r>
          </w:p>
        </w:tc>
        <w:tc>
          <w:tcPr>
            <w:tcW w:w="3294" w:type="dxa"/>
            <w:tcBorders>
              <w:top w:val="single" w:sz="6" w:space="0" w:color="000000"/>
              <w:bottom w:val="nil"/>
            </w:tcBorders>
            <w:hideMark/>
          </w:tcPr>
          <w:p w14:paraId="02C7C3C0"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w:t>
            </w:r>
          </w:p>
        </w:tc>
      </w:tr>
      <w:tr w:rsidR="003A0972" w14:paraId="1CE3BE09"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45425165" w14:textId="77777777" w:rsidR="003A0972" w:rsidRDefault="003A0972"/>
        </w:tc>
        <w:tc>
          <w:tcPr>
            <w:tcW w:w="3294" w:type="dxa"/>
            <w:tcBorders>
              <w:top w:val="nil"/>
              <w:left w:val="nil"/>
              <w:bottom w:val="nil"/>
              <w:right w:val="nil"/>
            </w:tcBorders>
            <w:hideMark/>
          </w:tcPr>
          <w:p w14:paraId="1C396B55"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Choi et al </w:t>
            </w:r>
            <w:r>
              <w:rPr>
                <w:color w:val="FF0000"/>
              </w:rPr>
              <w:fldChar w:fldCharType="begin"/>
            </w:r>
            <w:r>
              <w:rPr>
                <w:color w:val="FF0000"/>
              </w:rPr>
              <w:instrText xml:space="preserve"> ADDIN ZOTERO_ITEM CSL_CITATION {"citationID":"gh9Xhwk6","properties":{"formattedCitation":"(2014)","plainCitation":"(2014)"},"citationItems":[{"id":1213,"uris":["http://zotero.org/users/564815/items/K4XW8QDQ"],"uri":["http://zotero.org/users/564815/items/K4XW8QDQ"],"itemData":{"id":1213,"type":"article-journal","title":"Comparability of nurse staffing measures in examining the relationship between RN staffing and unit-acquired pressure ulcers: a unit-level descriptive, correlational study","container-title":"International Journal of Nursing Studies","page":"1344-1352","volume":"51","issue":"10","source":"NCBI PubMed","abstract":"BACKGROUND: Various staffing measures have been used in examining the relationship between nurse staffing and patient outcomes. Little research has been conducted to compare these measures based on their explanatory power as predictors of nursing-sensitive outcomes. In this study, both administrative and nurse-reported measures were examined. Administrative measures included registered nurse (RN) skill mix and three versions of nursing hours per patient day (HPPD); nurse-reported measures included RN-reported number of assigned patients and RN-perceived staffing adequacy.\nOBJECTIVES: To examine correlations among six nurse staffing measures and to compare their explanatory power in relation to unit-acquired pressure ulcers (UAPUs).\nDESIGN: Descriptive, correlational study.\nSETTINGS: 2397 nursing units in 409 U.S. acute care hospitals.\nMETHODS: Random-intercept logistic regression analyses were performed using 2011 data from a national database. Relationships between nurse staffing measures and UAPU occurrences were examined in eight models, each with one or more staffing measures as predictors. Characteristics of nursing units (RN workgroup education level and RN workgroup unit tenure) and hospitals (size, teaching status, and Magnet status) were included as control variables.\nRESULTS: Two versions of HPPD (total nursing HPPD and RN HPPD) and RN skill mix were significantly correlated with RN-reported number of assigned patients (r range=-0.87 to -0.75). These staffing measures had weaker correlations with RN-perceived staffing adequacy (r range=0.16 to 0.23). Of the six staffing variables, only RN-perceived staffing adequacy and RN skill mix were significantly associated with UAPU odds, the former being the better predictor.\nCONCLUSIONS: Although RN-perceived staffing adequacy was not highly correlated with administrative measures of HPPD and RN skill mix, it was the strongest predictor of UAPU occurrences. RN-perceived staffing adequacy can serve as a more appropriate measure of staffing for nursing-sensitive outcomes research than administrative measures, as it reflects relevant aspects of staffing and involves an implicit adjustment for patient acuity.","DOI":"10.1016/j.ijnurstu.2014.02.011","ISSN":"1873-491X","note":"PMID: 24630918","shortTitle":"Comparability of nurse staffing measures in examining the relationship between RN staffing and unit-acquired pressure ulcers","journalAbbreviation":"Int J Nurs Stud","language":"eng","author":[{"family":"Choi","given":"JiSun"},{"family":"Staggs","given":"Vincent S."}],"issued":{"date-parts":[["2014",10]]},"PMID":"24630918"},"suppress-author":true}],"schema":"https://github.com/citation-style-language/schema/raw/master/csl-citation.json"} </w:instrText>
            </w:r>
            <w:r>
              <w:rPr>
                <w:color w:val="FF0000"/>
              </w:rPr>
              <w:fldChar w:fldCharType="separate"/>
            </w:r>
            <w:r>
              <w:rPr>
                <w:rFonts w:ascii="Calibri" w:hAnsi="Calibri"/>
                <w:color w:val="FF0000"/>
              </w:rPr>
              <w:t>(2014)</w:t>
            </w:r>
            <w:r>
              <w:rPr>
                <w:color w:val="FF0000"/>
              </w:rPr>
              <w:fldChar w:fldCharType="end"/>
            </w:r>
            <w:r>
              <w:rPr>
                <w:color w:val="FF0000"/>
              </w:rPr>
              <w:t xml:space="preserve"> </w:t>
            </w:r>
          </w:p>
        </w:tc>
        <w:tc>
          <w:tcPr>
            <w:tcW w:w="3294" w:type="dxa"/>
            <w:tcBorders>
              <w:top w:val="nil"/>
              <w:left w:val="nil"/>
              <w:bottom w:val="nil"/>
              <w:right w:val="nil"/>
            </w:tcBorders>
            <w:hideMark/>
          </w:tcPr>
          <w:p w14:paraId="61D754F9"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w:t>
            </w:r>
          </w:p>
        </w:tc>
      </w:tr>
      <w:tr w:rsidR="003A0972" w14:paraId="50C6DA3C"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tcPr>
          <w:p w14:paraId="67FE101F" w14:textId="77777777" w:rsidR="003A0972" w:rsidRDefault="003A0972"/>
        </w:tc>
        <w:tc>
          <w:tcPr>
            <w:tcW w:w="3294" w:type="dxa"/>
            <w:tcBorders>
              <w:top w:val="nil"/>
              <w:bottom w:val="nil"/>
            </w:tcBorders>
            <w:hideMark/>
          </w:tcPr>
          <w:p w14:paraId="18BD5F96" w14:textId="77777777" w:rsidR="003A0972" w:rsidRDefault="003A0972">
            <w:pPr>
              <w:cnfStyle w:val="000000100000" w:firstRow="0" w:lastRow="0" w:firstColumn="0" w:lastColumn="0" w:oddVBand="0" w:evenVBand="0" w:oddHBand="1" w:evenHBand="0" w:firstRowFirstColumn="0" w:firstRowLastColumn="0" w:lastRowFirstColumn="0" w:lastRowLastColumn="0"/>
              <w:rPr>
                <w:vertAlign w:val="superscript"/>
              </w:rPr>
            </w:pPr>
            <w:r>
              <w:t xml:space="preserve">Yang et al </w:t>
            </w:r>
            <w:r>
              <w:fldChar w:fldCharType="begin"/>
            </w:r>
            <w:r>
              <w:instrText xml:space="preserve"> ADDIN ZOTERO_ITEM CSL_CITATION {"citationID":"Apux5SvG","properties":{"formattedCitation":"(2012)","plainCitation":"(2012)"},"citationItems":[{"id":1379,"uris":["http://zotero.org/users/564815/items/X6AZ95ME"],"uri":["http://zotero.org/users/564815/items/X6AZ95ME"],"itemData":{"id":1379,"type":"article-journal","title":"The impact of different nursing skill mix models on patient outcomes in a respiratory care center","container-title":"Worldviews on Evidence-Based Nursing / Sigma Theta Tau International, Honor Society of Nursing","page":"227-233","volume":"9","issue":"4","source":"NCBI PubMed","abstract":"BACKGROUND: Many hospitals have reformed hospital policies and changed nursing models to cope with shortages in nursing staff and control medical costs. However, the nursing skill mix model that most successfully achieves both cost effectiveness and quality care has yet to be determined.\nAIM: The aim of this study was to explore the impact of different nurse staffing models on patient outcomes in a respiratory care center (RCC).\nMETHODS: Retrospective data from 2006 to 2008 were obtained from records monitoring nursing care quality, as well as patient records and nursing personnel costs in an RCC as a medical center, in southern Taiwan. A total of 487 patients were categorized into two groups according to the RCC's mix of nursing staff. The \"RN/Aide\" group comprised 247 patients who received RN and aide care, with a 0.7-0.8 proportion of RNs, from July 2006 to June 2007. The other 240 patients (\"All-RN\") received 100% RN care from January 2008 to December 2008.\nRESULTS: The results of this study indicated no significant differences in occurrence of pressure ulcer or respiratory tract infections, days of hospitalization, mortality, or nursing costs. However, significant differences were observed in ventilator weaning and occurrence of urinary tract and bloodstream infections.\nCONCLUSIONS: A higher proportion of RNs was associated not only with a lower rate of urinary tract infection but also with more patients being weaned successfully from ventilators. The findings of this study have implications for how managers and administrators manage nurse staffing in respiratory care.","DOI":"10.1111/j.1741-6787.2012.00246.x","ISSN":"1741-6787","note":"PMID: 22489996 \nPMCID: PMC3533773","journalAbbreviation":"Worldviews Evid Based Nurs","language":"eng","author":[{"family":"Yang","given":"Pei-Hsuan"},{"family":"Hung","given":"Chich-Hsiu"},{"family":"Chen","given":"Yao-Mei"},{"family":"Hu","given":"Chuan-Yu"},{"family":"Shieh","given":"Sheng-Lan"}],"issued":{"date-parts":[["2012",12]]},"PMID":"22489996","PMCID":"PMC3533773"},"suppress-author":true}],"schema":"https://github.com/citation-style-language/schema/raw/master/csl-citation.json"} </w:instrText>
            </w:r>
            <w:r>
              <w:fldChar w:fldCharType="separate"/>
            </w:r>
            <w:r>
              <w:rPr>
                <w:rFonts w:ascii="Calibri" w:hAnsi="Calibri"/>
              </w:rPr>
              <w:t>(2012)</w:t>
            </w:r>
            <w:r>
              <w:fldChar w:fldCharType="end"/>
            </w:r>
            <w:r>
              <w:rPr>
                <w:vertAlign w:val="superscript"/>
              </w:rPr>
              <w:t>a</w:t>
            </w:r>
          </w:p>
        </w:tc>
        <w:tc>
          <w:tcPr>
            <w:tcW w:w="3294" w:type="dxa"/>
            <w:tcBorders>
              <w:top w:val="nil"/>
              <w:bottom w:val="nil"/>
            </w:tcBorders>
            <w:hideMark/>
          </w:tcPr>
          <w:p w14:paraId="3408CDAB" w14:textId="77777777" w:rsidR="003A0972" w:rsidRDefault="003A0972">
            <w:pPr>
              <w:cnfStyle w:val="000000100000" w:firstRow="0" w:lastRow="0" w:firstColumn="0" w:lastColumn="0" w:oddVBand="0" w:evenVBand="0" w:oddHBand="1" w:evenHBand="0" w:firstRowFirstColumn="0" w:firstRowLastColumn="0" w:lastRowFirstColumn="0" w:lastRowLastColumn="0"/>
            </w:pPr>
            <w:r>
              <w:t>(NS)</w:t>
            </w:r>
          </w:p>
        </w:tc>
      </w:tr>
      <w:tr w:rsidR="003A0972" w14:paraId="7CEEE3A2"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77AF03B7" w14:textId="77777777" w:rsidR="003A0972" w:rsidRDefault="003A0972"/>
        </w:tc>
        <w:tc>
          <w:tcPr>
            <w:tcW w:w="3294" w:type="dxa"/>
            <w:tcBorders>
              <w:top w:val="nil"/>
              <w:left w:val="nil"/>
              <w:bottom w:val="nil"/>
              <w:right w:val="nil"/>
            </w:tcBorders>
            <w:hideMark/>
          </w:tcPr>
          <w:p w14:paraId="102E6E1B" w14:textId="77777777" w:rsidR="003A0972" w:rsidRDefault="003A0972">
            <w:pPr>
              <w:cnfStyle w:val="000000000000" w:firstRow="0" w:lastRow="0" w:firstColumn="0" w:lastColumn="0" w:oddVBand="0" w:evenVBand="0" w:oddHBand="0" w:evenHBand="0" w:firstRowFirstColumn="0" w:firstRowLastColumn="0" w:lastRowFirstColumn="0" w:lastRowLastColumn="0"/>
            </w:pPr>
            <w:proofErr w:type="spellStart"/>
            <w:r>
              <w:t>Blegen</w:t>
            </w:r>
            <w:proofErr w:type="spellEnd"/>
            <w:r>
              <w:t xml:space="preserve"> et al </w:t>
            </w:r>
            <w:r>
              <w:fldChar w:fldCharType="begin"/>
            </w:r>
            <w:r>
              <w:instrText xml:space="preserve"> ADDIN ZOTERO_ITEM CSL_CITATION {"citationID":"sah8uiv7q","properties":{"formattedCitation":"(2011)","plainCitation":"(2011)"},"citationItems":[{"id":1353,"uris":["http://zotero.org/users/564815/items/E26GVCCI"],"uri":["http://zotero.org/users/564815/items/E26GVCCI"],"itemData":{"id":1353,"type":"article-journal","title":"Nurse staffing effects on patient outcomes: safety-net and non-safety-net hospitals","container-title":"Medical Care","page":"406-414","volume":"49","issue":"4","source":"NCBI PubMed","abstract":"BACKGROUND: Nurse staffing has been linked to hospital patient outcomes; however, previous results were inconsistent because of variations in measures of staffing and were only rarely specific to types of patient care units.\nOBJECTIVE: To determine the relationship between nurse staffing in general and intensive care units and patient outcomes and determine whether safety net status affects this relationship.\nRESEARCH DESIGN: A cross-sectional design used data from hospitals belonging to the University HealthSystem Consortium.\nSUBJECTS: Data were available for approximately 1.1 million adult patient discharges and staffing for 872 patient care units from 54 hospitals.\nMEASURES: Total hours of nursing care [Registered Nurses (RNs), Licensed Practical Nurses, and assistants] determined per inpatient day (TotHPD) and RN skill mix were the measures of staffing; Agency for Healthcare Research and Quality risk-adjusted safety and quality indicators were the outcome measures.\nRESULTS: TotHPD in general units was associated with lower rates of congestive heart failure mortality (P&lt;0.05), failure to rescue (P&lt;0.10), infections (P&lt;0.01), and prolonged length of stay (P&lt;0.01). RN skill mix in general units was associated with reduced failure to rescue (P&lt;0.01) and infections (P&lt;0.05). TotHPD in intensive care units was associated with fewer infections (P&lt;0.05) and decubitus ulcers (P&lt;0.10). RN skill mix was associated with fewer cases of sepsis (P&lt;0.01) and failure to rescue (P&lt;0.05). Safety-net status was associated with higher rates of congestive heart failure mortality, decubitus ulcers, and failure to rescue.\nCONCLUSIONS: Higher nurse staffing protected patients from poor outcomes; however, hospital safety-net status introduced complexities in this relationship.","DOI":"10.1097/MLR.0b013e318202e129","ISSN":"1537-1948","note":"PMID: 21407034","shortTitle":"Nurse staffing effects on patient outcomes","journalAbbreviation":"Med Care","language":"eng","author":[{"family":"Blegen","given":"MA"},{"family":"Goode","given":"CJ"},{"family":"Spetz","given":"J"},{"family":"Vaughn","given":"T"},{"family":"Park","given":"SH"}],"issued":{"date-parts":[["2011",4]]},"PMID":"21407034"},"suppress-author":true}],"schema":"https://github.com/citation-style-language/schema/raw/master/csl-citation.json"} </w:instrText>
            </w:r>
            <w:r>
              <w:fldChar w:fldCharType="separate"/>
            </w:r>
            <w:r>
              <w:rPr>
                <w:rFonts w:ascii="Calibri" w:hAnsi="Calibri"/>
              </w:rPr>
              <w:t>(2011)</w:t>
            </w:r>
            <w:r>
              <w:fldChar w:fldCharType="end"/>
            </w:r>
          </w:p>
        </w:tc>
        <w:tc>
          <w:tcPr>
            <w:tcW w:w="3294" w:type="dxa"/>
            <w:tcBorders>
              <w:top w:val="nil"/>
              <w:left w:val="nil"/>
              <w:bottom w:val="nil"/>
              <w:right w:val="nil"/>
            </w:tcBorders>
            <w:hideMark/>
          </w:tcPr>
          <w:p w14:paraId="6042C791" w14:textId="77777777" w:rsidR="003A0972" w:rsidRDefault="003A0972">
            <w:pPr>
              <w:cnfStyle w:val="000000000000" w:firstRow="0" w:lastRow="0" w:firstColumn="0" w:lastColumn="0" w:oddVBand="0" w:evenVBand="0" w:oddHBand="0" w:evenHBand="0" w:firstRowFirstColumn="0" w:firstRowLastColumn="0" w:lastRowFirstColumn="0" w:lastRowLastColumn="0"/>
            </w:pPr>
            <w:r>
              <w:t>(NS)</w:t>
            </w:r>
          </w:p>
        </w:tc>
      </w:tr>
      <w:tr w:rsidR="003A0972" w14:paraId="289E7485"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tcPr>
          <w:p w14:paraId="739FB582" w14:textId="77777777" w:rsidR="003A0972" w:rsidRDefault="003A0972"/>
        </w:tc>
        <w:tc>
          <w:tcPr>
            <w:tcW w:w="3294" w:type="dxa"/>
            <w:tcBorders>
              <w:top w:val="nil"/>
              <w:bottom w:val="nil"/>
            </w:tcBorders>
            <w:hideMark/>
          </w:tcPr>
          <w:p w14:paraId="51033F93"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Cho et al </w:t>
            </w:r>
            <w:r>
              <w:fldChar w:fldCharType="begin"/>
            </w:r>
            <w:r>
              <w:instrText xml:space="preserve"> ADDIN ZOTERO_ITEM CSL_CITATION {"citationID":"zullwfQt","properties":{"formattedCitation":"(2003)","plainCitation":"(2003)"},"citationItems":[{"id":1355,"uris":["http://zotero.org/users/564815/items/4NBJFXHK"],"uri":["http://zotero.org/users/564815/items/4NBJFXHK"],"itemData":{"id":1355,"type":"article-journal","title":"The effects of nurse staffing on adverse events, morbidity, mortality, and medical costs","container-title":"Nursing Research","page":"71-79","volume":"52","issue":"2","source":"NCBI PubMed","abstract":"BACKGROUND: Nurse staffing levels are an important working condition issue for nurses and believed to be a determinant of the quality of nursing care and patient outcomes.\nOBJECTIVES: To examine the effects of nurse staffing on adverse events, morbidity, mortality, and medical costs.\nMETHODS: Using two existing databases, the study sample included 232 acute care California hospitals and 124,204 patients in 20 surgical diagnosis-related groups. The adverse events included patient fall/injury, pressure ulcer, adverse drug event, pneumonia, urinary tract infection, wound infection, and sepsis. Multilevel analysis was employed to examine, simultaneously, the effects of nurse staffing and patient and hospital characteristics on patient outcomes.\nRESULTS: Three statistically significant relationships were found between nurse staffing and adverse events. An increase of 1 hour worked by registered nurses (RN) per patient day was associated with an 8.9% decrease in the odds of pneumonia. Similarly, a 10% increase in RN Proportion was associated with a 9.5% decrease in the odds of pneumonia. Providing a greater number of nursing hours per patient day was associated with a higher probability of pressure ulcers. The occurrence of each adverse event was associated with a significantly prolonged length of stay and increased medical costs. Patients who had pneumonia, wound infection or sepsis had a greater probability of death during hospitalization.\nCONCLUSION: Patients are experiencing adverse events during hospitalization. Care systems to reduce adverse events and their consequences are needed. Having appropriate nurse staffing is a significant consideration in some cases.","ISSN":"0029-6562","note":"PMID: 12657982","journalAbbreviation":"Nurs Res","language":"eng","author":[{"family":"Cho","given":"Sung-Hyun"},{"family":"Ketefian","given":"Shaké"},{"family":"Barkauskas","given":"Violet H."},{"family":"Smith","given":"Dean G."}],"issued":{"date-parts":[["2003",4]]},"PMID":"12657982"},"suppress-author":true}],"schema":"https://github.com/citation-style-language/schema/raw/master/csl-citation.json"} </w:instrText>
            </w:r>
            <w:r>
              <w:fldChar w:fldCharType="separate"/>
            </w:r>
            <w:r>
              <w:rPr>
                <w:rFonts w:ascii="Calibri" w:hAnsi="Calibri"/>
              </w:rPr>
              <w:t>(2003)</w:t>
            </w:r>
            <w:r>
              <w:fldChar w:fldCharType="end"/>
            </w:r>
          </w:p>
        </w:tc>
        <w:tc>
          <w:tcPr>
            <w:tcW w:w="3294" w:type="dxa"/>
            <w:tcBorders>
              <w:top w:val="nil"/>
              <w:bottom w:val="nil"/>
            </w:tcBorders>
            <w:hideMark/>
          </w:tcPr>
          <w:p w14:paraId="04AAD448" w14:textId="77777777" w:rsidR="003A0972" w:rsidRDefault="003A0972">
            <w:pPr>
              <w:cnfStyle w:val="000000100000" w:firstRow="0" w:lastRow="0" w:firstColumn="0" w:lastColumn="0" w:oddVBand="0" w:evenVBand="0" w:oddHBand="1" w:evenHBand="0" w:firstRowFirstColumn="0" w:firstRowLastColumn="0" w:lastRowFirstColumn="0" w:lastRowLastColumn="0"/>
            </w:pPr>
            <w:r>
              <w:t>(NS)</w:t>
            </w:r>
          </w:p>
        </w:tc>
      </w:tr>
      <w:tr w:rsidR="003A0972" w14:paraId="3D311862"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single" w:sz="8" w:space="0" w:color="000000" w:themeColor="text1"/>
              <w:right w:val="nil"/>
            </w:tcBorders>
          </w:tcPr>
          <w:p w14:paraId="61E8EC27" w14:textId="77777777" w:rsidR="003A0972" w:rsidRDefault="003A0972"/>
        </w:tc>
        <w:tc>
          <w:tcPr>
            <w:tcW w:w="3294" w:type="dxa"/>
            <w:tcBorders>
              <w:top w:val="nil"/>
              <w:left w:val="nil"/>
              <w:bottom w:val="single" w:sz="8" w:space="0" w:color="000000" w:themeColor="text1"/>
              <w:right w:val="nil"/>
            </w:tcBorders>
            <w:hideMark/>
          </w:tcPr>
          <w:p w14:paraId="3FB88C34"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Dunton et al </w:t>
            </w:r>
            <w:r>
              <w:fldChar w:fldCharType="begin"/>
            </w:r>
            <w:r>
              <w:instrText xml:space="preserve"> ADDIN ZOTERO_ITEM CSL_CITATION {"citationID":"B7EVLhWt","properties":{"formattedCitation":"(2007)","plainCitation":"(2007)"},"citationItems":[{"id":1359,"uris":["http://zotero.org/users/564815/items/J7WN6926"],"uri":["http://zotero.org/users/564815/items/J7WN6926"],"itemData":{"id":1359,"type":"article-journal","title":"The relationship of nursing workforce characteristics to patient outcomes","container-title":"OJIN: The Online Journal of Issues in Nursing","page":"Manuscript 3","volume":"12","issue":"3","abstract":"Three reports from the Institute of Medicine found that errors in hospital care were more common than previously thought; that health care delivery should be reorganized to improve the quality of care; and that, operationally, nurses have a critical role in securing patient safety. Now the contribution of nursing to the reduction of adverse events must be established empirically, so that nursing-sensitive indicators can be incorporated in such health care-improvement strategies as public reporting of hospital quality and performance-based payment systems. This article reviews what is known from previous nursing outcomes research and identifies gaps in the current state of knowledge. It then describes the contribution to research that can be made through the National Database of Nursing Quality Indicators TM (NDNQI®). Next it reports an NDNQI study that found three nursing workforce characteristics to be related significantly to patient outcomes: total nursing hours per patient day, percentage of hours supplied by RNs, and years of experience in nursing, and concludes with a discussion of the implications of these findings for both for nursing administrators and outcomes-based, quality-improvement initiatives.","DOI":"10.3912/OJIN.Vol12No03Man03","author":[{"family":"Dunton","given":"Nancy"},{"family":"Gajewski","given":"Byron"},{"family":"Klaus","given":"Susan"},{"family":"Pierson","given":"Belinda"}],"issued":{"date-parts":[["2007",9,30]]},"accessed":{"date-parts":[["2015",3,18]]}},"suppress-author":true}],"schema":"https://github.com/citation-style-language/schema/raw/master/csl-citation.json"} </w:instrText>
            </w:r>
            <w:r>
              <w:fldChar w:fldCharType="separate"/>
            </w:r>
            <w:r>
              <w:rPr>
                <w:rFonts w:ascii="Calibri" w:hAnsi="Calibri"/>
              </w:rPr>
              <w:t>(2007)</w:t>
            </w:r>
            <w:r>
              <w:fldChar w:fldCharType="end"/>
            </w:r>
          </w:p>
        </w:tc>
        <w:tc>
          <w:tcPr>
            <w:tcW w:w="3294" w:type="dxa"/>
            <w:tcBorders>
              <w:top w:val="nil"/>
              <w:left w:val="nil"/>
              <w:bottom w:val="single" w:sz="8" w:space="0" w:color="000000" w:themeColor="text1"/>
              <w:right w:val="nil"/>
            </w:tcBorders>
            <w:hideMark/>
          </w:tcPr>
          <w:p w14:paraId="25E78048"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3EEBE4B0"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bottom w:val="nil"/>
            </w:tcBorders>
            <w:hideMark/>
          </w:tcPr>
          <w:p w14:paraId="1F81335B" w14:textId="77777777" w:rsidR="003A0972" w:rsidRDefault="003A0972">
            <w:r>
              <w:t>Mortality</w:t>
            </w:r>
          </w:p>
        </w:tc>
        <w:tc>
          <w:tcPr>
            <w:tcW w:w="3294" w:type="dxa"/>
            <w:tcBorders>
              <w:top w:val="single" w:sz="8" w:space="0" w:color="000000" w:themeColor="text1"/>
              <w:bottom w:val="nil"/>
            </w:tcBorders>
            <w:hideMark/>
          </w:tcPr>
          <w:p w14:paraId="3A9BF609"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Yang et al </w:t>
            </w:r>
            <w:r>
              <w:fldChar w:fldCharType="begin"/>
            </w:r>
            <w:r>
              <w:instrText xml:space="preserve"> ADDIN ZOTERO_ITEM CSL_CITATION {"citationID":"dhhTWIt6","properties":{"formattedCitation":"(2012)","plainCitation":"(2012)"},"citationItems":[{"id":1379,"uris":["http://zotero.org/users/564815/items/X6AZ95ME"],"uri":["http://zotero.org/users/564815/items/X6AZ95ME"],"itemData":{"id":1379,"type":"article-journal","title":"The impact of different nursing skill mix models on patient outcomes in a respiratory care center","container-title":"Worldviews on Evidence-Based Nursing / Sigma Theta Tau International, Honor Society of Nursing","page":"227-233","volume":"9","issue":"4","source":"NCBI PubMed","abstract":"BACKGROUND: Many hospitals have reformed hospital policies and changed nursing models to cope with shortages in nursing staff and control medical costs. However, the nursing skill mix model that most successfully achieves both cost effectiveness and quality care has yet to be determined.\nAIM: The aim of this study was to explore the impact of different nurse staffing models on patient outcomes in a respiratory care center (RCC).\nMETHODS: Retrospective data from 2006 to 2008 were obtained from records monitoring nursing care quality, as well as patient records and nursing personnel costs in an RCC as a medical center, in southern Taiwan. A total of 487 patients were categorized into two groups according to the RCC's mix of nursing staff. The \"RN/Aide\" group comprised 247 patients who received RN and aide care, with a 0.7-0.8 proportion of RNs, from July 2006 to June 2007. The other 240 patients (\"All-RN\") received 100% RN care from January 2008 to December 2008.\nRESULTS: The results of this study indicated no significant differences in occurrence of pressure ulcer or respiratory tract infections, days of hospitalization, mortality, or nursing costs. However, significant differences were observed in ventilator weaning and occurrence of urinary tract and bloodstream infections.\nCONCLUSIONS: A higher proportion of RNs was associated not only with a lower rate of urinary tract infection but also with more patients being weaned successfully from ventilators. The findings of this study have implications for how managers and administrators manage nurse staffing in respiratory care.","DOI":"10.1111/j.1741-6787.2012.00246.x","ISSN":"1741-6787","note":"PMID: 22489996 \nPMCID: PMC3533773","journalAbbreviation":"Worldviews Evid Based Nurs","language":"eng","author":[{"family":"Yang","given":"Pei-Hsuan"},{"family":"Hung","given":"Chich-Hsiu"},{"family":"Chen","given":"Yao-Mei"},{"family":"Hu","given":"Chuan-Yu"},{"family":"Shieh","given":"Sheng-Lan"}],"issued":{"date-parts":[["2012",12]]},"PMID":"22489996","PMCID":"PMC3533773"},"suppress-author":true}],"schema":"https://github.com/citation-style-language/schema/raw/master/csl-citation.json"} </w:instrText>
            </w:r>
            <w:r>
              <w:fldChar w:fldCharType="separate"/>
            </w:r>
            <w:r>
              <w:rPr>
                <w:rFonts w:ascii="Calibri" w:hAnsi="Calibri"/>
              </w:rPr>
              <w:t>(2012)</w:t>
            </w:r>
            <w:r>
              <w:fldChar w:fldCharType="end"/>
            </w:r>
            <w:r>
              <w:rPr>
                <w:vertAlign w:val="superscript"/>
              </w:rPr>
              <w:t>a</w:t>
            </w:r>
          </w:p>
        </w:tc>
        <w:tc>
          <w:tcPr>
            <w:tcW w:w="3294" w:type="dxa"/>
            <w:tcBorders>
              <w:top w:val="single" w:sz="8" w:space="0" w:color="000000" w:themeColor="text1"/>
              <w:bottom w:val="nil"/>
            </w:tcBorders>
            <w:hideMark/>
          </w:tcPr>
          <w:p w14:paraId="0C3A9828" w14:textId="77777777" w:rsidR="003A0972" w:rsidRDefault="003A0972">
            <w:pPr>
              <w:cnfStyle w:val="000000100000" w:firstRow="0" w:lastRow="0" w:firstColumn="0" w:lastColumn="0" w:oddVBand="0" w:evenVBand="0" w:oddHBand="1" w:evenHBand="0" w:firstRowFirstColumn="0" w:firstRowLastColumn="0" w:lastRowFirstColumn="0" w:lastRowLastColumn="0"/>
            </w:pPr>
            <w:r>
              <w:t>(NS)</w:t>
            </w:r>
          </w:p>
        </w:tc>
      </w:tr>
      <w:tr w:rsidR="003A0972" w14:paraId="04BF2CF4"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7AB10994" w14:textId="77777777" w:rsidR="003A0972" w:rsidRDefault="003A0972"/>
        </w:tc>
        <w:tc>
          <w:tcPr>
            <w:tcW w:w="3294" w:type="dxa"/>
            <w:tcBorders>
              <w:top w:val="nil"/>
              <w:left w:val="nil"/>
              <w:bottom w:val="nil"/>
              <w:right w:val="nil"/>
            </w:tcBorders>
            <w:hideMark/>
          </w:tcPr>
          <w:p w14:paraId="74C96434" w14:textId="77777777" w:rsidR="003A0972" w:rsidRDefault="003A0972">
            <w:pPr>
              <w:cnfStyle w:val="000000000000" w:firstRow="0" w:lastRow="0" w:firstColumn="0" w:lastColumn="0" w:oddVBand="0" w:evenVBand="0" w:oddHBand="0" w:evenHBand="0" w:firstRowFirstColumn="0" w:firstRowLastColumn="0" w:lastRowFirstColumn="0" w:lastRowLastColumn="0"/>
            </w:pPr>
            <w:proofErr w:type="spellStart"/>
            <w:r>
              <w:t>Blegen</w:t>
            </w:r>
            <w:proofErr w:type="spellEnd"/>
            <w:r>
              <w:t xml:space="preserve"> et al </w:t>
            </w:r>
            <w:r>
              <w:fldChar w:fldCharType="begin"/>
            </w:r>
            <w:r>
              <w:instrText xml:space="preserve"> ADDIN ZOTERO_ITEM CSL_CITATION {"citationID":"ur59Dual","properties":{"formattedCitation":"(2011)","plainCitation":"(2011)"},"citationItems":[{"id":1353,"uris":["http://zotero.org/users/564815/items/E26GVCCI"],"uri":["http://zotero.org/users/564815/items/E26GVCCI"],"itemData":{"id":1353,"type":"article-journal","title":"Nurse staffing effects on patient outcomes: safety-net and non-safety-net hospitals","container-title":"Medical Care","page":"406-414","volume":"49","issue":"4","source":"NCBI PubMed","abstract":"BACKGROUND: Nurse staffing has been linked to hospital patient outcomes; however, previous results were inconsistent because of variations in measures of staffing and were only rarely specific to types of patient care units.\nOBJECTIVE: To determine the relationship between nurse staffing in general and intensive care units and patient outcomes and determine whether safety net status affects this relationship.\nRESEARCH DESIGN: A cross-sectional design used data from hospitals belonging to the University HealthSystem Consortium.\nSUBJECTS: Data were available for approximately 1.1 million adult patient discharges and staffing for 872 patient care units from 54 hospitals.\nMEASURES: Total hours of nursing care [Registered Nurses (RNs), Licensed Practical Nurses, and assistants] determined per inpatient day (TotHPD) and RN skill mix were the measures of staffing; Agency for Healthcare Research and Quality risk-adjusted safety and quality indicators were the outcome measures.\nRESULTS: TotHPD in general units was associated with lower rates of congestive heart failure mortality (P&lt;0.05), failure to rescue (P&lt;0.10), infections (P&lt;0.01), and prolonged length of stay (P&lt;0.01). RN skill mix in general units was associated with reduced failure to rescue (P&lt;0.01) and infections (P&lt;0.05). TotHPD in intensive care units was associated with fewer infections (P&lt;0.05) and decubitus ulcers (P&lt;0.10). RN skill mix was associated with fewer cases of sepsis (P&lt;0.01) and failure to rescue (P&lt;0.05). Safety-net status was associated with higher rates of congestive heart failure mortality, decubitus ulcers, and failure to rescue.\nCONCLUSIONS: Higher nurse staffing protected patients from poor outcomes; however, hospital safety-net status introduced complexities in this relationship.","DOI":"10.1097/MLR.0b013e318202e129","ISSN":"1537-1948","note":"PMID: 21407034","shortTitle":"Nurse staffing effects on patient outcomes","journalAbbreviation":"Med Care","language":"eng","author":[{"family":"Blegen","given":"MA"},{"family":"Goode","given":"CJ"},{"family":"Spetz","given":"J"},{"family":"Vaughn","given":"T"},{"family":"Park","given":"SH"}],"issued":{"date-parts":[["2011",4]]},"PMID":"21407034"},"suppress-author":true}],"schema":"https://github.com/citation-style-language/schema/raw/master/csl-citation.json"} </w:instrText>
            </w:r>
            <w:r>
              <w:fldChar w:fldCharType="separate"/>
            </w:r>
            <w:r>
              <w:rPr>
                <w:rFonts w:ascii="Calibri" w:hAnsi="Calibri"/>
              </w:rPr>
              <w:t>(2011)</w:t>
            </w:r>
            <w:r>
              <w:fldChar w:fldCharType="end"/>
            </w:r>
          </w:p>
        </w:tc>
        <w:tc>
          <w:tcPr>
            <w:tcW w:w="3294" w:type="dxa"/>
            <w:tcBorders>
              <w:top w:val="nil"/>
              <w:left w:val="nil"/>
              <w:bottom w:val="nil"/>
              <w:right w:val="nil"/>
            </w:tcBorders>
            <w:hideMark/>
          </w:tcPr>
          <w:p w14:paraId="6D161F64" w14:textId="77777777" w:rsidR="003A0972" w:rsidRDefault="003A0972">
            <w:pPr>
              <w:cnfStyle w:val="000000000000" w:firstRow="0" w:lastRow="0" w:firstColumn="0" w:lastColumn="0" w:oddVBand="0" w:evenVBand="0" w:oddHBand="0" w:evenHBand="0" w:firstRowFirstColumn="0" w:firstRowLastColumn="0" w:lastRowFirstColumn="0" w:lastRowLastColumn="0"/>
            </w:pPr>
            <w:r>
              <w:t>(NS)</w:t>
            </w:r>
          </w:p>
        </w:tc>
      </w:tr>
      <w:tr w:rsidR="003A0972" w14:paraId="7F82917E"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single" w:sz="8" w:space="0" w:color="000000" w:themeColor="text1"/>
            </w:tcBorders>
          </w:tcPr>
          <w:p w14:paraId="352C363A" w14:textId="77777777" w:rsidR="003A0972" w:rsidRDefault="003A0972"/>
        </w:tc>
        <w:tc>
          <w:tcPr>
            <w:tcW w:w="3294" w:type="dxa"/>
            <w:tcBorders>
              <w:top w:val="nil"/>
              <w:bottom w:val="single" w:sz="8" w:space="0" w:color="000000" w:themeColor="text1"/>
            </w:tcBorders>
            <w:hideMark/>
          </w:tcPr>
          <w:p w14:paraId="7C2921A3" w14:textId="77777777" w:rsidR="003A0972" w:rsidRDefault="003A0972">
            <w:pPr>
              <w:cnfStyle w:val="000000100000" w:firstRow="0" w:lastRow="0" w:firstColumn="0" w:lastColumn="0" w:oddVBand="0" w:evenVBand="0" w:oddHBand="1" w:evenHBand="0" w:firstRowFirstColumn="0" w:firstRowLastColumn="0" w:lastRowFirstColumn="0" w:lastRowLastColumn="0"/>
            </w:pPr>
            <w:proofErr w:type="spellStart"/>
            <w:r>
              <w:t>Estabrooks</w:t>
            </w:r>
            <w:proofErr w:type="spellEnd"/>
            <w:r>
              <w:t xml:space="preserve"> et al </w:t>
            </w:r>
            <w:r>
              <w:fldChar w:fldCharType="begin"/>
            </w:r>
            <w:r>
              <w:instrText xml:space="preserve"> ADDIN ZOTERO_ITEM CSL_CITATION {"citationID":"KRqwA73v","properties":{"formattedCitation":"(2005)","plainCitation":"(2005)"},"citationItems":[{"id":48,"uris":["http://zotero.org/users/564815/items/4G9I8XVT"],"uri":["http://zotero.org/users/564815/items/4G9I8XVT"],"itemData":{"id":48,"type":"article-journal","title":"The impact of hospital nursing characteristics on 30-day mortality","container-title":"Nursing Research","page":"74-84","volume":"54","issue":"2","source":"NCBI PubMed","abstract":"BACKGROUND Evidence indicates that hospital nursing characteristics such as staffing contribute to patient outcomes. Less attention has been given to other hospital nursing characteristics central to optimal professional practice, namely nurse education and skill mix, continuity of care, and quality of the work environment. OBJECTIVE To assess the relative effects and importance of nurse education and skill mix, continuity of care, and quality of work environment in predicting 30-day mortality after adjusting for institutional factors and individual patients characteristics. METHOD A cross-sectional analysis of outcome data for 18,142 patients discharged from 49 acute care hospitals in Alberta, Canada, for diagnoses of acute myocardial infarction, congestive heart failure, chronic obstructive pulmonary disease, pneumonia, or stroke between April 1, 1998, and March 31, 1999, was done. Mortality data were linked to patient demographic and comorbidity factors, institutional characteristics, and hospital nursing characteristics derived from a survey of all registered nurses working in acute care hospitals. RESULTS Using multilevel analysis, it was determined that the log-odds for 30-day mortality varied significantly across hospitals (variance = .044, p &lt; .001). Patient comorbidities and age explained 44.2% of the variance in 30-day mortality. After adjustment for patient comorbidities and demographic factors, and the size, teaching, and urban status of the study hospitals in a fixed-effects model, the odds ratios (95% confidence interval) of the significant hospital nursing characteristics that predict 30-day mortality were as follows: 0.81 (0.68-0.96) for higher nurse education level, 0.83 (0.73-0.96) for richer nurse skill mix, 1.26 (1.09-1.47) for higher proportion of casual or temporary positions, and 0.74 (0.60-0.91) for greater nurse-physician relationships. The institutional and hospital nursing characteristics explained an additional 36.9%. DISCUSSION Hospital nursing characteristics are an important consideration in efforts to reduce the risk of 30-day mortality of patients.","ISSN":"0029-6562","note":"PMID: 15778649","journalAbbreviation":"Nurs Res","author":[{"family":"Estabrooks","given":"Carole A"},{"family":"Midodzi","given":"William K"},{"family":"Cummings","given":"Greta G"},{"family":"Ricker","given":"Kathryn L"},{"family":"Giovannetti","given":"Phyllis"}],"issued":{"date-parts":[["2005",4]]},"accessed":{"date-parts":[["2011",3,28]]},"PMID":"15778649"},"suppress-author":true}],"schema":"https://github.com/citation-style-language/schema/raw/master/csl-citation.json"} </w:instrText>
            </w:r>
            <w:r>
              <w:fldChar w:fldCharType="separate"/>
            </w:r>
            <w:r>
              <w:rPr>
                <w:rFonts w:ascii="Calibri" w:hAnsi="Calibri"/>
              </w:rPr>
              <w:t>(2005)</w:t>
            </w:r>
            <w:r>
              <w:fldChar w:fldCharType="end"/>
            </w:r>
          </w:p>
        </w:tc>
        <w:tc>
          <w:tcPr>
            <w:tcW w:w="3294" w:type="dxa"/>
            <w:tcBorders>
              <w:top w:val="nil"/>
              <w:bottom w:val="single" w:sz="8" w:space="0" w:color="000000" w:themeColor="text1"/>
            </w:tcBorders>
            <w:hideMark/>
          </w:tcPr>
          <w:p w14:paraId="50FC70DC" w14:textId="77777777" w:rsidR="003A0972" w:rsidRDefault="003A0972">
            <w:pPr>
              <w:cnfStyle w:val="000000100000" w:firstRow="0" w:lastRow="0" w:firstColumn="0" w:lastColumn="0" w:oddVBand="0" w:evenVBand="0" w:oddHBand="1" w:evenHBand="0" w:firstRowFirstColumn="0" w:firstRowLastColumn="0" w:lastRowFirstColumn="0" w:lastRowLastColumn="0"/>
            </w:pPr>
            <w:r>
              <w:t>(-)</w:t>
            </w:r>
          </w:p>
        </w:tc>
      </w:tr>
      <w:tr w:rsidR="003A0972" w14:paraId="0DE65F64"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left w:val="nil"/>
              <w:bottom w:val="single" w:sz="6" w:space="0" w:color="000000"/>
              <w:right w:val="nil"/>
            </w:tcBorders>
            <w:hideMark/>
          </w:tcPr>
          <w:p w14:paraId="4F148C5A" w14:textId="77777777" w:rsidR="003A0972" w:rsidRDefault="003A0972">
            <w:r>
              <w:t>Failure to Rescue</w:t>
            </w:r>
          </w:p>
        </w:tc>
        <w:tc>
          <w:tcPr>
            <w:tcW w:w="3294" w:type="dxa"/>
            <w:tcBorders>
              <w:top w:val="single" w:sz="8" w:space="0" w:color="000000" w:themeColor="text1"/>
              <w:left w:val="nil"/>
              <w:bottom w:val="single" w:sz="6" w:space="0" w:color="000000"/>
              <w:right w:val="nil"/>
            </w:tcBorders>
            <w:hideMark/>
          </w:tcPr>
          <w:p w14:paraId="62594304"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proofErr w:type="spellStart"/>
            <w:r>
              <w:rPr>
                <w:color w:val="FF0000"/>
              </w:rPr>
              <w:t>Talsma</w:t>
            </w:r>
            <w:proofErr w:type="spellEnd"/>
            <w:r>
              <w:rPr>
                <w:color w:val="FF0000"/>
              </w:rPr>
              <w:t xml:space="preserve"> et al (2014)</w:t>
            </w:r>
          </w:p>
        </w:tc>
        <w:tc>
          <w:tcPr>
            <w:tcW w:w="3294" w:type="dxa"/>
            <w:tcBorders>
              <w:top w:val="single" w:sz="8" w:space="0" w:color="000000" w:themeColor="text1"/>
              <w:left w:val="nil"/>
              <w:bottom w:val="single" w:sz="6" w:space="0" w:color="000000"/>
              <w:right w:val="nil"/>
            </w:tcBorders>
            <w:hideMark/>
          </w:tcPr>
          <w:p w14:paraId="156CE6FE"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(NS)</w:t>
            </w:r>
          </w:p>
        </w:tc>
      </w:tr>
      <w:tr w:rsidR="003A0972" w14:paraId="729A69C1"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6" w:space="0" w:color="000000"/>
              <w:bottom w:val="nil"/>
            </w:tcBorders>
            <w:hideMark/>
          </w:tcPr>
          <w:p w14:paraId="59E62CE2" w14:textId="77777777" w:rsidR="003A0972" w:rsidRDefault="003A0972">
            <w:r>
              <w:t>Length of Stay</w:t>
            </w:r>
          </w:p>
        </w:tc>
        <w:tc>
          <w:tcPr>
            <w:tcW w:w="3294" w:type="dxa"/>
            <w:tcBorders>
              <w:top w:val="single" w:sz="6" w:space="0" w:color="000000"/>
              <w:bottom w:val="nil"/>
            </w:tcBorders>
            <w:hideMark/>
          </w:tcPr>
          <w:p w14:paraId="6E54C4B9"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proofErr w:type="spellStart"/>
            <w:r>
              <w:rPr>
                <w:rFonts w:ascii="Calibri" w:hAnsi="Calibri" w:cs="Calibri"/>
                <w:color w:val="FF0000"/>
                <w:szCs w:val="24"/>
              </w:rPr>
              <w:t>Pitkäaho</w:t>
            </w:r>
            <w:proofErr w:type="spellEnd"/>
            <w:r>
              <w:rPr>
                <w:rFonts w:ascii="Calibri" w:hAnsi="Calibri" w:cs="Calibri"/>
                <w:color w:val="FF0000"/>
                <w:szCs w:val="24"/>
              </w:rPr>
              <w:t xml:space="preserve"> et al (2016)</w:t>
            </w:r>
          </w:p>
        </w:tc>
        <w:tc>
          <w:tcPr>
            <w:tcW w:w="3294" w:type="dxa"/>
            <w:tcBorders>
              <w:top w:val="single" w:sz="6" w:space="0" w:color="000000"/>
              <w:bottom w:val="nil"/>
            </w:tcBorders>
            <w:hideMark/>
          </w:tcPr>
          <w:p w14:paraId="450BD941"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(NS)</w:t>
            </w:r>
          </w:p>
        </w:tc>
      </w:tr>
      <w:tr w:rsidR="003A0972" w14:paraId="6878100C"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28D7F478" w14:textId="77777777" w:rsidR="003A0972" w:rsidRDefault="003A0972"/>
        </w:tc>
        <w:tc>
          <w:tcPr>
            <w:tcW w:w="3294" w:type="dxa"/>
            <w:tcBorders>
              <w:top w:val="nil"/>
              <w:left w:val="nil"/>
              <w:bottom w:val="nil"/>
              <w:right w:val="nil"/>
            </w:tcBorders>
            <w:hideMark/>
          </w:tcPr>
          <w:p w14:paraId="7FCA7409"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Esparza </w:t>
            </w:r>
            <w:r>
              <w:fldChar w:fldCharType="begin"/>
            </w:r>
            <w:r>
              <w:instrText xml:space="preserve"> ADDIN ZOTERO_ITEM CSL_CITATION {"citationID":"ceslk132a","properties":{"formattedCitation":"(2012)","plainCitation":"(2012)"},"citationItems":[{"id":1298,"uris":["http://zotero.org/users/564815/items/T75BPN5H"],"uri":["http://zotero.org/users/564815/items/T75BPN5H"],"itemData":{"id":1298,"type":"article-journal","title":"Nurse staffing and skill mix patterns: Are there differences in outcomes?","container-title":"Journal of Healthcare Risk Management: The Journal of the American Society for Healthcare Risk Management","page":"14-23","volume":"31","issue":"3","source":"NCBI PubMed","abstract":"The purpose of this study was to examine the impact on patient outcomes of nurse staffing and registered nurse (RN) skill mix patterns used by medical-surgical units in California hospitals after enactment of nurse-to-patient staffing ratio laws, and determine if there are differences in patient outcomes for conditions that are considered sensitive to nursing care. Results from this study demonstrated an association between total nursing hours per patient day (NHPPD) and two outcomes: urinary tract infections (UTI) and length of stay (LOS). A stronger association was observed between the RN proportions of the total nursing hours of care and the same outcomes. The higher the total NHPPD and RN proportion, the lower the LOS and the lower the odds of hospitalized patients' developing UTI.","DOI":"10.1002/jhrm.20092","ISSN":"2040-0861","note":"PMID: 22359259","shortTitle":"Nurse staffing and skill mix patterns","journalAbbreviation":"J Healthc Risk Manag","language":"eng","author":[{"family":"Esparza","given":"Salvador J."},{"family":"Zoller","given":"James S."},{"family":"White","given":"Andrea Weatherby"},{"family":"Highfield","given":"Martha E. F."}],"issued":{"date-parts":[["2012"]]},"PMID":"22359259"},"suppress-author":true}],"schema":"https://github.com/citation-style-language/schema/raw/master/csl-citation.json"} </w:instrText>
            </w:r>
            <w:r>
              <w:fldChar w:fldCharType="separate"/>
            </w:r>
            <w:r>
              <w:rPr>
                <w:rFonts w:ascii="Calibri" w:hAnsi="Calibri"/>
              </w:rPr>
              <w:t>(2012)</w:t>
            </w:r>
            <w:r>
              <w:fldChar w:fldCharType="end"/>
            </w:r>
          </w:p>
        </w:tc>
        <w:tc>
          <w:tcPr>
            <w:tcW w:w="3294" w:type="dxa"/>
            <w:tcBorders>
              <w:top w:val="nil"/>
              <w:left w:val="nil"/>
              <w:bottom w:val="nil"/>
              <w:right w:val="nil"/>
            </w:tcBorders>
            <w:hideMark/>
          </w:tcPr>
          <w:p w14:paraId="14D2724F"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2359B7B4"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tcPr>
          <w:p w14:paraId="610C83E9" w14:textId="77777777" w:rsidR="003A0972" w:rsidRDefault="003A0972"/>
        </w:tc>
        <w:tc>
          <w:tcPr>
            <w:tcW w:w="3294" w:type="dxa"/>
            <w:tcBorders>
              <w:top w:val="nil"/>
              <w:bottom w:val="nil"/>
            </w:tcBorders>
            <w:hideMark/>
          </w:tcPr>
          <w:p w14:paraId="382D5C89"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Yang et al </w:t>
            </w:r>
            <w:r>
              <w:fldChar w:fldCharType="begin"/>
            </w:r>
            <w:r>
              <w:instrText xml:space="preserve"> ADDIN ZOTERO_ITEM CSL_CITATION {"citationID":"8Q0Z34iM","properties":{"formattedCitation":"(2012)","plainCitation":"(2012)"},"citationItems":[{"id":1379,"uris":["http://zotero.org/users/564815/items/X6AZ95ME"],"uri":["http://zotero.org/users/564815/items/X6AZ95ME"],"itemData":{"id":1379,"type":"article-journal","title":"The impact of different nursing skill mix models on patient outcomes in a respiratory care center","container-title":"Worldviews on Evidence-Based Nursing / Sigma Theta Tau International, Honor Society of Nursing","page":"227-233","volume":"9","issue":"4","source":"NCBI PubMed","abstract":"BACKGROUND: Many hospitals have reformed hospital policies and changed nursing models to cope with shortages in nursing staff and control medical costs. However, the nursing skill mix model that most successfully achieves both cost effectiveness and quality care has yet to be determined.\nAIM: The aim of this study was to explore the impact of different nurse staffing models on patient outcomes in a respiratory care center (RCC).\nMETHODS: Retrospective data from 2006 to 2008 were obtained from records monitoring nursing care quality, as well as patient records and nursing personnel costs in an RCC as a medical center, in southern Taiwan. A total of 487 patients were categorized into two groups according to the RCC's mix of nursing staff. The \"RN/Aide\" group comprised 247 patients who received RN and aide care, with a 0.7-0.8 proportion of RNs, from July 2006 to June 2007. The other 240 patients (\"All-RN\") received 100% RN care from January 2008 to December 2008.\nRESULTS: The results of this study indicated no significant differences in occurrence of pressure ulcer or respiratory tract infections, days of hospitalization, mortality, or nursing costs. However, significant differences were observed in ventilator weaning and occurrence of urinary tract and bloodstream infections.\nCONCLUSIONS: A higher proportion of RNs was associated not only with a lower rate of urinary tract infection but also with more patients being weaned successfully from ventilators. The findings of this study have implications for how managers and administrators manage nurse staffing in respiratory care.","DOI":"10.1111/j.1741-6787.2012.00246.x","ISSN":"1741-6787","note":"PMID: 22489996 \nPMCID: PMC3533773","journalAbbreviation":"Worldviews Evid Based Nurs","language":"eng","author":[{"family":"Yang","given":"Pei-Hsuan"},{"family":"Hung","given":"Chich-Hsiu"},{"family":"Chen","given":"Yao-Mei"},{"family":"Hu","given":"Chuan-Yu"},{"family":"Shieh","given":"Sheng-Lan"}],"issued":{"date-parts":[["2012",12]]},"PMID":"22489996","PMCID":"PMC3533773"},"suppress-author":true}],"schema":"https://github.com/citation-style-language/schema/raw/master/csl-citation.json"} </w:instrText>
            </w:r>
            <w:r>
              <w:fldChar w:fldCharType="separate"/>
            </w:r>
            <w:r>
              <w:rPr>
                <w:rFonts w:ascii="Calibri" w:hAnsi="Calibri"/>
              </w:rPr>
              <w:t>(2012)</w:t>
            </w:r>
            <w:r>
              <w:fldChar w:fldCharType="end"/>
            </w:r>
            <w:r>
              <w:rPr>
                <w:vertAlign w:val="superscript"/>
              </w:rPr>
              <w:t>a</w:t>
            </w:r>
          </w:p>
        </w:tc>
        <w:tc>
          <w:tcPr>
            <w:tcW w:w="3294" w:type="dxa"/>
            <w:tcBorders>
              <w:top w:val="nil"/>
              <w:bottom w:val="nil"/>
            </w:tcBorders>
            <w:hideMark/>
          </w:tcPr>
          <w:p w14:paraId="3F43B3E9" w14:textId="77777777" w:rsidR="003A0972" w:rsidRDefault="003A0972">
            <w:pPr>
              <w:cnfStyle w:val="000000100000" w:firstRow="0" w:lastRow="0" w:firstColumn="0" w:lastColumn="0" w:oddVBand="0" w:evenVBand="0" w:oddHBand="1" w:evenHBand="0" w:firstRowFirstColumn="0" w:firstRowLastColumn="0" w:lastRowFirstColumn="0" w:lastRowLastColumn="0"/>
            </w:pPr>
            <w:r>
              <w:t>(NS)</w:t>
            </w:r>
          </w:p>
        </w:tc>
      </w:tr>
      <w:tr w:rsidR="003A0972" w14:paraId="15243985"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43E947DC" w14:textId="77777777" w:rsidR="003A0972" w:rsidRDefault="003A0972"/>
        </w:tc>
        <w:tc>
          <w:tcPr>
            <w:tcW w:w="3294" w:type="dxa"/>
            <w:tcBorders>
              <w:top w:val="nil"/>
              <w:left w:val="nil"/>
              <w:bottom w:val="nil"/>
              <w:right w:val="nil"/>
            </w:tcBorders>
            <w:hideMark/>
          </w:tcPr>
          <w:p w14:paraId="6776AA19" w14:textId="77777777" w:rsidR="003A0972" w:rsidRDefault="003A0972">
            <w:pPr>
              <w:cnfStyle w:val="000000000000" w:firstRow="0" w:lastRow="0" w:firstColumn="0" w:lastColumn="0" w:oddVBand="0" w:evenVBand="0" w:oddHBand="0" w:evenHBand="0" w:firstRowFirstColumn="0" w:firstRowLastColumn="0" w:lastRowFirstColumn="0" w:lastRowLastColumn="0"/>
            </w:pPr>
            <w:proofErr w:type="spellStart"/>
            <w:r>
              <w:t>Blegen</w:t>
            </w:r>
            <w:proofErr w:type="spellEnd"/>
            <w:r>
              <w:t xml:space="preserve"> et al </w:t>
            </w:r>
            <w:r>
              <w:fldChar w:fldCharType="begin"/>
            </w:r>
            <w:r>
              <w:instrText xml:space="preserve"> ADDIN ZOTERO_ITEM CSL_CITATION {"citationID":"LHOB6x2W","properties":{"formattedCitation":"(2011)","plainCitation":"(2011)"},"citationItems":[{"id":1353,"uris":["http://zotero.org/users/564815/items/E26GVCCI"],"uri":["http://zotero.org/users/564815/items/E26GVCCI"],"itemData":{"id":1353,"type":"article-journal","title":"Nurse staffing effects on patient outcomes: safety-net and non-safety-net hospitals","container-title":"Medical Care","page":"406-414","volume":"49","issue":"4","source":"NCBI PubMed","abstract":"BACKGROUND: Nurse staffing has been linked to hospital patient outcomes; however, previous results were inconsistent because of variations in measures of staffing and were only rarely specific to types of patient care units.\nOBJECTIVE: To determine the relationship between nurse staffing in general and intensive care units and patient outcomes and determine whether safety net status affects this relationship.\nRESEARCH DESIGN: A cross-sectional design used data from hospitals belonging to the University HealthSystem Consortium.\nSUBJECTS: Data were available for approximately 1.1 million adult patient discharges and staffing for 872 patient care units from 54 hospitals.\nMEASURES: Total hours of nursing care [Registered Nurses (RNs), Licensed Practical Nurses, and assistants] determined per inpatient day (TotHPD) and RN skill mix were the measures of staffing; Agency for Healthcare Research and Quality risk-adjusted safety and quality indicators were the outcome measures.\nRESULTS: TotHPD in general units was associated with lower rates of congestive heart failure mortality (P&lt;0.05), failure to rescue (P&lt;0.10), infections (P&lt;0.01), and prolonged length of stay (P&lt;0.01). RN skill mix in general units was associated with reduced failure to rescue (P&lt;0.01) and infections (P&lt;0.05). TotHPD in intensive care units was associated with fewer infections (P&lt;0.05) and decubitus ulcers (P&lt;0.10). RN skill mix was associated with fewer cases of sepsis (P&lt;0.01) and failure to rescue (P&lt;0.05). Safety-net status was associated with higher rates of congestive heart failure mortality, decubitus ulcers, and failure to rescue.\nCONCLUSIONS: Higher nurse staffing protected patients from poor outcomes; however, hospital safety-net status introduced complexities in this relationship.","DOI":"10.1097/MLR.0b013e318202e129","ISSN":"1537-1948","note":"PMID: 21407034","shortTitle":"Nurse staffing effects on patient outcomes","journalAbbreviation":"Med Care","language":"eng","author":[{"family":"Blegen","given":"MA"},{"family":"Goode","given":"CJ"},{"family":"Spetz","given":"J"},{"family":"Vaughn","given":"T"},{"family":"Park","given":"SH"}],"issued":{"date-parts":[["2011",4]]},"PMID":"21407034"},"suppress-author":true}],"schema":"https://github.com/citation-style-language/schema/raw/master/csl-citation.json"} </w:instrText>
            </w:r>
            <w:r>
              <w:fldChar w:fldCharType="separate"/>
            </w:r>
            <w:r>
              <w:rPr>
                <w:rFonts w:ascii="Calibri" w:hAnsi="Calibri"/>
              </w:rPr>
              <w:t>(2011)</w:t>
            </w:r>
            <w:r>
              <w:fldChar w:fldCharType="end"/>
            </w:r>
          </w:p>
        </w:tc>
        <w:tc>
          <w:tcPr>
            <w:tcW w:w="3294" w:type="dxa"/>
            <w:tcBorders>
              <w:top w:val="nil"/>
              <w:left w:val="nil"/>
              <w:bottom w:val="nil"/>
              <w:right w:val="nil"/>
            </w:tcBorders>
            <w:hideMark/>
          </w:tcPr>
          <w:p w14:paraId="4E685F7E" w14:textId="77777777" w:rsidR="003A0972" w:rsidRDefault="003A0972">
            <w:pPr>
              <w:cnfStyle w:val="000000000000" w:firstRow="0" w:lastRow="0" w:firstColumn="0" w:lastColumn="0" w:oddVBand="0" w:evenVBand="0" w:oddHBand="0" w:evenHBand="0" w:firstRowFirstColumn="0" w:firstRowLastColumn="0" w:lastRowFirstColumn="0" w:lastRowLastColumn="0"/>
            </w:pPr>
            <w:r>
              <w:t>(NS)</w:t>
            </w:r>
          </w:p>
        </w:tc>
      </w:tr>
      <w:tr w:rsidR="003A0972" w14:paraId="0F8362C9"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single" w:sz="8" w:space="0" w:color="000000" w:themeColor="text1"/>
            </w:tcBorders>
          </w:tcPr>
          <w:p w14:paraId="29BF6781" w14:textId="77777777" w:rsidR="003A0972" w:rsidRDefault="003A0972"/>
        </w:tc>
        <w:tc>
          <w:tcPr>
            <w:tcW w:w="3294" w:type="dxa"/>
            <w:tcBorders>
              <w:top w:val="nil"/>
              <w:bottom w:val="single" w:sz="8" w:space="0" w:color="000000" w:themeColor="text1"/>
            </w:tcBorders>
            <w:hideMark/>
          </w:tcPr>
          <w:p w14:paraId="2EF27E94"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Needleman et al  </w:t>
            </w:r>
            <w:r>
              <w:fldChar w:fldCharType="begin"/>
            </w:r>
            <w:r>
              <w:instrText xml:space="preserve"> ADDIN ZOTERO_ITEM CSL_CITATION {"citationID":"HinlDEz5","properties":{"formattedCitation":"(2002)","plainCitation":"(2002)"},"citationItems":[{"id":1191,"uris":["http://zotero.org/users/564815/items/QFMUQDT6"],"uri":["http://zotero.org/users/564815/items/QFMUQDT6"],"itemData":{"id":1191,"type":"article-journal","title":"Nurse-staffing levels and the quality of care in hospitals","container-title":"The New England Journal of Medicine","page":"1715-1722","volume":"346","issue":"22","source":"NCBI PubMed","abstract":"BACKGROUND: It is uncertain whether lower levels of staffing by nurses at hospitals are associated with an increased risk that patients will have complications or die.\nMETHODS: We used administrative data from 1997 for 799 hospitals in 11 states (covering 5,075,969 discharges of medical patients and 1,104,659 discharges of surgical patients) to examine the relation between the amount of care provided by nurses at the hospital and patients' outcomes. We conducted regression analyses in which we controlled for patients' risk of adverse outcomes, differences in the nursing care needed for each hospital's patients, and other variables.\nRESULTS: The mean number of hours of nursing care per patient-day was 11.4, of which 7.8 hours were provided by registered nurses, 1.2 hours by licensed practical nurses, and 2.4 hours by nurses' aides. Among medical patients, a higher proportion of hours of care per day provided by registered nurses and a greater absolute number of hours of care per day provided by registered nurses were associated with a shorter length of stay (P=0.01 and P&lt;0.001, respectively) and lower rates of both urinary tract infections (P&lt;0.001 and P=0.003, respectively) and upper gastrointestinal bleeding (P=0.03 and P=0.007, respectively). A higher proportion of hours of care provided by registered nurses was also associated with lower rates of pneumonia (P=0.001), shock or cardiac arrest (P=0.007), and \"failure to rescue,\" which was defined as death from pneumonia, shock or cardiac arrest, upper gastrointestinal bleeding, sepsis, or deep venous thrombosis (P=0.05). Among surgical patients, a higher proportion of care provided by registered nurses was associated with lower rates of urinary tract infections (P=0.04), and a greater number of hours of care per day provided by registered nurses was associated with lower rates of \"failure to rescue\" (P=0.008). We found no associations between increased levels of staffing by registered nurses and the rate of in-hospital death or between increased staffing by licensed practical nurses or nurses' aides and the rate of adverse outcomes.\nCONCLUSIONS: A higher proportion of hours of nursing care provided by registered nurses and a greater number of hours of care by registered nurses per day are associated with better care for hospitalized patients.","DOI":"10.1056/NEJMsa012247","ISSN":"1533-4406","note":"PMID: 12037152","journalAbbreviation":"N. Engl. J. Med.","language":"eng","author":[{"family":"Needleman","given":"Jack"},{"family":"Buerhaus","given":"Peter"},{"family":"Mattke","given":"Soeren"},{"family":"Stewart","given":"Maureen"},{"family":"Zelevinsky","given":"Katya"}],"issued":{"date-parts":[["2002",5,30]]},"PMID":"12037152"},"suppress-author":true}],"schema":"https://github.com/citation-style-language/schema/raw/master/csl-citation.json"} </w:instrText>
            </w:r>
            <w:r>
              <w:fldChar w:fldCharType="separate"/>
            </w:r>
            <w:r>
              <w:rPr>
                <w:rFonts w:ascii="Calibri" w:hAnsi="Calibri"/>
              </w:rPr>
              <w:t>(2002)</w:t>
            </w:r>
            <w:r>
              <w:fldChar w:fldCharType="end"/>
            </w:r>
          </w:p>
        </w:tc>
        <w:tc>
          <w:tcPr>
            <w:tcW w:w="3294" w:type="dxa"/>
            <w:tcBorders>
              <w:top w:val="nil"/>
              <w:bottom w:val="single" w:sz="8" w:space="0" w:color="000000" w:themeColor="text1"/>
            </w:tcBorders>
            <w:hideMark/>
          </w:tcPr>
          <w:p w14:paraId="27EECEE1" w14:textId="77777777" w:rsidR="003A0972" w:rsidRDefault="003A0972">
            <w:pPr>
              <w:cnfStyle w:val="000000100000" w:firstRow="0" w:lastRow="0" w:firstColumn="0" w:lastColumn="0" w:oddVBand="0" w:evenVBand="0" w:oddHBand="1" w:evenHBand="0" w:firstRowFirstColumn="0" w:firstRowLastColumn="0" w:lastRowFirstColumn="0" w:lastRowLastColumn="0"/>
            </w:pPr>
            <w:r>
              <w:t>(-) Medical patients only</w:t>
            </w:r>
          </w:p>
        </w:tc>
      </w:tr>
      <w:tr w:rsidR="003A0972" w14:paraId="1D9292EA"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left w:val="nil"/>
              <w:bottom w:val="nil"/>
              <w:right w:val="nil"/>
            </w:tcBorders>
            <w:hideMark/>
          </w:tcPr>
          <w:p w14:paraId="3E7172B7" w14:textId="77777777" w:rsidR="003A0972" w:rsidRDefault="003A0972">
            <w:r>
              <w:t>Medication Administration Errors</w:t>
            </w:r>
          </w:p>
        </w:tc>
        <w:tc>
          <w:tcPr>
            <w:tcW w:w="3294" w:type="dxa"/>
            <w:tcBorders>
              <w:top w:val="single" w:sz="8" w:space="0" w:color="000000" w:themeColor="text1"/>
              <w:left w:val="nil"/>
              <w:bottom w:val="nil"/>
              <w:right w:val="nil"/>
            </w:tcBorders>
            <w:hideMark/>
          </w:tcPr>
          <w:p w14:paraId="214AAB14"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Patrician et al (2011)</w:t>
            </w:r>
          </w:p>
        </w:tc>
        <w:tc>
          <w:tcPr>
            <w:tcW w:w="3294" w:type="dxa"/>
            <w:tcBorders>
              <w:top w:val="single" w:sz="8" w:space="0" w:color="000000" w:themeColor="text1"/>
              <w:left w:val="nil"/>
              <w:bottom w:val="nil"/>
              <w:right w:val="nil"/>
            </w:tcBorders>
            <w:hideMark/>
          </w:tcPr>
          <w:p w14:paraId="4891D483"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 Medical surgical and intensive care units</w:t>
            </w:r>
          </w:p>
        </w:tc>
      </w:tr>
      <w:tr w:rsidR="003A0972" w14:paraId="664E5570"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tcPr>
          <w:p w14:paraId="1B1ACF03" w14:textId="77777777" w:rsidR="003A0972" w:rsidRDefault="003A0972"/>
        </w:tc>
        <w:tc>
          <w:tcPr>
            <w:tcW w:w="3294" w:type="dxa"/>
            <w:tcBorders>
              <w:top w:val="nil"/>
              <w:bottom w:val="nil"/>
            </w:tcBorders>
            <w:hideMark/>
          </w:tcPr>
          <w:p w14:paraId="6E845BD0"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Stratton </w:t>
            </w:r>
            <w:r>
              <w:fldChar w:fldCharType="begin"/>
            </w:r>
            <w:r>
              <w:instrText xml:space="preserve"> ADDIN ZOTERO_ITEM CSL_CITATION {"citationID":"r5twmGve","properties":{"formattedCitation":"(2008)","plainCitation":"(2008)"},"citationItems":[{"id":1308,"uris":["http://zotero.org/users/564815/items/M6P3TEDN"],"uri":["http://zotero.org/users/564815/items/M6P3TEDN"],"itemData":{"id":1308,"type":"article-journal","title":"Pediatric nurse staffing and quality of care in the hospital setting","container-title":"Journal of Nursing Care Quality","page":"105-114","volume":"23","issue":"2","source":"NCBI PubMed","abstract":"Indicators of quality and nurse staffing in pediatrics are distinct from adults. A retrospective, correlational, linear mixed model design was used to describe relationships between pediatric nurse staffing and 5 indicators of quality care from a convenience sample of 7 academic children's hospitals. Key findings supported a strong inverse relationship between the proportion of hours of pediatric nursing care delivered by registered nurses and the rate of occurrence of central line (P &lt; .001) and bloodstream infections (P &lt; .05). Supplemental nurse staffing hours also demonstrated relationships between bloodstream infections and parent/family complaints.","DOI":"10.1097/01.NCQ.0000313758.33654.49","ISSN":"1057-3631","note":"PMID: 18344775","journalAbbreviation":"J Nurs Care Qual","language":"eng","author":[{"family":"Stratton","given":"Karen M."}],"issued":{"date-parts":[["2008",6]]},"PMID":"18344775"},"suppress-author":true}],"schema":"https://github.com/citation-style-language/schema/raw/master/csl-citation.json"} </w:instrText>
            </w:r>
            <w:r>
              <w:fldChar w:fldCharType="separate"/>
            </w:r>
            <w:r>
              <w:rPr>
                <w:rFonts w:ascii="Calibri" w:hAnsi="Calibri"/>
              </w:rPr>
              <w:t>(2008)</w:t>
            </w:r>
            <w:r>
              <w:fldChar w:fldCharType="end"/>
            </w:r>
          </w:p>
        </w:tc>
        <w:tc>
          <w:tcPr>
            <w:tcW w:w="3294" w:type="dxa"/>
            <w:tcBorders>
              <w:top w:val="nil"/>
              <w:bottom w:val="nil"/>
            </w:tcBorders>
            <w:hideMark/>
          </w:tcPr>
          <w:p w14:paraId="66C31D77" w14:textId="77777777" w:rsidR="003A0972" w:rsidRDefault="003A0972">
            <w:pPr>
              <w:cnfStyle w:val="000000100000" w:firstRow="0" w:lastRow="0" w:firstColumn="0" w:lastColumn="0" w:oddVBand="0" w:evenVBand="0" w:oddHBand="1" w:evenHBand="0" w:firstRowFirstColumn="0" w:firstRowLastColumn="0" w:lastRowFirstColumn="0" w:lastRowLastColumn="0"/>
            </w:pPr>
            <w:r>
              <w:t>(NS)</w:t>
            </w:r>
          </w:p>
        </w:tc>
      </w:tr>
      <w:tr w:rsidR="003A0972" w14:paraId="00491C0B"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single" w:sz="8" w:space="0" w:color="000000" w:themeColor="text1"/>
              <w:right w:val="nil"/>
            </w:tcBorders>
          </w:tcPr>
          <w:p w14:paraId="6630A983" w14:textId="77777777" w:rsidR="003A0972" w:rsidRDefault="003A0972"/>
        </w:tc>
        <w:tc>
          <w:tcPr>
            <w:tcW w:w="3294" w:type="dxa"/>
            <w:tcBorders>
              <w:top w:val="nil"/>
              <w:left w:val="nil"/>
              <w:bottom w:val="single" w:sz="8" w:space="0" w:color="000000" w:themeColor="text1"/>
              <w:right w:val="nil"/>
            </w:tcBorders>
            <w:hideMark/>
          </w:tcPr>
          <w:p w14:paraId="73E40225" w14:textId="77777777" w:rsidR="003A0972" w:rsidRDefault="003A0972">
            <w:pPr>
              <w:cnfStyle w:val="000000000000" w:firstRow="0" w:lastRow="0" w:firstColumn="0" w:lastColumn="0" w:oddVBand="0" w:evenVBand="0" w:oddHBand="0" w:evenHBand="0" w:firstRowFirstColumn="0" w:firstRowLastColumn="0" w:lastRowFirstColumn="0" w:lastRowLastColumn="0"/>
            </w:pPr>
            <w:proofErr w:type="spellStart"/>
            <w:r>
              <w:t>McGillis</w:t>
            </w:r>
            <w:proofErr w:type="spellEnd"/>
            <w:r>
              <w:t xml:space="preserve"> Hall et al (2004)</w:t>
            </w:r>
          </w:p>
        </w:tc>
        <w:tc>
          <w:tcPr>
            <w:tcW w:w="3294" w:type="dxa"/>
            <w:tcBorders>
              <w:top w:val="nil"/>
              <w:left w:val="nil"/>
              <w:bottom w:val="single" w:sz="8" w:space="0" w:color="000000" w:themeColor="text1"/>
              <w:right w:val="nil"/>
            </w:tcBorders>
            <w:hideMark/>
          </w:tcPr>
          <w:p w14:paraId="0D333371"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413447B7"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bottom w:val="nil"/>
            </w:tcBorders>
            <w:hideMark/>
          </w:tcPr>
          <w:p w14:paraId="0FC588FF" w14:textId="77777777" w:rsidR="003A0972" w:rsidRDefault="003A0972">
            <w:r>
              <w:t>Urinary Tract Infections</w:t>
            </w:r>
          </w:p>
        </w:tc>
        <w:tc>
          <w:tcPr>
            <w:tcW w:w="3294" w:type="dxa"/>
            <w:tcBorders>
              <w:top w:val="single" w:sz="8" w:space="0" w:color="000000" w:themeColor="text1"/>
              <w:bottom w:val="nil"/>
            </w:tcBorders>
            <w:hideMark/>
          </w:tcPr>
          <w:p w14:paraId="28255E8E"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Esparza </w:t>
            </w:r>
            <w:r>
              <w:fldChar w:fldCharType="begin"/>
            </w:r>
            <w:r>
              <w:instrText xml:space="preserve"> ADDIN ZOTERO_ITEM CSL_CITATION {"citationID":"V8MGmGOP","properties":{"formattedCitation":"(2012)","plainCitation":"(2012)"},"citationItems":[{"id":1298,"uris":["http://zotero.org/users/564815/items/T75BPN5H"],"uri":["http://zotero.org/users/564815/items/T75BPN5H"],"itemData":{"id":1298,"type":"article-journal","title":"Nurse staffing and skill mix patterns: Are there differences in outcomes?","container-title":"Journal of Healthcare Risk Management: The Journal of the American Society for Healthcare Risk Management","page":"14-23","volume":"31","issue":"3","source":"NCBI PubMed","abstract":"The purpose of this study was to examine the impact on patient outcomes of nurse staffing and registered nurse (RN) skill mix patterns used by medical-surgical units in California hospitals after enactment of nurse-to-patient staffing ratio laws, and determine if there are differences in patient outcomes for conditions that are considered sensitive to nursing care. Results from this study demonstrated an association between total nursing hours per patient day (NHPPD) and two outcomes: urinary tract infections (UTI) and length of stay (LOS). A stronger association was observed between the RN proportions of the total nursing hours of care and the same outcomes. The higher the total NHPPD and RN proportion, the lower the LOS and the lower the odds of hospitalized patients' developing UTI.","DOI":"10.1002/jhrm.20092","ISSN":"2040-0861","note":"PMID: 22359259","shortTitle":"Nurse staffing and skill mix patterns","journalAbbreviation":"J Healthc Risk Manag","language":"eng","author":[{"family":"Esparza","given":"Salvador J."},{"family":"Zoller","given":"James S."},{"family":"White","given":"Andrea Weatherby"},{"family":"Highfield","given":"Martha E. F."}],"issued":{"date-parts":[["2012"]]},"PMID":"22359259"},"suppress-author":true}],"schema":"https://github.com/citation-style-language/schema/raw/master/csl-citation.json"} </w:instrText>
            </w:r>
            <w:r>
              <w:fldChar w:fldCharType="separate"/>
            </w:r>
            <w:r>
              <w:rPr>
                <w:rFonts w:ascii="Calibri" w:hAnsi="Calibri"/>
              </w:rPr>
              <w:t>(2012)</w:t>
            </w:r>
            <w:r>
              <w:fldChar w:fldCharType="end"/>
            </w:r>
          </w:p>
        </w:tc>
        <w:tc>
          <w:tcPr>
            <w:tcW w:w="3294" w:type="dxa"/>
            <w:tcBorders>
              <w:top w:val="single" w:sz="8" w:space="0" w:color="000000" w:themeColor="text1"/>
              <w:bottom w:val="nil"/>
            </w:tcBorders>
            <w:hideMark/>
          </w:tcPr>
          <w:p w14:paraId="3CA92D1B" w14:textId="77777777" w:rsidR="003A0972" w:rsidRDefault="003A0972">
            <w:pPr>
              <w:cnfStyle w:val="000000100000" w:firstRow="0" w:lastRow="0" w:firstColumn="0" w:lastColumn="0" w:oddVBand="0" w:evenVBand="0" w:oddHBand="1" w:evenHBand="0" w:firstRowFirstColumn="0" w:firstRowLastColumn="0" w:lastRowFirstColumn="0" w:lastRowLastColumn="0"/>
            </w:pPr>
            <w:r>
              <w:t>(-)</w:t>
            </w:r>
          </w:p>
        </w:tc>
      </w:tr>
      <w:tr w:rsidR="003A0972" w14:paraId="3AF609DF"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nil"/>
            </w:tcBorders>
          </w:tcPr>
          <w:p w14:paraId="0DB00855" w14:textId="77777777" w:rsidR="003A0972" w:rsidRDefault="003A0972"/>
        </w:tc>
        <w:tc>
          <w:tcPr>
            <w:tcW w:w="3294" w:type="dxa"/>
            <w:tcBorders>
              <w:top w:val="nil"/>
              <w:left w:val="nil"/>
              <w:bottom w:val="nil"/>
              <w:right w:val="nil"/>
            </w:tcBorders>
            <w:hideMark/>
          </w:tcPr>
          <w:p w14:paraId="353C57FB"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Yang et al </w:t>
            </w:r>
            <w:r>
              <w:fldChar w:fldCharType="begin"/>
            </w:r>
            <w:r>
              <w:instrText xml:space="preserve"> ADDIN ZOTERO_ITEM CSL_CITATION {"citationID":"VmUcv7RJ","properties":{"formattedCitation":"(2012)","plainCitation":"(2012)"},"citationItems":[{"id":1379,"uris":["http://zotero.org/users/564815/items/X6AZ95ME"],"uri":["http://zotero.org/users/564815/items/X6AZ95ME"],"itemData":{"id":1379,"type":"article-journal","title":"The impact of different nursing skill mix models on patient outcomes in a respiratory care center","container-title":"Worldviews on Evidence-Based Nursing / Sigma Theta Tau International, Honor Society of Nursing","page":"227-233","volume":"9","issue":"4","source":"NCBI PubMed","abstract":"BACKGROUND: Many hospitals have reformed hospital policies and changed nursing models to cope with shortages in nursing staff and control medical costs. However, the nursing skill mix model that most successfully achieves both cost effectiveness and quality care has yet to be determined.\nAIM: The aim of this study was to explore the impact of different nurse staffing models on patient outcomes in a respiratory care center (RCC).\nMETHODS: Retrospective data from 2006 to 2008 were obtained from records monitoring nursing care quality, as well as patient records and nursing personnel costs in an RCC as a medical center, in southern Taiwan. A total of 487 patients were categorized into two groups according to the RCC's mix of nursing staff. The \"RN/Aide\" group comprised 247 patients who received RN and aide care, with a 0.7-0.8 proportion of RNs, from July 2006 to June 2007. The other 240 patients (\"All-RN\") received 100% RN care from January 2008 to December 2008.\nRESULTS: The results of this study indicated no significant differences in occurrence of pressure ulcer or respiratory tract infections, days of hospitalization, mortality, or nursing costs. However, significant differences were observed in ventilator weaning and occurrence of urinary tract and bloodstream infections.\nCONCLUSIONS: A higher proportion of RNs was associated not only with a lower rate of urinary tract infection but also with more patients being weaned successfully from ventilators. The findings of this study have implications for how managers and administrators manage nurse staffing in respiratory care.","DOI":"10.1111/j.1741-6787.2012.00246.x","ISSN":"1741-6787","note":"PMID: 22489996 \nPMCID: PMC3533773","journalAbbreviation":"Worldviews Evid Based Nurs","language":"eng","author":[{"family":"Yang","given":"Pei-Hsuan"},{"family":"Hung","given":"Chich-Hsiu"},{"family":"Chen","given":"Yao-Mei"},{"family":"Hu","given":"Chuan-Yu"},{"family":"Shieh","given":"Sheng-Lan"}],"issued":{"date-parts":[["2012",12]]},"PMID":"22489996","PMCID":"PMC3533773"},"suppress-author":true}],"schema":"https://github.com/citation-style-language/schema/raw/master/csl-citation.json"} </w:instrText>
            </w:r>
            <w:r>
              <w:fldChar w:fldCharType="separate"/>
            </w:r>
            <w:r>
              <w:rPr>
                <w:rFonts w:ascii="Calibri" w:hAnsi="Calibri"/>
              </w:rPr>
              <w:t>(2012)</w:t>
            </w:r>
            <w:r>
              <w:fldChar w:fldCharType="end"/>
            </w:r>
            <w:r>
              <w:rPr>
                <w:vertAlign w:val="superscript"/>
              </w:rPr>
              <w:t>a</w:t>
            </w:r>
          </w:p>
        </w:tc>
        <w:tc>
          <w:tcPr>
            <w:tcW w:w="3294" w:type="dxa"/>
            <w:tcBorders>
              <w:top w:val="nil"/>
              <w:left w:val="nil"/>
              <w:bottom w:val="nil"/>
              <w:right w:val="nil"/>
            </w:tcBorders>
            <w:hideMark/>
          </w:tcPr>
          <w:p w14:paraId="67080D60"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6A60D86F"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nil"/>
            </w:tcBorders>
          </w:tcPr>
          <w:p w14:paraId="0BE57C5E" w14:textId="77777777" w:rsidR="003A0972" w:rsidRDefault="003A0972"/>
        </w:tc>
        <w:tc>
          <w:tcPr>
            <w:tcW w:w="3294" w:type="dxa"/>
            <w:tcBorders>
              <w:top w:val="nil"/>
              <w:bottom w:val="nil"/>
            </w:tcBorders>
            <w:hideMark/>
          </w:tcPr>
          <w:p w14:paraId="7DE0D924"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Cho et al </w:t>
            </w:r>
            <w:r>
              <w:fldChar w:fldCharType="begin"/>
            </w:r>
            <w:r>
              <w:instrText xml:space="preserve"> ADDIN ZOTERO_ITEM CSL_CITATION {"citationID":"T6QhuqTw","properties":{"formattedCitation":"(2003)","plainCitation":"(2003)"},"citationItems":[{"id":1355,"uris":["http://zotero.org/users/564815/items/4NBJFXHK"],"uri":["http://zotero.org/users/564815/items/4NBJFXHK"],"itemData":{"id":1355,"type":"article-journal","title":"The effects of nurse staffing on adverse events, morbidity, mortality, and medical costs","container-title":"Nursing Research","page":"71-79","volume":"52","issue":"2","source":"NCBI PubMed","abstract":"BACKGROUND: Nurse staffing levels are an important working condition issue for nurses and believed to be a determinant of the quality of nursing care and patient outcomes.\nOBJECTIVES: To examine the effects of nurse staffing on adverse events, morbidity, mortality, and medical costs.\nMETHODS: Using two existing databases, the study sample included 232 acute care California hospitals and 124,204 patients in 20 surgical diagnosis-related groups. The adverse events included patient fall/injury, pressure ulcer, adverse drug event, pneumonia, urinary tract infection, wound infection, and sepsis. Multilevel analysis was employed to examine, simultaneously, the effects of nurse staffing and patient and hospital characteristics on patient outcomes.\nRESULTS: Three statistically significant relationships were found between nurse staffing and adverse events. An increase of 1 hour worked by registered nurses (RN) per patient day was associated with an 8.9% decrease in the odds of pneumonia. Similarly, a 10% increase in RN Proportion was associated with a 9.5% decrease in the odds of pneumonia. Providing a greater number of nursing hours per patient day was associated with a higher probability of pressure ulcers. The occurrence of each adverse event was associated with a significantly prolonged length of stay and increased medical costs. Patients who had pneumonia, wound infection or sepsis had a greater probability of death during hospitalization.\nCONCLUSION: Patients are experiencing adverse events during hospitalization. Care systems to reduce adverse events and their consequences are needed. Having appropriate nurse staffing is a significant consideration in some cases.","ISSN":"0029-6562","note":"PMID: 12657982","journalAbbreviation":"Nurs Res","language":"eng","author":[{"family":"Cho","given":"Sung-Hyun"},{"family":"Ketefian","given":"Shaké"},{"family":"Barkauskas","given":"Violet H."},{"family":"Smith","given":"Dean G."}],"issued":{"date-parts":[["2003",4]]},"PMID":"12657982"},"suppress-author":true}],"schema":"https://github.com/citation-style-language/schema/raw/master/csl-citation.json"} </w:instrText>
            </w:r>
            <w:r>
              <w:fldChar w:fldCharType="separate"/>
            </w:r>
            <w:r>
              <w:rPr>
                <w:rFonts w:ascii="Calibri" w:hAnsi="Calibri"/>
              </w:rPr>
              <w:t>(2003)</w:t>
            </w:r>
            <w:r>
              <w:fldChar w:fldCharType="end"/>
            </w:r>
          </w:p>
        </w:tc>
        <w:tc>
          <w:tcPr>
            <w:tcW w:w="3294" w:type="dxa"/>
            <w:tcBorders>
              <w:top w:val="nil"/>
              <w:bottom w:val="nil"/>
            </w:tcBorders>
            <w:hideMark/>
          </w:tcPr>
          <w:p w14:paraId="35F746B8" w14:textId="77777777" w:rsidR="003A0972" w:rsidRDefault="003A0972">
            <w:pPr>
              <w:cnfStyle w:val="000000100000" w:firstRow="0" w:lastRow="0" w:firstColumn="0" w:lastColumn="0" w:oddVBand="0" w:evenVBand="0" w:oddHBand="1" w:evenHBand="0" w:firstRowFirstColumn="0" w:firstRowLastColumn="0" w:lastRowFirstColumn="0" w:lastRowLastColumn="0"/>
            </w:pPr>
            <w:r>
              <w:t>(NS)</w:t>
            </w:r>
          </w:p>
        </w:tc>
      </w:tr>
      <w:tr w:rsidR="003A0972" w14:paraId="3FEA0380"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single" w:sz="8" w:space="0" w:color="000000" w:themeColor="text1"/>
              <w:right w:val="nil"/>
            </w:tcBorders>
          </w:tcPr>
          <w:p w14:paraId="205C0121" w14:textId="77777777" w:rsidR="003A0972" w:rsidRDefault="003A0972"/>
        </w:tc>
        <w:tc>
          <w:tcPr>
            <w:tcW w:w="3294" w:type="dxa"/>
            <w:tcBorders>
              <w:top w:val="nil"/>
              <w:left w:val="nil"/>
              <w:bottom w:val="single" w:sz="8" w:space="0" w:color="000000" w:themeColor="text1"/>
              <w:right w:val="nil"/>
            </w:tcBorders>
            <w:hideMark/>
          </w:tcPr>
          <w:p w14:paraId="04A40A8F"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Needleman et al  </w:t>
            </w:r>
            <w:r>
              <w:fldChar w:fldCharType="begin"/>
            </w:r>
            <w:r>
              <w:instrText xml:space="preserve"> ADDIN ZOTERO_ITEM CSL_CITATION {"citationID":"2Au7yvoi","properties":{"formattedCitation":"(2002)","plainCitation":"(2002)"},"citationItems":[{"id":1191,"uris":["http://zotero.org/users/564815/items/QFMUQDT6"],"uri":["http://zotero.org/users/564815/items/QFMUQDT6"],"itemData":{"id":1191,"type":"article-journal","title":"Nurse-staffing levels and the quality of care in hospitals","container-title":"The New England Journal of Medicine","page":"1715-1722","volume":"346","issue":"22","source":"NCBI PubMed","abstract":"BACKGROUND: It is uncertain whether lower levels of staffing by nurses at hospitals are associated with an increased risk that patients will have complications or die.\nMETHODS: We used administrative data from 1997 for 799 hospitals in 11 states (covering 5,075,969 discharges of medical patients and 1,104,659 discharges of surgical patients) to examine the relation between the amount of care provided by nurses at the hospital and patients' outcomes. We conducted regression analyses in which we controlled for patients' risk of adverse outcomes, differences in the nursing care needed for each hospital's patients, and other variables.\nRESULTS: The mean number of hours of nursing care per patient-day was 11.4, of which 7.8 hours were provided by registered nurses, 1.2 hours by licensed practical nurses, and 2.4 hours by nurses' aides. Among medical patients, a higher proportion of hours of care per day provided by registered nurses and a greater absolute number of hours of care per day provided by registered nurses were associated with a shorter length of stay (P=0.01 and P&lt;0.001, respectively) and lower rates of both urinary tract infections (P&lt;0.001 and P=0.003, respectively) and upper gastrointestinal bleeding (P=0.03 and P=0.007, respectively). A higher proportion of hours of care provided by registered nurses was also associated with lower rates of pneumonia (P=0.001), shock or cardiac arrest (P=0.007), and \"failure to rescue,\" which was defined as death from pneumonia, shock or cardiac arrest, upper gastrointestinal bleeding, sepsis, or deep venous thrombosis (P=0.05). Among surgical patients, a higher proportion of care provided by registered nurses was associated with lower rates of urinary tract infections (P=0.04), and a greater number of hours of care per day provided by registered nurses was associated with lower rates of \"failure to rescue\" (P=0.008). We found no associations between increased levels of staffing by registered nurses and the rate of in-hospital death or between increased staffing by licensed practical nurses or nurses' aides and the rate of adverse outcomes.\nCONCLUSIONS: A higher proportion of hours of nursing care provided by registered nurses and a greater number of hours of care by registered nurses per day are associated with better care for hospitalized patients.","DOI":"10.1056/NEJMsa012247","ISSN":"1533-4406","note":"PMID: 12037152","journalAbbreviation":"N. Engl. J. Med.","language":"eng","author":[{"family":"Needleman","given":"Jack"},{"family":"Buerhaus","given":"Peter"},{"family":"Mattke","given":"Soeren"},{"family":"Stewart","given":"Maureen"},{"family":"Zelevinsky","given":"Katya"}],"issued":{"date-parts":[["2002",5,30]]},"PMID":"12037152"},"suppress-author":true}],"schema":"https://github.com/citation-style-language/schema/raw/master/csl-citation.json"} </w:instrText>
            </w:r>
            <w:r>
              <w:fldChar w:fldCharType="separate"/>
            </w:r>
            <w:r>
              <w:rPr>
                <w:rFonts w:ascii="Calibri" w:hAnsi="Calibri"/>
              </w:rPr>
              <w:t>(2002)</w:t>
            </w:r>
            <w:r>
              <w:fldChar w:fldCharType="end"/>
            </w:r>
          </w:p>
        </w:tc>
        <w:tc>
          <w:tcPr>
            <w:tcW w:w="3294" w:type="dxa"/>
            <w:tcBorders>
              <w:top w:val="nil"/>
              <w:left w:val="nil"/>
              <w:bottom w:val="single" w:sz="8" w:space="0" w:color="000000" w:themeColor="text1"/>
              <w:right w:val="nil"/>
            </w:tcBorders>
            <w:hideMark/>
          </w:tcPr>
          <w:p w14:paraId="2435D2F0"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6A6C068C"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bottom w:val="nil"/>
            </w:tcBorders>
            <w:hideMark/>
          </w:tcPr>
          <w:p w14:paraId="0F9515D4" w14:textId="77777777" w:rsidR="003A0972" w:rsidRDefault="003A0972">
            <w:r>
              <w:t>Pneumonia</w:t>
            </w:r>
          </w:p>
        </w:tc>
        <w:tc>
          <w:tcPr>
            <w:tcW w:w="3294" w:type="dxa"/>
            <w:tcBorders>
              <w:top w:val="single" w:sz="8" w:space="0" w:color="000000" w:themeColor="text1"/>
              <w:bottom w:val="nil"/>
            </w:tcBorders>
            <w:hideMark/>
          </w:tcPr>
          <w:p w14:paraId="65730EB3"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Cho et al </w:t>
            </w:r>
            <w:r>
              <w:fldChar w:fldCharType="begin"/>
            </w:r>
            <w:r>
              <w:instrText xml:space="preserve"> ADDIN ZOTERO_ITEM CSL_CITATION {"citationID":"oyWMcQqX","properties":{"formattedCitation":"(2003)","plainCitation":"(2003)"},"citationItems":[{"id":1355,"uris":["http://zotero.org/users/564815/items/4NBJFXHK"],"uri":["http://zotero.org/users/564815/items/4NBJFXHK"],"itemData":{"id":1355,"type":"article-journal","title":"The effects of nurse staffing on adverse events, morbidity, mortality, and medical costs","container-title":"Nursing Research","page":"71-79","volume":"52","issue":"2","source":"NCBI PubMed","abstract":"BACKGROUND: Nurse staffing levels are an important working condition issue for nurses and believed to be a determinant of the quality of nursing care and patient outcomes.\nOBJECTIVES: To examine the effects of nurse staffing on adverse events, morbidity, mortality, and medical costs.\nMETHODS: Using two existing databases, the study sample included 232 acute care California hospitals and 124,204 patients in 20 surgical diagnosis-related groups. The adverse events included patient fall/injury, pressure ulcer, adverse drug event, pneumonia, urinary tract infection, wound infection, and sepsis. Multilevel analysis was employed to examine, simultaneously, the effects of nurse staffing and patient and hospital characteristics on patient outcomes.\nRESULTS: Three statistically significant relationships were found between nurse staffing and adverse events. An increase of 1 hour worked by registered nurses (RN) per patient day was associated with an 8.9% decrease in the odds of pneumonia. Similarly, a 10% increase in RN Proportion was associated with a 9.5% decrease in the odds of pneumonia. Providing a greater number of nursing hours per patient day was associated with a higher probability of pressure ulcers. The occurrence of each adverse event was associated with a significantly prolonged length of stay and increased medical costs. Patients who had pneumonia, wound infection or sepsis had a greater probability of death during hospitalization.\nCONCLUSION: Patients are experiencing adverse events during hospitalization. Care systems to reduce adverse events and their consequences are needed. Having appropriate nurse staffing is a significant consideration in some cases.","ISSN":"0029-6562","note":"PMID: 12657982","journalAbbreviation":"Nurs Res","language":"eng","author":[{"family":"Cho","given":"Sung-Hyun"},{"family":"Ketefian","given":"Shaké"},{"family":"Barkauskas","given":"Violet H."},{"family":"Smith","given":"Dean G."}],"issued":{"date-parts":[["2003",4]]},"PMID":"12657982"},"suppress-author":true}],"schema":"https://github.com/citation-style-language/schema/raw/master/csl-citation.json"} </w:instrText>
            </w:r>
            <w:r>
              <w:fldChar w:fldCharType="separate"/>
            </w:r>
            <w:r>
              <w:rPr>
                <w:rFonts w:ascii="Calibri" w:hAnsi="Calibri"/>
              </w:rPr>
              <w:t>(2003)</w:t>
            </w:r>
            <w:r>
              <w:fldChar w:fldCharType="end"/>
            </w:r>
          </w:p>
        </w:tc>
        <w:tc>
          <w:tcPr>
            <w:tcW w:w="3294" w:type="dxa"/>
            <w:tcBorders>
              <w:top w:val="single" w:sz="8" w:space="0" w:color="000000" w:themeColor="text1"/>
              <w:bottom w:val="nil"/>
            </w:tcBorders>
            <w:hideMark/>
          </w:tcPr>
          <w:p w14:paraId="0A07DB12" w14:textId="77777777" w:rsidR="003A0972" w:rsidRDefault="003A0972">
            <w:pPr>
              <w:cnfStyle w:val="000000100000" w:firstRow="0" w:lastRow="0" w:firstColumn="0" w:lastColumn="0" w:oddVBand="0" w:evenVBand="0" w:oddHBand="1" w:evenHBand="0" w:firstRowFirstColumn="0" w:firstRowLastColumn="0" w:lastRowFirstColumn="0" w:lastRowLastColumn="0"/>
            </w:pPr>
            <w:r>
              <w:t>(NS)</w:t>
            </w:r>
          </w:p>
        </w:tc>
      </w:tr>
      <w:tr w:rsidR="003A0972" w14:paraId="0390CF50"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single" w:sz="8" w:space="0" w:color="000000" w:themeColor="text1"/>
              <w:right w:val="nil"/>
            </w:tcBorders>
          </w:tcPr>
          <w:p w14:paraId="4D440DDD" w14:textId="77777777" w:rsidR="003A0972" w:rsidRDefault="003A0972"/>
        </w:tc>
        <w:tc>
          <w:tcPr>
            <w:tcW w:w="3294" w:type="dxa"/>
            <w:tcBorders>
              <w:top w:val="nil"/>
              <w:left w:val="nil"/>
              <w:bottom w:val="single" w:sz="8" w:space="0" w:color="000000" w:themeColor="text1"/>
              <w:right w:val="nil"/>
            </w:tcBorders>
            <w:hideMark/>
          </w:tcPr>
          <w:p w14:paraId="46D4AB6E"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Needleman et al  </w:t>
            </w:r>
            <w:r>
              <w:fldChar w:fldCharType="begin"/>
            </w:r>
            <w:r>
              <w:instrText xml:space="preserve"> ADDIN ZOTERO_ITEM CSL_CITATION {"citationID":"bWf5gfay","properties":{"formattedCitation":"(2002)","plainCitation":"(2002)"},"citationItems":[{"id":1191,"uris":["http://zotero.org/users/564815/items/QFMUQDT6"],"uri":["http://zotero.org/users/564815/items/QFMUQDT6"],"itemData":{"id":1191,"type":"article-journal","title":"Nurse-staffing levels and the quality of care in hospitals","container-title":"The New England Journal of Medicine","page":"1715-1722","volume":"346","issue":"22","source":"NCBI PubMed","abstract":"BACKGROUND: It is uncertain whether lower levels of staffing by nurses at hospitals are associated with an increased risk that patients will have complications or die.\nMETHODS: We used administrative data from 1997 for 799 hospitals in 11 states (covering 5,075,969 discharges of medical patients and 1,104,659 discharges of surgical patients) to examine the relation between the amount of care provided by nurses at the hospital and patients' outcomes. We conducted regression analyses in which we controlled for patients' risk of adverse outcomes, differences in the nursing care needed for each hospital's patients, and other variables.\nRESULTS: The mean number of hours of nursing care per patient-day was 11.4, of which 7.8 hours were provided by registered nurses, 1.2 hours by licensed practical nurses, and 2.4 hours by nurses' aides. Among medical patients, a higher proportion of hours of care per day provided by registered nurses and a greater absolute number of hours of care per day provided by registered nurses were associated with a shorter length of stay (P=0.01 and P&lt;0.001, respectively) and lower rates of both urinary tract infections (P&lt;0.001 and P=0.003, respectively) and upper gastrointestinal bleeding (P=0.03 and P=0.007, respectively). A higher proportion of hours of care provided by registered nurses was also associated with lower rates of pneumonia (P=0.001), shock or cardiac arrest (P=0.007), and \"failure to rescue,\" which was defined as death from pneumonia, shock or cardiac arrest, upper gastrointestinal bleeding, sepsis, or deep venous thrombosis (P=0.05). Among surgical patients, a higher proportion of care provided by registered nurses was associated with lower rates of urinary tract infections (P=0.04), and a greater number of hours of care per day provided by registered nurses was associated with lower rates of \"failure to rescue\" (P=0.008). We found no associations between increased levels of staffing by registered nurses and the rate of in-hospital death or between increased staffing by licensed practical nurses or nurses' aides and the rate of adverse outcomes.\nCONCLUSIONS: A higher proportion of hours of nursing care provided by registered nurses and a greater number of hours of care by registered nurses per day are associated with better care for hospitalized patients.","DOI":"10.1056/NEJMsa012247","ISSN":"1533-4406","note":"PMID: 12037152","journalAbbreviation":"N. Engl. J. Med.","language":"eng","author":[{"family":"Needleman","given":"Jack"},{"family":"Buerhaus","given":"Peter"},{"family":"Mattke","given":"Soeren"},{"family":"Stewart","given":"Maureen"},{"family":"Zelevinsky","given":"Katya"}],"issued":{"date-parts":[["2002",5,30]]},"PMID":"12037152"},"suppress-author":true}],"schema":"https://github.com/citation-style-language/schema/raw/master/csl-citation.json"} </w:instrText>
            </w:r>
            <w:r>
              <w:fldChar w:fldCharType="separate"/>
            </w:r>
            <w:r>
              <w:rPr>
                <w:rFonts w:ascii="Calibri" w:hAnsi="Calibri"/>
              </w:rPr>
              <w:t>(2002)</w:t>
            </w:r>
            <w:r>
              <w:fldChar w:fldCharType="end"/>
            </w:r>
            <w:r>
              <w:tab/>
            </w:r>
          </w:p>
        </w:tc>
        <w:tc>
          <w:tcPr>
            <w:tcW w:w="3294" w:type="dxa"/>
            <w:tcBorders>
              <w:top w:val="nil"/>
              <w:left w:val="nil"/>
              <w:bottom w:val="single" w:sz="8" w:space="0" w:color="000000" w:themeColor="text1"/>
              <w:right w:val="nil"/>
            </w:tcBorders>
            <w:hideMark/>
          </w:tcPr>
          <w:p w14:paraId="67C17420" w14:textId="77777777" w:rsidR="003A0972" w:rsidRDefault="003A0972">
            <w:pPr>
              <w:cnfStyle w:val="000000000000" w:firstRow="0" w:lastRow="0" w:firstColumn="0" w:lastColumn="0" w:oddVBand="0" w:evenVBand="0" w:oddHBand="0" w:evenHBand="0" w:firstRowFirstColumn="0" w:firstRowLastColumn="0" w:lastRowFirstColumn="0" w:lastRowLastColumn="0"/>
            </w:pPr>
            <w:r>
              <w:t>(-) Medical patients only</w:t>
            </w:r>
          </w:p>
        </w:tc>
      </w:tr>
      <w:tr w:rsidR="003A0972" w14:paraId="61F948A1"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bottom w:val="nil"/>
            </w:tcBorders>
            <w:hideMark/>
          </w:tcPr>
          <w:p w14:paraId="656DE1D0" w14:textId="77777777" w:rsidR="003A0972" w:rsidRDefault="003A0972">
            <w:r>
              <w:t>Bloodstream Infections</w:t>
            </w:r>
          </w:p>
        </w:tc>
        <w:tc>
          <w:tcPr>
            <w:tcW w:w="3294" w:type="dxa"/>
            <w:tcBorders>
              <w:top w:val="single" w:sz="8" w:space="0" w:color="000000" w:themeColor="text1"/>
              <w:bottom w:val="nil"/>
            </w:tcBorders>
            <w:hideMark/>
          </w:tcPr>
          <w:p w14:paraId="437CD9C7" w14:textId="77777777" w:rsidR="003A0972" w:rsidRDefault="003A0972">
            <w:pPr>
              <w:cnfStyle w:val="000000100000" w:firstRow="0" w:lastRow="0" w:firstColumn="0" w:lastColumn="0" w:oddVBand="0" w:evenVBand="0" w:oddHBand="1" w:evenHBand="0" w:firstRowFirstColumn="0" w:firstRowLastColumn="0" w:lastRowFirstColumn="0" w:lastRowLastColumn="0"/>
            </w:pPr>
            <w:r>
              <w:t xml:space="preserve">Yang et al </w:t>
            </w:r>
            <w:r>
              <w:fldChar w:fldCharType="begin"/>
            </w:r>
            <w:r>
              <w:instrText xml:space="preserve"> ADDIN ZOTERO_ITEM CSL_CITATION {"citationID":"k0axlHH3","properties":{"formattedCitation":"(2012)","plainCitation":"(2012)"},"citationItems":[{"id":1379,"uris":["http://zotero.org/users/564815/items/X6AZ95ME"],"uri":["http://zotero.org/users/564815/items/X6AZ95ME"],"itemData":{"id":1379,"type":"article-journal","title":"The impact of different nursing skill mix models on patient outcomes in a respiratory care center","container-title":"Worldviews on Evidence-Based Nursing / Sigma Theta Tau International, Honor Society of Nursing","page":"227-233","volume":"9","issue":"4","source":"NCBI PubMed","abstract":"BACKGROUND: Many hospitals have reformed hospital policies and changed nursing models to cope with shortages in nursing staff and control medical costs. However, the nursing skill mix model that most successfully achieves both cost effectiveness and quality care has yet to be determined.\nAIM: The aim of this study was to explore the impact of different nurse staffing models on patient outcomes in a respiratory care center (RCC).\nMETHODS: Retrospective data from 2006 to 2008 were obtained from records monitoring nursing care quality, as well as patient records and nursing personnel costs in an RCC as a medical center, in southern Taiwan. A total of 487 patients were categorized into two groups according to the RCC's mix of nursing staff. The \"RN/Aide\" group comprised 247 patients who received RN and aide care, with a 0.7-0.8 proportion of RNs, from July 2006 to June 2007. The other 240 patients (\"All-RN\") received 100% RN care from January 2008 to December 2008.\nRESULTS: The results of this study indicated no significant differences in occurrence of pressure ulcer or respiratory tract infections, days of hospitalization, mortality, or nursing costs. However, significant differences were observed in ventilator weaning and occurrence of urinary tract and bloodstream infections.\nCONCLUSIONS: A higher proportion of RNs was associated not only with a lower rate of urinary tract infection but also with more patients being weaned successfully from ventilators. The findings of this study have implications for how managers and administrators manage nurse staffing in respiratory care.","DOI":"10.1111/j.1741-6787.2012.00246.x","ISSN":"1741-6787","note":"PMID: 22489996 \nPMCID: PMC3533773","journalAbbreviation":"Worldviews Evid Based Nurs","language":"eng","author":[{"family":"Yang","given":"Pei-Hsuan"},{"family":"Hung","given":"Chich-Hsiu"},{"family":"Chen","given":"Yao-Mei"},{"family":"Hu","given":"Chuan-Yu"},{"family":"Shieh","given":"Sheng-Lan"}],"issued":{"date-parts":[["2012",12]]},"PMID":"22489996","PMCID":"PMC3533773"},"suppress-author":true}],"schema":"https://github.com/citation-style-language/schema/raw/master/csl-citation.json"} </w:instrText>
            </w:r>
            <w:r>
              <w:fldChar w:fldCharType="separate"/>
            </w:r>
            <w:r>
              <w:rPr>
                <w:rFonts w:ascii="Calibri" w:hAnsi="Calibri"/>
              </w:rPr>
              <w:t>(2012)</w:t>
            </w:r>
            <w:r>
              <w:fldChar w:fldCharType="end"/>
            </w:r>
            <w:r>
              <w:rPr>
                <w:vertAlign w:val="superscript"/>
              </w:rPr>
              <w:t>a</w:t>
            </w:r>
          </w:p>
        </w:tc>
        <w:tc>
          <w:tcPr>
            <w:tcW w:w="3294" w:type="dxa"/>
            <w:tcBorders>
              <w:top w:val="single" w:sz="8" w:space="0" w:color="000000" w:themeColor="text1"/>
              <w:bottom w:val="nil"/>
            </w:tcBorders>
            <w:hideMark/>
          </w:tcPr>
          <w:p w14:paraId="27BB92BE" w14:textId="77777777" w:rsidR="003A0972" w:rsidRDefault="003A0972">
            <w:pPr>
              <w:cnfStyle w:val="000000100000" w:firstRow="0" w:lastRow="0" w:firstColumn="0" w:lastColumn="0" w:oddVBand="0" w:evenVBand="0" w:oddHBand="1" w:evenHBand="0" w:firstRowFirstColumn="0" w:firstRowLastColumn="0" w:lastRowFirstColumn="0" w:lastRowLastColumn="0"/>
            </w:pPr>
            <w:r>
              <w:t>(+)</w:t>
            </w:r>
          </w:p>
        </w:tc>
      </w:tr>
      <w:tr w:rsidR="003A0972" w14:paraId="35C2E47F"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single" w:sz="8" w:space="0" w:color="000000" w:themeColor="text1"/>
              <w:right w:val="nil"/>
            </w:tcBorders>
          </w:tcPr>
          <w:p w14:paraId="33643EE0" w14:textId="77777777" w:rsidR="003A0972" w:rsidRDefault="003A0972"/>
        </w:tc>
        <w:tc>
          <w:tcPr>
            <w:tcW w:w="3294" w:type="dxa"/>
            <w:tcBorders>
              <w:top w:val="nil"/>
              <w:left w:val="nil"/>
              <w:bottom w:val="single" w:sz="8" w:space="0" w:color="000000" w:themeColor="text1"/>
              <w:right w:val="nil"/>
            </w:tcBorders>
            <w:hideMark/>
          </w:tcPr>
          <w:p w14:paraId="27CCF0EB"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Stratton </w:t>
            </w:r>
            <w:r>
              <w:fldChar w:fldCharType="begin"/>
            </w:r>
            <w:r>
              <w:instrText xml:space="preserve"> ADDIN ZOTERO_ITEM CSL_CITATION {"citationID":"lh7N26yM","properties":{"formattedCitation":"(2008)","plainCitation":"(2008)"},"citationItems":[{"id":1308,"uris":["http://zotero.org/users/564815/items/M6P3TEDN"],"uri":["http://zotero.org/users/564815/items/M6P3TEDN"],"itemData":{"id":1308,"type":"article-journal","title":"Pediatric nurse staffing and quality of care in the hospital setting","container-title":"Journal of Nursing Care Quality","page":"105-114","volume":"23","issue":"2","source":"NCBI PubMed","abstract":"Indicators of quality and nurse staffing in pediatrics are distinct from adults. A retrospective, correlational, linear mixed model design was used to describe relationships between pediatric nurse staffing and 5 indicators of quality care from a convenience sample of 7 academic children's hospitals. Key findings supported a strong inverse relationship between the proportion of hours of pediatric nursing care delivered by registered nurses and the rate of occurrence of central line (P &lt; .001) and bloodstream infections (P &lt; .05). Supplemental nurse staffing hours also demonstrated relationships between bloodstream infections and parent/family complaints.","DOI":"10.1097/01.NCQ.0000313758.33654.49","ISSN":"1057-3631","note":"PMID: 18344775","journalAbbreviation":"J Nurs Care Qual","language":"eng","author":[{"family":"Stratton","given":"Karen M."}],"issued":{"date-parts":[["2008",6]]},"PMID":"18344775"},"suppress-author":true}],"schema":"https://github.com/citation-style-language/schema/raw/master/csl-citation.json"} </w:instrText>
            </w:r>
            <w:r>
              <w:fldChar w:fldCharType="separate"/>
            </w:r>
            <w:r>
              <w:rPr>
                <w:rFonts w:ascii="Calibri" w:hAnsi="Calibri"/>
              </w:rPr>
              <w:t>(2008)</w:t>
            </w:r>
            <w:r>
              <w:fldChar w:fldCharType="end"/>
            </w:r>
          </w:p>
        </w:tc>
        <w:tc>
          <w:tcPr>
            <w:tcW w:w="3294" w:type="dxa"/>
            <w:tcBorders>
              <w:top w:val="nil"/>
              <w:left w:val="nil"/>
              <w:bottom w:val="single" w:sz="8" w:space="0" w:color="000000" w:themeColor="text1"/>
              <w:right w:val="nil"/>
            </w:tcBorders>
            <w:hideMark/>
          </w:tcPr>
          <w:p w14:paraId="7C431D2B"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4F5F9633"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bottom w:val="single" w:sz="8" w:space="0" w:color="000000" w:themeColor="text1"/>
            </w:tcBorders>
            <w:hideMark/>
          </w:tcPr>
          <w:p w14:paraId="10C4A8F1" w14:textId="77777777" w:rsidR="003A0972" w:rsidRDefault="003A0972">
            <w:r>
              <w:t>Wound Infections</w:t>
            </w:r>
          </w:p>
        </w:tc>
        <w:tc>
          <w:tcPr>
            <w:tcW w:w="3294" w:type="dxa"/>
            <w:tcBorders>
              <w:top w:val="single" w:sz="8" w:space="0" w:color="000000" w:themeColor="text1"/>
              <w:bottom w:val="single" w:sz="8" w:space="0" w:color="000000" w:themeColor="text1"/>
            </w:tcBorders>
            <w:hideMark/>
          </w:tcPr>
          <w:p w14:paraId="6391DFFE"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proofErr w:type="spellStart"/>
            <w:r>
              <w:rPr>
                <w:color w:val="FF0000"/>
              </w:rPr>
              <w:t>McGillis</w:t>
            </w:r>
            <w:proofErr w:type="spellEnd"/>
            <w:r>
              <w:rPr>
                <w:color w:val="FF0000"/>
              </w:rPr>
              <w:t xml:space="preserve"> Hall et al (2004)</w:t>
            </w:r>
          </w:p>
        </w:tc>
        <w:tc>
          <w:tcPr>
            <w:tcW w:w="3294" w:type="dxa"/>
            <w:tcBorders>
              <w:top w:val="single" w:sz="8" w:space="0" w:color="000000" w:themeColor="text1"/>
              <w:bottom w:val="single" w:sz="8" w:space="0" w:color="000000" w:themeColor="text1"/>
            </w:tcBorders>
            <w:hideMark/>
          </w:tcPr>
          <w:p w14:paraId="6E4B072F"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w:t>
            </w:r>
          </w:p>
        </w:tc>
      </w:tr>
      <w:tr w:rsidR="003A0972" w14:paraId="772C58B2"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left w:val="nil"/>
              <w:bottom w:val="single" w:sz="8" w:space="0" w:color="000000" w:themeColor="text1"/>
              <w:right w:val="nil"/>
            </w:tcBorders>
            <w:hideMark/>
          </w:tcPr>
          <w:p w14:paraId="211213BF" w14:textId="77777777" w:rsidR="003A0972" w:rsidRDefault="003A0972">
            <w:r>
              <w:t>Ventilator Weaning</w:t>
            </w:r>
          </w:p>
        </w:tc>
        <w:tc>
          <w:tcPr>
            <w:tcW w:w="3294" w:type="dxa"/>
            <w:tcBorders>
              <w:top w:val="single" w:sz="8" w:space="0" w:color="000000" w:themeColor="text1"/>
              <w:left w:val="nil"/>
              <w:bottom w:val="single" w:sz="8" w:space="0" w:color="000000" w:themeColor="text1"/>
              <w:right w:val="nil"/>
            </w:tcBorders>
            <w:hideMark/>
          </w:tcPr>
          <w:p w14:paraId="4D8C4B78"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Yang et al </w:t>
            </w:r>
            <w:r>
              <w:fldChar w:fldCharType="begin"/>
            </w:r>
            <w:r>
              <w:instrText xml:space="preserve"> ADDIN ZOTERO_ITEM CSL_CITATION {"citationID":"Br6QA5qb","properties":{"formattedCitation":"(2012)","plainCitation":"(2012)"},"citationItems":[{"id":1379,"uris":["http://zotero.org/users/564815/items/X6AZ95ME"],"uri":["http://zotero.org/users/564815/items/X6AZ95ME"],"itemData":{"id":1379,"type":"article-journal","title":"The impact of different nursing skill mix models on patient outcomes in a respiratory care center","container-title":"Worldviews on Evidence-Based Nursing / Sigma Theta Tau International, Honor Society of Nursing","page":"227-233","volume":"9","issue":"4","source":"NCBI PubMed","abstract":"BACKGROUND: Many hospitals have reformed hospital policies and changed nursing models to cope with shortages in nursing staff and control medical costs. However, the nursing skill mix model that most successfully achieves both cost effectiveness and quality care has yet to be determined.\nAIM: The aim of this study was to explore the impact of different nurse staffing models on patient outcomes in a respiratory care center (RCC).\nMETHODS: Retrospective data from 2006 to 2008 were obtained from records monitoring nursing care quality, as well as patient records and nursing personnel costs in an RCC as a medical center, in southern Taiwan. A total of 487 patients were categorized into two groups according to the RCC's mix of nursing staff. The \"RN/Aide\" group comprised 247 patients who received RN and aide care, with a 0.7-0.8 proportion of RNs, from July 2006 to June 2007. The other 240 patients (\"All-RN\") received 100% RN care from January 2008 to December 2008.\nRESULTS: The results of this study indicated no significant differences in occurrence of pressure ulcer or respiratory tract infections, days of hospitalization, mortality, or nursing costs. However, significant differences were observed in ventilator weaning and occurrence of urinary tract and bloodstream infections.\nCONCLUSIONS: A higher proportion of RNs was associated not only with a lower rate of urinary tract infection but also with more patients being weaned successfully from ventilators. The findings of this study have implications for how managers and administrators manage nurse staffing in respiratory care.","DOI":"10.1111/j.1741-6787.2012.00246.x","ISSN":"1741-6787","note":"PMID: 22489996 \nPMCID: PMC3533773","journalAbbreviation":"Worldviews Evid Based Nurs","language":"eng","author":[{"family":"Yang","given":"Pei-Hsuan"},{"family":"Hung","given":"Chich-Hsiu"},{"family":"Chen","given":"Yao-Mei"},{"family":"Hu","given":"Chuan-Yu"},{"family":"Shieh","given":"Sheng-Lan"}],"issued":{"date-parts":[["2012",12]]},"PMID":"22489996","PMCID":"PMC3533773"},"suppress-author":true}],"schema":"https://github.com/citation-style-language/schema/raw/master/csl-citation.json"} </w:instrText>
            </w:r>
            <w:r>
              <w:fldChar w:fldCharType="separate"/>
            </w:r>
            <w:r>
              <w:rPr>
                <w:rFonts w:ascii="Calibri" w:hAnsi="Calibri"/>
              </w:rPr>
              <w:t>(2012)</w:t>
            </w:r>
            <w:r>
              <w:fldChar w:fldCharType="end"/>
            </w:r>
            <w:r>
              <w:rPr>
                <w:vertAlign w:val="superscript"/>
              </w:rPr>
              <w:t>a</w:t>
            </w:r>
          </w:p>
        </w:tc>
        <w:tc>
          <w:tcPr>
            <w:tcW w:w="3294" w:type="dxa"/>
            <w:tcBorders>
              <w:top w:val="single" w:sz="8" w:space="0" w:color="000000" w:themeColor="text1"/>
              <w:left w:val="nil"/>
              <w:bottom w:val="single" w:sz="8" w:space="0" w:color="000000" w:themeColor="text1"/>
              <w:right w:val="nil"/>
            </w:tcBorders>
            <w:hideMark/>
          </w:tcPr>
          <w:p w14:paraId="1A382691" w14:textId="77777777" w:rsidR="003A0972" w:rsidRDefault="003A0972">
            <w:pPr>
              <w:cnfStyle w:val="000000000000" w:firstRow="0" w:lastRow="0" w:firstColumn="0" w:lastColumn="0" w:oddVBand="0" w:evenVBand="0" w:oddHBand="0" w:evenHBand="0" w:firstRowFirstColumn="0" w:firstRowLastColumn="0" w:lastRowFirstColumn="0" w:lastRowLastColumn="0"/>
            </w:pPr>
            <w:r>
              <w:t>(+)</w:t>
            </w:r>
          </w:p>
        </w:tc>
      </w:tr>
      <w:tr w:rsidR="003A0972" w14:paraId="43AEECE3"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bottom w:val="single" w:sz="6" w:space="0" w:color="000000"/>
            </w:tcBorders>
            <w:hideMark/>
          </w:tcPr>
          <w:p w14:paraId="7B53A490" w14:textId="77777777" w:rsidR="003A0972" w:rsidRDefault="003A0972">
            <w:r>
              <w:t>Restraint Use</w:t>
            </w:r>
          </w:p>
        </w:tc>
        <w:tc>
          <w:tcPr>
            <w:tcW w:w="3294" w:type="dxa"/>
            <w:tcBorders>
              <w:top w:val="single" w:sz="8" w:space="0" w:color="000000" w:themeColor="text1"/>
              <w:bottom w:val="single" w:sz="6" w:space="0" w:color="000000"/>
            </w:tcBorders>
            <w:hideMark/>
          </w:tcPr>
          <w:p w14:paraId="52DD2AE9"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Staggs et al (2017)</w:t>
            </w:r>
          </w:p>
        </w:tc>
        <w:tc>
          <w:tcPr>
            <w:tcW w:w="3294" w:type="dxa"/>
            <w:tcBorders>
              <w:top w:val="single" w:sz="8" w:space="0" w:color="000000" w:themeColor="text1"/>
              <w:bottom w:val="single" w:sz="6" w:space="0" w:color="000000"/>
            </w:tcBorders>
            <w:hideMark/>
          </w:tcPr>
          <w:p w14:paraId="09C41D91"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w:t>
            </w:r>
          </w:p>
        </w:tc>
      </w:tr>
      <w:tr w:rsidR="003A0972" w14:paraId="5BE984FC"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single" w:sz="6" w:space="0" w:color="000000"/>
              <w:left w:val="nil"/>
              <w:bottom w:val="nil"/>
              <w:right w:val="nil"/>
            </w:tcBorders>
            <w:hideMark/>
          </w:tcPr>
          <w:p w14:paraId="28C2968F" w14:textId="77777777" w:rsidR="003A0972" w:rsidRDefault="003A0972">
            <w:r>
              <w:t>Satisfaction</w:t>
            </w:r>
          </w:p>
        </w:tc>
        <w:tc>
          <w:tcPr>
            <w:tcW w:w="3294" w:type="dxa"/>
            <w:tcBorders>
              <w:top w:val="single" w:sz="6" w:space="0" w:color="000000"/>
              <w:left w:val="nil"/>
              <w:bottom w:val="nil"/>
              <w:right w:val="nil"/>
            </w:tcBorders>
            <w:hideMark/>
          </w:tcPr>
          <w:p w14:paraId="4C16BA79"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proofErr w:type="spellStart"/>
            <w:r>
              <w:rPr>
                <w:color w:val="FF0000"/>
              </w:rPr>
              <w:t>Oppel</w:t>
            </w:r>
            <w:proofErr w:type="spellEnd"/>
            <w:r>
              <w:rPr>
                <w:color w:val="FF0000"/>
              </w:rPr>
              <w:t xml:space="preserve"> &amp; Young (2018)</w:t>
            </w:r>
          </w:p>
        </w:tc>
        <w:tc>
          <w:tcPr>
            <w:tcW w:w="3294" w:type="dxa"/>
            <w:tcBorders>
              <w:top w:val="single" w:sz="6" w:space="0" w:color="000000"/>
              <w:left w:val="nil"/>
              <w:bottom w:val="nil"/>
              <w:right w:val="nil"/>
            </w:tcBorders>
            <w:hideMark/>
          </w:tcPr>
          <w:p w14:paraId="1EFC9B96" w14:textId="77777777" w:rsidR="003A0972" w:rsidRDefault="003A0972">
            <w:pPr>
              <w:cnfStyle w:val="000000000000" w:firstRow="0" w:lastRow="0" w:firstColumn="0" w:lastColumn="0" w:oddVBand="0" w:evenVBand="0" w:oddHBand="0" w:evenHBand="0" w:firstRowFirstColumn="0" w:firstRowLastColumn="0" w:lastRowFirstColumn="0" w:lastRowLastColumn="0"/>
              <w:rPr>
                <w:color w:val="FF0000"/>
              </w:rPr>
            </w:pPr>
            <w:r>
              <w:rPr>
                <w:color w:val="FF0000"/>
              </w:rPr>
              <w:t>(NS)</w:t>
            </w:r>
          </w:p>
        </w:tc>
      </w:tr>
      <w:tr w:rsidR="003A0972" w14:paraId="3B7521A6"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nil"/>
              <w:bottom w:val="single" w:sz="6" w:space="0" w:color="000000"/>
            </w:tcBorders>
          </w:tcPr>
          <w:p w14:paraId="289F99EE" w14:textId="77777777" w:rsidR="003A0972" w:rsidRDefault="003A0972"/>
        </w:tc>
        <w:tc>
          <w:tcPr>
            <w:tcW w:w="3294" w:type="dxa"/>
            <w:tcBorders>
              <w:top w:val="nil"/>
              <w:bottom w:val="single" w:sz="6" w:space="0" w:color="000000"/>
            </w:tcBorders>
            <w:hideMark/>
          </w:tcPr>
          <w:p w14:paraId="0DE105E6"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proofErr w:type="spellStart"/>
            <w:r>
              <w:rPr>
                <w:color w:val="FF0000"/>
              </w:rPr>
              <w:t>Martsolf</w:t>
            </w:r>
            <w:proofErr w:type="spellEnd"/>
            <w:r>
              <w:rPr>
                <w:color w:val="FF0000"/>
              </w:rPr>
              <w:t xml:space="preserve"> (2016)</w:t>
            </w:r>
          </w:p>
        </w:tc>
        <w:tc>
          <w:tcPr>
            <w:tcW w:w="3294" w:type="dxa"/>
            <w:tcBorders>
              <w:top w:val="nil"/>
              <w:bottom w:val="single" w:sz="6" w:space="0" w:color="000000"/>
            </w:tcBorders>
            <w:hideMark/>
          </w:tcPr>
          <w:p w14:paraId="0CABF225"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(NS)</w:t>
            </w:r>
          </w:p>
        </w:tc>
      </w:tr>
      <w:tr w:rsidR="003A0972" w14:paraId="665FA8C2" w14:textId="77777777" w:rsidTr="003A0972">
        <w:tc>
          <w:tcPr>
            <w:cnfStyle w:val="001000000000" w:firstRow="0" w:lastRow="0" w:firstColumn="1" w:lastColumn="0" w:oddVBand="0" w:evenVBand="0" w:oddHBand="0" w:evenHBand="0" w:firstRowFirstColumn="0" w:firstRowLastColumn="0" w:lastRowFirstColumn="0" w:lastRowLastColumn="0"/>
            <w:tcW w:w="3294" w:type="dxa"/>
            <w:tcBorders>
              <w:top w:val="single" w:sz="6" w:space="0" w:color="000000"/>
              <w:left w:val="nil"/>
              <w:bottom w:val="single" w:sz="8" w:space="0" w:color="000000" w:themeColor="text1"/>
              <w:right w:val="nil"/>
            </w:tcBorders>
            <w:hideMark/>
          </w:tcPr>
          <w:p w14:paraId="1798BD97" w14:textId="77777777" w:rsidR="003A0972" w:rsidRDefault="003A0972">
            <w:r>
              <w:t>Complaints</w:t>
            </w:r>
          </w:p>
        </w:tc>
        <w:tc>
          <w:tcPr>
            <w:tcW w:w="3294" w:type="dxa"/>
            <w:tcBorders>
              <w:top w:val="single" w:sz="6" w:space="0" w:color="000000"/>
              <w:left w:val="nil"/>
              <w:bottom w:val="single" w:sz="8" w:space="0" w:color="000000" w:themeColor="text1"/>
              <w:right w:val="nil"/>
            </w:tcBorders>
            <w:hideMark/>
          </w:tcPr>
          <w:p w14:paraId="59AE0CFD" w14:textId="77777777" w:rsidR="003A0972" w:rsidRDefault="003A0972">
            <w:pPr>
              <w:cnfStyle w:val="000000000000" w:firstRow="0" w:lastRow="0" w:firstColumn="0" w:lastColumn="0" w:oddVBand="0" w:evenVBand="0" w:oddHBand="0" w:evenHBand="0" w:firstRowFirstColumn="0" w:firstRowLastColumn="0" w:lastRowFirstColumn="0" w:lastRowLastColumn="0"/>
            </w:pPr>
            <w:r>
              <w:t xml:space="preserve">Stratton </w:t>
            </w:r>
            <w:r>
              <w:fldChar w:fldCharType="begin"/>
            </w:r>
            <w:r>
              <w:instrText xml:space="preserve"> ADDIN ZOTERO_ITEM CSL_CITATION {"citationID":"lCWLRe2q","properties":{"formattedCitation":"(2008)","plainCitation":"(2008)"},"citationItems":[{"id":1308,"uris":["http://zotero.org/users/564815/items/M6P3TEDN"],"uri":["http://zotero.org/users/564815/items/M6P3TEDN"],"itemData":{"id":1308,"type":"article-journal","title":"Pediatric nurse staffing and quality of care in the hospital setting","container-title":"Journal of Nursing Care Quality","page":"105-114","volume":"23","issue":"2","source":"NCBI PubMed","abstract":"Indicators of quality and nurse staffing in pediatrics are distinct from adults. A retrospective, correlational, linear mixed model design was used to describe relationships between pediatric nurse staffing and 5 indicators of quality care from a convenience sample of 7 academic children's hospitals. Key findings supported a strong inverse relationship between the proportion of hours of pediatric nursing care delivered by registered nurses and the rate of occurrence of central line (P &lt; .001) and bloodstream infections (P &lt; .05). Supplemental nurse staffing hours also demonstrated relationships between bloodstream infections and parent/family complaints.","DOI":"10.1097/01.NCQ.0000313758.33654.49","ISSN":"1057-3631","note":"PMID: 18344775","journalAbbreviation":"J Nurs Care Qual","language":"eng","author":[{"family":"Stratton","given":"Karen M."}],"issued":{"date-parts":[["2008",6]]},"PMID":"18344775"},"suppress-author":true}],"schema":"https://github.com/citation-style-language/schema/raw/master/csl-citation.json"} </w:instrText>
            </w:r>
            <w:r>
              <w:fldChar w:fldCharType="separate"/>
            </w:r>
            <w:r>
              <w:rPr>
                <w:rFonts w:ascii="Calibri" w:hAnsi="Calibri"/>
              </w:rPr>
              <w:t>(2008)</w:t>
            </w:r>
            <w:r>
              <w:fldChar w:fldCharType="end"/>
            </w:r>
          </w:p>
        </w:tc>
        <w:tc>
          <w:tcPr>
            <w:tcW w:w="3294" w:type="dxa"/>
            <w:tcBorders>
              <w:top w:val="single" w:sz="6" w:space="0" w:color="000000"/>
              <w:left w:val="nil"/>
              <w:bottom w:val="single" w:sz="8" w:space="0" w:color="000000" w:themeColor="text1"/>
              <w:right w:val="nil"/>
            </w:tcBorders>
            <w:hideMark/>
          </w:tcPr>
          <w:p w14:paraId="05353C87" w14:textId="77777777" w:rsidR="003A0972" w:rsidRDefault="003A0972">
            <w:pPr>
              <w:cnfStyle w:val="000000000000" w:firstRow="0" w:lastRow="0" w:firstColumn="0" w:lastColumn="0" w:oddVBand="0" w:evenVBand="0" w:oddHBand="0" w:evenHBand="0" w:firstRowFirstColumn="0" w:firstRowLastColumn="0" w:lastRowFirstColumn="0" w:lastRowLastColumn="0"/>
            </w:pPr>
            <w:r>
              <w:t>(NS)</w:t>
            </w:r>
          </w:p>
        </w:tc>
      </w:tr>
      <w:tr w:rsidR="003A0972" w14:paraId="20BFB5D5" w14:textId="77777777" w:rsidTr="003A09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top w:val="single" w:sz="8" w:space="0" w:color="000000" w:themeColor="text1"/>
              <w:bottom w:val="single" w:sz="6" w:space="0" w:color="000000"/>
            </w:tcBorders>
            <w:hideMark/>
          </w:tcPr>
          <w:p w14:paraId="7EDA10A3" w14:textId="77777777" w:rsidR="003A0972" w:rsidRDefault="003A0972">
            <w:r>
              <w:t>Costs</w:t>
            </w:r>
          </w:p>
        </w:tc>
        <w:tc>
          <w:tcPr>
            <w:tcW w:w="3294" w:type="dxa"/>
            <w:tcBorders>
              <w:top w:val="single" w:sz="8" w:space="0" w:color="000000" w:themeColor="text1"/>
              <w:bottom w:val="single" w:sz="6" w:space="0" w:color="000000"/>
            </w:tcBorders>
            <w:hideMark/>
          </w:tcPr>
          <w:p w14:paraId="0EBD2837"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proofErr w:type="spellStart"/>
            <w:r>
              <w:rPr>
                <w:color w:val="FF0000"/>
              </w:rPr>
              <w:t>Martsolf</w:t>
            </w:r>
            <w:proofErr w:type="spellEnd"/>
            <w:r>
              <w:rPr>
                <w:color w:val="FF0000"/>
              </w:rPr>
              <w:t xml:space="preserve"> et al (2014)</w:t>
            </w:r>
          </w:p>
        </w:tc>
        <w:tc>
          <w:tcPr>
            <w:tcW w:w="3294" w:type="dxa"/>
            <w:tcBorders>
              <w:top w:val="single" w:sz="8" w:space="0" w:color="000000" w:themeColor="text1"/>
              <w:bottom w:val="single" w:sz="6" w:space="0" w:color="000000"/>
            </w:tcBorders>
            <w:hideMark/>
          </w:tcPr>
          <w:p w14:paraId="09BC8825" w14:textId="77777777" w:rsidR="003A0972" w:rsidRDefault="003A0972">
            <w:pPr>
              <w:cnfStyle w:val="000000100000" w:firstRow="0" w:lastRow="0" w:firstColumn="0" w:lastColumn="0" w:oddVBand="0" w:evenVBand="0" w:oddHBand="1" w:evenHBand="0" w:firstRowFirstColumn="0" w:firstRowLastColumn="0" w:lastRowFirstColumn="0" w:lastRowLastColumn="0"/>
              <w:rPr>
                <w:color w:val="FF0000"/>
              </w:rPr>
            </w:pPr>
            <w:r>
              <w:rPr>
                <w:color w:val="FF0000"/>
              </w:rPr>
              <w:t>(-)</w:t>
            </w:r>
          </w:p>
        </w:tc>
      </w:tr>
    </w:tbl>
    <w:p w14:paraId="75AF5D4E" w14:textId="77777777" w:rsidR="003A0972" w:rsidRDefault="003A0972" w:rsidP="003A0972">
      <w:pPr>
        <w:rPr>
          <w:sz w:val="16"/>
          <w:szCs w:val="16"/>
        </w:rPr>
      </w:pPr>
      <w:r>
        <w:rPr>
          <w:sz w:val="16"/>
          <w:szCs w:val="16"/>
        </w:rPr>
        <w:t>a: RN/Aide composition vs. 100% RN care</w:t>
      </w:r>
    </w:p>
    <w:p w14:paraId="639B6AA0" w14:textId="77777777" w:rsidR="003A0972" w:rsidRDefault="003A0972" w:rsidP="003A0972">
      <w:pPr>
        <w:widowControl w:val="0"/>
        <w:autoSpaceDE w:val="0"/>
        <w:autoSpaceDN w:val="0"/>
        <w:adjustRightInd w:val="0"/>
        <w:spacing w:before="34"/>
        <w:ind w:left="120" w:right="83"/>
        <w:rPr>
          <w:rFonts w:ascii="Arial" w:hAnsi="Arial" w:cs="Arial"/>
          <w:sz w:val="16"/>
          <w:szCs w:val="16"/>
        </w:rPr>
      </w:pPr>
      <w:r>
        <w:rPr>
          <w:rFonts w:ascii="Arial" w:hAnsi="Arial" w:cs="Arial"/>
          <w:i/>
          <w:iCs/>
          <w:sz w:val="16"/>
          <w:szCs w:val="16"/>
        </w:rPr>
        <w:t>Note.</w:t>
      </w:r>
      <w:r>
        <w:rPr>
          <w:rFonts w:ascii="Arial" w:hAnsi="Arial" w:cs="Arial"/>
          <w:i/>
          <w:iCs/>
          <w:spacing w:val="-5"/>
          <w:sz w:val="16"/>
          <w:szCs w:val="16"/>
        </w:rPr>
        <w:t xml:space="preserve"> </w:t>
      </w:r>
      <w:r>
        <w:rPr>
          <w:rFonts w:ascii="Arial" w:hAnsi="Arial" w:cs="Arial"/>
          <w:spacing w:val="1"/>
          <w:sz w:val="16"/>
          <w:szCs w:val="16"/>
        </w:rPr>
        <w:t>(-</w:t>
      </w:r>
      <w:r>
        <w:rPr>
          <w:rFonts w:ascii="Arial" w:hAnsi="Arial" w:cs="Arial"/>
          <w:sz w:val="16"/>
          <w:szCs w:val="16"/>
        </w:rPr>
        <w:t xml:space="preserve">) </w:t>
      </w:r>
      <w:r>
        <w:rPr>
          <w:rFonts w:ascii="Arial" w:hAnsi="Arial" w:cs="Arial"/>
          <w:spacing w:val="1"/>
          <w:sz w:val="16"/>
          <w:szCs w:val="16"/>
        </w:rPr>
        <w:t>s</w:t>
      </w:r>
      <w:r>
        <w:rPr>
          <w:rFonts w:ascii="Arial" w:hAnsi="Arial" w:cs="Arial"/>
          <w:sz w:val="16"/>
          <w:szCs w:val="16"/>
        </w:rPr>
        <w:t>ta</w:t>
      </w:r>
      <w:r>
        <w:rPr>
          <w:rFonts w:ascii="Arial" w:hAnsi="Arial" w:cs="Arial"/>
          <w:spacing w:val="2"/>
          <w:sz w:val="16"/>
          <w:szCs w:val="16"/>
        </w:rPr>
        <w:t>t</w:t>
      </w:r>
      <w:r>
        <w:rPr>
          <w:rFonts w:ascii="Arial" w:hAnsi="Arial" w:cs="Arial"/>
          <w:spacing w:val="-1"/>
          <w:sz w:val="16"/>
          <w:szCs w:val="16"/>
        </w:rPr>
        <w:t>i</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i</w:t>
      </w:r>
      <w:r>
        <w:rPr>
          <w:rFonts w:ascii="Arial" w:hAnsi="Arial" w:cs="Arial"/>
          <w:spacing w:val="1"/>
          <w:sz w:val="16"/>
          <w:szCs w:val="16"/>
        </w:rPr>
        <w:t>c</w:t>
      </w:r>
      <w:r>
        <w:rPr>
          <w:rFonts w:ascii="Arial" w:hAnsi="Arial" w:cs="Arial"/>
          <w:sz w:val="16"/>
          <w:szCs w:val="16"/>
        </w:rPr>
        <w:t>a</w:t>
      </w:r>
      <w:r>
        <w:rPr>
          <w:rFonts w:ascii="Arial" w:hAnsi="Arial" w:cs="Arial"/>
          <w:spacing w:val="1"/>
          <w:sz w:val="16"/>
          <w:szCs w:val="16"/>
        </w:rPr>
        <w:t>l</w:t>
      </w:r>
      <w:r>
        <w:rPr>
          <w:rFonts w:ascii="Arial" w:hAnsi="Arial" w:cs="Arial"/>
          <w:spacing w:val="4"/>
          <w:sz w:val="16"/>
          <w:szCs w:val="16"/>
        </w:rPr>
        <w:t>l</w:t>
      </w:r>
      <w:r>
        <w:rPr>
          <w:rFonts w:ascii="Arial" w:hAnsi="Arial" w:cs="Arial"/>
          <w:sz w:val="16"/>
          <w:szCs w:val="16"/>
        </w:rPr>
        <w:t>y</w:t>
      </w:r>
      <w:r>
        <w:rPr>
          <w:rFonts w:ascii="Arial" w:hAnsi="Arial" w:cs="Arial"/>
          <w:spacing w:val="-5"/>
          <w:sz w:val="16"/>
          <w:szCs w:val="16"/>
        </w:rPr>
        <w:t xml:space="preserve"> </w:t>
      </w:r>
      <w:r>
        <w:rPr>
          <w:rFonts w:ascii="Arial" w:hAnsi="Arial" w:cs="Arial"/>
          <w:spacing w:val="1"/>
          <w:sz w:val="16"/>
          <w:szCs w:val="16"/>
        </w:rPr>
        <w:t>i</w:t>
      </w:r>
      <w:r>
        <w:rPr>
          <w:rFonts w:ascii="Arial" w:hAnsi="Arial" w:cs="Arial"/>
          <w:sz w:val="16"/>
          <w:szCs w:val="16"/>
        </w:rPr>
        <w:t>n</w:t>
      </w:r>
      <w:r>
        <w:rPr>
          <w:rFonts w:ascii="Arial" w:hAnsi="Arial" w:cs="Arial"/>
          <w:spacing w:val="1"/>
          <w:sz w:val="16"/>
          <w:szCs w:val="16"/>
        </w:rPr>
        <w:t>v</w:t>
      </w:r>
      <w:r>
        <w:rPr>
          <w:rFonts w:ascii="Arial" w:hAnsi="Arial" w:cs="Arial"/>
          <w:sz w:val="16"/>
          <w:szCs w:val="16"/>
        </w:rPr>
        <w:t>e</w:t>
      </w:r>
      <w:r>
        <w:rPr>
          <w:rFonts w:ascii="Arial" w:hAnsi="Arial" w:cs="Arial"/>
          <w:spacing w:val="1"/>
          <w:sz w:val="16"/>
          <w:szCs w:val="16"/>
        </w:rPr>
        <w:t>rs</w:t>
      </w: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r</w:t>
      </w:r>
      <w:r>
        <w:rPr>
          <w:rFonts w:ascii="Arial" w:hAnsi="Arial" w:cs="Arial"/>
          <w:sz w:val="16"/>
          <w:szCs w:val="16"/>
        </w:rPr>
        <w:t>e</w:t>
      </w:r>
      <w:r>
        <w:rPr>
          <w:rFonts w:ascii="Arial" w:hAnsi="Arial" w:cs="Arial"/>
          <w:spacing w:val="-1"/>
          <w:sz w:val="16"/>
          <w:szCs w:val="16"/>
        </w:rPr>
        <w:t>l</w:t>
      </w:r>
      <w:r>
        <w:rPr>
          <w:rFonts w:ascii="Arial" w:hAnsi="Arial" w:cs="Arial"/>
          <w:sz w:val="16"/>
          <w:szCs w:val="16"/>
        </w:rPr>
        <w:t>a</w:t>
      </w:r>
      <w:r>
        <w:rPr>
          <w:rFonts w:ascii="Arial" w:hAnsi="Arial" w:cs="Arial"/>
          <w:spacing w:val="2"/>
          <w:sz w:val="16"/>
          <w:szCs w:val="16"/>
        </w:rPr>
        <w:t>t</w:t>
      </w:r>
      <w:r>
        <w:rPr>
          <w:rFonts w:ascii="Arial" w:hAnsi="Arial" w:cs="Arial"/>
          <w:spacing w:val="-1"/>
          <w:sz w:val="16"/>
          <w:szCs w:val="16"/>
        </w:rPr>
        <w:t>i</w:t>
      </w:r>
      <w:r>
        <w:rPr>
          <w:rFonts w:ascii="Arial" w:hAnsi="Arial" w:cs="Arial"/>
          <w:sz w:val="16"/>
          <w:szCs w:val="16"/>
        </w:rPr>
        <w:t>on</w:t>
      </w:r>
      <w:r>
        <w:rPr>
          <w:rFonts w:ascii="Arial" w:hAnsi="Arial" w:cs="Arial"/>
          <w:spacing w:val="4"/>
          <w:sz w:val="16"/>
          <w:szCs w:val="16"/>
        </w:rPr>
        <w:t>s</w:t>
      </w:r>
      <w:r>
        <w:rPr>
          <w:rFonts w:ascii="Arial" w:hAnsi="Arial" w:cs="Arial"/>
          <w:sz w:val="16"/>
          <w:szCs w:val="16"/>
        </w:rPr>
        <w:t>h</w:t>
      </w:r>
      <w:r>
        <w:rPr>
          <w:rFonts w:ascii="Arial" w:hAnsi="Arial" w:cs="Arial"/>
          <w:spacing w:val="-1"/>
          <w:sz w:val="16"/>
          <w:szCs w:val="16"/>
        </w:rPr>
        <w:t>i</w:t>
      </w:r>
      <w:r>
        <w:rPr>
          <w:rFonts w:ascii="Arial" w:hAnsi="Arial" w:cs="Arial"/>
          <w:sz w:val="16"/>
          <w:szCs w:val="16"/>
        </w:rPr>
        <w:t>p</w:t>
      </w:r>
      <w:r>
        <w:rPr>
          <w:rFonts w:ascii="Arial" w:hAnsi="Arial" w:cs="Arial"/>
          <w:spacing w:val="1"/>
          <w:sz w:val="16"/>
          <w:szCs w:val="16"/>
        </w:rPr>
        <w:t xml:space="preserve"> </w:t>
      </w:r>
      <w:r>
        <w:rPr>
          <w:rFonts w:ascii="Arial" w:hAnsi="Arial" w:cs="Arial"/>
          <w:sz w:val="16"/>
          <w:szCs w:val="16"/>
        </w:rPr>
        <w:t>be</w:t>
      </w:r>
      <w:r>
        <w:rPr>
          <w:rFonts w:ascii="Arial" w:hAnsi="Arial" w:cs="Arial"/>
          <w:spacing w:val="2"/>
          <w:sz w:val="16"/>
          <w:szCs w:val="16"/>
        </w:rPr>
        <w:t>t</w:t>
      </w:r>
      <w:r>
        <w:rPr>
          <w:rFonts w:ascii="Arial" w:hAnsi="Arial" w:cs="Arial"/>
          <w:sz w:val="16"/>
          <w:szCs w:val="16"/>
        </w:rPr>
        <w:t>we</w:t>
      </w:r>
      <w:r>
        <w:rPr>
          <w:rFonts w:ascii="Arial" w:hAnsi="Arial" w:cs="Arial"/>
          <w:spacing w:val="2"/>
          <w:sz w:val="16"/>
          <w:szCs w:val="16"/>
        </w:rPr>
        <w:t>e</w:t>
      </w:r>
      <w:r>
        <w:rPr>
          <w:rFonts w:ascii="Arial" w:hAnsi="Arial" w:cs="Arial"/>
          <w:sz w:val="16"/>
          <w:szCs w:val="16"/>
        </w:rPr>
        <w:t>n</w:t>
      </w:r>
      <w:r>
        <w:rPr>
          <w:rFonts w:ascii="Arial" w:hAnsi="Arial" w:cs="Arial"/>
          <w:spacing w:val="-3"/>
          <w:sz w:val="16"/>
          <w:szCs w:val="16"/>
        </w:rPr>
        <w:t xml:space="preserve"> </w:t>
      </w:r>
      <w:r>
        <w:rPr>
          <w:rFonts w:ascii="Arial" w:hAnsi="Arial" w:cs="Arial"/>
          <w:sz w:val="16"/>
          <w:szCs w:val="16"/>
        </w:rPr>
        <w:t>RN</w:t>
      </w:r>
      <w:r>
        <w:rPr>
          <w:rFonts w:ascii="Arial" w:hAnsi="Arial" w:cs="Arial"/>
          <w:spacing w:val="-2"/>
          <w:sz w:val="16"/>
          <w:szCs w:val="16"/>
        </w:rPr>
        <w:t xml:space="preserve"> </w:t>
      </w:r>
      <w:r>
        <w:rPr>
          <w:rFonts w:ascii="Arial" w:hAnsi="Arial" w:cs="Arial"/>
          <w:spacing w:val="4"/>
          <w:sz w:val="16"/>
          <w:szCs w:val="16"/>
        </w:rPr>
        <w:t>sk</w:t>
      </w:r>
      <w:r>
        <w:rPr>
          <w:rFonts w:ascii="Arial" w:hAnsi="Arial" w:cs="Arial"/>
          <w:spacing w:val="-1"/>
          <w:sz w:val="16"/>
          <w:szCs w:val="16"/>
        </w:rPr>
        <w:t>il</w:t>
      </w:r>
      <w:r>
        <w:rPr>
          <w:rFonts w:ascii="Arial" w:hAnsi="Arial" w:cs="Arial"/>
          <w:sz w:val="16"/>
          <w:szCs w:val="16"/>
        </w:rPr>
        <w:t>l</w:t>
      </w:r>
      <w:r>
        <w:rPr>
          <w:rFonts w:ascii="Arial" w:hAnsi="Arial" w:cs="Arial"/>
          <w:spacing w:val="-2"/>
          <w:sz w:val="16"/>
          <w:szCs w:val="16"/>
        </w:rPr>
        <w:t xml:space="preserve"> </w:t>
      </w:r>
      <w:r>
        <w:rPr>
          <w:rFonts w:ascii="Arial" w:hAnsi="Arial" w:cs="Arial"/>
          <w:spacing w:val="4"/>
          <w:sz w:val="16"/>
          <w:szCs w:val="16"/>
        </w:rPr>
        <w:t>m</w:t>
      </w:r>
      <w:r>
        <w:rPr>
          <w:rFonts w:ascii="Arial" w:hAnsi="Arial" w:cs="Arial"/>
          <w:spacing w:val="-1"/>
          <w:sz w:val="16"/>
          <w:szCs w:val="16"/>
        </w:rPr>
        <w:t>i</w:t>
      </w:r>
      <w:r>
        <w:rPr>
          <w:rFonts w:ascii="Arial" w:hAnsi="Arial" w:cs="Arial"/>
          <w:sz w:val="16"/>
          <w:szCs w:val="16"/>
        </w:rPr>
        <w:t>x</w:t>
      </w:r>
      <w:r>
        <w:rPr>
          <w:rFonts w:ascii="Arial" w:hAnsi="Arial" w:cs="Arial"/>
          <w:spacing w:val="-1"/>
          <w:sz w:val="16"/>
          <w:szCs w:val="16"/>
        </w:rPr>
        <w:t xml:space="preserve"> </w:t>
      </w:r>
      <w:r>
        <w:rPr>
          <w:rFonts w:ascii="Arial" w:hAnsi="Arial" w:cs="Arial"/>
          <w:sz w:val="16"/>
          <w:szCs w:val="16"/>
        </w:rPr>
        <w:t>and</w:t>
      </w:r>
      <w:r>
        <w:rPr>
          <w:rFonts w:ascii="Arial" w:hAnsi="Arial" w:cs="Arial"/>
          <w:spacing w:val="-4"/>
          <w:sz w:val="16"/>
          <w:szCs w:val="16"/>
        </w:rPr>
        <w:t xml:space="preserve"> </w:t>
      </w:r>
      <w:r>
        <w:rPr>
          <w:rFonts w:ascii="Arial" w:hAnsi="Arial" w:cs="Arial"/>
          <w:sz w:val="16"/>
          <w:szCs w:val="16"/>
        </w:rPr>
        <w:t>pa</w:t>
      </w:r>
      <w:r>
        <w:rPr>
          <w:rFonts w:ascii="Arial" w:hAnsi="Arial" w:cs="Arial"/>
          <w:spacing w:val="2"/>
          <w:sz w:val="16"/>
          <w:szCs w:val="16"/>
        </w:rPr>
        <w:t>t</w:t>
      </w:r>
      <w:r>
        <w:rPr>
          <w:rFonts w:ascii="Arial" w:hAnsi="Arial" w:cs="Arial"/>
          <w:spacing w:val="-1"/>
          <w:sz w:val="16"/>
          <w:szCs w:val="16"/>
        </w:rPr>
        <w:t>i</w:t>
      </w:r>
      <w:r>
        <w:rPr>
          <w:rFonts w:ascii="Arial" w:hAnsi="Arial" w:cs="Arial"/>
          <w:sz w:val="16"/>
          <w:szCs w:val="16"/>
        </w:rPr>
        <w:t>e</w:t>
      </w:r>
      <w:r>
        <w:rPr>
          <w:rFonts w:ascii="Arial" w:hAnsi="Arial" w:cs="Arial"/>
          <w:spacing w:val="2"/>
          <w:sz w:val="16"/>
          <w:szCs w:val="16"/>
        </w:rPr>
        <w:t>n</w:t>
      </w:r>
      <w:r>
        <w:rPr>
          <w:rFonts w:ascii="Arial" w:hAnsi="Arial" w:cs="Arial"/>
          <w:sz w:val="16"/>
          <w:szCs w:val="16"/>
        </w:rPr>
        <w:t>t</w:t>
      </w:r>
      <w:r>
        <w:rPr>
          <w:rFonts w:ascii="Arial" w:hAnsi="Arial" w:cs="Arial"/>
          <w:spacing w:val="-2"/>
          <w:sz w:val="16"/>
          <w:szCs w:val="16"/>
        </w:rPr>
        <w:t xml:space="preserve"> </w:t>
      </w:r>
      <w:r>
        <w:rPr>
          <w:rFonts w:ascii="Arial" w:hAnsi="Arial" w:cs="Arial"/>
          <w:sz w:val="16"/>
          <w:szCs w:val="16"/>
        </w:rPr>
        <w:t>o</w:t>
      </w:r>
      <w:r>
        <w:rPr>
          <w:rFonts w:ascii="Arial" w:hAnsi="Arial" w:cs="Arial"/>
          <w:spacing w:val="2"/>
          <w:sz w:val="16"/>
          <w:szCs w:val="16"/>
        </w:rPr>
        <w:t>u</w:t>
      </w:r>
      <w:r>
        <w:rPr>
          <w:rFonts w:ascii="Arial" w:hAnsi="Arial" w:cs="Arial"/>
          <w:sz w:val="16"/>
          <w:szCs w:val="16"/>
        </w:rPr>
        <w:t>t</w:t>
      </w:r>
      <w:r>
        <w:rPr>
          <w:rFonts w:ascii="Arial" w:hAnsi="Arial" w:cs="Arial"/>
          <w:spacing w:val="1"/>
          <w:sz w:val="16"/>
          <w:szCs w:val="16"/>
        </w:rPr>
        <w:t>c</w:t>
      </w:r>
      <w:r>
        <w:rPr>
          <w:rFonts w:ascii="Arial" w:hAnsi="Arial" w:cs="Arial"/>
          <w:sz w:val="16"/>
          <w:szCs w:val="16"/>
        </w:rPr>
        <w:t>o</w:t>
      </w:r>
      <w:r>
        <w:rPr>
          <w:rFonts w:ascii="Arial" w:hAnsi="Arial" w:cs="Arial"/>
          <w:spacing w:val="2"/>
          <w:sz w:val="16"/>
          <w:szCs w:val="16"/>
        </w:rPr>
        <w:t>m</w:t>
      </w:r>
      <w:r>
        <w:rPr>
          <w:rFonts w:ascii="Arial" w:hAnsi="Arial" w:cs="Arial"/>
          <w:sz w:val="16"/>
          <w:szCs w:val="16"/>
        </w:rPr>
        <w:t xml:space="preserve">es </w:t>
      </w:r>
      <w:r>
        <w:rPr>
          <w:rFonts w:ascii="Arial" w:hAnsi="Arial" w:cs="Arial"/>
          <w:spacing w:val="1"/>
          <w:sz w:val="16"/>
          <w:szCs w:val="16"/>
        </w:rPr>
        <w:t>(</w:t>
      </w:r>
      <w:r>
        <w:rPr>
          <w:rFonts w:ascii="Arial" w:hAnsi="Arial" w:cs="Arial"/>
          <w:sz w:val="16"/>
          <w:szCs w:val="16"/>
        </w:rPr>
        <w:t>h</w:t>
      </w:r>
      <w:r>
        <w:rPr>
          <w:rFonts w:ascii="Arial" w:hAnsi="Arial" w:cs="Arial"/>
          <w:spacing w:val="-1"/>
          <w:sz w:val="16"/>
          <w:szCs w:val="16"/>
        </w:rPr>
        <w:t>i</w:t>
      </w:r>
      <w:r>
        <w:rPr>
          <w:rFonts w:ascii="Arial" w:hAnsi="Arial" w:cs="Arial"/>
          <w:sz w:val="16"/>
          <w:szCs w:val="16"/>
        </w:rPr>
        <w:t>g</w:t>
      </w:r>
      <w:r>
        <w:rPr>
          <w:rFonts w:ascii="Arial" w:hAnsi="Arial" w:cs="Arial"/>
          <w:spacing w:val="2"/>
          <w:sz w:val="16"/>
          <w:szCs w:val="16"/>
        </w:rPr>
        <w:t>h</w:t>
      </w:r>
      <w:r>
        <w:rPr>
          <w:rFonts w:ascii="Arial" w:hAnsi="Arial" w:cs="Arial"/>
          <w:sz w:val="16"/>
          <w:szCs w:val="16"/>
        </w:rPr>
        <w:t>er p</w:t>
      </w:r>
      <w:r>
        <w:rPr>
          <w:rFonts w:ascii="Arial" w:hAnsi="Arial" w:cs="Arial"/>
          <w:spacing w:val="1"/>
          <w:sz w:val="16"/>
          <w:szCs w:val="16"/>
        </w:rPr>
        <w:t>r</w:t>
      </w:r>
      <w:r>
        <w:rPr>
          <w:rFonts w:ascii="Arial" w:hAnsi="Arial" w:cs="Arial"/>
          <w:spacing w:val="2"/>
          <w:sz w:val="16"/>
          <w:szCs w:val="16"/>
        </w:rPr>
        <w:t>o</w:t>
      </w:r>
      <w:r>
        <w:rPr>
          <w:rFonts w:ascii="Arial" w:hAnsi="Arial" w:cs="Arial"/>
          <w:sz w:val="16"/>
          <w:szCs w:val="16"/>
        </w:rPr>
        <w:t>po</w:t>
      </w:r>
      <w:r>
        <w:rPr>
          <w:rFonts w:ascii="Arial" w:hAnsi="Arial" w:cs="Arial"/>
          <w:spacing w:val="1"/>
          <w:sz w:val="16"/>
          <w:szCs w:val="16"/>
        </w:rPr>
        <w:t>r</w:t>
      </w:r>
      <w:r>
        <w:rPr>
          <w:rFonts w:ascii="Arial" w:hAnsi="Arial" w:cs="Arial"/>
          <w:sz w:val="16"/>
          <w:szCs w:val="16"/>
        </w:rPr>
        <w:t>t</w:t>
      </w:r>
      <w:r>
        <w:rPr>
          <w:rFonts w:ascii="Arial" w:hAnsi="Arial" w:cs="Arial"/>
          <w:spacing w:val="1"/>
          <w:sz w:val="16"/>
          <w:szCs w:val="16"/>
        </w:rPr>
        <w:t>i</w:t>
      </w:r>
      <w:r>
        <w:rPr>
          <w:rFonts w:ascii="Arial" w:hAnsi="Arial" w:cs="Arial"/>
          <w:sz w:val="16"/>
          <w:szCs w:val="16"/>
        </w:rPr>
        <w:t>on</w:t>
      </w:r>
      <w:r>
        <w:rPr>
          <w:rFonts w:ascii="Arial" w:hAnsi="Arial" w:cs="Arial"/>
          <w:spacing w:val="1"/>
          <w:sz w:val="16"/>
          <w:szCs w:val="16"/>
        </w:rPr>
        <w:t xml:space="preserve"> </w:t>
      </w:r>
      <w:r>
        <w:rPr>
          <w:rFonts w:ascii="Arial" w:hAnsi="Arial" w:cs="Arial"/>
          <w:sz w:val="16"/>
          <w:szCs w:val="16"/>
        </w:rPr>
        <w:t>of nu</w:t>
      </w:r>
      <w:r>
        <w:rPr>
          <w:rFonts w:ascii="Arial" w:hAnsi="Arial" w:cs="Arial"/>
          <w:spacing w:val="1"/>
          <w:sz w:val="16"/>
          <w:szCs w:val="16"/>
        </w:rPr>
        <w:t>rs</w:t>
      </w:r>
      <w:r>
        <w:rPr>
          <w:rFonts w:ascii="Arial" w:hAnsi="Arial" w:cs="Arial"/>
          <w:spacing w:val="-1"/>
          <w:sz w:val="16"/>
          <w:szCs w:val="16"/>
        </w:rPr>
        <w:t>i</w:t>
      </w:r>
      <w:r>
        <w:rPr>
          <w:rFonts w:ascii="Arial" w:hAnsi="Arial" w:cs="Arial"/>
          <w:sz w:val="16"/>
          <w:szCs w:val="16"/>
        </w:rPr>
        <w:t>ng</w:t>
      </w:r>
      <w:r>
        <w:rPr>
          <w:rFonts w:ascii="Arial" w:hAnsi="Arial" w:cs="Arial"/>
          <w:spacing w:val="-3"/>
          <w:sz w:val="16"/>
          <w:szCs w:val="16"/>
        </w:rPr>
        <w:t xml:space="preserve"> </w:t>
      </w:r>
      <w:r>
        <w:rPr>
          <w:rFonts w:ascii="Arial" w:hAnsi="Arial" w:cs="Arial"/>
          <w:spacing w:val="2"/>
          <w:sz w:val="16"/>
          <w:szCs w:val="16"/>
        </w:rPr>
        <w:t>h</w:t>
      </w:r>
      <w:r>
        <w:rPr>
          <w:rFonts w:ascii="Arial" w:hAnsi="Arial" w:cs="Arial"/>
          <w:sz w:val="16"/>
          <w:szCs w:val="16"/>
        </w:rPr>
        <w:t>ou</w:t>
      </w:r>
      <w:r>
        <w:rPr>
          <w:rFonts w:ascii="Arial" w:hAnsi="Arial" w:cs="Arial"/>
          <w:spacing w:val="1"/>
          <w:sz w:val="16"/>
          <w:szCs w:val="16"/>
        </w:rPr>
        <w:t>r</w:t>
      </w:r>
      <w:r>
        <w:rPr>
          <w:rFonts w:ascii="Arial" w:hAnsi="Arial" w:cs="Arial"/>
          <w:sz w:val="16"/>
          <w:szCs w:val="16"/>
        </w:rPr>
        <w:t>s p</w:t>
      </w:r>
      <w:r>
        <w:rPr>
          <w:rFonts w:ascii="Arial" w:hAnsi="Arial" w:cs="Arial"/>
          <w:spacing w:val="1"/>
          <w:sz w:val="16"/>
          <w:szCs w:val="16"/>
        </w:rPr>
        <w:t>r</w:t>
      </w:r>
      <w:r>
        <w:rPr>
          <w:rFonts w:ascii="Arial" w:hAnsi="Arial" w:cs="Arial"/>
          <w:spacing w:val="2"/>
          <w:sz w:val="16"/>
          <w:szCs w:val="16"/>
        </w:rPr>
        <w:t>o</w:t>
      </w:r>
      <w:r>
        <w:rPr>
          <w:rFonts w:ascii="Arial" w:hAnsi="Arial" w:cs="Arial"/>
          <w:spacing w:val="-1"/>
          <w:sz w:val="16"/>
          <w:szCs w:val="16"/>
        </w:rPr>
        <w:t>v</w:t>
      </w:r>
      <w:r>
        <w:rPr>
          <w:rFonts w:ascii="Arial" w:hAnsi="Arial" w:cs="Arial"/>
          <w:spacing w:val="1"/>
          <w:sz w:val="16"/>
          <w:szCs w:val="16"/>
        </w:rPr>
        <w:t>i</w:t>
      </w:r>
      <w:r>
        <w:rPr>
          <w:rFonts w:ascii="Arial" w:hAnsi="Arial" w:cs="Arial"/>
          <w:sz w:val="16"/>
          <w:szCs w:val="16"/>
        </w:rPr>
        <w:t>ded</w:t>
      </w:r>
      <w:r>
        <w:rPr>
          <w:rFonts w:ascii="Arial" w:hAnsi="Arial" w:cs="Arial"/>
          <w:spacing w:val="1"/>
          <w:sz w:val="16"/>
          <w:szCs w:val="16"/>
        </w:rPr>
        <w:t xml:space="preserve"> </w:t>
      </w:r>
      <w:r>
        <w:rPr>
          <w:rFonts w:ascii="Arial" w:hAnsi="Arial" w:cs="Arial"/>
          <w:spacing w:val="4"/>
          <w:sz w:val="16"/>
          <w:szCs w:val="16"/>
        </w:rPr>
        <w:t>b</w:t>
      </w:r>
      <w:r>
        <w:rPr>
          <w:rFonts w:ascii="Arial" w:hAnsi="Arial" w:cs="Arial"/>
          <w:sz w:val="16"/>
          <w:szCs w:val="16"/>
        </w:rPr>
        <w:t>y</w:t>
      </w:r>
      <w:r>
        <w:rPr>
          <w:rFonts w:ascii="Arial" w:hAnsi="Arial" w:cs="Arial"/>
          <w:spacing w:val="-5"/>
          <w:sz w:val="16"/>
          <w:szCs w:val="16"/>
        </w:rPr>
        <w:t xml:space="preserve"> </w:t>
      </w:r>
      <w:r>
        <w:rPr>
          <w:rFonts w:ascii="Arial" w:hAnsi="Arial" w:cs="Arial"/>
          <w:sz w:val="16"/>
          <w:szCs w:val="16"/>
        </w:rPr>
        <w:t>R</w:t>
      </w:r>
      <w:r>
        <w:rPr>
          <w:rFonts w:ascii="Arial" w:hAnsi="Arial" w:cs="Arial"/>
          <w:spacing w:val="3"/>
          <w:sz w:val="16"/>
          <w:szCs w:val="16"/>
        </w:rPr>
        <w:t>N</w:t>
      </w:r>
      <w:r>
        <w:rPr>
          <w:rFonts w:ascii="Arial" w:hAnsi="Arial" w:cs="Arial"/>
          <w:sz w:val="16"/>
          <w:szCs w:val="16"/>
        </w:rPr>
        <w:t xml:space="preserve">s </w:t>
      </w:r>
      <w:r>
        <w:rPr>
          <w:rFonts w:ascii="Arial" w:hAnsi="Arial" w:cs="Arial"/>
          <w:spacing w:val="-1"/>
          <w:sz w:val="16"/>
          <w:szCs w:val="16"/>
        </w:rPr>
        <w:t>i</w:t>
      </w:r>
      <w:r>
        <w:rPr>
          <w:rFonts w:ascii="Arial" w:hAnsi="Arial" w:cs="Arial"/>
          <w:sz w:val="16"/>
          <w:szCs w:val="16"/>
        </w:rPr>
        <w:t>s</w:t>
      </w:r>
      <w:r>
        <w:rPr>
          <w:rFonts w:ascii="Arial" w:hAnsi="Arial" w:cs="Arial"/>
          <w:spacing w:val="1"/>
          <w:sz w:val="16"/>
          <w:szCs w:val="16"/>
        </w:rPr>
        <w:t xml:space="preserve"> r</w:t>
      </w:r>
      <w:r>
        <w:rPr>
          <w:rFonts w:ascii="Arial" w:hAnsi="Arial" w:cs="Arial"/>
          <w:sz w:val="16"/>
          <w:szCs w:val="16"/>
        </w:rPr>
        <w:t>e</w:t>
      </w:r>
      <w:r>
        <w:rPr>
          <w:rFonts w:ascii="Arial" w:hAnsi="Arial" w:cs="Arial"/>
          <w:spacing w:val="-1"/>
          <w:sz w:val="16"/>
          <w:szCs w:val="16"/>
        </w:rPr>
        <w:t>l</w:t>
      </w:r>
      <w:r>
        <w:rPr>
          <w:rFonts w:ascii="Arial" w:hAnsi="Arial" w:cs="Arial"/>
          <w:sz w:val="16"/>
          <w:szCs w:val="16"/>
        </w:rPr>
        <w:t>a</w:t>
      </w:r>
      <w:r>
        <w:rPr>
          <w:rFonts w:ascii="Arial" w:hAnsi="Arial" w:cs="Arial"/>
          <w:spacing w:val="2"/>
          <w:sz w:val="16"/>
          <w:szCs w:val="16"/>
        </w:rPr>
        <w:t>t</w:t>
      </w:r>
      <w:r>
        <w:rPr>
          <w:rFonts w:ascii="Arial" w:hAnsi="Arial" w:cs="Arial"/>
          <w:sz w:val="16"/>
          <w:szCs w:val="16"/>
        </w:rPr>
        <w:t>ed to</w:t>
      </w:r>
      <w:r>
        <w:rPr>
          <w:rFonts w:ascii="Arial" w:hAnsi="Arial" w:cs="Arial"/>
          <w:spacing w:val="-1"/>
          <w:sz w:val="16"/>
          <w:szCs w:val="16"/>
        </w:rPr>
        <w:t xml:space="preserve"> </w:t>
      </w:r>
      <w:r>
        <w:rPr>
          <w:rFonts w:ascii="Arial" w:hAnsi="Arial" w:cs="Arial"/>
          <w:spacing w:val="1"/>
          <w:sz w:val="16"/>
          <w:szCs w:val="16"/>
        </w:rPr>
        <w:t>l</w:t>
      </w:r>
      <w:r>
        <w:rPr>
          <w:rFonts w:ascii="Arial" w:hAnsi="Arial" w:cs="Arial"/>
          <w:spacing w:val="2"/>
          <w:sz w:val="16"/>
          <w:szCs w:val="16"/>
        </w:rPr>
        <w:t>o</w:t>
      </w:r>
      <w:r>
        <w:rPr>
          <w:rFonts w:ascii="Arial" w:hAnsi="Arial" w:cs="Arial"/>
          <w:spacing w:val="-2"/>
          <w:sz w:val="16"/>
          <w:szCs w:val="16"/>
        </w:rPr>
        <w:t>w</w:t>
      </w:r>
      <w:r>
        <w:rPr>
          <w:rFonts w:ascii="Arial" w:hAnsi="Arial" w:cs="Arial"/>
          <w:sz w:val="16"/>
          <w:szCs w:val="16"/>
        </w:rPr>
        <w:t>er</w:t>
      </w:r>
      <w:r>
        <w:rPr>
          <w:rFonts w:ascii="Arial" w:hAnsi="Arial" w:cs="Arial"/>
          <w:spacing w:val="1"/>
          <w:sz w:val="16"/>
          <w:szCs w:val="16"/>
        </w:rPr>
        <w:t xml:space="preserve"> r</w:t>
      </w:r>
      <w:r>
        <w:rPr>
          <w:rFonts w:ascii="Arial" w:hAnsi="Arial" w:cs="Arial"/>
          <w:sz w:val="16"/>
          <w:szCs w:val="16"/>
        </w:rPr>
        <w:t>a</w:t>
      </w:r>
      <w:r>
        <w:rPr>
          <w:rFonts w:ascii="Arial" w:hAnsi="Arial" w:cs="Arial"/>
          <w:spacing w:val="2"/>
          <w:sz w:val="16"/>
          <w:szCs w:val="16"/>
        </w:rPr>
        <w:t>t</w:t>
      </w:r>
      <w:r>
        <w:rPr>
          <w:rFonts w:ascii="Arial" w:hAnsi="Arial" w:cs="Arial"/>
          <w:sz w:val="16"/>
          <w:szCs w:val="16"/>
        </w:rPr>
        <w:t>es of the</w:t>
      </w:r>
      <w:r>
        <w:rPr>
          <w:rFonts w:ascii="Arial" w:hAnsi="Arial" w:cs="Arial"/>
          <w:spacing w:val="-4"/>
          <w:sz w:val="16"/>
          <w:szCs w:val="16"/>
        </w:rPr>
        <w:t xml:space="preserve"> </w:t>
      </w:r>
      <w:r>
        <w:rPr>
          <w:rFonts w:ascii="Arial" w:hAnsi="Arial" w:cs="Arial"/>
          <w:spacing w:val="2"/>
          <w:sz w:val="16"/>
          <w:szCs w:val="16"/>
        </w:rPr>
        <w:t>p</w:t>
      </w:r>
      <w:r>
        <w:rPr>
          <w:rFonts w:ascii="Arial" w:hAnsi="Arial" w:cs="Arial"/>
          <w:sz w:val="16"/>
          <w:szCs w:val="16"/>
        </w:rPr>
        <w:t>at</w:t>
      </w:r>
      <w:r>
        <w:rPr>
          <w:rFonts w:ascii="Arial" w:hAnsi="Arial" w:cs="Arial"/>
          <w:spacing w:val="1"/>
          <w:sz w:val="16"/>
          <w:szCs w:val="16"/>
        </w:rPr>
        <w:t>i</w:t>
      </w:r>
      <w:r>
        <w:rPr>
          <w:rFonts w:ascii="Arial" w:hAnsi="Arial" w:cs="Arial"/>
          <w:sz w:val="16"/>
          <w:szCs w:val="16"/>
        </w:rPr>
        <w:t>ent</w:t>
      </w:r>
      <w:r>
        <w:rPr>
          <w:rFonts w:ascii="Arial" w:hAnsi="Arial" w:cs="Arial"/>
          <w:spacing w:val="1"/>
          <w:sz w:val="16"/>
          <w:szCs w:val="16"/>
        </w:rPr>
        <w:t xml:space="preserve"> </w:t>
      </w:r>
      <w:r>
        <w:rPr>
          <w:rFonts w:ascii="Arial" w:hAnsi="Arial" w:cs="Arial"/>
          <w:sz w:val="16"/>
          <w:szCs w:val="16"/>
        </w:rPr>
        <w:t>out</w:t>
      </w:r>
      <w:r>
        <w:rPr>
          <w:rFonts w:ascii="Arial" w:hAnsi="Arial" w:cs="Arial"/>
          <w:spacing w:val="1"/>
          <w:sz w:val="16"/>
          <w:szCs w:val="16"/>
        </w:rPr>
        <w:t>c</w:t>
      </w:r>
      <w:r>
        <w:rPr>
          <w:rFonts w:ascii="Arial" w:hAnsi="Arial" w:cs="Arial"/>
          <w:sz w:val="16"/>
          <w:szCs w:val="16"/>
        </w:rPr>
        <w:t>o</w:t>
      </w:r>
      <w:r>
        <w:rPr>
          <w:rFonts w:ascii="Arial" w:hAnsi="Arial" w:cs="Arial"/>
          <w:spacing w:val="4"/>
          <w:sz w:val="16"/>
          <w:szCs w:val="16"/>
        </w:rPr>
        <w:t>m</w:t>
      </w:r>
      <w:r>
        <w:rPr>
          <w:rFonts w:ascii="Arial" w:hAnsi="Arial" w:cs="Arial"/>
          <w:sz w:val="16"/>
          <w:szCs w:val="16"/>
        </w:rPr>
        <w:t>e</w:t>
      </w:r>
      <w:r>
        <w:rPr>
          <w:rFonts w:ascii="Arial" w:hAnsi="Arial" w:cs="Arial"/>
          <w:spacing w:val="1"/>
          <w:sz w:val="16"/>
          <w:szCs w:val="16"/>
        </w:rPr>
        <w:t>s)</w:t>
      </w:r>
      <w:r>
        <w:rPr>
          <w:rFonts w:ascii="Arial" w:hAnsi="Arial" w:cs="Arial"/>
          <w:sz w:val="16"/>
          <w:szCs w:val="16"/>
        </w:rPr>
        <w:t>;</w:t>
      </w:r>
      <w:r>
        <w:rPr>
          <w:rFonts w:ascii="Arial" w:hAnsi="Arial" w:cs="Arial"/>
          <w:spacing w:val="-3"/>
          <w:sz w:val="16"/>
          <w:szCs w:val="16"/>
        </w:rPr>
        <w:t xml:space="preserve"> </w:t>
      </w:r>
      <w:r>
        <w:rPr>
          <w:rFonts w:ascii="Arial" w:hAnsi="Arial" w:cs="Arial"/>
          <w:spacing w:val="1"/>
          <w:sz w:val="16"/>
          <w:szCs w:val="16"/>
        </w:rPr>
        <w:t>(</w:t>
      </w:r>
      <w:r>
        <w:rPr>
          <w:rFonts w:ascii="Arial" w:hAnsi="Arial" w:cs="Arial"/>
          <w:spacing w:val="-1"/>
          <w:sz w:val="16"/>
          <w:szCs w:val="16"/>
        </w:rPr>
        <w:t>+</w:t>
      </w:r>
      <w:r>
        <w:rPr>
          <w:rFonts w:ascii="Arial" w:hAnsi="Arial" w:cs="Arial"/>
          <w:sz w:val="16"/>
          <w:szCs w:val="16"/>
        </w:rPr>
        <w:t xml:space="preserve">) </w:t>
      </w:r>
      <w:r>
        <w:rPr>
          <w:rFonts w:ascii="Arial" w:hAnsi="Arial" w:cs="Arial"/>
          <w:spacing w:val="1"/>
          <w:sz w:val="16"/>
          <w:szCs w:val="16"/>
        </w:rPr>
        <w:t>s</w:t>
      </w:r>
      <w:r>
        <w:rPr>
          <w:rFonts w:ascii="Arial" w:hAnsi="Arial" w:cs="Arial"/>
          <w:sz w:val="16"/>
          <w:szCs w:val="16"/>
        </w:rPr>
        <w:t>tat</w:t>
      </w:r>
      <w:r>
        <w:rPr>
          <w:rFonts w:ascii="Arial" w:hAnsi="Arial" w:cs="Arial"/>
          <w:spacing w:val="-1"/>
          <w:sz w:val="16"/>
          <w:szCs w:val="16"/>
        </w:rPr>
        <w:t>i</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i</w:t>
      </w:r>
      <w:r>
        <w:rPr>
          <w:rFonts w:ascii="Arial" w:hAnsi="Arial" w:cs="Arial"/>
          <w:spacing w:val="1"/>
          <w:sz w:val="16"/>
          <w:szCs w:val="16"/>
        </w:rPr>
        <w:t>c</w:t>
      </w:r>
      <w:r>
        <w:rPr>
          <w:rFonts w:ascii="Arial" w:hAnsi="Arial" w:cs="Arial"/>
          <w:spacing w:val="2"/>
          <w:sz w:val="16"/>
          <w:szCs w:val="16"/>
        </w:rPr>
        <w:t>a</w:t>
      </w:r>
      <w:r>
        <w:rPr>
          <w:rFonts w:ascii="Arial" w:hAnsi="Arial" w:cs="Arial"/>
          <w:spacing w:val="-1"/>
          <w:sz w:val="16"/>
          <w:szCs w:val="16"/>
        </w:rPr>
        <w:t>l</w:t>
      </w:r>
      <w:r>
        <w:rPr>
          <w:rFonts w:ascii="Arial" w:hAnsi="Arial" w:cs="Arial"/>
          <w:spacing w:val="4"/>
          <w:sz w:val="16"/>
          <w:szCs w:val="16"/>
        </w:rPr>
        <w:t>l</w:t>
      </w:r>
      <w:r>
        <w:rPr>
          <w:rFonts w:ascii="Arial" w:hAnsi="Arial" w:cs="Arial"/>
          <w:sz w:val="16"/>
          <w:szCs w:val="16"/>
        </w:rPr>
        <w:t>y</w:t>
      </w:r>
      <w:r>
        <w:rPr>
          <w:rFonts w:ascii="Arial" w:hAnsi="Arial" w:cs="Arial"/>
          <w:spacing w:val="-2"/>
          <w:sz w:val="16"/>
          <w:szCs w:val="16"/>
        </w:rPr>
        <w:t xml:space="preserve"> </w:t>
      </w:r>
      <w:r>
        <w:rPr>
          <w:rFonts w:ascii="Arial" w:hAnsi="Arial" w:cs="Arial"/>
          <w:sz w:val="16"/>
          <w:szCs w:val="16"/>
        </w:rPr>
        <w:t>po</w:t>
      </w:r>
      <w:r>
        <w:rPr>
          <w:rFonts w:ascii="Arial" w:hAnsi="Arial" w:cs="Arial"/>
          <w:spacing w:val="1"/>
          <w:sz w:val="16"/>
          <w:szCs w:val="16"/>
        </w:rPr>
        <w:t>s</w:t>
      </w:r>
      <w:r>
        <w:rPr>
          <w:rFonts w:ascii="Arial" w:hAnsi="Arial" w:cs="Arial"/>
          <w:spacing w:val="-1"/>
          <w:sz w:val="16"/>
          <w:szCs w:val="16"/>
        </w:rPr>
        <w:t>i</w:t>
      </w:r>
      <w:r>
        <w:rPr>
          <w:rFonts w:ascii="Arial" w:hAnsi="Arial" w:cs="Arial"/>
          <w:spacing w:val="2"/>
          <w:sz w:val="16"/>
          <w:szCs w:val="16"/>
        </w:rPr>
        <w:t>t</w:t>
      </w:r>
      <w:r>
        <w:rPr>
          <w:rFonts w:ascii="Arial" w:hAnsi="Arial" w:cs="Arial"/>
          <w:spacing w:val="-1"/>
          <w:sz w:val="16"/>
          <w:szCs w:val="16"/>
        </w:rPr>
        <w:t>i</w:t>
      </w:r>
      <w:r>
        <w:rPr>
          <w:rFonts w:ascii="Arial" w:hAnsi="Arial" w:cs="Arial"/>
          <w:spacing w:val="1"/>
          <w:sz w:val="16"/>
          <w:szCs w:val="16"/>
        </w:rPr>
        <w:t>v</w:t>
      </w:r>
      <w:r>
        <w:rPr>
          <w:rFonts w:ascii="Arial" w:hAnsi="Arial" w:cs="Arial"/>
          <w:sz w:val="16"/>
          <w:szCs w:val="16"/>
        </w:rPr>
        <w:t>e</w:t>
      </w:r>
      <w:r>
        <w:rPr>
          <w:rFonts w:ascii="Arial" w:hAnsi="Arial" w:cs="Arial"/>
          <w:spacing w:val="-3"/>
          <w:sz w:val="16"/>
          <w:szCs w:val="16"/>
        </w:rPr>
        <w:t xml:space="preserve"> </w:t>
      </w:r>
      <w:r>
        <w:rPr>
          <w:rFonts w:ascii="Arial" w:hAnsi="Arial" w:cs="Arial"/>
          <w:spacing w:val="1"/>
          <w:sz w:val="16"/>
          <w:szCs w:val="16"/>
        </w:rPr>
        <w:t>r</w:t>
      </w:r>
      <w:r>
        <w:rPr>
          <w:rFonts w:ascii="Arial" w:hAnsi="Arial" w:cs="Arial"/>
          <w:sz w:val="16"/>
          <w:szCs w:val="16"/>
        </w:rPr>
        <w:t>e</w:t>
      </w:r>
      <w:r>
        <w:rPr>
          <w:rFonts w:ascii="Arial" w:hAnsi="Arial" w:cs="Arial"/>
          <w:spacing w:val="1"/>
          <w:sz w:val="16"/>
          <w:szCs w:val="16"/>
        </w:rPr>
        <w:t>l</w:t>
      </w:r>
      <w:r>
        <w:rPr>
          <w:rFonts w:ascii="Arial" w:hAnsi="Arial" w:cs="Arial"/>
          <w:sz w:val="16"/>
          <w:szCs w:val="16"/>
        </w:rPr>
        <w:t>at</w:t>
      </w:r>
      <w:r>
        <w:rPr>
          <w:rFonts w:ascii="Arial" w:hAnsi="Arial" w:cs="Arial"/>
          <w:spacing w:val="1"/>
          <w:sz w:val="16"/>
          <w:szCs w:val="16"/>
        </w:rPr>
        <w:t>i</w:t>
      </w:r>
      <w:r>
        <w:rPr>
          <w:rFonts w:ascii="Arial" w:hAnsi="Arial" w:cs="Arial"/>
          <w:sz w:val="16"/>
          <w:szCs w:val="16"/>
        </w:rPr>
        <w:t>on</w:t>
      </w:r>
      <w:r>
        <w:rPr>
          <w:rFonts w:ascii="Arial" w:hAnsi="Arial" w:cs="Arial"/>
          <w:spacing w:val="1"/>
          <w:sz w:val="16"/>
          <w:szCs w:val="16"/>
        </w:rPr>
        <w:t>s</w:t>
      </w:r>
      <w:r>
        <w:rPr>
          <w:rFonts w:ascii="Arial" w:hAnsi="Arial" w:cs="Arial"/>
          <w:spacing w:val="2"/>
          <w:sz w:val="16"/>
          <w:szCs w:val="16"/>
        </w:rPr>
        <w:t>h</w:t>
      </w:r>
      <w:r>
        <w:rPr>
          <w:rFonts w:ascii="Arial" w:hAnsi="Arial" w:cs="Arial"/>
          <w:spacing w:val="-1"/>
          <w:sz w:val="16"/>
          <w:szCs w:val="16"/>
        </w:rPr>
        <w:t>i</w:t>
      </w:r>
      <w:r>
        <w:rPr>
          <w:rFonts w:ascii="Arial" w:hAnsi="Arial" w:cs="Arial"/>
          <w:sz w:val="16"/>
          <w:szCs w:val="16"/>
        </w:rPr>
        <w:t>p</w:t>
      </w:r>
      <w:r>
        <w:rPr>
          <w:rFonts w:ascii="Arial" w:hAnsi="Arial" w:cs="Arial"/>
          <w:spacing w:val="-2"/>
          <w:sz w:val="16"/>
          <w:szCs w:val="16"/>
        </w:rPr>
        <w:t xml:space="preserve"> </w:t>
      </w:r>
      <w:r>
        <w:rPr>
          <w:rFonts w:ascii="Arial" w:hAnsi="Arial" w:cs="Arial"/>
          <w:spacing w:val="2"/>
          <w:sz w:val="16"/>
          <w:szCs w:val="16"/>
        </w:rPr>
        <w:t>b</w:t>
      </w:r>
      <w:r>
        <w:rPr>
          <w:rFonts w:ascii="Arial" w:hAnsi="Arial" w:cs="Arial"/>
          <w:sz w:val="16"/>
          <w:szCs w:val="16"/>
        </w:rPr>
        <w:t>e</w:t>
      </w:r>
      <w:r>
        <w:rPr>
          <w:rFonts w:ascii="Arial" w:hAnsi="Arial" w:cs="Arial"/>
          <w:spacing w:val="2"/>
          <w:sz w:val="16"/>
          <w:szCs w:val="16"/>
        </w:rPr>
        <w:t>t</w:t>
      </w:r>
      <w:r>
        <w:rPr>
          <w:rFonts w:ascii="Arial" w:hAnsi="Arial" w:cs="Arial"/>
          <w:spacing w:val="-2"/>
          <w:sz w:val="16"/>
          <w:szCs w:val="16"/>
        </w:rPr>
        <w:t>w</w:t>
      </w:r>
      <w:r>
        <w:rPr>
          <w:rFonts w:ascii="Arial" w:hAnsi="Arial" w:cs="Arial"/>
          <w:spacing w:val="2"/>
          <w:sz w:val="16"/>
          <w:szCs w:val="16"/>
        </w:rPr>
        <w:t>e</w:t>
      </w:r>
      <w:r>
        <w:rPr>
          <w:rFonts w:ascii="Arial" w:hAnsi="Arial" w:cs="Arial"/>
          <w:sz w:val="16"/>
          <w:szCs w:val="16"/>
        </w:rPr>
        <w:t>en</w:t>
      </w:r>
      <w:r>
        <w:rPr>
          <w:rFonts w:ascii="Arial" w:hAnsi="Arial" w:cs="Arial"/>
          <w:spacing w:val="-2"/>
          <w:sz w:val="16"/>
          <w:szCs w:val="16"/>
        </w:rPr>
        <w:t xml:space="preserve"> </w:t>
      </w:r>
      <w:r>
        <w:rPr>
          <w:rFonts w:ascii="Arial" w:hAnsi="Arial" w:cs="Arial"/>
          <w:sz w:val="16"/>
          <w:szCs w:val="16"/>
        </w:rPr>
        <w:t>RN</w:t>
      </w:r>
      <w:r>
        <w:rPr>
          <w:rFonts w:ascii="Arial" w:hAnsi="Arial" w:cs="Arial"/>
          <w:spacing w:val="-1"/>
          <w:sz w:val="16"/>
          <w:szCs w:val="16"/>
        </w:rPr>
        <w:t xml:space="preserve"> </w:t>
      </w:r>
      <w:r>
        <w:rPr>
          <w:rFonts w:ascii="Arial" w:hAnsi="Arial" w:cs="Arial"/>
          <w:spacing w:val="1"/>
          <w:sz w:val="16"/>
          <w:szCs w:val="16"/>
        </w:rPr>
        <w:t>s</w:t>
      </w:r>
      <w:r>
        <w:rPr>
          <w:rFonts w:ascii="Arial" w:hAnsi="Arial" w:cs="Arial"/>
          <w:spacing w:val="4"/>
          <w:sz w:val="16"/>
          <w:szCs w:val="16"/>
        </w:rPr>
        <w:t>k</w:t>
      </w:r>
      <w:r>
        <w:rPr>
          <w:rFonts w:ascii="Arial" w:hAnsi="Arial" w:cs="Arial"/>
          <w:spacing w:val="-1"/>
          <w:sz w:val="16"/>
          <w:szCs w:val="16"/>
        </w:rPr>
        <w:t>il</w:t>
      </w:r>
      <w:r>
        <w:rPr>
          <w:rFonts w:ascii="Arial" w:hAnsi="Arial" w:cs="Arial"/>
          <w:sz w:val="16"/>
          <w:szCs w:val="16"/>
        </w:rPr>
        <w:t>l</w:t>
      </w:r>
      <w:r>
        <w:rPr>
          <w:rFonts w:ascii="Arial" w:hAnsi="Arial" w:cs="Arial"/>
          <w:spacing w:val="-2"/>
          <w:sz w:val="16"/>
          <w:szCs w:val="16"/>
        </w:rPr>
        <w:t xml:space="preserve"> </w:t>
      </w:r>
      <w:r>
        <w:rPr>
          <w:rFonts w:ascii="Arial" w:hAnsi="Arial" w:cs="Arial"/>
          <w:spacing w:val="4"/>
          <w:sz w:val="16"/>
          <w:szCs w:val="16"/>
        </w:rPr>
        <w:t>m</w:t>
      </w:r>
      <w:r>
        <w:rPr>
          <w:rFonts w:ascii="Arial" w:hAnsi="Arial" w:cs="Arial"/>
          <w:spacing w:val="-1"/>
          <w:sz w:val="16"/>
          <w:szCs w:val="16"/>
        </w:rPr>
        <w:t>i</w:t>
      </w:r>
      <w:r>
        <w:rPr>
          <w:rFonts w:ascii="Arial" w:hAnsi="Arial" w:cs="Arial"/>
          <w:sz w:val="16"/>
          <w:szCs w:val="16"/>
        </w:rPr>
        <w:t>x</w:t>
      </w:r>
      <w:r>
        <w:rPr>
          <w:rFonts w:ascii="Arial" w:hAnsi="Arial" w:cs="Arial"/>
          <w:spacing w:val="-1"/>
          <w:sz w:val="16"/>
          <w:szCs w:val="16"/>
        </w:rPr>
        <w:t xml:space="preserve"> </w:t>
      </w:r>
      <w:r>
        <w:rPr>
          <w:rFonts w:ascii="Arial" w:hAnsi="Arial" w:cs="Arial"/>
          <w:sz w:val="16"/>
          <w:szCs w:val="16"/>
        </w:rPr>
        <w:t>and</w:t>
      </w:r>
      <w:r>
        <w:rPr>
          <w:rFonts w:ascii="Arial" w:hAnsi="Arial" w:cs="Arial"/>
          <w:spacing w:val="-1"/>
          <w:sz w:val="16"/>
          <w:szCs w:val="16"/>
        </w:rPr>
        <w:t xml:space="preserve"> </w:t>
      </w:r>
      <w:r>
        <w:rPr>
          <w:rFonts w:ascii="Arial" w:hAnsi="Arial" w:cs="Arial"/>
          <w:sz w:val="16"/>
          <w:szCs w:val="16"/>
        </w:rPr>
        <w:t>pa</w:t>
      </w:r>
      <w:r>
        <w:rPr>
          <w:rFonts w:ascii="Arial" w:hAnsi="Arial" w:cs="Arial"/>
          <w:spacing w:val="2"/>
          <w:sz w:val="16"/>
          <w:szCs w:val="16"/>
        </w:rPr>
        <w:t>t</w:t>
      </w:r>
      <w:r>
        <w:rPr>
          <w:rFonts w:ascii="Arial" w:hAnsi="Arial" w:cs="Arial"/>
          <w:spacing w:val="-1"/>
          <w:sz w:val="16"/>
          <w:szCs w:val="16"/>
        </w:rPr>
        <w:t>i</w:t>
      </w:r>
      <w:r>
        <w:rPr>
          <w:rFonts w:ascii="Arial" w:hAnsi="Arial" w:cs="Arial"/>
          <w:sz w:val="16"/>
          <w:szCs w:val="16"/>
        </w:rPr>
        <w:t>e</w:t>
      </w:r>
      <w:r>
        <w:rPr>
          <w:rFonts w:ascii="Arial" w:hAnsi="Arial" w:cs="Arial"/>
          <w:spacing w:val="2"/>
          <w:sz w:val="16"/>
          <w:szCs w:val="16"/>
        </w:rPr>
        <w:t>n</w:t>
      </w:r>
      <w:r>
        <w:rPr>
          <w:rFonts w:ascii="Arial" w:hAnsi="Arial" w:cs="Arial"/>
          <w:sz w:val="16"/>
          <w:szCs w:val="16"/>
        </w:rPr>
        <w:t>t out</w:t>
      </w:r>
      <w:r>
        <w:rPr>
          <w:rFonts w:ascii="Arial" w:hAnsi="Arial" w:cs="Arial"/>
          <w:spacing w:val="1"/>
          <w:sz w:val="16"/>
          <w:szCs w:val="16"/>
        </w:rPr>
        <w:t>c</w:t>
      </w:r>
      <w:r>
        <w:rPr>
          <w:rFonts w:ascii="Arial" w:hAnsi="Arial" w:cs="Arial"/>
          <w:sz w:val="16"/>
          <w:szCs w:val="16"/>
        </w:rPr>
        <w:t>o</w:t>
      </w:r>
      <w:r>
        <w:rPr>
          <w:rFonts w:ascii="Arial" w:hAnsi="Arial" w:cs="Arial"/>
          <w:spacing w:val="4"/>
          <w:sz w:val="16"/>
          <w:szCs w:val="16"/>
        </w:rPr>
        <w:t>m</w:t>
      </w:r>
      <w:r>
        <w:rPr>
          <w:rFonts w:ascii="Arial" w:hAnsi="Arial" w:cs="Arial"/>
          <w:sz w:val="16"/>
          <w:szCs w:val="16"/>
        </w:rPr>
        <w:t>es</w:t>
      </w:r>
      <w:r>
        <w:rPr>
          <w:rFonts w:ascii="Arial" w:hAnsi="Arial" w:cs="Arial"/>
          <w:spacing w:val="-2"/>
          <w:sz w:val="16"/>
          <w:szCs w:val="16"/>
        </w:rPr>
        <w:t xml:space="preserve"> </w:t>
      </w:r>
      <w:r>
        <w:rPr>
          <w:rFonts w:ascii="Arial" w:hAnsi="Arial" w:cs="Arial"/>
          <w:spacing w:val="2"/>
          <w:sz w:val="16"/>
          <w:szCs w:val="16"/>
        </w:rPr>
        <w:t>(</w:t>
      </w:r>
      <w:r>
        <w:rPr>
          <w:rFonts w:ascii="Arial" w:hAnsi="Arial" w:cs="Arial"/>
          <w:sz w:val="16"/>
          <w:szCs w:val="16"/>
        </w:rPr>
        <w:t>h</w:t>
      </w:r>
      <w:r>
        <w:rPr>
          <w:rFonts w:ascii="Arial" w:hAnsi="Arial" w:cs="Arial"/>
          <w:spacing w:val="-1"/>
          <w:sz w:val="16"/>
          <w:szCs w:val="16"/>
        </w:rPr>
        <w:t>i</w:t>
      </w:r>
      <w:r>
        <w:rPr>
          <w:rFonts w:ascii="Arial" w:hAnsi="Arial" w:cs="Arial"/>
          <w:sz w:val="16"/>
          <w:szCs w:val="16"/>
        </w:rPr>
        <w:t>gher p</w:t>
      </w:r>
      <w:r>
        <w:rPr>
          <w:rFonts w:ascii="Arial" w:hAnsi="Arial" w:cs="Arial"/>
          <w:spacing w:val="1"/>
          <w:sz w:val="16"/>
          <w:szCs w:val="16"/>
        </w:rPr>
        <w:t>r</w:t>
      </w:r>
      <w:r>
        <w:rPr>
          <w:rFonts w:ascii="Arial" w:hAnsi="Arial" w:cs="Arial"/>
          <w:spacing w:val="2"/>
          <w:sz w:val="16"/>
          <w:szCs w:val="16"/>
        </w:rPr>
        <w:t>o</w:t>
      </w:r>
      <w:r>
        <w:rPr>
          <w:rFonts w:ascii="Arial" w:hAnsi="Arial" w:cs="Arial"/>
          <w:sz w:val="16"/>
          <w:szCs w:val="16"/>
        </w:rPr>
        <w:t>po</w:t>
      </w:r>
      <w:r>
        <w:rPr>
          <w:rFonts w:ascii="Arial" w:hAnsi="Arial" w:cs="Arial"/>
          <w:spacing w:val="1"/>
          <w:sz w:val="16"/>
          <w:szCs w:val="16"/>
        </w:rPr>
        <w:t>r</w:t>
      </w:r>
      <w:r>
        <w:rPr>
          <w:rFonts w:ascii="Arial" w:hAnsi="Arial" w:cs="Arial"/>
          <w:spacing w:val="2"/>
          <w:sz w:val="16"/>
          <w:szCs w:val="16"/>
        </w:rPr>
        <w:t>t</w:t>
      </w:r>
      <w:r>
        <w:rPr>
          <w:rFonts w:ascii="Arial" w:hAnsi="Arial" w:cs="Arial"/>
          <w:spacing w:val="-1"/>
          <w:sz w:val="16"/>
          <w:szCs w:val="16"/>
        </w:rPr>
        <w:t>i</w:t>
      </w:r>
      <w:r>
        <w:rPr>
          <w:rFonts w:ascii="Arial" w:hAnsi="Arial" w:cs="Arial"/>
          <w:spacing w:val="2"/>
          <w:sz w:val="16"/>
          <w:szCs w:val="16"/>
        </w:rPr>
        <w:t>o</w:t>
      </w:r>
      <w:r>
        <w:rPr>
          <w:rFonts w:ascii="Arial" w:hAnsi="Arial" w:cs="Arial"/>
          <w:sz w:val="16"/>
          <w:szCs w:val="16"/>
        </w:rPr>
        <w:t>n</w:t>
      </w:r>
      <w:r>
        <w:rPr>
          <w:rFonts w:ascii="Arial" w:hAnsi="Arial" w:cs="Arial"/>
          <w:spacing w:val="-2"/>
          <w:sz w:val="16"/>
          <w:szCs w:val="16"/>
        </w:rPr>
        <w:t xml:space="preserve"> </w:t>
      </w:r>
      <w:r>
        <w:rPr>
          <w:rFonts w:ascii="Arial" w:hAnsi="Arial" w:cs="Arial"/>
          <w:sz w:val="16"/>
          <w:szCs w:val="16"/>
        </w:rPr>
        <w:t>of nu</w:t>
      </w:r>
      <w:r>
        <w:rPr>
          <w:rFonts w:ascii="Arial" w:hAnsi="Arial" w:cs="Arial"/>
          <w:spacing w:val="1"/>
          <w:sz w:val="16"/>
          <w:szCs w:val="16"/>
        </w:rPr>
        <w:t>rs</w:t>
      </w:r>
      <w:r>
        <w:rPr>
          <w:rFonts w:ascii="Arial" w:hAnsi="Arial" w:cs="Arial"/>
          <w:spacing w:val="-1"/>
          <w:sz w:val="16"/>
          <w:szCs w:val="16"/>
        </w:rPr>
        <w:t>i</w:t>
      </w:r>
      <w:r>
        <w:rPr>
          <w:rFonts w:ascii="Arial" w:hAnsi="Arial" w:cs="Arial"/>
          <w:sz w:val="16"/>
          <w:szCs w:val="16"/>
        </w:rPr>
        <w:t>ng</w:t>
      </w:r>
      <w:r>
        <w:rPr>
          <w:rFonts w:ascii="Arial" w:hAnsi="Arial" w:cs="Arial"/>
          <w:spacing w:val="2"/>
          <w:sz w:val="16"/>
          <w:szCs w:val="16"/>
        </w:rPr>
        <w:t xml:space="preserve"> </w:t>
      </w:r>
      <w:r>
        <w:rPr>
          <w:rFonts w:ascii="Arial" w:hAnsi="Arial" w:cs="Arial"/>
          <w:sz w:val="16"/>
          <w:szCs w:val="16"/>
        </w:rPr>
        <w:t>h</w:t>
      </w:r>
      <w:r>
        <w:rPr>
          <w:rFonts w:ascii="Arial" w:hAnsi="Arial" w:cs="Arial"/>
          <w:spacing w:val="2"/>
          <w:sz w:val="16"/>
          <w:szCs w:val="16"/>
        </w:rPr>
        <w:t>o</w:t>
      </w:r>
      <w:r>
        <w:rPr>
          <w:rFonts w:ascii="Arial" w:hAnsi="Arial" w:cs="Arial"/>
          <w:sz w:val="16"/>
          <w:szCs w:val="16"/>
        </w:rPr>
        <w:t>u</w:t>
      </w:r>
      <w:r>
        <w:rPr>
          <w:rFonts w:ascii="Arial" w:hAnsi="Arial" w:cs="Arial"/>
          <w:spacing w:val="1"/>
          <w:sz w:val="16"/>
          <w:szCs w:val="16"/>
        </w:rPr>
        <w:t>r</w:t>
      </w:r>
      <w:r>
        <w:rPr>
          <w:rFonts w:ascii="Arial" w:hAnsi="Arial" w:cs="Arial"/>
          <w:sz w:val="16"/>
          <w:szCs w:val="16"/>
        </w:rPr>
        <w:t>s p</w:t>
      </w:r>
      <w:r>
        <w:rPr>
          <w:rFonts w:ascii="Arial" w:hAnsi="Arial" w:cs="Arial"/>
          <w:spacing w:val="1"/>
          <w:sz w:val="16"/>
          <w:szCs w:val="16"/>
        </w:rPr>
        <w:t>r</w:t>
      </w:r>
      <w:r>
        <w:rPr>
          <w:rFonts w:ascii="Arial" w:hAnsi="Arial" w:cs="Arial"/>
          <w:sz w:val="16"/>
          <w:szCs w:val="16"/>
        </w:rPr>
        <w:t>o</w:t>
      </w:r>
      <w:r>
        <w:rPr>
          <w:rFonts w:ascii="Arial" w:hAnsi="Arial" w:cs="Arial"/>
          <w:spacing w:val="1"/>
          <w:sz w:val="16"/>
          <w:szCs w:val="16"/>
        </w:rPr>
        <w:t>v</w:t>
      </w:r>
      <w:r>
        <w:rPr>
          <w:rFonts w:ascii="Arial" w:hAnsi="Arial" w:cs="Arial"/>
          <w:spacing w:val="-1"/>
          <w:sz w:val="16"/>
          <w:szCs w:val="16"/>
        </w:rPr>
        <w:t>i</w:t>
      </w:r>
      <w:r>
        <w:rPr>
          <w:rFonts w:ascii="Arial" w:hAnsi="Arial" w:cs="Arial"/>
          <w:sz w:val="16"/>
          <w:szCs w:val="16"/>
        </w:rPr>
        <w:t>d</w:t>
      </w:r>
      <w:r>
        <w:rPr>
          <w:rFonts w:ascii="Arial" w:hAnsi="Arial" w:cs="Arial"/>
          <w:spacing w:val="2"/>
          <w:sz w:val="16"/>
          <w:szCs w:val="16"/>
        </w:rPr>
        <w:t>e</w:t>
      </w:r>
      <w:r>
        <w:rPr>
          <w:rFonts w:ascii="Arial" w:hAnsi="Arial" w:cs="Arial"/>
          <w:sz w:val="16"/>
          <w:szCs w:val="16"/>
        </w:rPr>
        <w:t>d</w:t>
      </w:r>
      <w:r>
        <w:rPr>
          <w:rFonts w:ascii="Arial" w:hAnsi="Arial" w:cs="Arial"/>
          <w:spacing w:val="-2"/>
          <w:sz w:val="16"/>
          <w:szCs w:val="16"/>
        </w:rPr>
        <w:t xml:space="preserve"> </w:t>
      </w:r>
      <w:r>
        <w:rPr>
          <w:rFonts w:ascii="Arial" w:hAnsi="Arial" w:cs="Arial"/>
          <w:spacing w:val="4"/>
          <w:sz w:val="16"/>
          <w:szCs w:val="16"/>
        </w:rPr>
        <w:t>b</w:t>
      </w:r>
      <w:r>
        <w:rPr>
          <w:rFonts w:ascii="Arial" w:hAnsi="Arial" w:cs="Arial"/>
          <w:sz w:val="16"/>
          <w:szCs w:val="16"/>
        </w:rPr>
        <w:t>y</w:t>
      </w:r>
      <w:r>
        <w:rPr>
          <w:rFonts w:ascii="Arial" w:hAnsi="Arial" w:cs="Arial"/>
          <w:spacing w:val="-2"/>
          <w:sz w:val="16"/>
          <w:szCs w:val="16"/>
        </w:rPr>
        <w:t xml:space="preserve"> </w:t>
      </w:r>
      <w:r>
        <w:rPr>
          <w:rFonts w:ascii="Arial" w:hAnsi="Arial" w:cs="Arial"/>
          <w:sz w:val="16"/>
          <w:szCs w:val="16"/>
        </w:rPr>
        <w:t>RNs</w:t>
      </w:r>
      <w:r>
        <w:rPr>
          <w:rFonts w:ascii="Arial" w:hAnsi="Arial" w:cs="Arial"/>
          <w:spacing w:val="-3"/>
          <w:sz w:val="16"/>
          <w:szCs w:val="16"/>
        </w:rPr>
        <w:t xml:space="preserve"> </w:t>
      </w:r>
      <w:r>
        <w:rPr>
          <w:rFonts w:ascii="Arial" w:hAnsi="Arial" w:cs="Arial"/>
          <w:spacing w:val="-1"/>
          <w:sz w:val="16"/>
          <w:szCs w:val="16"/>
        </w:rPr>
        <w:t>i</w:t>
      </w:r>
      <w:r>
        <w:rPr>
          <w:rFonts w:ascii="Arial" w:hAnsi="Arial" w:cs="Arial"/>
          <w:sz w:val="16"/>
          <w:szCs w:val="16"/>
        </w:rPr>
        <w:t>s</w:t>
      </w:r>
      <w:r>
        <w:rPr>
          <w:rFonts w:ascii="Arial" w:hAnsi="Arial" w:cs="Arial"/>
          <w:spacing w:val="1"/>
          <w:sz w:val="16"/>
          <w:szCs w:val="16"/>
        </w:rPr>
        <w:t xml:space="preserve"> r</w:t>
      </w:r>
      <w:r>
        <w:rPr>
          <w:rFonts w:ascii="Arial" w:hAnsi="Arial" w:cs="Arial"/>
          <w:sz w:val="16"/>
          <w:szCs w:val="16"/>
        </w:rPr>
        <w:t>e</w:t>
      </w:r>
      <w:r>
        <w:rPr>
          <w:rFonts w:ascii="Arial" w:hAnsi="Arial" w:cs="Arial"/>
          <w:spacing w:val="1"/>
          <w:sz w:val="16"/>
          <w:szCs w:val="16"/>
        </w:rPr>
        <w:t>l</w:t>
      </w:r>
      <w:r>
        <w:rPr>
          <w:rFonts w:ascii="Arial" w:hAnsi="Arial" w:cs="Arial"/>
          <w:sz w:val="16"/>
          <w:szCs w:val="16"/>
        </w:rPr>
        <w:t>ated</w:t>
      </w:r>
      <w:r>
        <w:rPr>
          <w:rFonts w:ascii="Arial" w:hAnsi="Arial" w:cs="Arial"/>
          <w:spacing w:val="1"/>
          <w:sz w:val="16"/>
          <w:szCs w:val="16"/>
        </w:rPr>
        <w:t xml:space="preserve"> </w:t>
      </w:r>
      <w:r>
        <w:rPr>
          <w:rFonts w:ascii="Arial" w:hAnsi="Arial" w:cs="Arial"/>
          <w:sz w:val="16"/>
          <w:szCs w:val="16"/>
        </w:rPr>
        <w:t>to h</w:t>
      </w:r>
      <w:r>
        <w:rPr>
          <w:rFonts w:ascii="Arial" w:hAnsi="Arial" w:cs="Arial"/>
          <w:spacing w:val="-1"/>
          <w:sz w:val="16"/>
          <w:szCs w:val="16"/>
        </w:rPr>
        <w:t>i</w:t>
      </w:r>
      <w:r>
        <w:rPr>
          <w:rFonts w:ascii="Arial" w:hAnsi="Arial" w:cs="Arial"/>
          <w:spacing w:val="2"/>
          <w:sz w:val="16"/>
          <w:szCs w:val="16"/>
        </w:rPr>
        <w:t>g</w:t>
      </w:r>
      <w:r>
        <w:rPr>
          <w:rFonts w:ascii="Arial" w:hAnsi="Arial" w:cs="Arial"/>
          <w:sz w:val="16"/>
          <w:szCs w:val="16"/>
        </w:rPr>
        <w:t xml:space="preserve">her </w:t>
      </w:r>
      <w:r>
        <w:rPr>
          <w:rFonts w:ascii="Arial" w:hAnsi="Arial" w:cs="Arial"/>
          <w:spacing w:val="1"/>
          <w:sz w:val="16"/>
          <w:szCs w:val="16"/>
        </w:rPr>
        <w:t>r</w:t>
      </w:r>
      <w:r>
        <w:rPr>
          <w:rFonts w:ascii="Arial" w:hAnsi="Arial" w:cs="Arial"/>
          <w:sz w:val="16"/>
          <w:szCs w:val="16"/>
        </w:rPr>
        <w:t>a</w:t>
      </w:r>
      <w:r>
        <w:rPr>
          <w:rFonts w:ascii="Arial" w:hAnsi="Arial" w:cs="Arial"/>
          <w:spacing w:val="2"/>
          <w:sz w:val="16"/>
          <w:szCs w:val="16"/>
        </w:rPr>
        <w:t>t</w:t>
      </w:r>
      <w:r>
        <w:rPr>
          <w:rFonts w:ascii="Arial" w:hAnsi="Arial" w:cs="Arial"/>
          <w:sz w:val="16"/>
          <w:szCs w:val="16"/>
        </w:rPr>
        <w:t>es of the</w:t>
      </w:r>
      <w:r>
        <w:rPr>
          <w:rFonts w:ascii="Arial" w:hAnsi="Arial" w:cs="Arial"/>
          <w:spacing w:val="-4"/>
          <w:sz w:val="16"/>
          <w:szCs w:val="16"/>
        </w:rPr>
        <w:t xml:space="preserve"> </w:t>
      </w:r>
      <w:r>
        <w:rPr>
          <w:rFonts w:ascii="Arial" w:hAnsi="Arial" w:cs="Arial"/>
          <w:spacing w:val="2"/>
          <w:sz w:val="16"/>
          <w:szCs w:val="16"/>
        </w:rPr>
        <w:t>p</w:t>
      </w:r>
      <w:r>
        <w:rPr>
          <w:rFonts w:ascii="Arial" w:hAnsi="Arial" w:cs="Arial"/>
          <w:sz w:val="16"/>
          <w:szCs w:val="16"/>
        </w:rPr>
        <w:t>at</w:t>
      </w:r>
      <w:r>
        <w:rPr>
          <w:rFonts w:ascii="Arial" w:hAnsi="Arial" w:cs="Arial"/>
          <w:spacing w:val="1"/>
          <w:sz w:val="16"/>
          <w:szCs w:val="16"/>
        </w:rPr>
        <w:t>i</w:t>
      </w:r>
      <w:r>
        <w:rPr>
          <w:rFonts w:ascii="Arial" w:hAnsi="Arial" w:cs="Arial"/>
          <w:sz w:val="16"/>
          <w:szCs w:val="16"/>
        </w:rPr>
        <w:t>ent</w:t>
      </w:r>
      <w:r>
        <w:rPr>
          <w:rFonts w:ascii="Arial" w:hAnsi="Arial" w:cs="Arial"/>
          <w:spacing w:val="1"/>
          <w:sz w:val="16"/>
          <w:szCs w:val="16"/>
        </w:rPr>
        <w:t xml:space="preserve"> </w:t>
      </w:r>
      <w:r>
        <w:rPr>
          <w:rFonts w:ascii="Arial" w:hAnsi="Arial" w:cs="Arial"/>
          <w:sz w:val="16"/>
          <w:szCs w:val="16"/>
        </w:rPr>
        <w:t>out</w:t>
      </w:r>
      <w:r>
        <w:rPr>
          <w:rFonts w:ascii="Arial" w:hAnsi="Arial" w:cs="Arial"/>
          <w:spacing w:val="1"/>
          <w:sz w:val="16"/>
          <w:szCs w:val="16"/>
        </w:rPr>
        <w:t>c</w:t>
      </w:r>
      <w:r>
        <w:rPr>
          <w:rFonts w:ascii="Arial" w:hAnsi="Arial" w:cs="Arial"/>
          <w:sz w:val="16"/>
          <w:szCs w:val="16"/>
        </w:rPr>
        <w:t>o</w:t>
      </w:r>
      <w:r>
        <w:rPr>
          <w:rFonts w:ascii="Arial" w:hAnsi="Arial" w:cs="Arial"/>
          <w:spacing w:val="4"/>
          <w:sz w:val="16"/>
          <w:szCs w:val="16"/>
        </w:rPr>
        <w:t>m</w:t>
      </w:r>
      <w:r>
        <w:rPr>
          <w:rFonts w:ascii="Arial" w:hAnsi="Arial" w:cs="Arial"/>
          <w:sz w:val="16"/>
          <w:szCs w:val="16"/>
        </w:rPr>
        <w:t>e</w:t>
      </w:r>
      <w:r>
        <w:rPr>
          <w:rFonts w:ascii="Arial" w:hAnsi="Arial" w:cs="Arial"/>
          <w:spacing w:val="1"/>
          <w:sz w:val="16"/>
          <w:szCs w:val="16"/>
        </w:rPr>
        <w:t>s</w:t>
      </w:r>
      <w:r>
        <w:rPr>
          <w:rFonts w:ascii="Arial" w:hAnsi="Arial" w:cs="Arial"/>
          <w:spacing w:val="-2"/>
          <w:sz w:val="16"/>
          <w:szCs w:val="16"/>
        </w:rPr>
        <w:t>)</w:t>
      </w:r>
      <w:r>
        <w:rPr>
          <w:rFonts w:ascii="Arial" w:hAnsi="Arial" w:cs="Arial"/>
          <w:sz w:val="16"/>
          <w:szCs w:val="16"/>
        </w:rPr>
        <w:t>;</w:t>
      </w:r>
      <w:r>
        <w:rPr>
          <w:rFonts w:ascii="Arial" w:hAnsi="Arial" w:cs="Arial"/>
          <w:spacing w:val="-3"/>
          <w:sz w:val="16"/>
          <w:szCs w:val="16"/>
        </w:rPr>
        <w:t xml:space="preserve"> </w:t>
      </w:r>
      <w:r>
        <w:rPr>
          <w:rFonts w:ascii="Arial" w:hAnsi="Arial" w:cs="Arial"/>
          <w:sz w:val="16"/>
          <w:szCs w:val="16"/>
        </w:rPr>
        <w:t>NS</w:t>
      </w:r>
      <w:r>
        <w:rPr>
          <w:rFonts w:ascii="Arial" w:hAnsi="Arial" w:cs="Arial"/>
          <w:spacing w:val="-2"/>
          <w:sz w:val="16"/>
          <w:szCs w:val="16"/>
        </w:rPr>
        <w:t xml:space="preserve"> </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r</w:t>
      </w:r>
      <w:r>
        <w:rPr>
          <w:rFonts w:ascii="Arial" w:hAnsi="Arial" w:cs="Arial"/>
          <w:sz w:val="16"/>
          <w:szCs w:val="16"/>
        </w:rPr>
        <w:t>e</w:t>
      </w:r>
      <w:r>
        <w:rPr>
          <w:rFonts w:ascii="Arial" w:hAnsi="Arial" w:cs="Arial"/>
          <w:spacing w:val="1"/>
          <w:sz w:val="16"/>
          <w:szCs w:val="16"/>
        </w:rPr>
        <w:t>s</w:t>
      </w:r>
      <w:r>
        <w:rPr>
          <w:rFonts w:ascii="Arial" w:hAnsi="Arial" w:cs="Arial"/>
          <w:spacing w:val="2"/>
          <w:sz w:val="16"/>
          <w:szCs w:val="16"/>
        </w:rPr>
        <w:t>u</w:t>
      </w:r>
      <w:r>
        <w:rPr>
          <w:rFonts w:ascii="Arial" w:hAnsi="Arial" w:cs="Arial"/>
          <w:spacing w:val="-1"/>
          <w:sz w:val="16"/>
          <w:szCs w:val="16"/>
        </w:rPr>
        <w:t>l</w:t>
      </w:r>
      <w:r>
        <w:rPr>
          <w:rFonts w:ascii="Arial" w:hAnsi="Arial" w:cs="Arial"/>
          <w:sz w:val="16"/>
          <w:szCs w:val="16"/>
        </w:rPr>
        <w:t>ts</w:t>
      </w:r>
      <w:r>
        <w:rPr>
          <w:rFonts w:ascii="Arial" w:hAnsi="Arial" w:cs="Arial"/>
          <w:spacing w:val="2"/>
          <w:sz w:val="16"/>
          <w:szCs w:val="16"/>
        </w:rPr>
        <w:t xml:space="preserve"> </w:t>
      </w:r>
      <w:r>
        <w:rPr>
          <w:rFonts w:ascii="Arial" w:hAnsi="Arial" w:cs="Arial"/>
          <w:spacing w:val="-2"/>
          <w:sz w:val="16"/>
          <w:szCs w:val="16"/>
        </w:rPr>
        <w:t>w</w:t>
      </w:r>
      <w:r>
        <w:rPr>
          <w:rFonts w:ascii="Arial" w:hAnsi="Arial" w:cs="Arial"/>
          <w:sz w:val="16"/>
          <w:szCs w:val="16"/>
        </w:rPr>
        <w:t>e</w:t>
      </w:r>
      <w:r>
        <w:rPr>
          <w:rFonts w:ascii="Arial" w:hAnsi="Arial" w:cs="Arial"/>
          <w:spacing w:val="1"/>
          <w:sz w:val="16"/>
          <w:szCs w:val="16"/>
        </w:rPr>
        <w:t>r</w:t>
      </w:r>
      <w:r>
        <w:rPr>
          <w:rFonts w:ascii="Arial" w:hAnsi="Arial" w:cs="Arial"/>
          <w:sz w:val="16"/>
          <w:szCs w:val="16"/>
        </w:rPr>
        <w:t>e</w:t>
      </w:r>
      <w:r>
        <w:rPr>
          <w:rFonts w:ascii="Arial" w:hAnsi="Arial" w:cs="Arial"/>
          <w:spacing w:val="1"/>
          <w:sz w:val="16"/>
          <w:szCs w:val="16"/>
        </w:rPr>
        <w:t xml:space="preserve"> </w:t>
      </w:r>
      <w:r>
        <w:rPr>
          <w:rFonts w:ascii="Arial" w:hAnsi="Arial" w:cs="Arial"/>
          <w:sz w:val="16"/>
          <w:szCs w:val="16"/>
        </w:rPr>
        <w:t>not</w:t>
      </w:r>
      <w:r>
        <w:rPr>
          <w:rFonts w:ascii="Arial" w:hAnsi="Arial" w:cs="Arial"/>
          <w:spacing w:val="-3"/>
          <w:sz w:val="16"/>
          <w:szCs w:val="16"/>
        </w:rPr>
        <w:t xml:space="preserve"> </w:t>
      </w:r>
      <w:r>
        <w:rPr>
          <w:rFonts w:ascii="Arial" w:hAnsi="Arial" w:cs="Arial"/>
          <w:spacing w:val="4"/>
          <w:sz w:val="16"/>
          <w:szCs w:val="16"/>
        </w:rPr>
        <w:t>s</w:t>
      </w:r>
      <w:r>
        <w:rPr>
          <w:rFonts w:ascii="Arial" w:hAnsi="Arial" w:cs="Arial"/>
          <w:spacing w:val="-1"/>
          <w:sz w:val="16"/>
          <w:szCs w:val="16"/>
        </w:rPr>
        <w:t>i</w:t>
      </w:r>
      <w:r>
        <w:rPr>
          <w:rFonts w:ascii="Arial" w:hAnsi="Arial" w:cs="Arial"/>
          <w:sz w:val="16"/>
          <w:szCs w:val="16"/>
        </w:rPr>
        <w:t>g</w:t>
      </w:r>
      <w:r>
        <w:rPr>
          <w:rFonts w:ascii="Arial" w:hAnsi="Arial" w:cs="Arial"/>
          <w:spacing w:val="2"/>
          <w:sz w:val="16"/>
          <w:szCs w:val="16"/>
        </w:rPr>
        <w:t>n</w:t>
      </w:r>
      <w:r>
        <w:rPr>
          <w:rFonts w:ascii="Arial" w:hAnsi="Arial" w:cs="Arial"/>
          <w:spacing w:val="-1"/>
          <w:sz w:val="16"/>
          <w:szCs w:val="16"/>
        </w:rPr>
        <w:t>i</w:t>
      </w:r>
      <w:r>
        <w:rPr>
          <w:rFonts w:ascii="Arial" w:hAnsi="Arial" w:cs="Arial"/>
          <w:spacing w:val="2"/>
          <w:sz w:val="16"/>
          <w:szCs w:val="16"/>
        </w:rPr>
        <w:t>f</w:t>
      </w:r>
      <w:r>
        <w:rPr>
          <w:rFonts w:ascii="Arial" w:hAnsi="Arial" w:cs="Arial"/>
          <w:spacing w:val="-1"/>
          <w:sz w:val="16"/>
          <w:szCs w:val="16"/>
        </w:rPr>
        <w:t>i</w:t>
      </w:r>
      <w:r>
        <w:rPr>
          <w:rFonts w:ascii="Arial" w:hAnsi="Arial" w:cs="Arial"/>
          <w:spacing w:val="1"/>
          <w:sz w:val="16"/>
          <w:szCs w:val="16"/>
        </w:rPr>
        <w:t>c</w:t>
      </w:r>
      <w:r>
        <w:rPr>
          <w:rFonts w:ascii="Arial" w:hAnsi="Arial" w:cs="Arial"/>
          <w:sz w:val="16"/>
          <w:szCs w:val="16"/>
        </w:rPr>
        <w:t>ant;</w:t>
      </w:r>
      <w:r>
        <w:rPr>
          <w:rFonts w:ascii="Arial" w:hAnsi="Arial" w:cs="Arial"/>
          <w:spacing w:val="-1"/>
          <w:sz w:val="16"/>
          <w:szCs w:val="16"/>
        </w:rPr>
        <w:t xml:space="preserve"> </w:t>
      </w:r>
      <w:r>
        <w:rPr>
          <w:rFonts w:ascii="Arial" w:hAnsi="Arial" w:cs="Arial"/>
          <w:sz w:val="16"/>
          <w:szCs w:val="16"/>
        </w:rPr>
        <w:t>RN =</w:t>
      </w:r>
      <w:r>
        <w:rPr>
          <w:rFonts w:ascii="Arial" w:hAnsi="Arial" w:cs="Arial"/>
          <w:spacing w:val="-2"/>
          <w:sz w:val="16"/>
          <w:szCs w:val="16"/>
        </w:rPr>
        <w:t xml:space="preserve"> </w:t>
      </w:r>
      <w:r>
        <w:rPr>
          <w:rFonts w:ascii="Arial" w:hAnsi="Arial" w:cs="Arial"/>
          <w:spacing w:val="1"/>
          <w:sz w:val="16"/>
          <w:szCs w:val="16"/>
        </w:rPr>
        <w:t>r</w:t>
      </w:r>
      <w:r>
        <w:rPr>
          <w:rFonts w:ascii="Arial" w:hAnsi="Arial" w:cs="Arial"/>
          <w:spacing w:val="2"/>
          <w:sz w:val="16"/>
          <w:szCs w:val="16"/>
        </w:rPr>
        <w:t>e</w:t>
      </w:r>
      <w:r>
        <w:rPr>
          <w:rFonts w:ascii="Arial" w:hAnsi="Arial" w:cs="Arial"/>
          <w:sz w:val="16"/>
          <w:szCs w:val="16"/>
        </w:rPr>
        <w:t>g</w:t>
      </w:r>
      <w:r>
        <w:rPr>
          <w:rFonts w:ascii="Arial" w:hAnsi="Arial" w:cs="Arial"/>
          <w:spacing w:val="-1"/>
          <w:sz w:val="16"/>
          <w:szCs w:val="16"/>
        </w:rPr>
        <w:t>i</w:t>
      </w:r>
      <w:r>
        <w:rPr>
          <w:rFonts w:ascii="Arial" w:hAnsi="Arial" w:cs="Arial"/>
          <w:spacing w:val="1"/>
          <w:sz w:val="16"/>
          <w:szCs w:val="16"/>
        </w:rPr>
        <w:t>s</w:t>
      </w:r>
      <w:r>
        <w:rPr>
          <w:rFonts w:ascii="Arial" w:hAnsi="Arial" w:cs="Arial"/>
          <w:sz w:val="16"/>
          <w:szCs w:val="16"/>
        </w:rPr>
        <w:t>te</w:t>
      </w:r>
      <w:r>
        <w:rPr>
          <w:rFonts w:ascii="Arial" w:hAnsi="Arial" w:cs="Arial"/>
          <w:spacing w:val="3"/>
          <w:sz w:val="16"/>
          <w:szCs w:val="16"/>
        </w:rPr>
        <w:t>r</w:t>
      </w:r>
      <w:r>
        <w:rPr>
          <w:rFonts w:ascii="Arial" w:hAnsi="Arial" w:cs="Arial"/>
          <w:sz w:val="16"/>
          <w:szCs w:val="16"/>
        </w:rPr>
        <w:t>ed</w:t>
      </w:r>
      <w:r>
        <w:rPr>
          <w:rFonts w:ascii="Arial" w:hAnsi="Arial" w:cs="Arial"/>
          <w:spacing w:val="-2"/>
          <w:sz w:val="16"/>
          <w:szCs w:val="16"/>
        </w:rPr>
        <w:t xml:space="preserve"> </w:t>
      </w:r>
      <w:r>
        <w:rPr>
          <w:rFonts w:ascii="Arial" w:hAnsi="Arial" w:cs="Arial"/>
          <w:spacing w:val="2"/>
          <w:sz w:val="16"/>
          <w:szCs w:val="16"/>
        </w:rPr>
        <w:t>n</w:t>
      </w:r>
      <w:r>
        <w:rPr>
          <w:rFonts w:ascii="Arial" w:hAnsi="Arial" w:cs="Arial"/>
          <w:sz w:val="16"/>
          <w:szCs w:val="16"/>
        </w:rPr>
        <w:t>u</w:t>
      </w:r>
      <w:r>
        <w:rPr>
          <w:rFonts w:ascii="Arial" w:hAnsi="Arial" w:cs="Arial"/>
          <w:spacing w:val="1"/>
          <w:sz w:val="16"/>
          <w:szCs w:val="16"/>
        </w:rPr>
        <w:t>rs</w:t>
      </w:r>
      <w:r>
        <w:rPr>
          <w:rFonts w:ascii="Arial" w:hAnsi="Arial" w:cs="Arial"/>
          <w:sz w:val="16"/>
          <w:szCs w:val="16"/>
        </w:rPr>
        <w:t>e</w:t>
      </w:r>
      <w:r>
        <w:rPr>
          <w:rFonts w:ascii="Arial" w:hAnsi="Arial" w:cs="Arial"/>
          <w:spacing w:val="1"/>
          <w:sz w:val="16"/>
          <w:szCs w:val="16"/>
        </w:rPr>
        <w:t>s</w:t>
      </w:r>
      <w:r>
        <w:rPr>
          <w:rFonts w:ascii="Arial" w:hAnsi="Arial" w:cs="Arial"/>
          <w:sz w:val="16"/>
          <w:szCs w:val="16"/>
        </w:rPr>
        <w:t>.</w:t>
      </w:r>
    </w:p>
    <w:p w14:paraId="5C566E8A" w14:textId="77777777" w:rsidR="003A0972" w:rsidRDefault="003A0972" w:rsidP="003A0972"/>
    <w:p w14:paraId="2E079FC5" w14:textId="7448266B" w:rsidR="003A0972" w:rsidRDefault="003A0972" w:rsidP="003A0972"/>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79C4B5AB" w14:textId="77777777" w:rsidR="003A0972" w:rsidRDefault="003A0972" w:rsidP="003A0972">
      <w:pPr>
        <w:ind w:left="0" w:firstLine="0"/>
      </w:pPr>
      <w:r>
        <w:t>Databases, including PubMed and CINAHL were used to identify research utilizing skill mix as a staffing measure in relation to patient outcomes.</w:t>
      </w:r>
    </w:p>
    <w:p w14:paraId="55B8DA9C" w14:textId="77777777" w:rsidR="00837121" w:rsidRPr="003B1CC5" w:rsidRDefault="00837121" w:rsidP="002E2177">
      <w:pPr>
        <w:ind w:left="0" w:firstLine="0"/>
      </w:pPr>
    </w:p>
    <w:p w14:paraId="55B8DA9D" w14:textId="7DFB5B9C"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63EEC0BA" w14:textId="77777777" w:rsidR="003A0972" w:rsidRDefault="003A0972" w:rsidP="003A0972">
      <w:pPr>
        <w:rPr>
          <w:b/>
        </w:rPr>
      </w:pPr>
      <w:r>
        <w:rPr>
          <w:b/>
        </w:rPr>
        <w:t>References</w:t>
      </w:r>
    </w:p>
    <w:p w14:paraId="59648A7E" w14:textId="77777777" w:rsidR="003A0972" w:rsidRDefault="003A0972" w:rsidP="003A0972">
      <w:pPr>
        <w:pStyle w:val="Bibliography"/>
        <w:rPr>
          <w:rFonts w:ascii="Calibri" w:hAnsi="Calibri"/>
        </w:rPr>
      </w:pPr>
      <w:r>
        <w:lastRenderedPageBreak/>
        <w:fldChar w:fldCharType="begin"/>
      </w:r>
      <w:r>
        <w:instrText xml:space="preserve"> ADDIN ZOTERO_BIBL {"custom":[]} CSL_BIBLIOGRAPHY </w:instrText>
      </w:r>
      <w:r>
        <w:fldChar w:fldCharType="separate"/>
      </w:r>
      <w:r>
        <w:rPr>
          <w:rFonts w:ascii="Calibri" w:hAnsi="Calibri"/>
        </w:rPr>
        <w:t xml:space="preserve">Blegen, M. A., &amp; Vaughn, T. (1998). A multisite study of nurse staffing and patient occurrences. </w:t>
      </w:r>
      <w:r>
        <w:rPr>
          <w:rFonts w:ascii="Calibri" w:hAnsi="Calibri"/>
          <w:i/>
          <w:iCs/>
        </w:rPr>
        <w:t>Nursing Economic$</w:t>
      </w:r>
      <w:r>
        <w:rPr>
          <w:rFonts w:ascii="Calibri" w:hAnsi="Calibri"/>
        </w:rPr>
        <w:t xml:space="preserve">, </w:t>
      </w:r>
      <w:r>
        <w:rPr>
          <w:rFonts w:ascii="Calibri" w:hAnsi="Calibri"/>
          <w:i/>
          <w:iCs/>
        </w:rPr>
        <w:t>16</w:t>
      </w:r>
      <w:r>
        <w:rPr>
          <w:rFonts w:ascii="Calibri" w:hAnsi="Calibri"/>
        </w:rPr>
        <w:t>(4), 196–203.</w:t>
      </w:r>
    </w:p>
    <w:p w14:paraId="0121E556" w14:textId="77777777" w:rsidR="003A0972" w:rsidRDefault="003A0972" w:rsidP="003A0972">
      <w:pPr>
        <w:pStyle w:val="Bibliography"/>
        <w:rPr>
          <w:rFonts w:ascii="Calibri" w:hAnsi="Calibri"/>
        </w:rPr>
      </w:pPr>
      <w:r>
        <w:rPr>
          <w:rFonts w:ascii="Calibri" w:hAnsi="Calibri"/>
        </w:rPr>
        <w:t xml:space="preserve">Blegen, M., Goode, C., Spetz, J., Vaughn, T., &amp; Park, S. (2011). Nurse staffing effects on patient outcomes: safety-net and non-safety-net hospitals. </w:t>
      </w:r>
      <w:r>
        <w:rPr>
          <w:rFonts w:ascii="Calibri" w:hAnsi="Calibri"/>
          <w:i/>
          <w:iCs/>
        </w:rPr>
        <w:t>Medical Care</w:t>
      </w:r>
      <w:r>
        <w:rPr>
          <w:rFonts w:ascii="Calibri" w:hAnsi="Calibri"/>
        </w:rPr>
        <w:t xml:space="preserve">, </w:t>
      </w:r>
      <w:r>
        <w:rPr>
          <w:rFonts w:ascii="Calibri" w:hAnsi="Calibri"/>
          <w:i/>
          <w:iCs/>
        </w:rPr>
        <w:t>49</w:t>
      </w:r>
      <w:r>
        <w:rPr>
          <w:rFonts w:ascii="Calibri" w:hAnsi="Calibri"/>
        </w:rPr>
        <w:t>(4), 406–414. http://doi.org/10.1097/MLR.0b013e318202e129</w:t>
      </w:r>
    </w:p>
    <w:p w14:paraId="0C67B464" w14:textId="77777777" w:rsidR="003A0972" w:rsidRDefault="003A0972" w:rsidP="003A0972">
      <w:pPr>
        <w:pStyle w:val="Bibliography"/>
        <w:rPr>
          <w:rFonts w:ascii="Calibri" w:hAnsi="Calibri"/>
        </w:rPr>
      </w:pPr>
      <w:r>
        <w:rPr>
          <w:rFonts w:ascii="Calibri" w:hAnsi="Calibri"/>
        </w:rPr>
        <w:t xml:space="preserve">Choi, J., &amp; Staggs, V. S. (2014). Comparability of nurse staffing measures in examining the relationship between RN staffing and unit-acquired pressure ulcers: a unit-level descriptive, correlational study. </w:t>
      </w:r>
      <w:r>
        <w:rPr>
          <w:rFonts w:ascii="Calibri" w:hAnsi="Calibri"/>
          <w:i/>
          <w:iCs/>
        </w:rPr>
        <w:t>International Journal of Nursing Studies</w:t>
      </w:r>
      <w:r>
        <w:rPr>
          <w:rFonts w:ascii="Calibri" w:hAnsi="Calibri"/>
        </w:rPr>
        <w:t xml:space="preserve">, </w:t>
      </w:r>
      <w:r>
        <w:rPr>
          <w:rFonts w:ascii="Calibri" w:hAnsi="Calibri"/>
          <w:i/>
          <w:iCs/>
        </w:rPr>
        <w:t>51</w:t>
      </w:r>
      <w:r>
        <w:rPr>
          <w:rFonts w:ascii="Calibri" w:hAnsi="Calibri"/>
        </w:rPr>
        <w:t>(10), 1344–1352. http://doi.org/10.1016/j.ijnurstu.2014.02.011</w:t>
      </w:r>
    </w:p>
    <w:p w14:paraId="018010E3" w14:textId="77777777" w:rsidR="003A0972" w:rsidRDefault="003A0972" w:rsidP="003A0972">
      <w:pPr>
        <w:pStyle w:val="Bibliography"/>
        <w:rPr>
          <w:rFonts w:ascii="Calibri" w:hAnsi="Calibri"/>
        </w:rPr>
      </w:pPr>
      <w:r>
        <w:rPr>
          <w:rFonts w:ascii="Calibri" w:hAnsi="Calibri"/>
        </w:rPr>
        <w:t xml:space="preserve">Cho, S.-H., Ketefian, S., Barkauskas, V. H., &amp; Smith, D. G. (2003). The effects of nurse staffing on adverse events, morbidity, mortality, and medical costs. </w:t>
      </w:r>
      <w:r>
        <w:rPr>
          <w:rFonts w:ascii="Calibri" w:hAnsi="Calibri"/>
          <w:i/>
          <w:iCs/>
        </w:rPr>
        <w:t>Nursing Research</w:t>
      </w:r>
      <w:r>
        <w:rPr>
          <w:rFonts w:ascii="Calibri" w:hAnsi="Calibri"/>
        </w:rPr>
        <w:t xml:space="preserve">, </w:t>
      </w:r>
      <w:r>
        <w:rPr>
          <w:rFonts w:ascii="Calibri" w:hAnsi="Calibri"/>
          <w:i/>
          <w:iCs/>
        </w:rPr>
        <w:t>52</w:t>
      </w:r>
      <w:r>
        <w:rPr>
          <w:rFonts w:ascii="Calibri" w:hAnsi="Calibri"/>
        </w:rPr>
        <w:t>(2), 71–79.</w:t>
      </w:r>
    </w:p>
    <w:p w14:paraId="2914880E" w14:textId="77777777" w:rsidR="003A0972" w:rsidRDefault="003A0972" w:rsidP="003A0972">
      <w:pPr>
        <w:pStyle w:val="Bibliography"/>
        <w:rPr>
          <w:rFonts w:ascii="Calibri" w:hAnsi="Calibri"/>
        </w:rPr>
      </w:pPr>
      <w:r>
        <w:rPr>
          <w:rFonts w:ascii="Calibri" w:hAnsi="Calibri"/>
        </w:rPr>
        <w:t xml:space="preserve">Dunton, N., Gajewski, B., Klaus, S., &amp; Pierson, B. (2007). The relationship of nursing workforce characteristics to patient outcomes. </w:t>
      </w:r>
      <w:r>
        <w:rPr>
          <w:rFonts w:ascii="Calibri" w:hAnsi="Calibri"/>
          <w:i/>
          <w:iCs/>
        </w:rPr>
        <w:t>OJIN: The Online Journal of Issues in Nursing</w:t>
      </w:r>
      <w:r>
        <w:rPr>
          <w:rFonts w:ascii="Calibri" w:hAnsi="Calibri"/>
        </w:rPr>
        <w:t xml:space="preserve">, </w:t>
      </w:r>
      <w:r>
        <w:rPr>
          <w:rFonts w:ascii="Calibri" w:hAnsi="Calibri"/>
          <w:i/>
          <w:iCs/>
        </w:rPr>
        <w:t>12</w:t>
      </w:r>
      <w:r>
        <w:rPr>
          <w:rFonts w:ascii="Calibri" w:hAnsi="Calibri"/>
        </w:rPr>
        <w:t>(3), Manuscript 3. http://doi.org/10.3912/OJIN.Vol12No03Man03</w:t>
      </w:r>
    </w:p>
    <w:p w14:paraId="13B44A08" w14:textId="77777777" w:rsidR="003A0972" w:rsidRDefault="003A0972" w:rsidP="003A0972">
      <w:pPr>
        <w:pStyle w:val="Bibliography"/>
        <w:rPr>
          <w:rFonts w:ascii="Calibri" w:hAnsi="Calibri"/>
        </w:rPr>
      </w:pPr>
      <w:r>
        <w:rPr>
          <w:rFonts w:ascii="Calibri" w:hAnsi="Calibri"/>
        </w:rPr>
        <w:t xml:space="preserve">Dunton, N., Gajewski, B., Taunton, R. L., &amp; Moore, J. (2004). Nurse staffing and patient falls on acute care hospital units. </w:t>
      </w:r>
      <w:r>
        <w:rPr>
          <w:rFonts w:ascii="Calibri" w:hAnsi="Calibri"/>
          <w:i/>
          <w:iCs/>
        </w:rPr>
        <w:t>Nursing Outlook</w:t>
      </w:r>
      <w:r>
        <w:rPr>
          <w:rFonts w:ascii="Calibri" w:hAnsi="Calibri"/>
        </w:rPr>
        <w:t xml:space="preserve">, </w:t>
      </w:r>
      <w:r>
        <w:rPr>
          <w:rFonts w:ascii="Calibri" w:hAnsi="Calibri"/>
          <w:i/>
          <w:iCs/>
        </w:rPr>
        <w:t>52</w:t>
      </w:r>
      <w:r>
        <w:rPr>
          <w:rFonts w:ascii="Calibri" w:hAnsi="Calibri"/>
        </w:rPr>
        <w:t>(1), 53–59. http://doi.org/10.1016/j.outlook.2003.11.006</w:t>
      </w:r>
    </w:p>
    <w:p w14:paraId="0688E070" w14:textId="77777777" w:rsidR="003A0972" w:rsidRDefault="003A0972" w:rsidP="003A0972">
      <w:pPr>
        <w:pStyle w:val="Bibliography"/>
        <w:rPr>
          <w:rFonts w:ascii="Calibri" w:hAnsi="Calibri"/>
        </w:rPr>
      </w:pPr>
      <w:r>
        <w:rPr>
          <w:rFonts w:ascii="Calibri" w:hAnsi="Calibri"/>
        </w:rPr>
        <w:t xml:space="preserve">Esparza, S. J., Zoller, J. S., White, A. W., &amp; Highfield, M. E. F. (2012). Nurse staffing and skill mix patterns: Are there differences in outcomes? </w:t>
      </w:r>
      <w:r>
        <w:rPr>
          <w:rFonts w:ascii="Calibri" w:hAnsi="Calibri"/>
          <w:i/>
          <w:iCs/>
        </w:rPr>
        <w:t>Journal of Healthcare Risk Management: The Journal of the American Society for Healthcare Risk Management</w:t>
      </w:r>
      <w:r>
        <w:rPr>
          <w:rFonts w:ascii="Calibri" w:hAnsi="Calibri"/>
        </w:rPr>
        <w:t xml:space="preserve">, </w:t>
      </w:r>
      <w:r>
        <w:rPr>
          <w:rFonts w:ascii="Calibri" w:hAnsi="Calibri"/>
          <w:i/>
          <w:iCs/>
        </w:rPr>
        <w:t>31</w:t>
      </w:r>
      <w:r>
        <w:rPr>
          <w:rFonts w:ascii="Calibri" w:hAnsi="Calibri"/>
        </w:rPr>
        <w:t>(3), 14–23. http://doi.org/10.1002/jhrm.20092</w:t>
      </w:r>
    </w:p>
    <w:p w14:paraId="4C16DFC2" w14:textId="77777777" w:rsidR="003A0972" w:rsidRDefault="003A0972" w:rsidP="003A0972">
      <w:pPr>
        <w:pStyle w:val="Bibliography"/>
        <w:rPr>
          <w:rFonts w:ascii="Calibri" w:hAnsi="Calibri"/>
        </w:rPr>
      </w:pPr>
      <w:r>
        <w:rPr>
          <w:rFonts w:ascii="Calibri" w:hAnsi="Calibri"/>
        </w:rPr>
        <w:t xml:space="preserve">Estabrooks, C. A., Midodzi, W. K., Cummings, G. G., Ricker, K. L., &amp; Giovannetti, P. (2005). The impact of hospital nursing characteristics on 30-day mortality. </w:t>
      </w:r>
      <w:r>
        <w:rPr>
          <w:rFonts w:ascii="Calibri" w:hAnsi="Calibri"/>
          <w:i/>
          <w:iCs/>
        </w:rPr>
        <w:t>Nursing Research</w:t>
      </w:r>
      <w:r>
        <w:rPr>
          <w:rFonts w:ascii="Calibri" w:hAnsi="Calibri"/>
        </w:rPr>
        <w:t xml:space="preserve">, </w:t>
      </w:r>
      <w:r>
        <w:rPr>
          <w:rFonts w:ascii="Calibri" w:hAnsi="Calibri"/>
          <w:i/>
          <w:iCs/>
        </w:rPr>
        <w:t>54</w:t>
      </w:r>
      <w:r>
        <w:rPr>
          <w:rFonts w:ascii="Calibri" w:hAnsi="Calibri"/>
        </w:rPr>
        <w:t>(2), 74–84.</w:t>
      </w:r>
    </w:p>
    <w:p w14:paraId="249302B9" w14:textId="77777777" w:rsidR="003A0972" w:rsidRDefault="003A0972" w:rsidP="003A0972">
      <w:pPr>
        <w:pStyle w:val="Bibliography"/>
        <w:rPr>
          <w:rFonts w:ascii="Calibri" w:hAnsi="Calibri"/>
        </w:rPr>
      </w:pPr>
      <w:r>
        <w:rPr>
          <w:rFonts w:ascii="Calibri" w:hAnsi="Calibri"/>
        </w:rPr>
        <w:t xml:space="preserve">He, J., Dunton, N., &amp; Staggs, V. (2012). Unit-level time trends in inpatient fall rates of US hospitals. </w:t>
      </w:r>
      <w:r>
        <w:rPr>
          <w:rFonts w:ascii="Calibri" w:hAnsi="Calibri"/>
          <w:i/>
          <w:iCs/>
        </w:rPr>
        <w:t>Medical Care</w:t>
      </w:r>
      <w:r>
        <w:rPr>
          <w:rFonts w:ascii="Calibri" w:hAnsi="Calibri"/>
        </w:rPr>
        <w:t xml:space="preserve">, </w:t>
      </w:r>
      <w:r>
        <w:rPr>
          <w:rFonts w:ascii="Calibri" w:hAnsi="Calibri"/>
          <w:i/>
          <w:iCs/>
        </w:rPr>
        <w:t>50</w:t>
      </w:r>
      <w:r>
        <w:rPr>
          <w:rFonts w:ascii="Calibri" w:hAnsi="Calibri"/>
        </w:rPr>
        <w:t>(9), 801–807. http://doi.org/10.1097/MLR.0b013e31825a8b88</w:t>
      </w:r>
    </w:p>
    <w:p w14:paraId="36DC469A" w14:textId="77777777" w:rsidR="003A0972" w:rsidRDefault="003A0972" w:rsidP="003A0972">
      <w:pPr>
        <w:pStyle w:val="Bibliography"/>
        <w:rPr>
          <w:rFonts w:ascii="Calibri" w:hAnsi="Calibri" w:cs="Calibri"/>
        </w:rPr>
      </w:pPr>
      <w:r>
        <w:rPr>
          <w:rFonts w:ascii="Calibri" w:hAnsi="Calibri" w:cs="Calibri"/>
        </w:rPr>
        <w:t xml:space="preserve">He, J., Staggs, V. S., Bergquist-Beringer, S., &amp; Dunton, N. (2016). Nurse staffing and patient outcomes: a longitudinal study on trend and seasonality. </w:t>
      </w:r>
      <w:r>
        <w:rPr>
          <w:rFonts w:ascii="Calibri" w:hAnsi="Calibri" w:cs="Calibri"/>
          <w:i/>
          <w:iCs/>
        </w:rPr>
        <w:t>BMC Nursing</w:t>
      </w:r>
      <w:r>
        <w:rPr>
          <w:rFonts w:ascii="Calibri" w:hAnsi="Calibri" w:cs="Calibri"/>
        </w:rPr>
        <w:t xml:space="preserve">, </w:t>
      </w:r>
      <w:r>
        <w:rPr>
          <w:rFonts w:ascii="Calibri" w:hAnsi="Calibri" w:cs="Calibri"/>
          <w:i/>
          <w:iCs/>
        </w:rPr>
        <w:t>15</w:t>
      </w:r>
      <w:r>
        <w:rPr>
          <w:rFonts w:ascii="Calibri" w:hAnsi="Calibri" w:cs="Calibri"/>
        </w:rPr>
        <w:t>, 60. https://doi.org/10.1186/s12912-016-0181-3</w:t>
      </w:r>
    </w:p>
    <w:p w14:paraId="3B8D6227" w14:textId="77777777" w:rsidR="003A0972" w:rsidRDefault="003A0972" w:rsidP="003A0972">
      <w:pPr>
        <w:pStyle w:val="Bibliography"/>
        <w:rPr>
          <w:rFonts w:ascii="Calibri" w:hAnsi="Calibri" w:cs="Calibri"/>
        </w:rPr>
      </w:pPr>
      <w:r>
        <w:rPr>
          <w:rFonts w:ascii="Calibri" w:hAnsi="Calibri" w:cs="Calibri"/>
        </w:rPr>
        <w:t xml:space="preserve">Martsolf, G. R., Auerbach, D., Benevent, R., Stocks, C., Jiang, H. J., Pearson, M. L., … Gibson, T. B. (2014). Examining the value of inpatient nurse staffing: an assessment of quality and patient care costs. </w:t>
      </w:r>
      <w:r>
        <w:rPr>
          <w:rFonts w:ascii="Calibri" w:hAnsi="Calibri" w:cs="Calibri"/>
          <w:i/>
          <w:iCs/>
        </w:rPr>
        <w:t>Medical Care</w:t>
      </w:r>
      <w:r>
        <w:rPr>
          <w:rFonts w:ascii="Calibri" w:hAnsi="Calibri" w:cs="Calibri"/>
        </w:rPr>
        <w:t xml:space="preserve">, </w:t>
      </w:r>
      <w:r>
        <w:rPr>
          <w:rFonts w:ascii="Calibri" w:hAnsi="Calibri" w:cs="Calibri"/>
          <w:i/>
          <w:iCs/>
        </w:rPr>
        <w:t>52</w:t>
      </w:r>
      <w:r>
        <w:rPr>
          <w:rFonts w:ascii="Calibri" w:hAnsi="Calibri" w:cs="Calibri"/>
        </w:rPr>
        <w:t>(11), 982–988. https://doi.org/10.1097/MLR.0000000000000248</w:t>
      </w:r>
    </w:p>
    <w:p w14:paraId="39FB54B3" w14:textId="77777777" w:rsidR="003A0972" w:rsidRDefault="003A0972" w:rsidP="003A0972">
      <w:pPr>
        <w:pStyle w:val="Bibliography"/>
        <w:rPr>
          <w:rFonts w:ascii="Calibri" w:hAnsi="Calibri" w:cs="Calibri"/>
        </w:rPr>
      </w:pPr>
      <w:r>
        <w:rPr>
          <w:rFonts w:ascii="Calibri" w:hAnsi="Calibri" w:cs="Calibri"/>
        </w:rPr>
        <w:t xml:space="preserve">Martsolf, G. R., Gibson, T. B., Benevent, R., Jiang, H. J., Stocks, C., Ehrlich, E. D., … Auerbach, D. I. (2016). An Examination of Hospital Nurse Staffing and Patient Experience with Care: Differences between Cross-Sectional and Longitudinal Estimates. </w:t>
      </w:r>
      <w:r>
        <w:rPr>
          <w:rFonts w:ascii="Calibri" w:hAnsi="Calibri" w:cs="Calibri"/>
          <w:i/>
          <w:iCs/>
        </w:rPr>
        <w:t>Health Services Research</w:t>
      </w:r>
      <w:r>
        <w:rPr>
          <w:rFonts w:ascii="Calibri" w:hAnsi="Calibri" w:cs="Calibri"/>
        </w:rPr>
        <w:t xml:space="preserve">, </w:t>
      </w:r>
      <w:r>
        <w:rPr>
          <w:rFonts w:ascii="Calibri" w:hAnsi="Calibri" w:cs="Calibri"/>
          <w:i/>
          <w:iCs/>
        </w:rPr>
        <w:t>51</w:t>
      </w:r>
      <w:r>
        <w:rPr>
          <w:rFonts w:ascii="Calibri" w:hAnsi="Calibri" w:cs="Calibri"/>
        </w:rPr>
        <w:t>(6), 2221–2241. https://doi.org/10.1111/1475-6773.12462</w:t>
      </w:r>
    </w:p>
    <w:p w14:paraId="79ED2B65" w14:textId="77777777" w:rsidR="003A0972" w:rsidRDefault="003A0972" w:rsidP="003A0972">
      <w:pPr>
        <w:pStyle w:val="Bibliography"/>
        <w:rPr>
          <w:rFonts w:ascii="Calibri" w:hAnsi="Calibri" w:cs="Calibri"/>
        </w:rPr>
      </w:pPr>
      <w:r>
        <w:rPr>
          <w:rFonts w:ascii="Calibri" w:hAnsi="Calibri" w:cs="Calibri"/>
        </w:rPr>
        <w:t xml:space="preserve">McGillis Hall, L., Doran, D., &amp; Pink, G. H. (2004). Nurse staffing models, nursing hours, and patient safety outcomes. </w:t>
      </w:r>
      <w:r>
        <w:rPr>
          <w:rFonts w:ascii="Calibri" w:hAnsi="Calibri" w:cs="Calibri"/>
          <w:i/>
          <w:iCs/>
        </w:rPr>
        <w:t>The Journal of Nursing Administration</w:t>
      </w:r>
      <w:r>
        <w:rPr>
          <w:rFonts w:ascii="Calibri" w:hAnsi="Calibri" w:cs="Calibri"/>
        </w:rPr>
        <w:t xml:space="preserve">, </w:t>
      </w:r>
      <w:r>
        <w:rPr>
          <w:rFonts w:ascii="Calibri" w:hAnsi="Calibri" w:cs="Calibri"/>
          <w:i/>
          <w:iCs/>
        </w:rPr>
        <w:t>34</w:t>
      </w:r>
      <w:r>
        <w:rPr>
          <w:rFonts w:ascii="Calibri" w:hAnsi="Calibri" w:cs="Calibri"/>
        </w:rPr>
        <w:t>(1), 41–45.</w:t>
      </w:r>
    </w:p>
    <w:p w14:paraId="1AA6AFC4" w14:textId="77777777" w:rsidR="003A0972" w:rsidRDefault="003A0972" w:rsidP="003A0972">
      <w:pPr>
        <w:pStyle w:val="Bibliography"/>
        <w:rPr>
          <w:rFonts w:ascii="Calibri" w:hAnsi="Calibri"/>
        </w:rPr>
      </w:pPr>
      <w:r>
        <w:rPr>
          <w:rFonts w:ascii="Calibri" w:hAnsi="Calibri"/>
        </w:rPr>
        <w:t xml:space="preserve">Needleman, J., Buerhaus, P., Mattke, S., Stewart, M., &amp; Zelevinsky, K. (2002). Nurse-staffing levels and the quality of care in hospitals. </w:t>
      </w:r>
      <w:r>
        <w:rPr>
          <w:rFonts w:ascii="Calibri" w:hAnsi="Calibri"/>
          <w:i/>
          <w:iCs/>
        </w:rPr>
        <w:t>The New England Journal of Medicine</w:t>
      </w:r>
      <w:r>
        <w:rPr>
          <w:rFonts w:ascii="Calibri" w:hAnsi="Calibri"/>
        </w:rPr>
        <w:t xml:space="preserve">, </w:t>
      </w:r>
      <w:r>
        <w:rPr>
          <w:rFonts w:ascii="Calibri" w:hAnsi="Calibri"/>
          <w:i/>
          <w:iCs/>
        </w:rPr>
        <w:t>346</w:t>
      </w:r>
      <w:r>
        <w:rPr>
          <w:rFonts w:ascii="Calibri" w:hAnsi="Calibri"/>
        </w:rPr>
        <w:t>(22), 1715–1722. http://doi.org/10.1056/NEJMsa012247</w:t>
      </w:r>
    </w:p>
    <w:p w14:paraId="07B19F3D" w14:textId="77777777" w:rsidR="003A0972" w:rsidRDefault="003A0972" w:rsidP="003A0972">
      <w:pPr>
        <w:pStyle w:val="Bibliography"/>
        <w:rPr>
          <w:rFonts w:ascii="Calibri" w:hAnsi="Calibri" w:cs="Calibri"/>
        </w:rPr>
      </w:pPr>
      <w:r>
        <w:rPr>
          <w:rFonts w:ascii="Calibri" w:hAnsi="Calibri" w:cs="Calibri"/>
        </w:rPr>
        <w:t xml:space="preserve">Oppel, E.-M., &amp; Young, G. J. (2018). Nurse Staffing Patterns and Patient Experience of Care: An Empirical Analysis of U.S. Hospitals. </w:t>
      </w:r>
      <w:r>
        <w:rPr>
          <w:rFonts w:ascii="Calibri" w:hAnsi="Calibri" w:cs="Calibri"/>
          <w:i/>
          <w:iCs/>
        </w:rPr>
        <w:t>Health Services Research</w:t>
      </w:r>
      <w:r>
        <w:rPr>
          <w:rFonts w:ascii="Calibri" w:hAnsi="Calibri" w:cs="Calibri"/>
        </w:rPr>
        <w:t xml:space="preserve">, </w:t>
      </w:r>
      <w:r>
        <w:rPr>
          <w:rFonts w:ascii="Calibri" w:hAnsi="Calibri" w:cs="Calibri"/>
          <w:i/>
          <w:iCs/>
        </w:rPr>
        <w:t>53</w:t>
      </w:r>
      <w:r>
        <w:rPr>
          <w:rFonts w:ascii="Calibri" w:hAnsi="Calibri" w:cs="Calibri"/>
        </w:rPr>
        <w:t>(3), 1799–1818. https://doi.org/10.1111/1475-6773.12756</w:t>
      </w:r>
    </w:p>
    <w:p w14:paraId="4436A101" w14:textId="77777777" w:rsidR="003A0972" w:rsidRDefault="003A0972" w:rsidP="003A0972"/>
    <w:p w14:paraId="7ECB85E4" w14:textId="77777777" w:rsidR="003A0972" w:rsidRDefault="003A0972" w:rsidP="003A0972">
      <w:pPr>
        <w:pStyle w:val="Bibliography"/>
      </w:pPr>
      <w:r>
        <w:rPr>
          <w:rFonts w:ascii="Calibri" w:hAnsi="Calibri" w:cs="Calibri"/>
        </w:rPr>
        <w:t xml:space="preserve">Patrician, P. A., Loan, L., McCarthy, M., Fridman, M., Donaldson, N., Bingham, M., &amp; Brosch, L. R. (2011). The association of shift-level nurse staffing with adverse patient events. </w:t>
      </w:r>
      <w:r>
        <w:rPr>
          <w:rFonts w:ascii="Calibri" w:hAnsi="Calibri" w:cs="Calibri"/>
          <w:i/>
          <w:iCs/>
        </w:rPr>
        <w:t>The Journal Of Nursing Administration</w:t>
      </w:r>
      <w:r>
        <w:rPr>
          <w:rFonts w:ascii="Calibri" w:hAnsi="Calibri" w:cs="Calibri"/>
        </w:rPr>
        <w:t xml:space="preserve">, </w:t>
      </w:r>
      <w:r>
        <w:rPr>
          <w:rFonts w:ascii="Calibri" w:hAnsi="Calibri" w:cs="Calibri"/>
          <w:i/>
          <w:iCs/>
        </w:rPr>
        <w:t>41</w:t>
      </w:r>
      <w:r>
        <w:rPr>
          <w:rFonts w:ascii="Calibri" w:hAnsi="Calibri" w:cs="Calibri"/>
        </w:rPr>
        <w:t>(2), 64–70.</w:t>
      </w:r>
    </w:p>
    <w:p w14:paraId="60DC768F" w14:textId="77777777" w:rsidR="003A0972" w:rsidRDefault="003A0972" w:rsidP="003A0972">
      <w:pPr>
        <w:pStyle w:val="Bibliography"/>
        <w:rPr>
          <w:rFonts w:ascii="Calibri" w:hAnsi="Calibri" w:cs="Calibri"/>
        </w:rPr>
      </w:pPr>
      <w:r>
        <w:rPr>
          <w:rFonts w:ascii="Calibri" w:hAnsi="Calibri" w:cs="Calibri"/>
        </w:rPr>
        <w:lastRenderedPageBreak/>
        <w:t xml:space="preserve">Pitkäaho, T., Partanen, P., Miettinen, M. H., &amp; Vehviläinen-Julkunen, K. (2016). The relationship between nurse staffing and length of stay in acute-care: a one-year time-series data. </w:t>
      </w:r>
      <w:r>
        <w:rPr>
          <w:rFonts w:ascii="Calibri" w:hAnsi="Calibri" w:cs="Calibri"/>
          <w:i/>
          <w:iCs/>
        </w:rPr>
        <w:t>Journal of Nursing Management</w:t>
      </w:r>
      <w:r>
        <w:rPr>
          <w:rFonts w:ascii="Calibri" w:hAnsi="Calibri" w:cs="Calibri"/>
        </w:rPr>
        <w:t xml:space="preserve">, </w:t>
      </w:r>
      <w:r>
        <w:rPr>
          <w:rFonts w:ascii="Calibri" w:hAnsi="Calibri" w:cs="Calibri"/>
          <w:i/>
          <w:iCs/>
        </w:rPr>
        <w:t>24</w:t>
      </w:r>
      <w:r>
        <w:rPr>
          <w:rFonts w:ascii="Calibri" w:hAnsi="Calibri" w:cs="Calibri"/>
        </w:rPr>
        <w:t>(5), 571–579. https://doi.org/10.1111/jonm.12359</w:t>
      </w:r>
    </w:p>
    <w:p w14:paraId="04BD3A2C" w14:textId="77777777" w:rsidR="003A0972" w:rsidRDefault="003A0972" w:rsidP="003A0972">
      <w:pPr>
        <w:pStyle w:val="Bibliography"/>
        <w:rPr>
          <w:rFonts w:ascii="Calibri" w:hAnsi="Calibri" w:cs="Calibri"/>
        </w:rPr>
      </w:pPr>
      <w:r>
        <w:rPr>
          <w:rFonts w:ascii="Calibri" w:hAnsi="Calibri" w:cs="Calibri"/>
        </w:rPr>
        <w:t xml:space="preserve">Staggs, V. S., Olds, D. M., Cramer, E., &amp; Shorr, R. I. (2017). Nursing Skill Mix, Nurse Staffing Level, and Physical Restraint Use in US Hospitals: a Longitudinal Study. </w:t>
      </w:r>
      <w:r>
        <w:rPr>
          <w:rFonts w:ascii="Calibri" w:hAnsi="Calibri" w:cs="Calibri"/>
          <w:i/>
          <w:iCs/>
        </w:rPr>
        <w:t>Journal of General Internal Medicine</w:t>
      </w:r>
      <w:r>
        <w:rPr>
          <w:rFonts w:ascii="Calibri" w:hAnsi="Calibri" w:cs="Calibri"/>
        </w:rPr>
        <w:t xml:space="preserve">, </w:t>
      </w:r>
      <w:r>
        <w:rPr>
          <w:rFonts w:ascii="Calibri" w:hAnsi="Calibri" w:cs="Calibri"/>
          <w:i/>
          <w:iCs/>
        </w:rPr>
        <w:t>32</w:t>
      </w:r>
      <w:r>
        <w:rPr>
          <w:rFonts w:ascii="Calibri" w:hAnsi="Calibri" w:cs="Calibri"/>
        </w:rPr>
        <w:t>(1), 35–41. https://doi.org/10.1007/s11606-016-3830-z</w:t>
      </w:r>
    </w:p>
    <w:p w14:paraId="6A6D64E0" w14:textId="77777777" w:rsidR="003A0972" w:rsidRDefault="003A0972" w:rsidP="003A0972">
      <w:pPr>
        <w:pStyle w:val="Bibliography"/>
        <w:rPr>
          <w:rFonts w:ascii="Calibri" w:hAnsi="Calibri"/>
        </w:rPr>
      </w:pPr>
      <w:r>
        <w:rPr>
          <w:rFonts w:ascii="Calibri" w:hAnsi="Calibri"/>
        </w:rPr>
        <w:t xml:space="preserve">Stratton, K. M. (2008). Pediatric nurse staffing and quality of care in the hospital setting. </w:t>
      </w:r>
      <w:r>
        <w:rPr>
          <w:rFonts w:ascii="Calibri" w:hAnsi="Calibri"/>
          <w:i/>
          <w:iCs/>
        </w:rPr>
        <w:t>Journal of Nursing Care Quality</w:t>
      </w:r>
      <w:r>
        <w:rPr>
          <w:rFonts w:ascii="Calibri" w:hAnsi="Calibri"/>
        </w:rPr>
        <w:t xml:space="preserve">, </w:t>
      </w:r>
      <w:r>
        <w:rPr>
          <w:rFonts w:ascii="Calibri" w:hAnsi="Calibri"/>
          <w:i/>
          <w:iCs/>
        </w:rPr>
        <w:t>23</w:t>
      </w:r>
      <w:r>
        <w:rPr>
          <w:rFonts w:ascii="Calibri" w:hAnsi="Calibri"/>
        </w:rPr>
        <w:t>(2), 105–114. http://doi.org/10.1097/01.NCQ.0000313758.33654.49</w:t>
      </w:r>
    </w:p>
    <w:p w14:paraId="01C3DCBD" w14:textId="77777777" w:rsidR="003A0972" w:rsidRDefault="003A0972" w:rsidP="003A0972">
      <w:pPr>
        <w:pStyle w:val="Bibliography"/>
        <w:rPr>
          <w:rFonts w:ascii="Calibri" w:hAnsi="Calibri" w:cs="Calibri"/>
        </w:rPr>
      </w:pPr>
      <w:r>
        <w:rPr>
          <w:rFonts w:ascii="Calibri" w:hAnsi="Calibri" w:cs="Calibri"/>
        </w:rPr>
        <w:t xml:space="preserve">Talsma, A., Jones, K., Guo, Y., Wilson, D., &amp; Campbell, D. A. (2014). The relationship between nurse staffing and failure to rescue: where does it matter most? </w:t>
      </w:r>
      <w:r>
        <w:rPr>
          <w:rFonts w:ascii="Calibri" w:hAnsi="Calibri" w:cs="Calibri"/>
          <w:i/>
          <w:iCs/>
        </w:rPr>
        <w:t>Journal of Patient Safety</w:t>
      </w:r>
      <w:r>
        <w:rPr>
          <w:rFonts w:ascii="Calibri" w:hAnsi="Calibri" w:cs="Calibri"/>
        </w:rPr>
        <w:t xml:space="preserve">, </w:t>
      </w:r>
      <w:r>
        <w:rPr>
          <w:rFonts w:ascii="Calibri" w:hAnsi="Calibri" w:cs="Calibri"/>
          <w:i/>
          <w:iCs/>
        </w:rPr>
        <w:t>10</w:t>
      </w:r>
      <w:r>
        <w:rPr>
          <w:rFonts w:ascii="Calibri" w:hAnsi="Calibri" w:cs="Calibri"/>
        </w:rPr>
        <w:t>(3), 133–139. https://doi.org/10.1097/PTS.0b013e31829954e2</w:t>
      </w:r>
    </w:p>
    <w:p w14:paraId="51F7FFB2" w14:textId="77777777" w:rsidR="003A0972" w:rsidRDefault="003A0972" w:rsidP="003A0972">
      <w:pPr>
        <w:pStyle w:val="Bibliography"/>
        <w:rPr>
          <w:rFonts w:ascii="Calibri" w:hAnsi="Calibri"/>
        </w:rPr>
      </w:pPr>
      <w:r>
        <w:rPr>
          <w:rFonts w:ascii="Calibri" w:hAnsi="Calibri"/>
        </w:rPr>
        <w:t xml:space="preserve">Tzeng, H.-M., Titler, M. G., Ronis, D. L., &amp; Yin, C.-Y. (2012). The contribution of staff call light response time to fall and injurious fall rates: an exploratory study in four US hospitals using archived hospital data. </w:t>
      </w:r>
      <w:r>
        <w:rPr>
          <w:rFonts w:ascii="Calibri" w:hAnsi="Calibri"/>
          <w:i/>
          <w:iCs/>
        </w:rPr>
        <w:t>BMC Health Services Research</w:t>
      </w:r>
      <w:r>
        <w:rPr>
          <w:rFonts w:ascii="Calibri" w:hAnsi="Calibri"/>
        </w:rPr>
        <w:t xml:space="preserve">, </w:t>
      </w:r>
      <w:r>
        <w:rPr>
          <w:rFonts w:ascii="Calibri" w:hAnsi="Calibri"/>
          <w:i/>
          <w:iCs/>
        </w:rPr>
        <w:t>12</w:t>
      </w:r>
      <w:r>
        <w:rPr>
          <w:rFonts w:ascii="Calibri" w:hAnsi="Calibri"/>
        </w:rPr>
        <w:t>, 84. http://doi.org/10.1186/1472-6963-12-84</w:t>
      </w:r>
    </w:p>
    <w:p w14:paraId="321942FB" w14:textId="77777777" w:rsidR="003A0972" w:rsidRDefault="003A0972" w:rsidP="003A0972">
      <w:pPr>
        <w:pStyle w:val="Bibliography"/>
        <w:rPr>
          <w:rFonts w:ascii="Calibri" w:hAnsi="Calibri"/>
        </w:rPr>
      </w:pPr>
      <w:r>
        <w:rPr>
          <w:rFonts w:ascii="Calibri" w:hAnsi="Calibri"/>
        </w:rPr>
        <w:t xml:space="preserve">Yang, P.-H., Hung, C.-H., Chen, Y.-M., Hu, C.-Y., &amp; Shieh, S.-L. (2012). The impact of different nursing skill mix models on patient outcomes in a respiratory care center. </w:t>
      </w:r>
      <w:r>
        <w:rPr>
          <w:rFonts w:ascii="Calibri" w:hAnsi="Calibri"/>
          <w:i/>
          <w:iCs/>
        </w:rPr>
        <w:t>Worldviews on Evidence-Based Nursing / Sigma Theta Tau International, Honor Society of Nursing</w:t>
      </w:r>
      <w:r>
        <w:rPr>
          <w:rFonts w:ascii="Calibri" w:hAnsi="Calibri"/>
        </w:rPr>
        <w:t xml:space="preserve">, </w:t>
      </w:r>
      <w:r>
        <w:rPr>
          <w:rFonts w:ascii="Calibri" w:hAnsi="Calibri"/>
          <w:i/>
          <w:iCs/>
        </w:rPr>
        <w:t>9</w:t>
      </w:r>
      <w:r>
        <w:rPr>
          <w:rFonts w:ascii="Calibri" w:hAnsi="Calibri"/>
        </w:rPr>
        <w:t>(4), 227–233. http://doi.org/10.1111/j.1741-6787.2012.00246.x</w:t>
      </w:r>
    </w:p>
    <w:p w14:paraId="2EF667DC" w14:textId="0E2B7692" w:rsidR="003A0972" w:rsidRPr="001B772D" w:rsidRDefault="003A0972" w:rsidP="003A0972">
      <w:pPr>
        <w:ind w:left="0" w:firstLine="0"/>
      </w:pPr>
      <w:r>
        <w:fldChar w:fldCharType="end"/>
      </w:r>
    </w:p>
    <w:sectPr w:rsidR="003A0972"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BCAB3" w14:textId="77777777" w:rsidR="00BD5DBE" w:rsidRDefault="00BD5DBE" w:rsidP="007E37A5">
      <w:r>
        <w:separator/>
      </w:r>
    </w:p>
  </w:endnote>
  <w:endnote w:type="continuationSeparator" w:id="0">
    <w:p w14:paraId="2F716A91" w14:textId="77777777" w:rsidR="00BD5DBE" w:rsidRDefault="00BD5DB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altName w:val="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12A0359"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05F43">
      <w:rPr>
        <w:noProof/>
      </w:rPr>
      <w:t>8</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8BDDB" w14:textId="77777777" w:rsidR="00BD5DBE" w:rsidRDefault="00BD5DBE" w:rsidP="007E37A5">
      <w:r>
        <w:separator/>
      </w:r>
    </w:p>
  </w:footnote>
  <w:footnote w:type="continuationSeparator" w:id="0">
    <w:p w14:paraId="1C4E9CDE" w14:textId="77777777" w:rsidR="00BD5DBE" w:rsidRDefault="00BD5DB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7106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BD266D"/>
    <w:multiLevelType w:val="hybridMultilevel"/>
    <w:tmpl w:val="9D02F8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CB5E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3"/>
  </w:num>
  <w:num w:numId="5">
    <w:abstractNumId w:val="5"/>
  </w:num>
  <w:num w:numId="6">
    <w:abstractNumId w:val="4"/>
  </w:num>
  <w:num w:numId="7">
    <w:abstractNumId w:val="10"/>
  </w:num>
  <w:num w:numId="8">
    <w:abstractNumId w:val="9"/>
  </w:num>
  <w:num w:numId="9">
    <w:abstractNumId w:val="11"/>
  </w:num>
  <w:num w:numId="10">
    <w:abstractNumId w:val="0"/>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A0972"/>
    <w:rsid w:val="003B1CC5"/>
    <w:rsid w:val="003B65CE"/>
    <w:rsid w:val="003D6721"/>
    <w:rsid w:val="003E039E"/>
    <w:rsid w:val="0040230E"/>
    <w:rsid w:val="0041662F"/>
    <w:rsid w:val="00422917"/>
    <w:rsid w:val="00440687"/>
    <w:rsid w:val="0044131D"/>
    <w:rsid w:val="00441ADA"/>
    <w:rsid w:val="00457E46"/>
    <w:rsid w:val="00486B1C"/>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4ED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D5DBE"/>
    <w:rsid w:val="00BE2295"/>
    <w:rsid w:val="00BE6373"/>
    <w:rsid w:val="00BF533A"/>
    <w:rsid w:val="00C41794"/>
    <w:rsid w:val="00C46677"/>
    <w:rsid w:val="00C473CB"/>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05F43"/>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05757"/>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Bibliography">
    <w:name w:val="Bibliography"/>
    <w:basedOn w:val="Normal"/>
    <w:next w:val="Normal"/>
    <w:uiPriority w:val="37"/>
    <w:semiHidden/>
    <w:unhideWhenUsed/>
    <w:rsid w:val="006E4ED0"/>
  </w:style>
  <w:style w:type="table" w:styleId="LightShading">
    <w:name w:val="Light Shading"/>
    <w:basedOn w:val="TableNormal"/>
    <w:uiPriority w:val="60"/>
    <w:semiHidden/>
    <w:unhideWhenUsed/>
    <w:rsid w:val="003A0972"/>
    <w:pPr>
      <w:ind w:left="0" w:firstLine="0"/>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5019">
      <w:bodyDiv w:val="1"/>
      <w:marLeft w:val="0"/>
      <w:marRight w:val="0"/>
      <w:marTop w:val="0"/>
      <w:marBottom w:val="0"/>
      <w:divBdr>
        <w:top w:val="none" w:sz="0" w:space="0" w:color="auto"/>
        <w:left w:val="none" w:sz="0" w:space="0" w:color="auto"/>
        <w:bottom w:val="none" w:sz="0" w:space="0" w:color="auto"/>
        <w:right w:val="none" w:sz="0" w:space="0" w:color="auto"/>
      </w:divBdr>
    </w:div>
    <w:div w:id="141430904">
      <w:bodyDiv w:val="1"/>
      <w:marLeft w:val="0"/>
      <w:marRight w:val="0"/>
      <w:marTop w:val="0"/>
      <w:marBottom w:val="0"/>
      <w:divBdr>
        <w:top w:val="none" w:sz="0" w:space="0" w:color="auto"/>
        <w:left w:val="none" w:sz="0" w:space="0" w:color="auto"/>
        <w:bottom w:val="none" w:sz="0" w:space="0" w:color="auto"/>
        <w:right w:val="none" w:sz="0" w:space="0" w:color="auto"/>
      </w:divBdr>
    </w:div>
    <w:div w:id="292441782">
      <w:bodyDiv w:val="1"/>
      <w:marLeft w:val="0"/>
      <w:marRight w:val="0"/>
      <w:marTop w:val="0"/>
      <w:marBottom w:val="0"/>
      <w:divBdr>
        <w:top w:val="none" w:sz="0" w:space="0" w:color="auto"/>
        <w:left w:val="none" w:sz="0" w:space="0" w:color="auto"/>
        <w:bottom w:val="none" w:sz="0" w:space="0" w:color="auto"/>
        <w:right w:val="none" w:sz="0" w:space="0" w:color="auto"/>
      </w:divBdr>
    </w:div>
    <w:div w:id="442186614">
      <w:bodyDiv w:val="1"/>
      <w:marLeft w:val="0"/>
      <w:marRight w:val="0"/>
      <w:marTop w:val="0"/>
      <w:marBottom w:val="0"/>
      <w:divBdr>
        <w:top w:val="none" w:sz="0" w:space="0" w:color="auto"/>
        <w:left w:val="none" w:sz="0" w:space="0" w:color="auto"/>
        <w:bottom w:val="none" w:sz="0" w:space="0" w:color="auto"/>
        <w:right w:val="none" w:sz="0" w:space="0" w:color="auto"/>
      </w:divBdr>
    </w:div>
    <w:div w:id="545915967">
      <w:bodyDiv w:val="1"/>
      <w:marLeft w:val="0"/>
      <w:marRight w:val="0"/>
      <w:marTop w:val="0"/>
      <w:marBottom w:val="0"/>
      <w:divBdr>
        <w:top w:val="none" w:sz="0" w:space="0" w:color="auto"/>
        <w:left w:val="none" w:sz="0" w:space="0" w:color="auto"/>
        <w:bottom w:val="none" w:sz="0" w:space="0" w:color="auto"/>
        <w:right w:val="none" w:sz="0" w:space="0" w:color="auto"/>
      </w:divBdr>
    </w:div>
    <w:div w:id="652608500">
      <w:bodyDiv w:val="1"/>
      <w:marLeft w:val="0"/>
      <w:marRight w:val="0"/>
      <w:marTop w:val="0"/>
      <w:marBottom w:val="0"/>
      <w:divBdr>
        <w:top w:val="none" w:sz="0" w:space="0" w:color="auto"/>
        <w:left w:val="none" w:sz="0" w:space="0" w:color="auto"/>
        <w:bottom w:val="none" w:sz="0" w:space="0" w:color="auto"/>
        <w:right w:val="none" w:sz="0" w:space="0" w:color="auto"/>
      </w:divBdr>
    </w:div>
    <w:div w:id="867178178">
      <w:bodyDiv w:val="1"/>
      <w:marLeft w:val="0"/>
      <w:marRight w:val="0"/>
      <w:marTop w:val="0"/>
      <w:marBottom w:val="0"/>
      <w:divBdr>
        <w:top w:val="none" w:sz="0" w:space="0" w:color="auto"/>
        <w:left w:val="none" w:sz="0" w:space="0" w:color="auto"/>
        <w:bottom w:val="none" w:sz="0" w:space="0" w:color="auto"/>
        <w:right w:val="none" w:sz="0" w:space="0" w:color="auto"/>
      </w:divBdr>
    </w:div>
    <w:div w:id="1130128257">
      <w:bodyDiv w:val="1"/>
      <w:marLeft w:val="0"/>
      <w:marRight w:val="0"/>
      <w:marTop w:val="0"/>
      <w:marBottom w:val="0"/>
      <w:divBdr>
        <w:top w:val="none" w:sz="0" w:space="0" w:color="auto"/>
        <w:left w:val="none" w:sz="0" w:space="0" w:color="auto"/>
        <w:bottom w:val="none" w:sz="0" w:space="0" w:color="auto"/>
        <w:right w:val="none" w:sz="0" w:space="0" w:color="auto"/>
      </w:divBdr>
    </w:div>
    <w:div w:id="1845046961">
      <w:bodyDiv w:val="1"/>
      <w:marLeft w:val="0"/>
      <w:marRight w:val="0"/>
      <w:marTop w:val="0"/>
      <w:marBottom w:val="0"/>
      <w:divBdr>
        <w:top w:val="none" w:sz="0" w:space="0" w:color="auto"/>
        <w:left w:val="none" w:sz="0" w:space="0" w:color="auto"/>
        <w:bottom w:val="none" w:sz="0" w:space="0" w:color="auto"/>
        <w:right w:val="none" w:sz="0" w:space="0" w:color="auto"/>
      </w:divBdr>
    </w:div>
    <w:div w:id="207056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doi.org/10.1177/1474515117721561" TargetMode="External"/><Relationship Id="rId2" Type="http://schemas.openxmlformats.org/officeDocument/2006/relationships/customXml" Target="../customXml/item2.xml"/><Relationship Id="rId16" Type="http://schemas.openxmlformats.org/officeDocument/2006/relationships/hyperlink" Target="https://doi.org/10.1177/147451511772156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0AE349E60BD0433FACB49EBA5700833F"/>
        <w:category>
          <w:name w:val="General"/>
          <w:gallery w:val="placeholder"/>
        </w:category>
        <w:types>
          <w:type w:val="bbPlcHdr"/>
        </w:types>
        <w:behaviors>
          <w:behavior w:val="content"/>
        </w:behaviors>
        <w:guid w:val="{016C1292-1A14-4F41-A9B9-31E166299ABE}"/>
      </w:docPartPr>
      <w:docPartBody>
        <w:p w:rsidR="00935EBC" w:rsidRDefault="002256CA" w:rsidP="002256CA">
          <w:pPr>
            <w:pStyle w:val="0AE349E60BD0433FACB49EBA5700833F"/>
          </w:pPr>
          <w:r>
            <w:rPr>
              <w:rStyle w:val="PlaceholderText"/>
            </w:rPr>
            <w:t>Click here to enter NQF number</w:t>
          </w:r>
        </w:p>
      </w:docPartBody>
    </w:docPart>
    <w:docPart>
      <w:docPartPr>
        <w:name w:val="F05A592861B0404DB98BBE6F1D0701F9"/>
        <w:category>
          <w:name w:val="General"/>
          <w:gallery w:val="placeholder"/>
        </w:category>
        <w:types>
          <w:type w:val="bbPlcHdr"/>
        </w:types>
        <w:behaviors>
          <w:behavior w:val="content"/>
        </w:behaviors>
        <w:guid w:val="{F3BE4AFB-4D4F-4600-965A-3AE2DC6CDB6C}"/>
      </w:docPartPr>
      <w:docPartBody>
        <w:p w:rsidR="00935EBC" w:rsidRDefault="002256CA" w:rsidP="002256CA">
          <w:pPr>
            <w:pStyle w:val="F05A592861B0404DB98BBE6F1D0701F9"/>
          </w:pPr>
          <w:r>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altName w:val="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129AE"/>
    <w:rsid w:val="00160241"/>
    <w:rsid w:val="001F47A0"/>
    <w:rsid w:val="002256CA"/>
    <w:rsid w:val="002B5F47"/>
    <w:rsid w:val="003A1E4B"/>
    <w:rsid w:val="00455EB5"/>
    <w:rsid w:val="00461C1C"/>
    <w:rsid w:val="004E2027"/>
    <w:rsid w:val="005C5EB1"/>
    <w:rsid w:val="005F21F3"/>
    <w:rsid w:val="008F6A9B"/>
    <w:rsid w:val="00935EBC"/>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56CA"/>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0AE349E60BD0433FACB49EBA5700833F">
    <w:name w:val="0AE349E60BD0433FACB49EBA5700833F"/>
    <w:rsid w:val="002256CA"/>
    <w:pPr>
      <w:spacing w:after="160" w:line="259" w:lineRule="auto"/>
    </w:pPr>
  </w:style>
  <w:style w:type="paragraph" w:customStyle="1" w:styleId="F05A592861B0404DB98BBE6F1D0701F9">
    <w:name w:val="F05A592861B0404DB98BBE6F1D0701F9"/>
    <w:rsid w:val="002256C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67A01-C25C-411B-9F2F-14DE1A67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14477</Words>
  <Characters>82520</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96804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Danielle Olds</cp:lastModifiedBy>
  <cp:revision>3</cp:revision>
  <dcterms:created xsi:type="dcterms:W3CDTF">2019-04-09T16:53:00Z</dcterms:created>
  <dcterms:modified xsi:type="dcterms:W3CDTF">2019-04-09T17:05:00Z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