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B7D6D">
            <w:rPr>
              <w:rStyle w:val="Style1"/>
            </w:rPr>
            <w:t>0347</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8216F" w:rsidRPr="000A7500">
            <w:rPr>
              <w:rFonts w:ascii="Calibri" w:hAnsi="Calibri" w:cstheme="minorHAnsi"/>
              <w:b/>
            </w:rPr>
            <w:t>Death Rate in Low-Mortality Diagnosis Related Groups</w:t>
          </w:r>
          <w:r w:rsidR="00FB7D6D">
            <w:rPr>
              <w:rFonts w:ascii="Calibri" w:hAnsi="Calibri" w:cstheme="minorHAnsi"/>
              <w:b/>
            </w:rPr>
            <w:t xml:space="preserve"> (DRGs)</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4-02T00:00:00Z">
            <w:dateFormat w:val="M/d/yyyy"/>
            <w:lid w:val="en-US"/>
            <w:storeMappedDataAs w:val="dateTime"/>
            <w:calendar w:val="gregorian"/>
          </w:date>
        </w:sdtPr>
        <w:sdtEndPr>
          <w:rPr>
            <w:rStyle w:val="DefaultParagraphFont"/>
            <w:noProof/>
            <w:color w:val="auto"/>
            <w:u w:val="none"/>
          </w:rPr>
        </w:sdtEndPr>
        <w:sdtContent>
          <w:r w:rsidR="00C3770F">
            <w:rPr>
              <w:rStyle w:val="Style2"/>
              <w:rFonts w:cstheme="minorHAnsi"/>
            </w:rPr>
            <w:t>4/2/2015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FB7D6D">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0D67E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10" w:name="Note15"/>
            <w:bookmarkEnd w:id="10"/>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1" w:name="Note16"/>
            <w:bookmarkEnd w:id="11"/>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Pr>
                <w:rFonts w:cstheme="minorHAnsi"/>
                <w:bCs/>
              </w:rPr>
              <w:t xml:space="preserve"> </w:t>
            </w:r>
            <w:r w:rsidR="00A01494" w:rsidRPr="00FB7D6D">
              <w:rPr>
                <w:rFonts w:eastAsia="MS Gothic" w:cstheme="minorHAnsi"/>
                <w:bCs/>
                <w:highlight w:val="yellow"/>
              </w:rPr>
              <w:t xml:space="preserve">administrative </w:t>
            </w:r>
            <w:r w:rsidR="00A01494" w:rsidRPr="00FB7D6D">
              <w:rPr>
                <w:rFonts w:cstheme="minorHAnsi"/>
                <w:bCs/>
                <w:highlight w:val="yellow"/>
              </w:rPr>
              <w:t>claims</w:t>
            </w:r>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Pr>
                <w:rFonts w:cstheme="minorHAnsi"/>
                <w:bCs/>
              </w:rPr>
              <w:t xml:space="preserve"> </w:t>
            </w:r>
            <w:r w:rsidR="00A01494" w:rsidRPr="00FB7D6D">
              <w:rPr>
                <w:rFonts w:eastAsia="MS Gothic" w:cstheme="minorHAnsi"/>
                <w:bCs/>
                <w:highlight w:val="yellow"/>
              </w:rPr>
              <w:t xml:space="preserve">administrative </w:t>
            </w:r>
            <w:r w:rsidR="00A01494" w:rsidRPr="00FB7D6D">
              <w:rPr>
                <w:rFonts w:cstheme="minorHAnsi"/>
                <w:bCs/>
                <w:highlight w:val="yellow"/>
              </w:rPr>
              <w:t>claims</w:t>
            </w:r>
          </w:p>
        </w:tc>
      </w:tr>
      <w:tr w:rsidR="00A01494" w:rsidRPr="00A01494" w:rsidTr="0014773C">
        <w:trPr>
          <w:jc w:val="center"/>
        </w:trPr>
        <w:tc>
          <w:tcPr>
            <w:tcW w:w="5208"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0D67E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0D67E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635FA6" w:rsidRPr="00A01494" w:rsidRDefault="00635FA6" w:rsidP="00DB3627">
      <w:pPr>
        <w:autoSpaceDE w:val="0"/>
        <w:autoSpaceDN w:val="0"/>
        <w:adjustRightInd w:val="0"/>
        <w:spacing w:after="0" w:line="240" w:lineRule="auto"/>
        <w:rPr>
          <w:rFonts w:cstheme="minorHAnsi"/>
          <w:b/>
          <w:bCs/>
        </w:rPr>
      </w:pPr>
    </w:p>
    <w:sdt>
      <w:sdtPr>
        <w:rPr>
          <w:rFonts w:asciiTheme="minorHAnsi" w:hAnsiTheme="minorHAnsi" w:cstheme="minorHAnsi"/>
          <w:color w:val="0000FF"/>
          <w:sz w:val="20"/>
          <w:szCs w:val="20"/>
        </w:rPr>
        <w:id w:val="-1610427572"/>
      </w:sdtPr>
      <w:sdtEndPr>
        <w:rPr>
          <w:sz w:val="22"/>
          <w:szCs w:val="22"/>
        </w:rPr>
      </w:sdtEndPr>
      <w:sdtContent>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FB7D6D">
            <w:rPr>
              <w:rFonts w:ascii="Calibri" w:hAnsi="Calibri" w:cs="Calibri"/>
              <w:color w:val="0000FF"/>
              <w:sz w:val="22"/>
              <w:szCs w:val="22"/>
              <w:vertAlign w:val="superscript"/>
            </w:rPr>
            <w:t>1</w:t>
          </w:r>
          <w:r w:rsidRPr="00FB7D6D">
            <w:rPr>
              <w:rFonts w:ascii="Calibri" w:hAnsi="Calibri" w:cs="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36 of the 45 states that participated in 2012, and 82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spacing w:after="0"/>
            <w:rPr>
              <w:rFonts w:ascii="Calibri" w:hAnsi="Calibri" w:cs="Calibri"/>
              <w:color w:val="0000FF"/>
            </w:rPr>
          </w:pPr>
          <w:r w:rsidRPr="00FB7D6D">
            <w:rPr>
              <w:rFonts w:ascii="Calibri" w:hAnsi="Calibri" w:cs="Calibri"/>
              <w:color w:val="0000FF"/>
            </w:rPr>
            <w:lastRenderedPageBreak/>
            <w:t>Each of the 36 states included in the dataset report information about whether a diagnosis was present on admission (POA) and information on the timing of procedures during the hospitalization. POA data</w:t>
          </w:r>
          <w:r w:rsidRPr="00FB7D6D">
            <w:rPr>
              <w:rStyle w:val="FootnoteReference"/>
              <w:rFonts w:ascii="Calibri" w:hAnsi="Calibri" w:cs="Calibri"/>
              <w:color w:val="0000FF"/>
            </w:rPr>
            <w:footnoteReference w:id="1"/>
          </w:r>
          <w:r w:rsidRPr="00FB7D6D">
            <w:rPr>
              <w:rFonts w:ascii="Calibri" w:hAnsi="Calibri" w:cs="Calibri"/>
              <w:color w:val="0000FF"/>
            </w:rPr>
            <w:t xml:space="preserve"> is important to distinguish complications that </w:t>
          </w:r>
          <w:proofErr w:type="gramStart"/>
          <w:r w:rsidRPr="00FB7D6D">
            <w:rPr>
              <w:rFonts w:ascii="Calibri" w:hAnsi="Calibri" w:cs="Calibri"/>
              <w:color w:val="0000FF"/>
            </w:rPr>
            <w:t>occur</w:t>
          </w:r>
          <w:proofErr w:type="gramEnd"/>
          <w:r w:rsidRPr="00FB7D6D">
            <w:rPr>
              <w:rFonts w:ascii="Calibri" w:hAnsi="Calibri" w:cs="Calibri"/>
              <w:color w:val="0000FF"/>
            </w:rPr>
            <w:t xml:space="preserve"> in-hospital from diagnoses that existed prior to hospitalization. For all PSIs, the POA flag is used to exclude cases from the numerator when the condition of interest is present on admission and to exclude complications that </w:t>
          </w:r>
          <w:proofErr w:type="gramStart"/>
          <w:r w:rsidRPr="00FB7D6D">
            <w:rPr>
              <w:rFonts w:ascii="Calibri" w:hAnsi="Calibri" w:cs="Calibri"/>
              <w:color w:val="0000FF"/>
            </w:rPr>
            <w:t>occur</w:t>
          </w:r>
          <w:proofErr w:type="gramEnd"/>
          <w:r w:rsidRPr="00FB7D6D">
            <w:rPr>
              <w:rFonts w:ascii="Calibri" w:hAnsi="Calibri" w:cs="Calibri"/>
              <w:color w:val="0000FF"/>
            </w:rPr>
            <w:t xml:space="preserve"> in-hospital from risk adjustment. Edit checks on POA were developed using a separate analysis of HCUP databases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has POA reported as Y on all diagnoses on all discharges </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has POA reported as missing on all non-Medicare discharges </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w:t>
          </w:r>
          <w:proofErr w:type="gramStart"/>
          <w:r w:rsidRPr="00FB7D6D">
            <w:rPr>
              <w:rFonts w:ascii="Calibri" w:hAnsi="Calibri" w:cs="Calibri"/>
              <w:color w:val="0000FF"/>
            </w:rPr>
            <w:t>to report</w:t>
          </w:r>
          <w:proofErr w:type="gramEnd"/>
          <w:r w:rsidRPr="00FB7D6D">
            <w:rPr>
              <w:rFonts w:ascii="Calibri" w:hAnsi="Calibri" w:cs="Calibri"/>
              <w:color w:val="0000FF"/>
            </w:rPr>
            <w:t xml:space="preserve"> POA to CMS.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 xml:space="preserve">Hospitals that failed any of the edit checks were excluded from the dataset.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sidRPr="00FB7D6D">
              <w:rPr>
                <w:rStyle w:val="Hyperlink"/>
                <w:rFonts w:ascii="Calibri" w:hAnsi="Calibri" w:cs="Calibri"/>
                <w:color w:val="0000FF"/>
                <w:szCs w:val="22"/>
              </w:rPr>
              <w:t>www.hcup-us.ahrq.gov</w:t>
            </w:r>
          </w:hyperlink>
          <w:r w:rsidRPr="00FB7D6D">
            <w:rPr>
              <w:rFonts w:ascii="Calibri" w:hAnsi="Calibri" w:cs="Calibri"/>
              <w:color w:val="0000FF"/>
              <w:sz w:val="22"/>
              <w:szCs w:val="22"/>
            </w:rPr>
            <w:t xml:space="preserve">).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Theme="minorHAnsi" w:hAnsiTheme="minorHAnsi" w:cstheme="minorHAnsi"/>
              <w:color w:val="0000FF"/>
              <w:sz w:val="22"/>
              <w:szCs w:val="22"/>
            </w:rPr>
          </w:pPr>
          <w:r w:rsidRPr="00FB7D6D">
            <w:rPr>
              <w:rFonts w:ascii="Calibri" w:hAnsi="Calibri" w:cs="Calibri"/>
              <w:color w:val="0000FF"/>
              <w:sz w:val="22"/>
              <w:szCs w:val="22"/>
              <w:vertAlign w:val="superscript"/>
            </w:rPr>
            <w:t>1</w:t>
          </w:r>
          <w:r w:rsidRPr="00FB7D6D">
            <w:rPr>
              <w:rFonts w:ascii="Calibri" w:hAnsi="Calibri" w:cs="Calibri"/>
              <w:color w:val="0000FF"/>
              <w:sz w:val="22"/>
              <w:szCs w:val="22"/>
            </w:rPr>
            <w:t xml:space="preserve">HCUP State Inpatient Databases (SID). Healthcare Cost and Utilization Project (HCUP). </w:t>
          </w:r>
          <w:proofErr w:type="gramStart"/>
          <w:r w:rsidRPr="00FB7D6D">
            <w:rPr>
              <w:rFonts w:ascii="Calibri" w:hAnsi="Calibri" w:cs="Calibri"/>
              <w:color w:val="0000FF"/>
              <w:sz w:val="22"/>
              <w:szCs w:val="22"/>
            </w:rPr>
            <w:t>2008-2012. Agency for Healthcare Research and Quality, Rockville, MD.</w:t>
          </w:r>
          <w:proofErr w:type="gramEnd"/>
          <w:r w:rsidRPr="00FB7D6D">
            <w:rPr>
              <w:rFonts w:ascii="Calibri" w:hAnsi="Calibri" w:cs="Calibri"/>
              <w:color w:val="0000FF"/>
              <w:sz w:val="22"/>
              <w:szCs w:val="22"/>
            </w:rPr>
            <w:t xml:space="preserve"> </w:t>
          </w:r>
          <w:hyperlink r:id="rId14" w:history="1">
            <w:r w:rsidRPr="00FB7D6D">
              <w:rPr>
                <w:rStyle w:val="Hyperlink"/>
                <w:rFonts w:ascii="Calibri" w:hAnsi="Calibri" w:cs="Calibri"/>
                <w:color w:val="0000FF"/>
                <w:szCs w:val="22"/>
              </w:rPr>
              <w:t>www.hcup-us.ahrq.gov/sidoverview.jsp</w:t>
            </w:r>
          </w:hyperlink>
          <w:r w:rsidRPr="00FB7D6D">
            <w:rPr>
              <w:rFonts w:ascii="Calibri" w:hAnsi="Calibri" w:cs="Calibri"/>
              <w:color w:val="0000FF"/>
              <w:sz w:val="22"/>
              <w:szCs w:val="22"/>
            </w:rPr>
            <w:t xml:space="preserve">. (AHRQ QI Software Version 5.0) </w:t>
          </w:r>
        </w:p>
      </w:sdtContent>
    </w:sdt>
    <w:p w:rsidR="0018216F" w:rsidRPr="000A7500" w:rsidRDefault="0018216F" w:rsidP="0018216F">
      <w:pPr>
        <w:pStyle w:val="Default"/>
        <w:spacing w:line="276" w:lineRule="auto"/>
        <w:rPr>
          <w:rFonts w:asciiTheme="minorHAnsi" w:hAnsiTheme="minorHAnsi" w:cstheme="minorHAnsi"/>
          <w:color w:val="0000FF"/>
          <w:sz w:val="22"/>
          <w:szCs w:val="22"/>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18216F">
            <w:rPr>
              <w:rStyle w:val="Style1"/>
            </w:rPr>
            <w:t>2008-2012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0414E8">
              <w:rPr>
                <w:rFonts w:cstheme="minorHAnsi"/>
                <w:bCs/>
              </w:rPr>
              <w:t xml:space="preserve"> </w:t>
            </w:r>
            <w:r w:rsidR="000414E8" w:rsidRPr="00FB7D6D">
              <w:rPr>
                <w:rFonts w:eastAsia="MS Gothic" w:cstheme="minorHAnsi"/>
                <w:bCs/>
                <w:highlight w:val="yellow"/>
              </w:rPr>
              <w:t>hospital/facility/agency</w:t>
            </w:r>
          </w:p>
        </w:tc>
        <w:tc>
          <w:tcPr>
            <w:tcW w:w="5028"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0414E8">
              <w:rPr>
                <w:rFonts w:cstheme="minorHAnsi"/>
                <w:bCs/>
              </w:rPr>
              <w:t xml:space="preserve"> </w:t>
            </w:r>
            <w:r w:rsidR="000414E8" w:rsidRPr="00FB7D6D">
              <w:rPr>
                <w:rFonts w:eastAsia="MS Gothic" w:cstheme="minorHAnsi"/>
                <w:bCs/>
                <w:highlight w:val="yellow"/>
              </w:rPr>
              <w:t>hospital/facility/agency</w:t>
            </w:r>
          </w:p>
        </w:tc>
      </w:tr>
      <w:tr w:rsidR="000414E8" w:rsidRPr="00A01494" w:rsidTr="000414E8">
        <w:trPr>
          <w:jc w:val="center"/>
        </w:trPr>
        <w:tc>
          <w:tcPr>
            <w:tcW w:w="5027"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0D67E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rsidR="00FB7D6D" w:rsidRPr="0046357F" w:rsidRDefault="00FB7D6D" w:rsidP="00FB7D6D">
      <w:pPr>
        <w:tabs>
          <w:tab w:val="left" w:pos="9360"/>
        </w:tabs>
        <w:spacing w:after="0" w:line="240" w:lineRule="auto"/>
        <w:contextualSpacing/>
        <w:rPr>
          <w:rFonts w:ascii="Calibri" w:hAnsi="Calibri" w:cstheme="minorHAnsi"/>
          <w:b/>
          <w:color w:val="0000FF"/>
        </w:rPr>
      </w:pPr>
      <w:proofErr w:type="gramStart"/>
      <w:r w:rsidRPr="0046357F">
        <w:rPr>
          <w:rFonts w:ascii="Calibri" w:hAnsi="Calibri" w:cstheme="minorHAnsi"/>
          <w:b/>
          <w:color w:val="0000FF"/>
        </w:rPr>
        <w:t>Table 1.</w:t>
      </w:r>
      <w:proofErr w:type="gramEnd"/>
      <w:r w:rsidRPr="0046357F">
        <w:rPr>
          <w:rFonts w:ascii="Calibri" w:hAnsi="Calibri" w:cstheme="minorHAnsi"/>
          <w:b/>
          <w:color w:val="0000FF"/>
        </w:rPr>
        <w:t xml:space="preserve"> Reference Population Rate and Distribution of Hospital Performance PSI 02 </w:t>
      </w:r>
      <w:bookmarkStart w:id="12" w:name="OLE_LINK1"/>
      <w:r w:rsidRPr="0046357F">
        <w:rPr>
          <w:rFonts w:ascii="Calibri" w:hAnsi="Calibri" w:cstheme="minorHAnsi"/>
          <w:b/>
          <w:color w:val="0000FF"/>
        </w:rPr>
        <w:t>Death Rate in Low-Mortality Diagnosis Related Groups</w:t>
      </w:r>
    </w:p>
    <w:tbl>
      <w:tblPr>
        <w:tblStyle w:val="TableGrid"/>
        <w:tblW w:w="9360" w:type="dxa"/>
        <w:tblInd w:w="108" w:type="dxa"/>
        <w:tblLayout w:type="fixed"/>
        <w:tblLook w:val="04A0" w:firstRow="1" w:lastRow="0" w:firstColumn="1" w:lastColumn="0" w:noHBand="0" w:noVBand="1"/>
      </w:tblPr>
      <w:tblGrid>
        <w:gridCol w:w="1131"/>
        <w:gridCol w:w="1683"/>
        <w:gridCol w:w="2392"/>
        <w:gridCol w:w="2392"/>
        <w:gridCol w:w="1762"/>
      </w:tblGrid>
      <w:tr w:rsidR="00FB7D6D" w:rsidRPr="0046357F" w:rsidTr="00FB7D6D">
        <w:trPr>
          <w:trHeight w:val="250"/>
        </w:trPr>
        <w:tc>
          <w:tcPr>
            <w:tcW w:w="93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2"/>
          <w:p w:rsidR="00FB7D6D" w:rsidRPr="0046357F" w:rsidRDefault="00FB7D6D" w:rsidP="00FB7D6D">
            <w:pPr>
              <w:autoSpaceDE w:val="0"/>
              <w:autoSpaceDN w:val="0"/>
              <w:adjustRightInd w:val="0"/>
              <w:jc w:val="center"/>
              <w:rPr>
                <w:rFonts w:ascii="Calibri" w:hAnsi="Calibri" w:cstheme="minorHAnsi"/>
                <w:b/>
                <w:bCs/>
                <w:color w:val="0000FF"/>
              </w:rPr>
            </w:pPr>
            <w:r w:rsidRPr="0046357F">
              <w:rPr>
                <w:rFonts w:ascii="Calibri" w:hAnsi="Calibri" w:cstheme="minorHAnsi"/>
                <w:b/>
                <w:bCs/>
                <w:color w:val="0000FF"/>
              </w:rPr>
              <w:t>Overall Reference Population Rate</w:t>
            </w:r>
          </w:p>
        </w:tc>
      </w:tr>
      <w:tr w:rsidR="00FB7D6D" w:rsidRPr="0046357F" w:rsidTr="00FB7D6D">
        <w:trPr>
          <w:trHeight w:val="250"/>
        </w:trPr>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 xml:space="preserve">Year </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 xml:space="preserve">Number Hospitals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 xml:space="preserve">Outcome of Interest </w:t>
            </w:r>
          </w:p>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(Numerator)</w:t>
            </w:r>
            <w:r w:rsidRPr="0046357F">
              <w:rPr>
                <w:rFonts w:ascii="Calibri" w:hAnsi="Calibri" w:cstheme="minorHAnsi"/>
                <w:b/>
                <w:bCs/>
                <w:color w:val="0000FF"/>
                <w:vertAlign w:val="superscript"/>
              </w:rPr>
              <w:t>1</w:t>
            </w:r>
            <w:r w:rsidRPr="0046357F">
              <w:rPr>
                <w:rFonts w:ascii="Calibri" w:hAnsi="Calibri" w:cstheme="minorHAnsi"/>
                <w:b/>
                <w:bCs/>
                <w:color w:val="0000FF"/>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 xml:space="preserve">Population at Risk </w:t>
            </w:r>
          </w:p>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(Denominator)</w:t>
            </w:r>
            <w:r w:rsidRPr="0046357F">
              <w:rPr>
                <w:rFonts w:ascii="Calibri" w:hAnsi="Calibri" w:cstheme="minorHAnsi"/>
                <w:b/>
                <w:bCs/>
                <w:color w:val="0000FF"/>
                <w:vertAlign w:val="superscript"/>
              </w:rPr>
              <w:t>1</w:t>
            </w:r>
          </w:p>
        </w:tc>
        <w:tc>
          <w:tcPr>
            <w:tcW w:w="1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 xml:space="preserve">Observed Rate </w:t>
            </w:r>
          </w:p>
          <w:p w:rsidR="00FB7D6D" w:rsidRPr="0046357F" w:rsidRDefault="00FB7D6D" w:rsidP="00FB7D6D">
            <w:pPr>
              <w:autoSpaceDE w:val="0"/>
              <w:autoSpaceDN w:val="0"/>
              <w:adjustRightInd w:val="0"/>
              <w:rPr>
                <w:rFonts w:ascii="Calibri" w:hAnsi="Calibri" w:cstheme="minorHAnsi"/>
                <w:color w:val="0000FF"/>
              </w:rPr>
            </w:pPr>
            <w:r w:rsidRPr="0046357F">
              <w:rPr>
                <w:rFonts w:ascii="Calibri" w:hAnsi="Calibri" w:cstheme="minorHAnsi"/>
                <w:b/>
                <w:bCs/>
                <w:color w:val="0000FF"/>
              </w:rPr>
              <w:t>Per 1000</w:t>
            </w:r>
            <w:r w:rsidRPr="0046357F">
              <w:rPr>
                <w:rFonts w:ascii="Calibri" w:hAnsi="Calibri" w:cstheme="minorHAnsi"/>
                <w:b/>
                <w:bCs/>
                <w:color w:val="0000FF"/>
                <w:vertAlign w:val="superscript"/>
              </w:rPr>
              <w:t>1</w:t>
            </w:r>
          </w:p>
        </w:tc>
      </w:tr>
      <w:tr w:rsidR="00FB7D6D" w:rsidRPr="0046357F" w:rsidTr="00FB7D6D">
        <w:trPr>
          <w:trHeight w:val="139"/>
        </w:trPr>
        <w:tc>
          <w:tcPr>
            <w:tcW w:w="1131"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rPr>
                <w:rFonts w:ascii="Calibri" w:hAnsi="Calibri"/>
                <w:color w:val="0000FF"/>
              </w:rPr>
            </w:pPr>
            <w:r w:rsidRPr="0046357F">
              <w:rPr>
                <w:rFonts w:ascii="Calibri" w:hAnsi="Calibri"/>
                <w:color w:val="0000FF"/>
              </w:rPr>
              <w:t>2012</w:t>
            </w:r>
          </w:p>
        </w:tc>
        <w:tc>
          <w:tcPr>
            <w:tcW w:w="1683"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3,356</w:t>
            </w:r>
          </w:p>
        </w:tc>
        <w:tc>
          <w:tcPr>
            <w:tcW w:w="239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1,888</w:t>
            </w:r>
          </w:p>
        </w:tc>
        <w:tc>
          <w:tcPr>
            <w:tcW w:w="239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5,809,773</w:t>
            </w:r>
          </w:p>
        </w:tc>
        <w:tc>
          <w:tcPr>
            <w:tcW w:w="176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0.33</w:t>
            </w:r>
          </w:p>
        </w:tc>
      </w:tr>
      <w:tr w:rsidR="00FB7D6D" w:rsidRPr="0046357F" w:rsidTr="00FB7D6D">
        <w:trPr>
          <w:trHeight w:val="230"/>
        </w:trPr>
        <w:tc>
          <w:tcPr>
            <w:tcW w:w="1131"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rPr>
                <w:rFonts w:ascii="Calibri" w:hAnsi="Calibri"/>
                <w:color w:val="0000FF"/>
              </w:rPr>
            </w:pPr>
            <w:r w:rsidRPr="0046357F">
              <w:rPr>
                <w:rFonts w:ascii="Calibri" w:hAnsi="Calibri"/>
                <w:color w:val="0000FF"/>
              </w:rPr>
              <w:t>2011</w:t>
            </w:r>
          </w:p>
        </w:tc>
        <w:tc>
          <w:tcPr>
            <w:tcW w:w="1683"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3,187</w:t>
            </w:r>
          </w:p>
        </w:tc>
        <w:tc>
          <w:tcPr>
            <w:tcW w:w="239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2,052</w:t>
            </w:r>
          </w:p>
        </w:tc>
        <w:tc>
          <w:tcPr>
            <w:tcW w:w="239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5,726,474</w:t>
            </w:r>
          </w:p>
        </w:tc>
        <w:tc>
          <w:tcPr>
            <w:tcW w:w="176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right"/>
              <w:rPr>
                <w:rFonts w:ascii="Calibri" w:hAnsi="Calibri"/>
                <w:color w:val="0000FF"/>
              </w:rPr>
            </w:pPr>
            <w:r w:rsidRPr="0046357F">
              <w:rPr>
                <w:rFonts w:ascii="Calibri" w:hAnsi="Calibri"/>
                <w:color w:val="0000FF"/>
              </w:rPr>
              <w:t>0.36</w:t>
            </w:r>
          </w:p>
        </w:tc>
      </w:tr>
      <w:tr w:rsidR="00FB7D6D" w:rsidRPr="0046357F" w:rsidTr="00FB7D6D">
        <w:trPr>
          <w:trHeight w:val="139"/>
        </w:trPr>
        <w:tc>
          <w:tcPr>
            <w:tcW w:w="1131" w:type="dxa"/>
            <w:tcBorders>
              <w:top w:val="single" w:sz="4" w:space="0" w:color="auto"/>
              <w:left w:val="single" w:sz="4" w:space="0" w:color="auto"/>
              <w:bottom w:val="single" w:sz="4" w:space="0" w:color="auto"/>
              <w:right w:val="single" w:sz="4" w:space="0" w:color="auto"/>
            </w:tcBorders>
            <w:hideMark/>
          </w:tcPr>
          <w:p w:rsidR="00FB7D6D" w:rsidRPr="0046357F" w:rsidRDefault="00FB7D6D" w:rsidP="00FB7D6D">
            <w:pPr>
              <w:ind w:right="-108"/>
              <w:rPr>
                <w:rFonts w:ascii="Calibri" w:hAnsi="Calibri" w:cstheme="minorHAnsi"/>
                <w:color w:val="0000FF"/>
                <w:szCs w:val="20"/>
                <w:vertAlign w:val="superscript"/>
              </w:rPr>
            </w:pPr>
            <w:r w:rsidRPr="0046357F">
              <w:rPr>
                <w:rFonts w:ascii="Calibri" w:hAnsi="Calibri" w:cstheme="minorHAnsi"/>
                <w:color w:val="0000FF"/>
                <w:szCs w:val="20"/>
              </w:rPr>
              <w:t>2010</w:t>
            </w:r>
            <w:r w:rsidRPr="0046357F">
              <w:rPr>
                <w:rFonts w:ascii="Calibri" w:hAnsi="Calibri" w:cstheme="minorHAnsi"/>
                <w:color w:val="0000FF"/>
                <w:szCs w:val="20"/>
                <w:vertAlign w:val="superscript"/>
              </w:rPr>
              <w:t>3</w:t>
            </w:r>
          </w:p>
        </w:tc>
        <w:tc>
          <w:tcPr>
            <w:tcW w:w="1683"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4,939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1,937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7,161,487 </w:t>
            </w:r>
          </w:p>
        </w:tc>
        <w:tc>
          <w:tcPr>
            <w:tcW w:w="176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0.27 </w:t>
            </w:r>
          </w:p>
        </w:tc>
      </w:tr>
      <w:tr w:rsidR="00FB7D6D" w:rsidRPr="0046357F" w:rsidTr="00FB7D6D">
        <w:trPr>
          <w:trHeight w:val="58"/>
        </w:trPr>
        <w:tc>
          <w:tcPr>
            <w:tcW w:w="1131" w:type="dxa"/>
            <w:tcBorders>
              <w:top w:val="single" w:sz="4" w:space="0" w:color="auto"/>
              <w:left w:val="single" w:sz="4" w:space="0" w:color="auto"/>
              <w:bottom w:val="single" w:sz="4" w:space="0" w:color="auto"/>
              <w:right w:val="single" w:sz="4" w:space="0" w:color="auto"/>
            </w:tcBorders>
            <w:hideMark/>
          </w:tcPr>
          <w:p w:rsidR="00FB7D6D" w:rsidRPr="0046357F" w:rsidRDefault="00FB7D6D" w:rsidP="00FB7D6D">
            <w:pPr>
              <w:ind w:right="-108"/>
              <w:rPr>
                <w:rFonts w:ascii="Calibri" w:hAnsi="Calibri" w:cstheme="minorHAnsi"/>
                <w:color w:val="0000FF"/>
                <w:szCs w:val="20"/>
                <w:vertAlign w:val="superscript"/>
              </w:rPr>
            </w:pPr>
            <w:r w:rsidRPr="0046357F">
              <w:rPr>
                <w:rFonts w:ascii="Calibri" w:hAnsi="Calibri" w:cstheme="minorHAnsi"/>
                <w:color w:val="0000FF"/>
                <w:szCs w:val="20"/>
              </w:rPr>
              <w:t>2009</w:t>
            </w:r>
            <w:r w:rsidRPr="0046357F">
              <w:rPr>
                <w:rFonts w:ascii="Calibri" w:hAnsi="Calibri" w:cstheme="minorHAnsi"/>
                <w:color w:val="0000FF"/>
                <w:szCs w:val="20"/>
                <w:vertAlign w:val="superscript"/>
              </w:rPr>
              <w:t>3</w:t>
            </w:r>
          </w:p>
        </w:tc>
        <w:tc>
          <w:tcPr>
            <w:tcW w:w="1683"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4,847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1,957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7,323,968 </w:t>
            </w:r>
          </w:p>
        </w:tc>
        <w:tc>
          <w:tcPr>
            <w:tcW w:w="176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0.27 </w:t>
            </w:r>
          </w:p>
        </w:tc>
      </w:tr>
      <w:tr w:rsidR="00FB7D6D" w:rsidRPr="0046357F" w:rsidTr="00FB7D6D">
        <w:trPr>
          <w:trHeight w:val="139"/>
        </w:trPr>
        <w:tc>
          <w:tcPr>
            <w:tcW w:w="1131" w:type="dxa"/>
            <w:tcBorders>
              <w:top w:val="single" w:sz="4" w:space="0" w:color="auto"/>
              <w:left w:val="single" w:sz="4" w:space="0" w:color="auto"/>
              <w:bottom w:val="single" w:sz="4" w:space="0" w:color="auto"/>
              <w:right w:val="single" w:sz="4" w:space="0" w:color="auto"/>
            </w:tcBorders>
            <w:hideMark/>
          </w:tcPr>
          <w:p w:rsidR="00FB7D6D" w:rsidRPr="0046357F" w:rsidRDefault="00FB7D6D" w:rsidP="00FB7D6D">
            <w:pPr>
              <w:ind w:right="-108"/>
              <w:rPr>
                <w:rFonts w:ascii="Calibri" w:hAnsi="Calibri" w:cstheme="minorHAnsi"/>
                <w:color w:val="0000FF"/>
                <w:szCs w:val="20"/>
                <w:vertAlign w:val="superscript"/>
              </w:rPr>
            </w:pPr>
            <w:r w:rsidRPr="0046357F">
              <w:rPr>
                <w:rFonts w:ascii="Calibri" w:hAnsi="Calibri" w:cstheme="minorHAnsi"/>
                <w:color w:val="0000FF"/>
                <w:szCs w:val="20"/>
              </w:rPr>
              <w:t>2008</w:t>
            </w:r>
            <w:r w:rsidRPr="0046357F">
              <w:rPr>
                <w:rFonts w:ascii="Calibri" w:hAnsi="Calibri" w:cstheme="minorHAnsi"/>
                <w:color w:val="0000FF"/>
                <w:szCs w:val="20"/>
                <w:vertAlign w:val="superscript"/>
              </w:rPr>
              <w:t>3</w:t>
            </w:r>
          </w:p>
        </w:tc>
        <w:tc>
          <w:tcPr>
            <w:tcW w:w="1683"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4,781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2,100 </w:t>
            </w:r>
          </w:p>
        </w:tc>
        <w:tc>
          <w:tcPr>
            <w:tcW w:w="239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7,418,086 </w:t>
            </w:r>
          </w:p>
        </w:tc>
        <w:tc>
          <w:tcPr>
            <w:tcW w:w="1762" w:type="dxa"/>
            <w:tcBorders>
              <w:top w:val="single" w:sz="4" w:space="0" w:color="auto"/>
              <w:left w:val="single" w:sz="4" w:space="0" w:color="auto"/>
              <w:bottom w:val="single" w:sz="4" w:space="0" w:color="auto"/>
              <w:right w:val="single" w:sz="4" w:space="0" w:color="auto"/>
            </w:tcBorders>
          </w:tcPr>
          <w:p w:rsidR="00FB7D6D" w:rsidRPr="0046357F" w:rsidRDefault="00FB7D6D" w:rsidP="00FB7D6D">
            <w:pPr>
              <w:pStyle w:val="Default"/>
              <w:spacing w:line="276" w:lineRule="auto"/>
              <w:jc w:val="right"/>
              <w:rPr>
                <w:rFonts w:ascii="Calibri" w:hAnsi="Calibri"/>
                <w:color w:val="0000FF"/>
                <w:sz w:val="22"/>
                <w:szCs w:val="22"/>
              </w:rPr>
            </w:pPr>
            <w:r w:rsidRPr="0046357F">
              <w:rPr>
                <w:rFonts w:ascii="Calibri" w:hAnsi="Calibri"/>
                <w:color w:val="0000FF"/>
                <w:sz w:val="22"/>
                <w:szCs w:val="22"/>
              </w:rPr>
              <w:t xml:space="preserve">0.28 </w:t>
            </w:r>
          </w:p>
        </w:tc>
      </w:tr>
    </w:tbl>
    <w:tbl>
      <w:tblPr>
        <w:tblW w:w="9360" w:type="dxa"/>
        <w:tblInd w:w="10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FB7D6D" w:rsidRPr="0046357F" w:rsidTr="00FB7D6D">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B7D6D" w:rsidRPr="0046357F" w:rsidRDefault="00FB7D6D" w:rsidP="00FB7D6D">
            <w:pPr>
              <w:spacing w:after="0" w:line="240" w:lineRule="auto"/>
              <w:jc w:val="center"/>
              <w:rPr>
                <w:rFonts w:ascii="Calibri" w:eastAsia="Times New Roman" w:hAnsi="Calibri" w:cs="Times New Roman"/>
                <w:b/>
                <w:color w:val="0000FF"/>
              </w:rPr>
            </w:pPr>
            <w:r w:rsidRPr="0046357F">
              <w:rPr>
                <w:rFonts w:ascii="Calibri" w:eastAsia="Times New Roman" w:hAnsi="Calibri" w:cs="Times New Roman"/>
                <w:b/>
                <w:color w:val="0000FF"/>
              </w:rPr>
              <w:t>Distribution of Hospital-level Observed Rates in Reference Population</w:t>
            </w:r>
          </w:p>
        </w:tc>
      </w:tr>
      <w:tr w:rsidR="00FB7D6D" w:rsidRPr="0046357F" w:rsidTr="00FB7D6D">
        <w:trPr>
          <w:trHeight w:val="300"/>
        </w:trPr>
        <w:tc>
          <w:tcPr>
            <w:tcW w:w="1118"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Year</w:t>
            </w:r>
          </w:p>
        </w:tc>
        <w:tc>
          <w:tcPr>
            <w:tcW w:w="1659"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Number of</w:t>
            </w:r>
          </w:p>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Hospitals</w:t>
            </w:r>
          </w:p>
        </w:tc>
        <w:tc>
          <w:tcPr>
            <w:tcW w:w="658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vertAlign w:val="superscript"/>
              </w:rPr>
            </w:pPr>
            <w:r w:rsidRPr="0046357F">
              <w:rPr>
                <w:rFonts w:ascii="Calibri" w:eastAsia="Times New Roman" w:hAnsi="Calibri" w:cs="Times New Roman"/>
                <w:color w:val="0000FF"/>
              </w:rPr>
              <w:t>Distribution of Observed Hospital-level Rates per 1000 (p=percentile)</w:t>
            </w:r>
            <w:r w:rsidRPr="0046357F">
              <w:rPr>
                <w:rFonts w:ascii="Calibri" w:eastAsia="Times New Roman" w:hAnsi="Calibri" w:cs="Times New Roman"/>
                <w:color w:val="0000FF"/>
                <w:vertAlign w:val="superscript"/>
              </w:rPr>
              <w:t>2</w:t>
            </w:r>
          </w:p>
        </w:tc>
      </w:tr>
      <w:tr w:rsidR="00FB7D6D" w:rsidRPr="0046357F" w:rsidTr="00FB7D6D">
        <w:trPr>
          <w:trHeight w:val="300"/>
        </w:trPr>
        <w:tc>
          <w:tcPr>
            <w:tcW w:w="1118" w:type="dxa"/>
            <w:vMerge/>
            <w:tcBorders>
              <w:top w:val="single" w:sz="4" w:space="0" w:color="auto"/>
              <w:left w:val="single" w:sz="4" w:space="0" w:color="auto"/>
              <w:bottom w:val="single" w:sz="4" w:space="0" w:color="auto"/>
              <w:right w:val="nil"/>
            </w:tcBorders>
            <w:vAlign w:val="center"/>
            <w:hideMark/>
          </w:tcPr>
          <w:p w:rsidR="00FB7D6D" w:rsidRPr="0046357F" w:rsidRDefault="00FB7D6D" w:rsidP="00FB7D6D">
            <w:pPr>
              <w:spacing w:after="0" w:line="240" w:lineRule="auto"/>
              <w:rPr>
                <w:rFonts w:ascii="Calibri" w:eastAsia="Times New Roman" w:hAnsi="Calibri" w:cs="Times New Roman"/>
                <w:color w:val="0000FF"/>
              </w:rPr>
            </w:pPr>
          </w:p>
        </w:tc>
        <w:tc>
          <w:tcPr>
            <w:tcW w:w="1659" w:type="dxa"/>
            <w:vMerge/>
            <w:tcBorders>
              <w:top w:val="single" w:sz="4" w:space="0" w:color="auto"/>
              <w:left w:val="single" w:sz="8" w:space="0" w:color="auto"/>
              <w:bottom w:val="single" w:sz="4" w:space="0" w:color="auto"/>
              <w:right w:val="single" w:sz="8" w:space="0" w:color="auto"/>
            </w:tcBorders>
            <w:vAlign w:val="center"/>
            <w:hideMark/>
          </w:tcPr>
          <w:p w:rsidR="00FB7D6D" w:rsidRPr="0046357F" w:rsidRDefault="00FB7D6D" w:rsidP="00FB7D6D">
            <w:pPr>
              <w:spacing w:after="0" w:line="240" w:lineRule="auto"/>
              <w:rPr>
                <w:rFonts w:ascii="Calibri" w:eastAsia="Times New Roman" w:hAnsi="Calibri" w:cs="Times New Roman"/>
                <w:color w:val="0000FF"/>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SD</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p5</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p25</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FB7D6D" w:rsidRPr="0046357F" w:rsidRDefault="00FB7D6D" w:rsidP="00FB7D6D">
            <w:pPr>
              <w:spacing w:after="0" w:line="240" w:lineRule="auto"/>
              <w:jc w:val="center"/>
              <w:rPr>
                <w:rFonts w:ascii="Calibri" w:eastAsia="Times New Roman" w:hAnsi="Calibri" w:cs="Times New Roman"/>
                <w:color w:val="0000FF"/>
              </w:rPr>
            </w:pPr>
            <w:r w:rsidRPr="0046357F">
              <w:rPr>
                <w:rFonts w:ascii="Calibri" w:eastAsia="Times New Roman" w:hAnsi="Calibri" w:cs="Times New Roman"/>
                <w:color w:val="0000FF"/>
              </w:rPr>
              <w:t>p95</w:t>
            </w:r>
          </w:p>
        </w:tc>
      </w:tr>
      <w:tr w:rsidR="00FB7D6D" w:rsidRPr="0046357F" w:rsidTr="00FB7D6D">
        <w:trPr>
          <w:trHeight w:val="300"/>
        </w:trPr>
        <w:tc>
          <w:tcPr>
            <w:tcW w:w="1118" w:type="dxa"/>
            <w:tcBorders>
              <w:top w:val="single" w:sz="4" w:space="0" w:color="auto"/>
              <w:left w:val="single" w:sz="4" w:space="0" w:color="auto"/>
              <w:bottom w:val="single" w:sz="4" w:space="0" w:color="auto"/>
              <w:right w:val="nil"/>
            </w:tcBorders>
            <w:noWrap/>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2012</w:t>
            </w:r>
          </w:p>
        </w:tc>
        <w:tc>
          <w:tcPr>
            <w:tcW w:w="1659" w:type="dxa"/>
            <w:tcBorders>
              <w:top w:val="single" w:sz="4" w:space="0" w:color="auto"/>
              <w:left w:val="single" w:sz="8" w:space="0" w:color="auto"/>
              <w:bottom w:val="single" w:sz="4" w:space="0" w:color="auto"/>
              <w:right w:val="single" w:sz="8" w:space="0" w:color="auto"/>
            </w:tcBorders>
            <w:noWrap/>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3,356</w:t>
            </w:r>
          </w:p>
        </w:tc>
        <w:tc>
          <w:tcPr>
            <w:tcW w:w="96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1.24</w:t>
            </w:r>
          </w:p>
        </w:tc>
        <w:tc>
          <w:tcPr>
            <w:tcW w:w="885"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10.72</w:t>
            </w:r>
          </w:p>
        </w:tc>
        <w:tc>
          <w:tcPr>
            <w:tcW w:w="885"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885"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00.30</w:t>
            </w:r>
          </w:p>
        </w:tc>
        <w:tc>
          <w:tcPr>
            <w:tcW w:w="1040"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2.49</w:t>
            </w:r>
          </w:p>
        </w:tc>
      </w:tr>
      <w:tr w:rsidR="00FB7D6D" w:rsidRPr="0046357F" w:rsidTr="00FB7D6D">
        <w:trPr>
          <w:trHeight w:val="315"/>
        </w:trPr>
        <w:tc>
          <w:tcPr>
            <w:tcW w:w="1118" w:type="dxa"/>
            <w:tcBorders>
              <w:top w:val="single" w:sz="4" w:space="0" w:color="auto"/>
              <w:left w:val="single" w:sz="4" w:space="0" w:color="auto"/>
              <w:bottom w:val="single" w:sz="4" w:space="0" w:color="auto"/>
              <w:right w:val="nil"/>
            </w:tcBorders>
            <w:noWrap/>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2011</w:t>
            </w:r>
          </w:p>
        </w:tc>
        <w:tc>
          <w:tcPr>
            <w:tcW w:w="1659" w:type="dxa"/>
            <w:tcBorders>
              <w:top w:val="single" w:sz="4" w:space="0" w:color="auto"/>
              <w:left w:val="single" w:sz="8" w:space="0" w:color="auto"/>
              <w:bottom w:val="single" w:sz="4" w:space="0" w:color="auto"/>
              <w:right w:val="single" w:sz="8"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3,187</w:t>
            </w:r>
          </w:p>
        </w:tc>
        <w:tc>
          <w:tcPr>
            <w:tcW w:w="962"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1.04</w:t>
            </w:r>
          </w:p>
        </w:tc>
        <w:tc>
          <w:tcPr>
            <w:tcW w:w="885"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6.10</w:t>
            </w:r>
          </w:p>
        </w:tc>
        <w:tc>
          <w:tcPr>
            <w:tcW w:w="885"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885"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0.39</w:t>
            </w:r>
          </w:p>
        </w:tc>
        <w:tc>
          <w:tcPr>
            <w:tcW w:w="1040" w:type="dxa"/>
            <w:tcBorders>
              <w:top w:val="single" w:sz="4" w:space="0" w:color="auto"/>
              <w:left w:val="single" w:sz="4" w:space="0" w:color="auto"/>
              <w:bottom w:val="single" w:sz="4" w:space="0" w:color="auto"/>
              <w:right w:val="single" w:sz="4" w:space="0" w:color="auto"/>
            </w:tcBorders>
            <w:vAlign w:val="bottom"/>
            <w:hideMark/>
          </w:tcPr>
          <w:p w:rsidR="00FB7D6D" w:rsidRPr="0046357F" w:rsidRDefault="00FB7D6D" w:rsidP="00FB7D6D">
            <w:pPr>
              <w:jc w:val="center"/>
              <w:rPr>
                <w:rFonts w:ascii="Calibri" w:hAnsi="Calibri"/>
                <w:color w:val="0000FF"/>
              </w:rPr>
            </w:pPr>
            <w:r w:rsidRPr="0046357F">
              <w:rPr>
                <w:rFonts w:ascii="Calibri" w:hAnsi="Calibri"/>
                <w:color w:val="0000FF"/>
              </w:rPr>
              <w:t>3.24</w:t>
            </w:r>
          </w:p>
        </w:tc>
      </w:tr>
    </w:tbl>
    <w:p w:rsidR="00FB7D6D" w:rsidRPr="0046357F" w:rsidRDefault="00FB7D6D" w:rsidP="00FB7D6D">
      <w:pPr>
        <w:spacing w:after="0" w:line="240" w:lineRule="auto"/>
        <w:rPr>
          <w:rFonts w:ascii="Calibri" w:hAnsi="Calibri" w:cs="Calibri"/>
          <w:color w:val="0000FF"/>
        </w:rPr>
      </w:pPr>
      <w:r w:rsidRPr="0046357F">
        <w:rPr>
          <w:rFonts w:ascii="Calibri" w:hAnsi="Calibri" w:cs="Calibri"/>
          <w:color w:val="0000FF"/>
        </w:rPr>
        <w:t xml:space="preserve">Source: HCUP State Inpatient Databases (SID). Healthcare Cost and Utilization Project (HCUP). </w:t>
      </w:r>
      <w:proofErr w:type="gramStart"/>
      <w:r w:rsidRPr="0046357F">
        <w:rPr>
          <w:rFonts w:ascii="Calibri" w:hAnsi="Calibri" w:cs="Calibri"/>
          <w:color w:val="0000FF"/>
        </w:rPr>
        <w:t>2008-2012. Agency for Healthcare Research and Quality, Rockville, MD.</w:t>
      </w:r>
      <w:proofErr w:type="gramEnd"/>
      <w:r w:rsidRPr="0046357F">
        <w:rPr>
          <w:rFonts w:ascii="Calibri" w:hAnsi="Calibri" w:cs="Calibri"/>
          <w:color w:val="0000FF"/>
        </w:rPr>
        <w:t xml:space="preserve"> www.hcup-us.ahrq.gov/sidoverview.jsp. (AHRQ QI Software Version 4.5 and 5.0)</w:t>
      </w:r>
    </w:p>
    <w:p w:rsidR="00FB7D6D" w:rsidRPr="0046357F" w:rsidRDefault="00FB7D6D" w:rsidP="00FB7D6D">
      <w:pPr>
        <w:spacing w:after="0" w:line="240" w:lineRule="auto"/>
        <w:rPr>
          <w:rFonts w:ascii="Calibri" w:hAnsi="Calibri" w:cs="Calibri"/>
          <w:color w:val="0000FF"/>
        </w:rPr>
      </w:pPr>
      <w:r w:rsidRPr="0046357F">
        <w:rPr>
          <w:rFonts w:ascii="Calibri" w:hAnsi="Calibri" w:cs="Calibri"/>
          <w:color w:val="0000FF"/>
          <w:vertAlign w:val="superscript"/>
        </w:rPr>
        <w:t>1</w:t>
      </w:r>
      <w:r w:rsidRPr="0046357F">
        <w:rPr>
          <w:rFonts w:ascii="Calibri" w:hAnsi="Calibri" w:cs="Calibri"/>
          <w:color w:val="0000FF"/>
        </w:rPr>
        <w:t xml:space="preserve">The observed rate refers to the total rate for all observations included in the reference population data (numerator) divided the total combined population of all hospitals included in the reference population data (denominator). </w:t>
      </w:r>
    </w:p>
    <w:p w:rsidR="00FB7D6D" w:rsidRPr="0046357F" w:rsidRDefault="00FB7D6D" w:rsidP="00FB7D6D">
      <w:pPr>
        <w:autoSpaceDE w:val="0"/>
        <w:autoSpaceDN w:val="0"/>
        <w:adjustRightInd w:val="0"/>
        <w:spacing w:after="0" w:line="240" w:lineRule="auto"/>
        <w:rPr>
          <w:rFonts w:ascii="Calibri" w:hAnsi="Calibri" w:cs="Calibri"/>
          <w:color w:val="0000FF"/>
        </w:rPr>
      </w:pPr>
      <w:r w:rsidRPr="0046357F">
        <w:rPr>
          <w:rFonts w:ascii="Calibri" w:hAnsi="Calibri" w:cs="Calibri"/>
          <w:color w:val="0000FF"/>
          <w:vertAlign w:val="superscript"/>
        </w:rPr>
        <w:t>2</w:t>
      </w:r>
      <w:r w:rsidRPr="0046357F">
        <w:rPr>
          <w:rFonts w:ascii="Calibri" w:hAnsi="Calibri" w:cs="Calibri"/>
          <w:color w:val="0000FF"/>
        </w:rPr>
        <w:t>The distribution of hospital rates reports the mean and standard deviation (SD) of the observed rates for all hospitals included in the dataset, as well as the observed rate for hospitals in the 5</w:t>
      </w:r>
      <w:r w:rsidRPr="0046357F">
        <w:rPr>
          <w:rFonts w:ascii="Calibri" w:hAnsi="Calibri" w:cs="Calibri"/>
          <w:color w:val="0000FF"/>
          <w:vertAlign w:val="superscript"/>
        </w:rPr>
        <w:t>th</w:t>
      </w:r>
      <w:r w:rsidRPr="0046357F">
        <w:rPr>
          <w:rFonts w:ascii="Calibri" w:hAnsi="Calibri" w:cs="Calibri"/>
          <w:color w:val="0000FF"/>
        </w:rPr>
        <w:t>, 25</w:t>
      </w:r>
      <w:r w:rsidRPr="0046357F">
        <w:rPr>
          <w:rFonts w:ascii="Calibri" w:hAnsi="Calibri" w:cs="Calibri"/>
          <w:color w:val="0000FF"/>
          <w:vertAlign w:val="superscript"/>
        </w:rPr>
        <w:t>th</w:t>
      </w:r>
      <w:r w:rsidRPr="0046357F">
        <w:rPr>
          <w:rFonts w:ascii="Calibri" w:hAnsi="Calibri" w:cs="Calibri"/>
          <w:color w:val="0000FF"/>
        </w:rPr>
        <w:t>, 50</w:t>
      </w:r>
      <w:r w:rsidRPr="0046357F">
        <w:rPr>
          <w:rFonts w:ascii="Calibri" w:hAnsi="Calibri" w:cs="Calibri"/>
          <w:color w:val="0000FF"/>
          <w:vertAlign w:val="superscript"/>
        </w:rPr>
        <w:t>th</w:t>
      </w:r>
      <w:r w:rsidRPr="0046357F">
        <w:rPr>
          <w:rFonts w:ascii="Calibri" w:hAnsi="Calibri" w:cs="Calibri"/>
          <w:color w:val="0000FF"/>
        </w:rPr>
        <w:t xml:space="preserve"> (median), 75</w:t>
      </w:r>
      <w:r w:rsidRPr="0046357F">
        <w:rPr>
          <w:rFonts w:ascii="Calibri" w:hAnsi="Calibri" w:cs="Calibri"/>
          <w:color w:val="0000FF"/>
          <w:vertAlign w:val="superscript"/>
        </w:rPr>
        <w:t>th</w:t>
      </w:r>
      <w:r w:rsidRPr="0046357F">
        <w:rPr>
          <w:rFonts w:ascii="Calibri" w:hAnsi="Calibri" w:cs="Calibri"/>
          <w:color w:val="0000FF"/>
        </w:rPr>
        <w:t>, and 95</w:t>
      </w:r>
      <w:r w:rsidRPr="0046357F">
        <w:rPr>
          <w:rFonts w:ascii="Calibri" w:hAnsi="Calibri" w:cs="Calibri"/>
          <w:color w:val="0000FF"/>
          <w:vertAlign w:val="superscript"/>
        </w:rPr>
        <w:t>th</w:t>
      </w:r>
      <w:r w:rsidRPr="0046357F">
        <w:rPr>
          <w:rFonts w:ascii="Calibri" w:hAnsi="Calibri" w:cs="Calibri"/>
          <w:color w:val="0000FF"/>
        </w:rPr>
        <w:t xml:space="preserve"> percentile.</w:t>
      </w:r>
    </w:p>
    <w:p w:rsidR="00FB7D6D" w:rsidRPr="0046357F" w:rsidRDefault="00FB7D6D" w:rsidP="00FB7D6D">
      <w:pPr>
        <w:spacing w:after="0" w:line="240" w:lineRule="auto"/>
        <w:rPr>
          <w:color w:val="0000FF"/>
          <w:sz w:val="20"/>
          <w:szCs w:val="20"/>
        </w:rPr>
      </w:pPr>
      <w:r w:rsidRPr="0046357F">
        <w:rPr>
          <w:rFonts w:ascii="Calibri" w:hAnsi="Calibri" w:cs="Calibri"/>
          <w:color w:val="0000FF"/>
          <w:vertAlign w:val="superscript"/>
        </w:rPr>
        <w:t>3</w:t>
      </w:r>
      <w:r w:rsidRPr="0046357F">
        <w:rPr>
          <w:rFonts w:ascii="Calibri" w:hAnsi="Calibri" w:cs="Calibri"/>
          <w:color w:val="0000FF"/>
        </w:rPr>
        <w:t xml:space="preserve">2008-2010 data are calculated using Version 4.5 of the QI Software and all states included in the SID for those years. Version 4.5 includes a “prediction module” which is used to account for missing present on admission flags. In Version 5.0, the “prediction module” has been removed and the reference population is limited to states and hospitals with present on admission data. </w:t>
      </w:r>
      <w:r w:rsidRPr="0046357F">
        <w:rPr>
          <w:rFonts w:ascii="Calibri" w:hAnsi="Calibri"/>
          <w:color w:val="0000FF"/>
        </w:rPr>
        <w:t>These differences may lead to some discontinuity in the observed rates between 2010 and 2011, since many states did not report POA data prior to 2011. The number of states reporting consistent POA has increased from 2008-2012.</w:t>
      </w:r>
    </w:p>
    <w:p w:rsidR="002B5016" w:rsidRPr="00A25024" w:rsidRDefault="002B5016" w:rsidP="00DB3627">
      <w:pPr>
        <w:autoSpaceDE w:val="0"/>
        <w:autoSpaceDN w:val="0"/>
        <w:adjustRightInd w:val="0"/>
        <w:spacing w:after="0" w:line="240" w:lineRule="auto"/>
        <w:rPr>
          <w:rFonts w:cstheme="minorHAnsi"/>
          <w:bCs/>
        </w:rPr>
      </w:pPr>
    </w:p>
    <w:p w:rsidR="007422FD" w:rsidRPr="00FB7D6D" w:rsidRDefault="002B5016" w:rsidP="00DB3627">
      <w:pPr>
        <w:autoSpaceDE w:val="0"/>
        <w:autoSpaceDN w:val="0"/>
        <w:adjustRightInd w:val="0"/>
        <w:spacing w:after="0" w:line="240" w:lineRule="auto"/>
        <w:rPr>
          <w:rFonts w:cstheme="minorHAnsi"/>
          <w:bCs/>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18216F" w:rsidRPr="00FB7D6D">
        <w:rPr>
          <w:rFonts w:cstheme="minorHAnsi"/>
          <w:bCs/>
          <w:color w:val="0000FF"/>
        </w:rPr>
        <w:t>See 1.5 (Table 1)</w:t>
      </w:r>
    </w:p>
    <w:p w:rsidR="0018216F" w:rsidRDefault="0018216F"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FB7D6D" w:rsidRDefault="00FB7D6D" w:rsidP="00E37E1B">
      <w:pPr>
        <w:autoSpaceDE w:val="0"/>
        <w:autoSpaceDN w:val="0"/>
        <w:adjustRightInd w:val="0"/>
        <w:spacing w:after="0" w:line="240" w:lineRule="auto"/>
        <w:rPr>
          <w:rFonts w:cstheme="minorHAnsi"/>
          <w:bCs/>
        </w:rPr>
      </w:pPr>
      <w:r>
        <w:rPr>
          <w:color w:val="0000FF"/>
        </w:rPr>
        <w:lastRenderedPageBreak/>
        <w:t xml:space="preserve">Some tests require comparisons of two years of data (2011-2012). When no comparisons are required for the test, only 2012 data are used. For the sake of providing 5-year comparisons, we provide rates from 2008-2010 Version 4.5 of the software. Version 5.0 could not be calculated for 2008-2010 due to missing POA data.  </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FB7D6D">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277C5A" w:rsidRPr="00A25024" w:rsidRDefault="00277C5A" w:rsidP="008C54A9">
      <w:pPr>
        <w:autoSpaceDE w:val="0"/>
        <w:autoSpaceDN w:val="0"/>
        <w:adjustRightInd w:val="0"/>
        <w:spacing w:after="0" w:line="240" w:lineRule="auto"/>
        <w:rPr>
          <w:rFonts w:cstheme="minorHAnsi"/>
          <w:bCs/>
        </w:rPr>
      </w:pPr>
    </w:p>
    <w:p w:rsidR="00870C40" w:rsidRPr="00990307" w:rsidRDefault="00870C40" w:rsidP="00870C40">
      <w:pPr>
        <w:rPr>
          <w:color w:val="0000FF"/>
        </w:rPr>
      </w:pPr>
      <w:r w:rsidRPr="00990307">
        <w:rPr>
          <w:rFonts w:ascii="Calibri" w:hAnsi="Calibri" w:cs="Calibri"/>
          <w:color w:val="0000FF"/>
        </w:rPr>
        <w:t xml:space="preserve">We evaluate the reliability of risk-adjusted rates using a signal-to-noise ratio metric. </w:t>
      </w:r>
      <w:r w:rsidRPr="00990307">
        <w:rPr>
          <w:color w:val="0000FF"/>
        </w:rPr>
        <w:t xml:space="preserve">The signal-to-noise ratio refers to the entire population of </w:t>
      </w:r>
      <w:r>
        <w:rPr>
          <w:color w:val="0000FF"/>
        </w:rPr>
        <w:t>U.S.</w:t>
      </w:r>
      <w:r w:rsidRPr="00990307">
        <w:rPr>
          <w:color w:val="0000FF"/>
        </w:rPr>
        <w:t xml:space="preserve"> hospitals, comparing the degree to which rates are different from hospital to hospital (the signal) to how stable the rates are within hospitals (the noise).   This metric is</w:t>
      </w:r>
      <w:r>
        <w:rPr>
          <w:color w:val="0000FF"/>
        </w:rPr>
        <w:t xml:space="preserve"> a</w:t>
      </w:r>
      <w:r w:rsidRPr="00990307">
        <w:rPr>
          <w:color w:val="0000FF"/>
        </w:rPr>
        <w:t xml:space="preserve"> stringent measure of reliability that takes into account the observed distribution of rates within a reference population. An indicator with a low signal-to-noise ratio may not be able to distinguish differences in quality between hospitals, or may identify differences inconsistently within the same time period. An indicator with a high signal-to-noise ratio will be more likely to consistently distinguish performance differences between hospitals (e.g. one hospital performs better than others), even with repeated measurement in the same time period.</w:t>
      </w:r>
    </w:p>
    <w:p w:rsidR="00870C40" w:rsidRPr="00990307" w:rsidRDefault="00870C40" w:rsidP="00870C40">
      <w:pPr>
        <w:rPr>
          <w:color w:val="0000FF"/>
        </w:rPr>
      </w:pPr>
      <w:r w:rsidRPr="00990307">
        <w:rPr>
          <w:color w:val="0000FF"/>
        </w:rPr>
        <w:t>The overall signal-to-noise estimate provided is weighted by hospital size, which reduces the impact of hospitals that have very small denominators (the number of patients at risk). Small hospitals typically do not admit patients at risk for the complications included in the numerator. AHRQ recommends that a minimum denominator size be applied to remove these hospitals, specifically those with fewer than 10 patients in the denominator.</w:t>
      </w:r>
    </w:p>
    <w:p w:rsidR="00870C40" w:rsidRPr="00990307" w:rsidRDefault="00870C40" w:rsidP="00870C40">
      <w:pPr>
        <w:rPr>
          <w:color w:val="0000FF"/>
        </w:rPr>
      </w:pPr>
      <w:r w:rsidRPr="00990307">
        <w:rPr>
          <w:color w:val="0000FF"/>
        </w:rPr>
        <w:t xml:space="preserve">Because the signal-to-noise ratio quantifies the ability to consistently discriminate one hospital’s performance from the other hospitals in the population, it is sensitive to the distribution of hospital sizes as well as the distribution of observed rates in the reference population. If the hospitals in a population all have performance in a narrow range, it is more difficult to reliably distinguish between hospitals’ performance than when hospital performance is spread out over a much wider range.   For example, if all hospitals have nearly perfect performance, it will be impossible to distinguish between them.  As a consequence, if the distribution of hospital rates changes over time, the signal-to-noise ratio will also change. </w:t>
      </w:r>
    </w:p>
    <w:p w:rsidR="00277C5A" w:rsidRPr="00FB7D6D" w:rsidRDefault="00870C40" w:rsidP="00870C40">
      <w:pPr>
        <w:rPr>
          <w:rFonts w:ascii="Calibri" w:hAnsi="Calibri" w:cstheme="minorHAnsi"/>
          <w:color w:val="0000FF"/>
        </w:rPr>
      </w:pPr>
      <w:r w:rsidRPr="00990307">
        <w:rPr>
          <w:color w:val="0000FF"/>
        </w:rPr>
        <w:lastRenderedPageBreak/>
        <w:t>There is no universally accepted threshold of “adequate” signal to noise ratio. The adequate ratio depends on the specific application and judgment of the user. For instance, if a complication is very important (e.g. leads to great harm to the patient) a lower reliability may be acceptable. However, the AHRQ QI program generally considers ratios between 0.4 – 0.8 as acceptable. It is rare to achieve reliability above 0.8. To account for the uncertainty (noise) in a hospital’s performance due to reliability concerns stemming from low volume, smoothed rates can be calculated.</w:t>
      </w:r>
    </w:p>
    <w:p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277C5A" w:rsidRPr="00FB7D6D" w:rsidRDefault="00277C5A" w:rsidP="00FB7D6D">
      <w:pPr>
        <w:keepNext/>
        <w:autoSpaceDE w:val="0"/>
        <w:autoSpaceDN w:val="0"/>
        <w:adjustRightInd w:val="0"/>
        <w:spacing w:after="0" w:line="240" w:lineRule="auto"/>
        <w:ind w:left="86" w:right="1530"/>
        <w:jc w:val="both"/>
        <w:rPr>
          <w:rFonts w:ascii="Calibri" w:hAnsi="Calibri" w:cstheme="minorHAnsi"/>
          <w:b/>
          <w:bCs/>
          <w:color w:val="0000FF"/>
        </w:rPr>
      </w:pPr>
      <w:proofErr w:type="gramStart"/>
      <w:r w:rsidRPr="00FB7D6D">
        <w:rPr>
          <w:rFonts w:ascii="Calibri" w:hAnsi="Calibri" w:cstheme="minorHAnsi"/>
          <w:b/>
          <w:bCs/>
          <w:color w:val="0000FF"/>
        </w:rPr>
        <w:t>Table 2.</w:t>
      </w:r>
      <w:proofErr w:type="gramEnd"/>
      <w:r w:rsidRPr="00FB7D6D">
        <w:rPr>
          <w:rFonts w:ascii="Calibri" w:hAnsi="Calibri" w:cstheme="minorHAnsi"/>
          <w:b/>
          <w:bCs/>
          <w:color w:val="0000FF"/>
        </w:rPr>
        <w:t xml:space="preserve"> Signal-to-Noise Ratio by Size </w:t>
      </w:r>
      <w:proofErr w:type="spellStart"/>
      <w:r w:rsidRPr="00FB7D6D">
        <w:rPr>
          <w:rFonts w:ascii="Calibri" w:hAnsi="Calibri" w:cstheme="minorHAnsi"/>
          <w:b/>
          <w:bCs/>
          <w:color w:val="0000FF"/>
        </w:rPr>
        <w:t>Decile</w:t>
      </w:r>
      <w:proofErr w:type="spellEnd"/>
      <w:r w:rsidRPr="00FB7D6D">
        <w:rPr>
          <w:rFonts w:ascii="Calibri" w:hAnsi="Calibri" w:cstheme="minorHAnsi"/>
          <w:b/>
          <w:bCs/>
          <w:color w:val="0000FF"/>
        </w:rPr>
        <w:t xml:space="preserve"> </w:t>
      </w:r>
      <w:r w:rsidR="00FB7D6D">
        <w:rPr>
          <w:rFonts w:ascii="Calibri" w:hAnsi="Calibri" w:cstheme="minorHAnsi"/>
          <w:b/>
          <w:color w:val="0000FF"/>
        </w:rPr>
        <w:t>PSI</w:t>
      </w:r>
      <w:r w:rsidRPr="00FB7D6D">
        <w:rPr>
          <w:rFonts w:ascii="Calibri" w:hAnsi="Calibri" w:cstheme="minorHAnsi"/>
          <w:b/>
          <w:color w:val="0000FF"/>
        </w:rPr>
        <w:t>02 Death Rate in Low-Mortality Diagnosis Related Groups</w:t>
      </w:r>
    </w:p>
    <w:tbl>
      <w:tblPr>
        <w:tblW w:w="7640"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257"/>
        <w:gridCol w:w="1703"/>
        <w:gridCol w:w="2340"/>
        <w:gridCol w:w="2340"/>
      </w:tblGrid>
      <w:tr w:rsidR="00FB7D6D" w:rsidRPr="00FB7D6D" w:rsidTr="00FB7D6D">
        <w:trPr>
          <w:trHeight w:hRule="exact" w:val="1104"/>
        </w:trPr>
        <w:tc>
          <w:tcPr>
            <w:tcW w:w="1257" w:type="dxa"/>
            <w:tcBorders>
              <w:top w:val="single" w:sz="4" w:space="0" w:color="auto"/>
              <w:bottom w:val="single" w:sz="4" w:space="0" w:color="auto"/>
            </w:tcBorders>
            <w:shd w:val="clear" w:color="auto" w:fill="BEBEBE"/>
          </w:tcPr>
          <w:p w:rsidR="00277C5A" w:rsidRPr="00FB7D6D" w:rsidRDefault="00277C5A" w:rsidP="00FB7D6D">
            <w:pPr>
              <w:pStyle w:val="TableParagraph"/>
              <w:spacing w:before="8"/>
              <w:rPr>
                <w:rFonts w:ascii="Calibri" w:eastAsia="Times New Roman" w:hAnsi="Calibri" w:cstheme="minorHAnsi"/>
                <w:color w:val="0000FF"/>
              </w:rPr>
            </w:pPr>
          </w:p>
          <w:p w:rsidR="00277C5A" w:rsidRPr="00FB7D6D" w:rsidRDefault="00277C5A" w:rsidP="00FB7D6D">
            <w:pPr>
              <w:pStyle w:val="TableParagraph"/>
              <w:ind w:left="102"/>
              <w:rPr>
                <w:rFonts w:ascii="Calibri" w:eastAsia="Times New Roman" w:hAnsi="Calibri" w:cstheme="minorHAnsi"/>
                <w:color w:val="0000FF"/>
              </w:rPr>
            </w:pPr>
            <w:r w:rsidRPr="00FB7D6D">
              <w:rPr>
                <w:rFonts w:ascii="Calibri" w:hAnsi="Calibri" w:cstheme="minorHAnsi"/>
                <w:b/>
                <w:color w:val="0000FF"/>
              </w:rPr>
              <w:t xml:space="preserve">Size </w:t>
            </w:r>
            <w:proofErr w:type="spellStart"/>
            <w:r w:rsidRPr="00FB7D6D">
              <w:rPr>
                <w:rFonts w:ascii="Calibri" w:hAnsi="Calibri" w:cstheme="minorHAnsi"/>
                <w:b/>
                <w:color w:val="0000FF"/>
              </w:rPr>
              <w:t>Decile</w:t>
            </w:r>
            <w:proofErr w:type="spellEnd"/>
          </w:p>
        </w:tc>
        <w:tc>
          <w:tcPr>
            <w:tcW w:w="1703" w:type="dxa"/>
            <w:tcBorders>
              <w:top w:val="single" w:sz="4" w:space="0" w:color="auto"/>
              <w:bottom w:val="single" w:sz="4" w:space="0" w:color="auto"/>
            </w:tcBorders>
            <w:shd w:val="clear" w:color="auto" w:fill="BEBEBE"/>
          </w:tcPr>
          <w:p w:rsidR="00277C5A" w:rsidRPr="00FB7D6D" w:rsidRDefault="00277C5A" w:rsidP="00FB7D6D">
            <w:pPr>
              <w:pStyle w:val="TableParagraph"/>
              <w:spacing w:before="7"/>
              <w:rPr>
                <w:rFonts w:ascii="Calibri" w:eastAsia="Times New Roman" w:hAnsi="Calibri" w:cstheme="minorHAnsi"/>
                <w:color w:val="0000FF"/>
              </w:rPr>
            </w:pPr>
          </w:p>
          <w:p w:rsidR="00277C5A" w:rsidRPr="00FB7D6D" w:rsidRDefault="00277C5A" w:rsidP="00FB7D6D">
            <w:pPr>
              <w:pStyle w:val="TableParagraph"/>
              <w:ind w:left="83" w:right="630" w:firstLine="28"/>
              <w:rPr>
                <w:rFonts w:ascii="Calibri" w:eastAsia="Times New Roman" w:hAnsi="Calibri" w:cstheme="minorHAnsi"/>
                <w:color w:val="0000FF"/>
              </w:rPr>
            </w:pPr>
            <w:r w:rsidRPr="00FB7D6D">
              <w:rPr>
                <w:rFonts w:ascii="Calibri" w:hAnsi="Calibri" w:cstheme="minorHAnsi"/>
                <w:b/>
                <w:color w:val="0000FF"/>
              </w:rPr>
              <w:t>Number</w:t>
            </w:r>
            <w:r w:rsidRPr="00FB7D6D">
              <w:rPr>
                <w:rFonts w:ascii="Calibri" w:hAnsi="Calibri" w:cstheme="minorHAnsi"/>
                <w:b/>
                <w:color w:val="0000FF"/>
                <w:w w:val="99"/>
              </w:rPr>
              <w:t xml:space="preserve"> </w:t>
            </w:r>
            <w:r w:rsidRPr="00FB7D6D">
              <w:rPr>
                <w:rFonts w:ascii="Calibri" w:hAnsi="Calibri" w:cstheme="minorHAnsi"/>
                <w:b/>
                <w:color w:val="0000FF"/>
              </w:rPr>
              <w:t>of Hospitals</w:t>
            </w:r>
          </w:p>
        </w:tc>
        <w:tc>
          <w:tcPr>
            <w:tcW w:w="2340" w:type="dxa"/>
            <w:tcBorders>
              <w:top w:val="single" w:sz="4" w:space="0" w:color="auto"/>
              <w:bottom w:val="single" w:sz="4" w:space="0" w:color="auto"/>
            </w:tcBorders>
            <w:shd w:val="clear" w:color="auto" w:fill="BEBEBE"/>
          </w:tcPr>
          <w:p w:rsidR="00277C5A" w:rsidRPr="00FB7D6D" w:rsidRDefault="00277C5A" w:rsidP="00FB7D6D">
            <w:pPr>
              <w:pStyle w:val="TableParagraph"/>
              <w:spacing w:before="9"/>
              <w:rPr>
                <w:rFonts w:ascii="Calibri" w:eastAsia="Times New Roman" w:hAnsi="Calibri" w:cstheme="minorHAnsi"/>
                <w:color w:val="0000FF"/>
              </w:rPr>
            </w:pPr>
          </w:p>
          <w:p w:rsidR="00277C5A" w:rsidRPr="00FB7D6D" w:rsidRDefault="00277C5A" w:rsidP="00FB7D6D">
            <w:pPr>
              <w:pStyle w:val="TableParagraph"/>
              <w:ind w:right="214"/>
              <w:rPr>
                <w:rFonts w:ascii="Calibri" w:eastAsia="Times New Roman" w:hAnsi="Calibri" w:cstheme="minorHAnsi"/>
                <w:color w:val="0000FF"/>
              </w:rPr>
            </w:pPr>
            <w:r w:rsidRPr="00FB7D6D">
              <w:rPr>
                <w:rFonts w:ascii="Calibri" w:hAnsi="Calibri" w:cstheme="minorHAnsi"/>
                <w:b/>
                <w:color w:val="0000FF"/>
              </w:rPr>
              <w:t>Ave. Number of</w:t>
            </w:r>
            <w:r w:rsidRPr="00FB7D6D">
              <w:rPr>
                <w:rFonts w:ascii="Calibri" w:hAnsi="Calibri" w:cstheme="minorHAnsi"/>
                <w:b/>
                <w:color w:val="0000FF"/>
                <w:w w:val="99"/>
              </w:rPr>
              <w:t xml:space="preserve"> </w:t>
            </w:r>
            <w:r w:rsidRPr="00FB7D6D">
              <w:rPr>
                <w:rFonts w:ascii="Calibri" w:hAnsi="Calibri" w:cstheme="minorHAnsi"/>
                <w:b/>
                <w:color w:val="0000FF"/>
              </w:rPr>
              <w:t>Discharges per Hospital</w:t>
            </w:r>
            <w:r w:rsidRPr="00FB7D6D">
              <w:rPr>
                <w:rFonts w:ascii="Calibri" w:eastAsia="Times New Roman" w:hAnsi="Calibri" w:cstheme="minorHAnsi"/>
                <w:color w:val="0000FF"/>
              </w:rPr>
              <w:t xml:space="preserve"> </w:t>
            </w:r>
            <w:r w:rsidRPr="00FB7D6D">
              <w:rPr>
                <w:rFonts w:ascii="Calibri" w:hAnsi="Calibri" w:cstheme="minorHAnsi"/>
                <w:b/>
                <w:color w:val="0000FF"/>
              </w:rPr>
              <w:t xml:space="preserve">in </w:t>
            </w:r>
            <w:proofErr w:type="spellStart"/>
            <w:r w:rsidRPr="00FB7D6D">
              <w:rPr>
                <w:rFonts w:ascii="Calibri" w:hAnsi="Calibri" w:cstheme="minorHAnsi"/>
                <w:b/>
                <w:color w:val="0000FF"/>
              </w:rPr>
              <w:t>Decile</w:t>
            </w:r>
            <w:proofErr w:type="spellEnd"/>
          </w:p>
        </w:tc>
        <w:tc>
          <w:tcPr>
            <w:tcW w:w="2340" w:type="dxa"/>
            <w:tcBorders>
              <w:top w:val="single" w:sz="4" w:space="0" w:color="auto"/>
              <w:bottom w:val="single" w:sz="4" w:space="0" w:color="auto"/>
            </w:tcBorders>
            <w:shd w:val="clear" w:color="auto" w:fill="BEBEBE"/>
          </w:tcPr>
          <w:p w:rsidR="00277C5A" w:rsidRPr="00FB7D6D" w:rsidRDefault="00277C5A" w:rsidP="00FB7D6D">
            <w:pPr>
              <w:pStyle w:val="TableParagraph"/>
              <w:spacing w:before="9"/>
              <w:rPr>
                <w:rFonts w:ascii="Calibri" w:eastAsia="Times New Roman" w:hAnsi="Calibri" w:cstheme="minorHAnsi"/>
                <w:color w:val="0000FF"/>
              </w:rPr>
            </w:pPr>
          </w:p>
          <w:p w:rsidR="00277C5A" w:rsidRPr="00FB7D6D" w:rsidRDefault="00277C5A" w:rsidP="00FB7D6D">
            <w:pPr>
              <w:pStyle w:val="TableParagraph"/>
              <w:rPr>
                <w:rFonts w:ascii="Calibri" w:eastAsia="Times New Roman" w:hAnsi="Calibri" w:cstheme="minorHAnsi"/>
                <w:color w:val="0000FF"/>
              </w:rPr>
            </w:pPr>
            <w:r w:rsidRPr="00FB7D6D">
              <w:rPr>
                <w:rFonts w:ascii="Calibri" w:hAnsi="Calibri" w:cstheme="minorHAnsi"/>
                <w:b/>
                <w:color w:val="0000FF"/>
              </w:rPr>
              <w:t>Ave. Signal-to-Noise</w:t>
            </w:r>
            <w:r w:rsidRPr="00FB7D6D">
              <w:rPr>
                <w:rFonts w:ascii="Calibri" w:hAnsi="Calibri" w:cstheme="minorHAnsi"/>
                <w:b/>
                <w:color w:val="0000FF"/>
                <w:w w:val="99"/>
              </w:rPr>
              <w:t xml:space="preserve"> </w:t>
            </w:r>
            <w:r w:rsidRPr="00FB7D6D">
              <w:rPr>
                <w:rFonts w:ascii="Calibri" w:hAnsi="Calibri" w:cstheme="minorHAnsi"/>
                <w:b/>
                <w:color w:val="0000FF"/>
              </w:rPr>
              <w:t>Ratio for Hospitals</w:t>
            </w:r>
            <w:r w:rsidRPr="00FB7D6D">
              <w:rPr>
                <w:rFonts w:ascii="Calibri" w:eastAsia="Times New Roman" w:hAnsi="Calibri" w:cstheme="minorHAnsi"/>
                <w:color w:val="0000FF"/>
              </w:rPr>
              <w:t xml:space="preserve"> </w:t>
            </w:r>
            <w:r w:rsidRPr="00FB7D6D">
              <w:rPr>
                <w:rFonts w:ascii="Calibri" w:hAnsi="Calibri" w:cstheme="minorHAnsi"/>
                <w:b/>
                <w:color w:val="0000FF"/>
              </w:rPr>
              <w:t xml:space="preserve">in </w:t>
            </w:r>
            <w:proofErr w:type="spellStart"/>
            <w:r w:rsidRPr="00FB7D6D">
              <w:rPr>
                <w:rFonts w:ascii="Calibri" w:hAnsi="Calibri" w:cstheme="minorHAnsi"/>
                <w:b/>
                <w:color w:val="0000FF"/>
              </w:rPr>
              <w:t>Decile</w:t>
            </w:r>
            <w:proofErr w:type="spellEnd"/>
          </w:p>
        </w:tc>
      </w:tr>
      <w:tr w:rsidR="00FB7D6D" w:rsidRPr="00FB7D6D" w:rsidTr="00FB7D6D">
        <w:trPr>
          <w:trHeight w:hRule="exact" w:val="338"/>
        </w:trPr>
        <w:tc>
          <w:tcPr>
            <w:tcW w:w="1257" w:type="dxa"/>
            <w:tcBorders>
              <w:top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1</w:t>
            </w:r>
          </w:p>
        </w:tc>
        <w:tc>
          <w:tcPr>
            <w:tcW w:w="1703" w:type="dxa"/>
            <w:tcBorders>
              <w:top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tcBorders>
              <w:top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16.5</w:t>
            </w:r>
          </w:p>
        </w:tc>
        <w:tc>
          <w:tcPr>
            <w:tcW w:w="2340" w:type="dxa"/>
            <w:tcBorders>
              <w:top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0.15751</w:t>
            </w:r>
          </w:p>
        </w:tc>
      </w:tr>
      <w:tr w:rsidR="00FB7D6D" w:rsidRPr="00FB7D6D" w:rsidTr="00FB7D6D">
        <w:trPr>
          <w:trHeight w:hRule="exact" w:val="300"/>
        </w:trPr>
        <w:tc>
          <w:tcPr>
            <w:tcW w:w="1257" w:type="dxa"/>
            <w:vAlign w:val="bottom"/>
          </w:tcPr>
          <w:p w:rsidR="00277C5A" w:rsidRPr="00FB7D6D" w:rsidRDefault="00277C5A" w:rsidP="00FB7D6D">
            <w:pPr>
              <w:ind w:right="97"/>
              <w:rPr>
                <w:rFonts w:ascii="Calibri" w:hAnsi="Calibri"/>
                <w:color w:val="0000FF"/>
              </w:rPr>
            </w:pPr>
            <w:r w:rsidRPr="00FB7D6D">
              <w:rPr>
                <w:rFonts w:ascii="Calibri" w:hAnsi="Calibri"/>
                <w:color w:val="0000FF"/>
              </w:rPr>
              <w:t>2</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67.8</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0.25757</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3</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333</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205.1</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0.42284</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4</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430.6</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0.52296</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5</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736.3</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0.57247</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6</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333</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1170.1</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0.62811</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7</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1807.5</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0.69475</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8</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333</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2667.9</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0.74039</w:t>
            </w:r>
          </w:p>
        </w:tc>
      </w:tr>
      <w:tr w:rsidR="00FB7D6D" w:rsidRPr="00FB7D6D" w:rsidTr="00FB7D6D">
        <w:trPr>
          <w:trHeight w:hRule="exact" w:val="300"/>
        </w:trPr>
        <w:tc>
          <w:tcPr>
            <w:tcW w:w="1257"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9</w:t>
            </w:r>
          </w:p>
        </w:tc>
        <w:tc>
          <w:tcPr>
            <w:tcW w:w="1703" w:type="dxa"/>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vAlign w:val="bottom"/>
          </w:tcPr>
          <w:p w:rsidR="00277C5A" w:rsidRPr="00FB7D6D" w:rsidRDefault="00277C5A" w:rsidP="00FB7D6D">
            <w:pPr>
              <w:ind w:right="101"/>
              <w:rPr>
                <w:rFonts w:ascii="Calibri" w:hAnsi="Calibri"/>
                <w:color w:val="0000FF"/>
              </w:rPr>
            </w:pPr>
            <w:r w:rsidRPr="00FB7D6D">
              <w:rPr>
                <w:rFonts w:ascii="Calibri" w:hAnsi="Calibri"/>
                <w:color w:val="0000FF"/>
              </w:rPr>
              <w:t>3831.3</w:t>
            </w:r>
          </w:p>
        </w:tc>
        <w:tc>
          <w:tcPr>
            <w:tcW w:w="2340" w:type="dxa"/>
            <w:vAlign w:val="bottom"/>
          </w:tcPr>
          <w:p w:rsidR="00277C5A" w:rsidRPr="00FB7D6D" w:rsidRDefault="00277C5A" w:rsidP="00FB7D6D">
            <w:pPr>
              <w:rPr>
                <w:rFonts w:ascii="Calibri" w:hAnsi="Calibri"/>
                <w:color w:val="0000FF"/>
              </w:rPr>
            </w:pPr>
            <w:r w:rsidRPr="00FB7D6D">
              <w:rPr>
                <w:rFonts w:ascii="Calibri" w:hAnsi="Calibri"/>
                <w:color w:val="0000FF"/>
              </w:rPr>
              <w:t>0.78598</w:t>
            </w:r>
          </w:p>
        </w:tc>
      </w:tr>
      <w:tr w:rsidR="00FB7D6D" w:rsidRPr="00FB7D6D" w:rsidTr="00FB7D6D">
        <w:trPr>
          <w:trHeight w:hRule="exact" w:val="272"/>
        </w:trPr>
        <w:tc>
          <w:tcPr>
            <w:tcW w:w="1257" w:type="dxa"/>
            <w:tcBorders>
              <w:bottom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10</w:t>
            </w:r>
          </w:p>
        </w:tc>
        <w:tc>
          <w:tcPr>
            <w:tcW w:w="1703" w:type="dxa"/>
            <w:tcBorders>
              <w:bottom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332</w:t>
            </w:r>
          </w:p>
        </w:tc>
        <w:tc>
          <w:tcPr>
            <w:tcW w:w="2340" w:type="dxa"/>
            <w:tcBorders>
              <w:bottom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6553.9</w:t>
            </w:r>
          </w:p>
        </w:tc>
        <w:tc>
          <w:tcPr>
            <w:tcW w:w="2340" w:type="dxa"/>
            <w:tcBorders>
              <w:bottom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0.84064</w:t>
            </w:r>
          </w:p>
        </w:tc>
      </w:tr>
      <w:tr w:rsidR="00FB7D6D" w:rsidRPr="00FB7D6D" w:rsidTr="00FB7D6D">
        <w:trPr>
          <w:trHeight w:hRule="exact" w:val="312"/>
        </w:trPr>
        <w:tc>
          <w:tcPr>
            <w:tcW w:w="1257" w:type="dxa"/>
            <w:tcBorders>
              <w:top w:val="single" w:sz="4" w:space="0" w:color="auto"/>
              <w:bottom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Overall</w:t>
            </w:r>
          </w:p>
        </w:tc>
        <w:tc>
          <w:tcPr>
            <w:tcW w:w="1703" w:type="dxa"/>
            <w:tcBorders>
              <w:top w:val="single" w:sz="4" w:space="0" w:color="auto"/>
              <w:bottom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3323</w:t>
            </w:r>
          </w:p>
        </w:tc>
        <w:tc>
          <w:tcPr>
            <w:tcW w:w="2340" w:type="dxa"/>
            <w:tcBorders>
              <w:top w:val="single" w:sz="4" w:space="0" w:color="auto"/>
              <w:bottom w:val="single" w:sz="4" w:space="0" w:color="auto"/>
            </w:tcBorders>
            <w:vAlign w:val="bottom"/>
          </w:tcPr>
          <w:p w:rsidR="00277C5A" w:rsidRPr="00FB7D6D" w:rsidRDefault="00277C5A" w:rsidP="00FB7D6D">
            <w:pPr>
              <w:ind w:right="101"/>
              <w:rPr>
                <w:rFonts w:ascii="Calibri" w:hAnsi="Calibri"/>
                <w:color w:val="0000FF"/>
              </w:rPr>
            </w:pPr>
            <w:r w:rsidRPr="00FB7D6D">
              <w:rPr>
                <w:rFonts w:ascii="Calibri" w:hAnsi="Calibri"/>
                <w:color w:val="0000FF"/>
              </w:rPr>
              <w:t>1748.3</w:t>
            </w:r>
          </w:p>
        </w:tc>
        <w:tc>
          <w:tcPr>
            <w:tcW w:w="2340" w:type="dxa"/>
            <w:tcBorders>
              <w:top w:val="single" w:sz="4" w:space="0" w:color="auto"/>
              <w:bottom w:val="single" w:sz="4" w:space="0" w:color="auto"/>
            </w:tcBorders>
            <w:vAlign w:val="bottom"/>
          </w:tcPr>
          <w:p w:rsidR="00277C5A" w:rsidRPr="00FB7D6D" w:rsidRDefault="00277C5A" w:rsidP="00FB7D6D">
            <w:pPr>
              <w:rPr>
                <w:rFonts w:ascii="Calibri" w:hAnsi="Calibri"/>
                <w:color w:val="0000FF"/>
              </w:rPr>
            </w:pPr>
            <w:r w:rsidRPr="00FB7D6D">
              <w:rPr>
                <w:rFonts w:ascii="Calibri" w:hAnsi="Calibri"/>
                <w:color w:val="0000FF"/>
              </w:rPr>
              <w:t>0.71686</w:t>
            </w:r>
          </w:p>
        </w:tc>
      </w:tr>
    </w:tbl>
    <w:p w:rsidR="00277C5A" w:rsidRPr="00FB7D6D" w:rsidRDefault="00277C5A" w:rsidP="00FB7D6D">
      <w:pPr>
        <w:ind w:left="90" w:right="1620"/>
        <w:rPr>
          <w:rFonts w:ascii="Calibri" w:eastAsia="Times New Roman" w:hAnsi="Calibri" w:cs="Calibri"/>
          <w:color w:val="0000FF"/>
        </w:rPr>
      </w:pPr>
      <w:r w:rsidRPr="00FB7D6D">
        <w:rPr>
          <w:rFonts w:ascii="Calibri" w:hAnsi="Calibri" w:cs="Calibri"/>
          <w:color w:val="0000FF"/>
        </w:rPr>
        <w:t>Source: HCUP State Inpatient Databases (SID). Healthcare Cost and Utilization Project (HCUP). 2012. Agency for</w:t>
      </w:r>
      <w:r w:rsidRPr="00FB7D6D">
        <w:rPr>
          <w:rFonts w:ascii="Calibri" w:hAnsi="Calibri" w:cs="Calibri"/>
          <w:color w:val="0000FF"/>
          <w:w w:val="99"/>
        </w:rPr>
        <w:t xml:space="preserve"> </w:t>
      </w:r>
      <w:r w:rsidRPr="00FB7D6D">
        <w:rPr>
          <w:rFonts w:ascii="Calibri" w:hAnsi="Calibri" w:cs="Calibri"/>
          <w:color w:val="0000FF"/>
        </w:rPr>
        <w:t xml:space="preserve">Healthcare Research and Quality, Rockville, MD. </w:t>
      </w:r>
      <w:hyperlink r:id="rId15">
        <w:r w:rsidRPr="00FB7D6D">
          <w:rPr>
            <w:rFonts w:ascii="Calibri" w:hAnsi="Calibri" w:cs="Calibri"/>
            <w:color w:val="0000FF"/>
            <w:u w:val="single" w:color="043C66"/>
          </w:rPr>
          <w:t>www.hcup-us.ahrq.gov/sidoverview.jsp</w:t>
        </w:r>
        <w:r w:rsidRPr="00FB7D6D">
          <w:rPr>
            <w:rFonts w:ascii="Calibri" w:hAnsi="Calibri" w:cs="Calibri"/>
            <w:color w:val="0000FF"/>
          </w:rPr>
          <w:t>.</w:t>
        </w:r>
      </w:hyperlink>
      <w:r w:rsidRPr="00FB7D6D">
        <w:rPr>
          <w:rFonts w:ascii="Calibri" w:hAnsi="Calibri" w:cs="Calibri"/>
          <w:color w:val="0000FF"/>
        </w:rPr>
        <w:t xml:space="preserve"> (AHRQ QI Software</w:t>
      </w:r>
      <w:r w:rsidRPr="00FB7D6D">
        <w:rPr>
          <w:rFonts w:ascii="Calibri" w:hAnsi="Calibri" w:cs="Calibri"/>
          <w:color w:val="0000FF"/>
          <w:w w:val="99"/>
        </w:rPr>
        <w:t xml:space="preserve"> </w:t>
      </w:r>
      <w:r w:rsidRPr="00FB7D6D">
        <w:rPr>
          <w:rFonts w:ascii="Calibri" w:hAnsi="Calibri" w:cs="Calibri"/>
          <w:color w:val="0000FF"/>
        </w:rPr>
        <w:t>Version 5.0)</w:t>
      </w: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277C5A" w:rsidRDefault="00277C5A" w:rsidP="00DB3627">
      <w:pPr>
        <w:autoSpaceDE w:val="0"/>
        <w:autoSpaceDN w:val="0"/>
        <w:adjustRightInd w:val="0"/>
        <w:spacing w:after="0" w:line="240" w:lineRule="auto"/>
        <w:rPr>
          <w:rFonts w:ascii="Calibri" w:hAnsi="Calibri" w:cstheme="minorHAnsi"/>
          <w:color w:val="0000FF"/>
        </w:rPr>
      </w:pPr>
      <w:r w:rsidRPr="00FB7D6D">
        <w:rPr>
          <w:rFonts w:ascii="Calibri" w:hAnsi="Calibri" w:cstheme="minorHAnsi"/>
          <w:color w:val="0000FF"/>
        </w:rPr>
        <w:t xml:space="preserve">Signal to noise ratios were smaller for hospitals with fewer than 68 qualifying discharges per year (average signal-to-noise ratio less than 0.267). </w:t>
      </w:r>
      <w:proofErr w:type="gramStart"/>
      <w:r w:rsidRPr="00FB7D6D">
        <w:rPr>
          <w:rFonts w:ascii="Calibri" w:hAnsi="Calibri" w:cstheme="minorHAnsi"/>
          <w:color w:val="0000FF"/>
        </w:rPr>
        <w:t>Smoothed rates, which are recommended for all hospitals (and are implemented in the AHRQ software), addresses reliability concerns particularly for small hospitals.</w:t>
      </w:r>
      <w:proofErr w:type="gramEnd"/>
      <w:r w:rsidRPr="00FB7D6D">
        <w:rPr>
          <w:rFonts w:ascii="Calibri" w:hAnsi="Calibri" w:cstheme="minorHAnsi"/>
          <w:color w:val="0000FF"/>
        </w:rPr>
        <w:t xml:space="preserve"> Hospitals with more than 205 discharges on average have risk adjusted rates with moderate to high reliability (average signal-to-noise ratio of 0.422 to 0.840). Overall, the signal to noise ratio for this indicator is strong with an overall signal-to-noise ratio of 0.716.</w:t>
      </w:r>
    </w:p>
    <w:p w:rsidR="003728D6" w:rsidRDefault="003728D6" w:rsidP="00DB3627">
      <w:pPr>
        <w:autoSpaceDE w:val="0"/>
        <w:autoSpaceDN w:val="0"/>
        <w:adjustRightInd w:val="0"/>
        <w:spacing w:after="0" w:line="240" w:lineRule="auto"/>
        <w:rPr>
          <w:rFonts w:ascii="Calibri" w:hAnsi="Calibri" w:cstheme="minorHAnsi"/>
          <w:color w:val="0000FF"/>
        </w:rPr>
      </w:pPr>
    </w:p>
    <w:p w:rsidR="00595324" w:rsidRDefault="003728D6" w:rsidP="00DB3627">
      <w:pPr>
        <w:autoSpaceDE w:val="0"/>
        <w:autoSpaceDN w:val="0"/>
        <w:adjustRightInd w:val="0"/>
        <w:spacing w:after="0" w:line="240" w:lineRule="auto"/>
        <w:rPr>
          <w:rFonts w:cstheme="minorHAnsi"/>
          <w:color w:val="0000FF"/>
        </w:rPr>
      </w:pPr>
      <w:r w:rsidRPr="003728D6">
        <w:rPr>
          <w:rFonts w:cstheme="minorHAnsi"/>
          <w:color w:val="0000FF"/>
        </w:rPr>
        <w:t xml:space="preserve">These findings were confirmed by Bernal-Delgado et al. (BMC Med Res </w:t>
      </w:r>
      <w:proofErr w:type="spellStart"/>
      <w:r w:rsidRPr="003728D6">
        <w:rPr>
          <w:rFonts w:cstheme="minorHAnsi"/>
          <w:color w:val="0000FF"/>
        </w:rPr>
        <w:t>Methodol</w:t>
      </w:r>
      <w:proofErr w:type="spellEnd"/>
      <w:r w:rsidRPr="003728D6">
        <w:rPr>
          <w:rFonts w:cstheme="minorHAnsi"/>
          <w:color w:val="0000FF"/>
        </w:rPr>
        <w:t xml:space="preserve"> 2012</w:t>
      </w:r>
      <w:proofErr w:type="gramStart"/>
      <w:r w:rsidRPr="003728D6">
        <w:rPr>
          <w:rFonts w:cstheme="minorHAnsi"/>
          <w:color w:val="0000FF"/>
        </w:rPr>
        <w:t>;12:19</w:t>
      </w:r>
      <w:proofErr w:type="gramEnd"/>
      <w:r w:rsidRPr="003728D6">
        <w:rPr>
          <w:rFonts w:cstheme="minorHAnsi"/>
          <w:color w:val="0000FF"/>
        </w:rPr>
        <w:t xml:space="preserve">), who analyzed data from 171-175 Spanish hospitals in 2005-2006.  They estimated PSI 2 virtually unchanged (as Spain uses ICD-9-CM for inpatient coding of both diagnoses and procedures, and MS DRGs for </w:t>
      </w:r>
      <w:r w:rsidRPr="003728D6">
        <w:rPr>
          <w:rFonts w:cstheme="minorHAnsi"/>
          <w:color w:val="0000FF"/>
        </w:rPr>
        <w:lastRenderedPageBreak/>
        <w:t xml:space="preserve">resource allocation).  The Empirical Bayes estimator of systematic hospital-level variation in a two-stage hierarchical random effects model was 0.32, which was quite similar to the values for other NQF-endorsed AHRQ </w:t>
      </w:r>
      <w:r w:rsidR="000F36E1">
        <w:rPr>
          <w:rFonts w:cstheme="minorHAnsi"/>
          <w:color w:val="0000FF"/>
        </w:rPr>
        <w:t>P</w:t>
      </w:r>
      <w:r w:rsidRPr="003728D6">
        <w:rPr>
          <w:rFonts w:cstheme="minorHAnsi"/>
          <w:color w:val="0000FF"/>
        </w:rPr>
        <w:t xml:space="preserve">atient </w:t>
      </w:r>
      <w:r w:rsidR="000F36E1">
        <w:rPr>
          <w:rFonts w:cstheme="minorHAnsi"/>
          <w:color w:val="0000FF"/>
        </w:rPr>
        <w:t>S</w:t>
      </w:r>
      <w:r w:rsidRPr="003728D6">
        <w:rPr>
          <w:rFonts w:cstheme="minorHAnsi"/>
          <w:color w:val="0000FF"/>
        </w:rPr>
        <w:t xml:space="preserve">afety </w:t>
      </w:r>
      <w:r w:rsidR="000F36E1">
        <w:rPr>
          <w:rFonts w:cstheme="minorHAnsi"/>
          <w:color w:val="0000FF"/>
        </w:rPr>
        <w:t>Indicators</w:t>
      </w:r>
      <w:r w:rsidR="00595324">
        <w:rPr>
          <w:rFonts w:cstheme="minorHAnsi"/>
          <w:color w:val="0000FF"/>
        </w:rPr>
        <w:t>.</w:t>
      </w:r>
    </w:p>
    <w:p w:rsidR="003728D6" w:rsidRPr="003728D6" w:rsidRDefault="003728D6" w:rsidP="00DB3627">
      <w:pPr>
        <w:autoSpaceDE w:val="0"/>
        <w:autoSpaceDN w:val="0"/>
        <w:adjustRightInd w:val="0"/>
        <w:spacing w:after="0" w:line="240" w:lineRule="auto"/>
        <w:rPr>
          <w:rFonts w:cstheme="minorHAnsi"/>
          <w:bCs/>
          <w:color w:val="0000FF"/>
        </w:rPr>
      </w:pP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0D67E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E325C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E325C7">
        <w:rPr>
          <w:rFonts w:eastAsia="MS Gothic" w:cstheme="minorHAnsi"/>
          <w:b/>
          <w:bCs/>
          <w:highlight w:val="yellow"/>
        </w:rPr>
        <w:t>P</w:t>
      </w:r>
      <w:r w:rsidR="00696262" w:rsidRPr="00E325C7">
        <w:rPr>
          <w:rFonts w:eastAsia="MS Gothic" w:cstheme="minorHAnsi"/>
          <w:b/>
          <w:bCs/>
          <w:highlight w:val="yellow"/>
        </w:rPr>
        <w:t xml:space="preserve">erformance </w:t>
      </w:r>
      <w:r w:rsidR="00696262" w:rsidRPr="00E325C7">
        <w:rPr>
          <w:rFonts w:cstheme="minorHAnsi"/>
          <w:b/>
          <w:bCs/>
          <w:highlight w:val="yellow"/>
        </w:rPr>
        <w:t>measure score</w:t>
      </w:r>
    </w:p>
    <w:p w:rsidR="000574AB" w:rsidRPr="00A25024" w:rsidRDefault="000D67E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480CC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480CC9">
        <w:rPr>
          <w:rFonts w:eastAsia="MS Mincho" w:cstheme="minorHAnsi"/>
          <w:b/>
          <w:bCs/>
        </w:rPr>
        <w:t>E</w:t>
      </w:r>
      <w:r w:rsidR="00696262" w:rsidRPr="00480CC9">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F61E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2F61E6">
        <w:rPr>
          <w:rFonts w:cstheme="minorHAnsi"/>
          <w:b/>
          <w:bCs/>
          <w:highlight w:val="yellow"/>
        </w:rPr>
        <w:t>S</w:t>
      </w:r>
      <w:r w:rsidR="00D50704" w:rsidRPr="002F61E6">
        <w:rPr>
          <w:rFonts w:cstheme="minorHAnsi"/>
          <w:b/>
          <w:bCs/>
          <w:highlight w:val="yellow"/>
        </w:rPr>
        <w:t xml:space="preserve">ystematic assessment of </w:t>
      </w:r>
      <w:r w:rsidR="004B6CEE" w:rsidRPr="002F61E6">
        <w:rPr>
          <w:rFonts w:cstheme="minorHAnsi"/>
          <w:b/>
          <w:bCs/>
          <w:highlight w:val="yellow"/>
        </w:rPr>
        <w:t xml:space="preserve">face </w:t>
      </w:r>
      <w:r w:rsidR="004B6CEE" w:rsidRPr="002F61E6">
        <w:rPr>
          <w:rFonts w:eastAsia="MS Gothic" w:cstheme="minorHAnsi"/>
          <w:b/>
          <w:bCs/>
          <w:highlight w:val="yellow"/>
        </w:rPr>
        <w:t xml:space="preserve">validity of </w:t>
      </w:r>
      <w:r w:rsidR="00D1754D" w:rsidRPr="002F61E6">
        <w:rPr>
          <w:rFonts w:eastAsia="MS Gothic" w:cstheme="minorHAnsi"/>
          <w:b/>
          <w:bCs/>
          <w:highlight w:val="yellow"/>
          <w:u w:val="single"/>
        </w:rPr>
        <w:t xml:space="preserve">performance </w:t>
      </w:r>
      <w:r w:rsidR="004B6CEE" w:rsidRPr="002F61E6">
        <w:rPr>
          <w:rFonts w:eastAsia="MS Gothic" w:cstheme="minorHAnsi"/>
          <w:b/>
          <w:bCs/>
          <w:highlight w:val="yellow"/>
          <w:u w:val="single"/>
        </w:rPr>
        <w:t>measure score</w:t>
      </w:r>
      <w:r w:rsidR="00CA06D8" w:rsidRPr="002F61E6">
        <w:rPr>
          <w:rFonts w:eastAsia="MS Gothic" w:cstheme="minorHAnsi"/>
          <w:b/>
          <w:bCs/>
          <w:highlight w:val="yellow"/>
        </w:rPr>
        <w:t xml:space="preserve"> </w:t>
      </w:r>
      <w:r w:rsidR="00A41377" w:rsidRPr="002F61E6">
        <w:rPr>
          <w:rFonts w:eastAsia="MS Gothic" w:cstheme="minorHAnsi"/>
          <w:b/>
          <w:bCs/>
          <w:highlight w:val="yellow"/>
        </w:rPr>
        <w:t>as a</w:t>
      </w:r>
      <w:r w:rsidR="00241591" w:rsidRPr="002F61E6">
        <w:rPr>
          <w:rFonts w:eastAsia="MS Gothic" w:cstheme="minorHAnsi"/>
          <w:b/>
          <w:bCs/>
          <w:highlight w:val="yellow"/>
        </w:rPr>
        <w:t>n</w:t>
      </w:r>
      <w:r w:rsidR="00A41377" w:rsidRPr="002F61E6">
        <w:rPr>
          <w:rFonts w:eastAsia="MS Gothic" w:cstheme="minorHAnsi"/>
          <w:b/>
          <w:bCs/>
          <w:highlight w:val="yellow"/>
        </w:rPr>
        <w:t xml:space="preserve"> indicator</w:t>
      </w:r>
      <w:r w:rsidR="00A41377" w:rsidRPr="002F61E6">
        <w:rPr>
          <w:rFonts w:eastAsia="MS Gothic" w:cstheme="minorHAnsi"/>
          <w:bCs/>
          <w:highlight w:val="yellow"/>
        </w:rPr>
        <w:t xml:space="preserve"> </w:t>
      </w:r>
      <w:r w:rsidR="00241591" w:rsidRPr="002F61E6">
        <w:rPr>
          <w:rFonts w:eastAsia="MS Gothic" w:cstheme="minorHAnsi"/>
          <w:bCs/>
          <w:highlight w:val="yellow"/>
        </w:rPr>
        <w:t>of quality</w:t>
      </w:r>
      <w:r w:rsidR="00241591">
        <w:rPr>
          <w:rFonts w:eastAsia="MS Gothic" w:cstheme="minorHAnsi"/>
          <w:bCs/>
        </w:rPr>
        <w:t xml:space="preserve">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3728D6" w:rsidRPr="003728D6" w:rsidRDefault="00092566" w:rsidP="003728D6">
      <w:pPr>
        <w:rPr>
          <w:rFonts w:cstheme="minorHAnsi"/>
          <w:b/>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3728D6" w:rsidRPr="003728D6">
        <w:rPr>
          <w:rFonts w:cstheme="minorHAnsi"/>
          <w:color w:val="0000FF"/>
        </w:rPr>
        <w:t xml:space="preserve"> A structured review of each</w:t>
      </w:r>
      <w:r w:rsidR="003728D6">
        <w:rPr>
          <w:rFonts w:cstheme="minorHAnsi"/>
          <w:color w:val="0000FF"/>
        </w:rPr>
        <w:t xml:space="preserve"> AHRQ Patient Safety Indicator</w:t>
      </w:r>
      <w:r w:rsidR="003728D6" w:rsidRPr="003728D6">
        <w:rPr>
          <w:rFonts w:cstheme="minorHAnsi"/>
          <w:color w:val="0000FF"/>
        </w:rPr>
        <w:t xml:space="preserve"> was undertaken to evaluate the face validity (from a clinical perspective) of the indicators.  Specifically, the panel approach was designed to establish consensual validity, which “extends face validity from one expert to a panel of experts who examine and rate the appropriateness of each item….”  The methodology for the structured review was adapted from the RAND/UCLA Appropriateness Method and tested in previous AHRQ projects.  The process consisted of an initial independent assessment of each indicator by clinician panelists using a structured questionnaire, anonymized written feedback of the results of this initial assessment, a conference call among all panelists with facilitated discussion of each candidate indicator (focusing on areas of disagreement and suggestions for improving the indicator), followed by a final independent reassessment using the same questionnaire. </w:t>
      </w:r>
    </w:p>
    <w:p w:rsidR="003728D6" w:rsidRPr="003728D6" w:rsidRDefault="003728D6" w:rsidP="003728D6">
      <w:pPr>
        <w:rPr>
          <w:rFonts w:cstheme="minorHAnsi"/>
          <w:color w:val="0000FF"/>
        </w:rPr>
      </w:pPr>
      <w:r w:rsidRPr="003728D6">
        <w:rPr>
          <w:rFonts w:cstheme="minorHAnsi"/>
          <w:color w:val="0000FF"/>
        </w:rPr>
        <w:t>Twenty-one professional clinical organizations were invited to submit nominations. These organizations were selected based on the applicability of the specialty or subspecialty to patient safety indicators. Fifteen organizations submitted a total of 162 nominations: American Association of Critical-Care Nurses; American Academy of Family Physicians; American College of Cardiology; American College of Nurse-Midwives; American College of Obstetricians and Gynecologists; American College of Physicians/American Society of Internal Medicine; American College of Radiology; American College of Surgeons; American Geriatric Society; Association of Perioperative Nurses; American Society of Anesthesiologists; American Society of Health-system Pharmacists; American Thoracic Society; Association of Women´s Health Obstetric and Neonatal Nurses; and National Association of Inpatient Physicians.</w:t>
      </w:r>
    </w:p>
    <w:p w:rsidR="003728D6" w:rsidRPr="003728D6" w:rsidRDefault="003728D6" w:rsidP="003728D6">
      <w:pPr>
        <w:rPr>
          <w:rFonts w:cstheme="minorHAnsi"/>
          <w:color w:val="0000FF"/>
        </w:rPr>
      </w:pPr>
      <w:r w:rsidRPr="003728D6">
        <w:rPr>
          <w:rFonts w:cstheme="minorHAnsi"/>
          <w:color w:val="0000FF"/>
        </w:rPr>
        <w:t xml:space="preserve">To be eligible to participate, nominees were required to spend at least 30% of their work time on patient care, including hospitalized patients.  Nominees were asked to provide information regarding their practice characteristics, including specialty and subspecialty and setting (i.e., urban vs. rural location, </w:t>
      </w:r>
      <w:r w:rsidRPr="003728D6">
        <w:rPr>
          <w:rFonts w:cstheme="minorHAnsi"/>
          <w:color w:val="0000FF"/>
        </w:rPr>
        <w:lastRenderedPageBreak/>
        <w:t xml:space="preserve">region of country, and service to underserved populations), primary hospital of practice (i.e., funding source) and professional history (i.e., clinical education history, academic affiliation).  Panelists were randomly selected from the pool of eligible clinicians so that each panel had diverse membership in terms of practice characteristics and setting.  Fifty-seven of the 87 eligible panelists accepted the invitation to participate on specific panels. </w:t>
      </w:r>
    </w:p>
    <w:p w:rsidR="00833325" w:rsidRDefault="003728D6" w:rsidP="003728D6">
      <w:pPr>
        <w:rPr>
          <w:rFonts w:cstheme="minorHAnsi"/>
          <w:color w:val="0000FF"/>
        </w:rPr>
      </w:pPr>
      <w:r w:rsidRPr="003728D6">
        <w:rPr>
          <w:rFonts w:cstheme="minorHAnsi"/>
          <w:color w:val="0000FF"/>
        </w:rPr>
        <w:t>Eight panels were formed, and PSI</w:t>
      </w:r>
      <w:r w:rsidR="002F61E6">
        <w:rPr>
          <w:rFonts w:cstheme="minorHAnsi"/>
          <w:color w:val="0000FF"/>
        </w:rPr>
        <w:t>0</w:t>
      </w:r>
      <w:r w:rsidRPr="003728D6">
        <w:rPr>
          <w:rFonts w:cstheme="minorHAnsi"/>
          <w:color w:val="0000FF"/>
        </w:rPr>
        <w:t xml:space="preserve">2 was reviewed by a panel on general indicators of complications of medical care.  In the final evaluation step, panelists were asked to rate the indicator on its overall usefulness, based on the panel discussion and all of the information that they had received about the indicator’s rationale and characteristics.  Indicators were considered as “endorsed” if the median “usefulness” score was 7 or greater (on a 1-9 scale) without significant disagreement (defined as one or fewer panelists who rated the indicator in the 1-3 range on the same scale). </w:t>
      </w:r>
    </w:p>
    <w:p w:rsidR="002F61E6" w:rsidRDefault="00092566" w:rsidP="002F61E6">
      <w:pPr>
        <w:rPr>
          <w:rFonts w:cstheme="minorHAnsi"/>
          <w:color w:val="0000FF"/>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2F61E6" w:rsidRPr="002F61E6">
        <w:rPr>
          <w:rFonts w:cstheme="minorHAnsi"/>
          <w:color w:val="0000FF"/>
        </w:rPr>
        <w:t>The overall panel rating of the usefulness of this indicator was 7.5 (on a 1-9 scale) with agreement.</w:t>
      </w:r>
    </w:p>
    <w:p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2F61E6" w:rsidRPr="002F61E6">
        <w:rPr>
          <w:rFonts w:cstheme="minorHAnsi"/>
          <w:bCs/>
          <w:color w:val="0000FF"/>
        </w:rPr>
        <w:t>This indicator meets the a priori criteria for a valid measure of quality based on the median rating by a panel of clinical experts and agreement among those panelists.</w:t>
      </w:r>
    </w:p>
    <w:p w:rsidR="00D44355" w:rsidRPr="00A25024" w:rsidRDefault="00D44355" w:rsidP="00DB3627">
      <w:pPr>
        <w:autoSpaceDE w:val="0"/>
        <w:autoSpaceDN w:val="0"/>
        <w:adjustRightInd w:val="0"/>
        <w:spacing w:after="0" w:line="240" w:lineRule="auto"/>
        <w:rPr>
          <w:rFonts w:cstheme="minorHAnsi"/>
          <w:bCs/>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5008D7" w:rsidRDefault="00092566" w:rsidP="005008D7">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5008D7">
        <w:rPr>
          <w:rStyle w:val="FormTextChar"/>
        </w:rPr>
        <w:t>Using the 2012 data from 36 states we examined the percent of potential denominator cases excluded by each criterion. The percent of potential cases excluded by each criterion are reported.</w:t>
      </w:r>
    </w:p>
    <w:p w:rsidR="005008D7" w:rsidRDefault="005008D7" w:rsidP="005008D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5008D7" w:rsidRDefault="00092566" w:rsidP="00092566">
      <w:pPr>
        <w:autoSpaceDE w:val="0"/>
        <w:autoSpaceDN w:val="0"/>
        <w:adjustRightInd w:val="0"/>
        <w:spacing w:after="0" w:line="240" w:lineRule="auto"/>
        <w:rPr>
          <w:rFonts w:ascii="Calibri" w:eastAsia="Times New Roman" w:hAnsi="Calibri" w:cs="Calibri"/>
          <w:b/>
          <w:bCs/>
          <w:color w:val="000000"/>
          <w:sz w:val="24"/>
          <w:szCs w:val="24"/>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5008D7" w:rsidRDefault="005008D7" w:rsidP="00480CC9">
      <w:pPr>
        <w:tabs>
          <w:tab w:val="left" w:pos="9360"/>
        </w:tabs>
        <w:autoSpaceDE w:val="0"/>
        <w:autoSpaceDN w:val="0"/>
        <w:adjustRightInd w:val="0"/>
        <w:spacing w:after="0" w:line="240" w:lineRule="auto"/>
        <w:rPr>
          <w:rFonts w:ascii="Calibri" w:eastAsia="Times New Roman" w:hAnsi="Calibri" w:cs="Calibri"/>
          <w:b/>
          <w:bCs/>
          <w:color w:val="0000FF"/>
          <w:sz w:val="24"/>
          <w:szCs w:val="24"/>
        </w:rPr>
      </w:pPr>
      <w:proofErr w:type="gramStart"/>
      <w:r w:rsidRPr="005008D7">
        <w:rPr>
          <w:rFonts w:ascii="Calibri" w:eastAsia="Times New Roman" w:hAnsi="Calibri" w:cs="Calibri"/>
          <w:b/>
          <w:bCs/>
          <w:color w:val="0000FF"/>
          <w:sz w:val="24"/>
          <w:szCs w:val="24"/>
        </w:rPr>
        <w:t>Table 3.</w:t>
      </w:r>
      <w:proofErr w:type="gramEnd"/>
      <w:r w:rsidRPr="005008D7">
        <w:rPr>
          <w:rFonts w:ascii="Calibri" w:eastAsia="Times New Roman" w:hAnsi="Calibri" w:cs="Calibri"/>
          <w:b/>
          <w:bCs/>
          <w:color w:val="0000FF"/>
          <w:sz w:val="24"/>
          <w:szCs w:val="24"/>
        </w:rPr>
        <w:t xml:space="preserve"> Number and Percent of Discharges Excluded, </w:t>
      </w:r>
      <w:r w:rsidR="00480CC9">
        <w:rPr>
          <w:rFonts w:ascii="Calibri" w:eastAsia="Times New Roman" w:hAnsi="Calibri" w:cs="Calibri"/>
          <w:b/>
          <w:bCs/>
          <w:color w:val="0000FF"/>
          <w:sz w:val="24"/>
          <w:szCs w:val="24"/>
        </w:rPr>
        <w:t xml:space="preserve">by Denominator Exclusion Criteria, </w:t>
      </w:r>
      <w:r w:rsidRPr="005008D7">
        <w:rPr>
          <w:rFonts w:ascii="Calibri" w:eastAsia="Times New Roman" w:hAnsi="Calibri" w:cs="Calibri"/>
          <w:b/>
          <w:bCs/>
          <w:color w:val="0000FF"/>
          <w:sz w:val="24"/>
          <w:szCs w:val="24"/>
        </w:rPr>
        <w:t>Death in Low-</w:t>
      </w:r>
      <w:r w:rsidR="00480CC9">
        <w:rPr>
          <w:rFonts w:ascii="Calibri" w:eastAsia="Times New Roman" w:hAnsi="Calibri" w:cs="Calibri"/>
          <w:b/>
          <w:bCs/>
          <w:color w:val="0000FF"/>
          <w:sz w:val="24"/>
          <w:szCs w:val="24"/>
        </w:rPr>
        <w:t>M</w:t>
      </w:r>
      <w:r w:rsidRPr="005008D7">
        <w:rPr>
          <w:rFonts w:ascii="Calibri" w:eastAsia="Times New Roman" w:hAnsi="Calibri" w:cs="Calibri"/>
          <w:b/>
          <w:bCs/>
          <w:color w:val="0000FF"/>
          <w:sz w:val="24"/>
          <w:szCs w:val="24"/>
        </w:rPr>
        <w:t>ortality Diagnostic Related Groups (PSI02)</w:t>
      </w:r>
      <w:r w:rsidR="00480CC9" w:rsidRPr="00480CC9">
        <w:rPr>
          <w:rFonts w:ascii="Calibri" w:eastAsia="Times New Roman" w:hAnsi="Calibri" w:cs="Calibri"/>
          <w:b/>
          <w:bCs/>
          <w:color w:val="0000FF"/>
          <w:sz w:val="24"/>
          <w:szCs w:val="24"/>
          <w:vertAlign w:val="superscript"/>
        </w:rPr>
        <w:t>1</w:t>
      </w:r>
    </w:p>
    <w:tbl>
      <w:tblPr>
        <w:tblW w:w="9483" w:type="dxa"/>
        <w:tblInd w:w="93" w:type="dxa"/>
        <w:tblLook w:val="04A0" w:firstRow="1" w:lastRow="0" w:firstColumn="1" w:lastColumn="0" w:noHBand="0" w:noVBand="1"/>
      </w:tblPr>
      <w:tblGrid>
        <w:gridCol w:w="2152"/>
        <w:gridCol w:w="1277"/>
        <w:gridCol w:w="1445"/>
        <w:gridCol w:w="1086"/>
        <w:gridCol w:w="1165"/>
        <w:gridCol w:w="1350"/>
        <w:gridCol w:w="1008"/>
      </w:tblGrid>
      <w:tr w:rsidR="00480CC9" w:rsidRPr="00480CC9" w:rsidTr="000D67EB">
        <w:trPr>
          <w:trHeight w:val="454"/>
          <w:tblHeader/>
        </w:trPr>
        <w:tc>
          <w:tcPr>
            <w:tcW w:w="2152"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sz w:val="24"/>
                <w:szCs w:val="24"/>
              </w:rPr>
            </w:pPr>
            <w:r w:rsidRPr="00480CC9">
              <w:rPr>
                <w:rFonts w:ascii="Calibri" w:eastAsia="Times New Roman" w:hAnsi="Calibri" w:cs="Times New Roman"/>
                <w:b/>
                <w:bCs/>
                <w:color w:val="0000FF"/>
                <w:sz w:val="24"/>
                <w:szCs w:val="24"/>
              </w:rPr>
              <w:t>PSI02</w:t>
            </w:r>
          </w:p>
        </w:tc>
        <w:tc>
          <w:tcPr>
            <w:tcW w:w="3808" w:type="dxa"/>
            <w:gridSpan w:val="3"/>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sz w:val="24"/>
                <w:szCs w:val="24"/>
              </w:rPr>
            </w:pPr>
            <w:r w:rsidRPr="00480CC9">
              <w:rPr>
                <w:rFonts w:ascii="Calibri" w:eastAsia="Times New Roman" w:hAnsi="Calibri" w:cs="Times New Roman"/>
                <w:b/>
                <w:bCs/>
                <w:color w:val="0000FF"/>
                <w:sz w:val="24"/>
                <w:szCs w:val="24"/>
              </w:rPr>
              <w:t>Denominator</w:t>
            </w:r>
          </w:p>
        </w:tc>
        <w:tc>
          <w:tcPr>
            <w:tcW w:w="3523" w:type="dxa"/>
            <w:gridSpan w:val="3"/>
            <w:tcBorders>
              <w:top w:val="single" w:sz="4" w:space="0" w:color="auto"/>
              <w:left w:val="nil"/>
              <w:bottom w:val="single" w:sz="4" w:space="0" w:color="auto"/>
              <w:right w:val="single" w:sz="4" w:space="0" w:color="000000"/>
            </w:tcBorders>
            <w:shd w:val="clear" w:color="auto" w:fill="C6D9F1" w:themeFill="text2" w:themeFillTint="33"/>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sz w:val="24"/>
                <w:szCs w:val="24"/>
              </w:rPr>
            </w:pPr>
            <w:r>
              <w:rPr>
                <w:rFonts w:ascii="Calibri" w:eastAsia="Times New Roman" w:hAnsi="Calibri" w:cs="Times New Roman"/>
                <w:b/>
                <w:bCs/>
                <w:color w:val="0000FF"/>
                <w:sz w:val="24"/>
                <w:szCs w:val="24"/>
              </w:rPr>
              <w:t xml:space="preserve">Potential </w:t>
            </w:r>
            <w:r w:rsidRPr="00480CC9">
              <w:rPr>
                <w:rFonts w:ascii="Calibri" w:eastAsia="Times New Roman" w:hAnsi="Calibri" w:cs="Times New Roman"/>
                <w:b/>
                <w:bCs/>
                <w:color w:val="0000FF"/>
                <w:sz w:val="24"/>
                <w:szCs w:val="24"/>
              </w:rPr>
              <w:t>Numerator</w:t>
            </w:r>
            <w:r w:rsidRPr="00480CC9">
              <w:rPr>
                <w:rFonts w:ascii="Calibri" w:eastAsia="Times New Roman" w:hAnsi="Calibri" w:cs="Times New Roman"/>
                <w:b/>
                <w:bCs/>
                <w:color w:val="0000FF"/>
                <w:sz w:val="24"/>
                <w:szCs w:val="24"/>
                <w:vertAlign w:val="superscript"/>
              </w:rPr>
              <w:t>2</w:t>
            </w:r>
          </w:p>
        </w:tc>
      </w:tr>
      <w:tr w:rsidR="00480CC9" w:rsidRPr="00480CC9" w:rsidTr="000D67EB">
        <w:trPr>
          <w:trHeight w:val="825"/>
          <w:tblHeader/>
        </w:trPr>
        <w:tc>
          <w:tcPr>
            <w:tcW w:w="2152"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Exclusion Name</w:t>
            </w:r>
          </w:p>
        </w:tc>
        <w:tc>
          <w:tcPr>
            <w:tcW w:w="1277"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Exclusion Count</w:t>
            </w:r>
          </w:p>
        </w:tc>
        <w:tc>
          <w:tcPr>
            <w:tcW w:w="1445"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After Exclusions</w:t>
            </w:r>
          </w:p>
        </w:tc>
        <w:tc>
          <w:tcPr>
            <w:tcW w:w="1086"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 Change</w:t>
            </w:r>
          </w:p>
        </w:tc>
        <w:tc>
          <w:tcPr>
            <w:tcW w:w="1165"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Exclusion Count</w:t>
            </w:r>
          </w:p>
        </w:tc>
        <w:tc>
          <w:tcPr>
            <w:tcW w:w="1350"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After Exclusions</w:t>
            </w:r>
          </w:p>
        </w:tc>
        <w:tc>
          <w:tcPr>
            <w:tcW w:w="1008" w:type="dxa"/>
            <w:tcBorders>
              <w:top w:val="nil"/>
              <w:left w:val="nil"/>
              <w:bottom w:val="single" w:sz="4" w:space="0" w:color="auto"/>
              <w:right w:val="single" w:sz="4" w:space="0" w:color="auto"/>
            </w:tcBorders>
            <w:shd w:val="clear" w:color="auto" w:fill="C6D9F1" w:themeFill="text2" w:themeFillTint="33"/>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 Change</w:t>
            </w:r>
          </w:p>
        </w:tc>
      </w:tr>
      <w:tr w:rsidR="00480CC9" w:rsidRPr="00480CC9" w:rsidTr="00480CC9">
        <w:trPr>
          <w:trHeight w:val="300"/>
        </w:trPr>
        <w:tc>
          <w:tcPr>
            <w:tcW w:w="2152" w:type="dxa"/>
            <w:tcBorders>
              <w:top w:val="nil"/>
              <w:left w:val="single" w:sz="4" w:space="0" w:color="auto"/>
              <w:bottom w:val="single" w:sz="4" w:space="0" w:color="auto"/>
              <w:right w:val="single" w:sz="4" w:space="0" w:color="auto"/>
            </w:tcBorders>
            <w:shd w:val="clear" w:color="auto" w:fill="auto"/>
            <w:vAlign w:val="bottom"/>
            <w:hideMark/>
          </w:tcPr>
          <w:p w:rsidR="00480CC9" w:rsidRPr="00480CC9" w:rsidRDefault="00480CC9" w:rsidP="00480CC9">
            <w:pPr>
              <w:spacing w:after="0" w:line="240" w:lineRule="auto"/>
              <w:rPr>
                <w:rFonts w:ascii="Calibri" w:eastAsia="Times New Roman" w:hAnsi="Calibri" w:cs="Times New Roman"/>
                <w:b/>
                <w:bCs/>
                <w:color w:val="0000FF"/>
              </w:rPr>
            </w:pPr>
            <w:r w:rsidRPr="00480CC9">
              <w:rPr>
                <w:rFonts w:ascii="Calibri" w:eastAsia="Times New Roman" w:hAnsi="Calibri" w:cs="Times New Roman"/>
                <w:b/>
                <w:bCs/>
                <w:color w:val="0000FF"/>
              </w:rPr>
              <w:t>No Exclusions applied</w:t>
            </w:r>
          </w:p>
        </w:tc>
        <w:tc>
          <w:tcPr>
            <w:tcW w:w="1277"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w:t>
            </w:r>
          </w:p>
        </w:tc>
        <w:tc>
          <w:tcPr>
            <w:tcW w:w="1445"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6,467,730</w:t>
            </w:r>
          </w:p>
        </w:tc>
        <w:tc>
          <w:tcPr>
            <w:tcW w:w="1086"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w:t>
            </w:r>
          </w:p>
        </w:tc>
        <w:tc>
          <w:tcPr>
            <w:tcW w:w="1165"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w:t>
            </w:r>
          </w:p>
        </w:tc>
        <w:tc>
          <w:tcPr>
            <w:tcW w:w="1350"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3,368</w:t>
            </w:r>
          </w:p>
        </w:tc>
        <w:tc>
          <w:tcPr>
            <w:tcW w:w="1008" w:type="dxa"/>
            <w:tcBorders>
              <w:top w:val="nil"/>
              <w:left w:val="nil"/>
              <w:bottom w:val="single" w:sz="4" w:space="0" w:color="auto"/>
              <w:right w:val="single" w:sz="4" w:space="0" w:color="auto"/>
            </w:tcBorders>
            <w:shd w:val="clear" w:color="auto" w:fill="auto"/>
            <w:noWrap/>
            <w:vAlign w:val="center"/>
            <w:hideMark/>
          </w:tcPr>
          <w:p w:rsidR="00480CC9" w:rsidRPr="00480CC9" w:rsidRDefault="00480CC9" w:rsidP="00480CC9">
            <w:pPr>
              <w:spacing w:after="0" w:line="240" w:lineRule="auto"/>
              <w:jc w:val="center"/>
              <w:rPr>
                <w:rFonts w:ascii="Calibri" w:eastAsia="Times New Roman" w:hAnsi="Calibri" w:cs="Times New Roman"/>
                <w:b/>
                <w:bCs/>
                <w:color w:val="0000FF"/>
              </w:rPr>
            </w:pPr>
            <w:r w:rsidRPr="00480CC9">
              <w:rPr>
                <w:rFonts w:ascii="Calibri" w:eastAsia="Times New Roman" w:hAnsi="Calibri" w:cs="Times New Roman"/>
                <w:b/>
                <w:bCs/>
                <w:color w:val="0000FF"/>
              </w:rPr>
              <w:t>-</w:t>
            </w:r>
          </w:p>
        </w:tc>
      </w:tr>
      <w:tr w:rsidR="00480CC9" w:rsidRPr="00480CC9" w:rsidTr="00480CC9">
        <w:trPr>
          <w:trHeight w:val="600"/>
        </w:trPr>
        <w:tc>
          <w:tcPr>
            <w:tcW w:w="2152" w:type="dxa"/>
            <w:tcBorders>
              <w:top w:val="nil"/>
              <w:left w:val="single" w:sz="4" w:space="0" w:color="auto"/>
              <w:bottom w:val="single" w:sz="4" w:space="0" w:color="auto"/>
              <w:right w:val="single" w:sz="4" w:space="0" w:color="auto"/>
            </w:tcBorders>
            <w:shd w:val="clear" w:color="auto" w:fill="auto"/>
            <w:vAlign w:val="bottom"/>
            <w:hideMark/>
          </w:tcPr>
          <w:p w:rsidR="00480CC9" w:rsidRPr="00480CC9" w:rsidRDefault="00480CC9" w:rsidP="00480CC9">
            <w:pPr>
              <w:spacing w:after="0" w:line="240" w:lineRule="auto"/>
              <w:rPr>
                <w:rFonts w:ascii="Calibri" w:eastAsia="Times New Roman" w:hAnsi="Calibri" w:cs="Times New Roman"/>
                <w:color w:val="0000FF"/>
              </w:rPr>
            </w:pPr>
            <w:r w:rsidRPr="00480CC9">
              <w:rPr>
                <w:rFonts w:ascii="Calibri" w:eastAsia="Times New Roman" w:hAnsi="Calibri" w:cs="Times New Roman"/>
                <w:color w:val="0000FF"/>
              </w:rPr>
              <w:lastRenderedPageBreak/>
              <w:t xml:space="preserve">Trauma, </w:t>
            </w:r>
            <w:proofErr w:type="spellStart"/>
            <w:r w:rsidRPr="00480CC9">
              <w:rPr>
                <w:rFonts w:ascii="Calibri" w:eastAsia="Times New Roman" w:hAnsi="Calibri" w:cs="Times New Roman"/>
                <w:color w:val="0000FF"/>
              </w:rPr>
              <w:t>Immunocompomised</w:t>
            </w:r>
            <w:proofErr w:type="spellEnd"/>
            <w:r w:rsidRPr="00480CC9">
              <w:rPr>
                <w:rFonts w:ascii="Calibri" w:eastAsia="Times New Roman" w:hAnsi="Calibri" w:cs="Times New Roman"/>
                <w:color w:val="0000FF"/>
              </w:rPr>
              <w:t xml:space="preserve"> State, and Cancer</w:t>
            </w:r>
          </w:p>
        </w:tc>
        <w:tc>
          <w:tcPr>
            <w:tcW w:w="1277"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492,013</w:t>
            </w:r>
          </w:p>
        </w:tc>
        <w:tc>
          <w:tcPr>
            <w:tcW w:w="1445"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5,975,717</w:t>
            </w:r>
          </w:p>
        </w:tc>
        <w:tc>
          <w:tcPr>
            <w:tcW w:w="1086"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7.6%</w:t>
            </w:r>
          </w:p>
        </w:tc>
        <w:tc>
          <w:tcPr>
            <w:tcW w:w="1165"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1,375</w:t>
            </w:r>
          </w:p>
        </w:tc>
        <w:tc>
          <w:tcPr>
            <w:tcW w:w="1350"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1,993</w:t>
            </w:r>
          </w:p>
        </w:tc>
        <w:tc>
          <w:tcPr>
            <w:tcW w:w="1008"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40.8%</w:t>
            </w:r>
          </w:p>
        </w:tc>
      </w:tr>
      <w:tr w:rsidR="00480CC9" w:rsidRPr="00480CC9" w:rsidTr="00480CC9">
        <w:trPr>
          <w:trHeight w:val="600"/>
        </w:trPr>
        <w:tc>
          <w:tcPr>
            <w:tcW w:w="2152" w:type="dxa"/>
            <w:tcBorders>
              <w:top w:val="nil"/>
              <w:left w:val="single" w:sz="4" w:space="0" w:color="auto"/>
              <w:bottom w:val="single" w:sz="4" w:space="0" w:color="auto"/>
              <w:right w:val="single" w:sz="4" w:space="0" w:color="auto"/>
            </w:tcBorders>
            <w:shd w:val="clear" w:color="auto" w:fill="auto"/>
            <w:vAlign w:val="bottom"/>
            <w:hideMark/>
          </w:tcPr>
          <w:p w:rsidR="00480CC9" w:rsidRPr="00480CC9" w:rsidRDefault="00480CC9" w:rsidP="00480CC9">
            <w:pPr>
              <w:spacing w:after="0" w:line="240" w:lineRule="auto"/>
              <w:rPr>
                <w:rFonts w:ascii="Calibri" w:eastAsia="Times New Roman" w:hAnsi="Calibri" w:cs="Times New Roman"/>
                <w:color w:val="0000FF"/>
              </w:rPr>
            </w:pPr>
            <w:r w:rsidRPr="00480CC9">
              <w:rPr>
                <w:rFonts w:ascii="Calibri" w:eastAsia="Times New Roman" w:hAnsi="Calibri" w:cs="Times New Roman"/>
                <w:color w:val="0000FF"/>
              </w:rPr>
              <w:t>Missing Discharge Disposition or Transfer Acute Care Facility</w:t>
            </w:r>
          </w:p>
        </w:tc>
        <w:tc>
          <w:tcPr>
            <w:tcW w:w="1277"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87,596</w:t>
            </w:r>
          </w:p>
        </w:tc>
        <w:tc>
          <w:tcPr>
            <w:tcW w:w="1445"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6,380,134</w:t>
            </w:r>
          </w:p>
        </w:tc>
        <w:tc>
          <w:tcPr>
            <w:tcW w:w="1086"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1.4%</w:t>
            </w:r>
          </w:p>
        </w:tc>
        <w:tc>
          <w:tcPr>
            <w:tcW w:w="1165"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0</w:t>
            </w:r>
          </w:p>
        </w:tc>
        <w:tc>
          <w:tcPr>
            <w:tcW w:w="1350"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3,368</w:t>
            </w:r>
          </w:p>
        </w:tc>
        <w:tc>
          <w:tcPr>
            <w:tcW w:w="1008" w:type="dxa"/>
            <w:tcBorders>
              <w:top w:val="nil"/>
              <w:left w:val="nil"/>
              <w:bottom w:val="single" w:sz="4" w:space="0" w:color="auto"/>
              <w:right w:val="single" w:sz="4" w:space="0" w:color="auto"/>
            </w:tcBorders>
            <w:shd w:val="clear" w:color="000000" w:fill="FFFFFF"/>
            <w:noWrap/>
            <w:vAlign w:val="bottom"/>
            <w:hideMark/>
          </w:tcPr>
          <w:p w:rsidR="00480CC9" w:rsidRPr="00480CC9" w:rsidRDefault="00480CC9" w:rsidP="00480CC9">
            <w:pPr>
              <w:spacing w:after="0" w:line="240" w:lineRule="auto"/>
              <w:jc w:val="center"/>
              <w:rPr>
                <w:rFonts w:ascii="Calibri" w:eastAsia="Times New Roman" w:hAnsi="Calibri" w:cs="Times New Roman"/>
                <w:color w:val="0000FF"/>
              </w:rPr>
            </w:pPr>
            <w:r w:rsidRPr="00480CC9">
              <w:rPr>
                <w:rFonts w:ascii="Calibri" w:eastAsia="Times New Roman" w:hAnsi="Calibri" w:cs="Times New Roman"/>
                <w:color w:val="0000FF"/>
              </w:rPr>
              <w:t>0.0%</w:t>
            </w:r>
          </w:p>
        </w:tc>
      </w:tr>
    </w:tbl>
    <w:p w:rsidR="00480CC9" w:rsidRDefault="00480CC9" w:rsidP="00480CC9">
      <w:pPr>
        <w:spacing w:after="0" w:line="240" w:lineRule="auto"/>
        <w:rPr>
          <w:rFonts w:ascii="Calibri" w:hAnsi="Calibri" w:cs="Calibri"/>
          <w:color w:val="0000FF"/>
        </w:rPr>
      </w:pPr>
      <w:r w:rsidRPr="00153B07">
        <w:rPr>
          <w:rFonts w:ascii="Calibri" w:hAnsi="Calibri" w:cs="Calibri"/>
          <w:color w:val="0000FF"/>
          <w:vertAlign w:val="superscript"/>
        </w:rPr>
        <w:t>1</w:t>
      </w:r>
      <w:r>
        <w:rPr>
          <w:rFonts w:ascii="Calibri" w:hAnsi="Calibri" w:cs="Calibri"/>
          <w:color w:val="0000FF"/>
        </w:rPr>
        <w:t>This indicator does not have numerator exclusion criteria.</w:t>
      </w:r>
    </w:p>
    <w:p w:rsidR="00480CC9" w:rsidRDefault="00480CC9" w:rsidP="00480CC9">
      <w:pPr>
        <w:spacing w:after="0" w:line="240" w:lineRule="auto"/>
        <w:rPr>
          <w:rFonts w:ascii="Calibri" w:hAnsi="Calibri" w:cs="Calibri"/>
          <w:color w:val="0000FF"/>
        </w:rPr>
      </w:pPr>
      <w:r w:rsidRPr="00153B07">
        <w:rPr>
          <w:rFonts w:ascii="Calibri" w:hAnsi="Calibri" w:cs="Calibri"/>
          <w:color w:val="0000FF"/>
          <w:vertAlign w:val="superscript"/>
        </w:rPr>
        <w:t>2</w:t>
      </w:r>
      <w:r>
        <w:rPr>
          <w:rFonts w:ascii="Calibri" w:hAnsi="Calibri" w:cs="Calibri"/>
          <w:color w:val="0000FF"/>
        </w:rPr>
        <w:t>Potential numerator cases are those that would have qualified for the numerator if not for a particular denominator exclusion criterion.</w:t>
      </w:r>
    </w:p>
    <w:p w:rsidR="00480CC9" w:rsidRDefault="00480CC9" w:rsidP="00480CC9">
      <w:pPr>
        <w:spacing w:after="0" w:line="240" w:lineRule="auto"/>
        <w:rPr>
          <w:rFonts w:ascii="Calibri"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6">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092566" w:rsidRPr="00092566" w:rsidRDefault="00092566" w:rsidP="00092566">
      <w:pPr>
        <w:autoSpaceDE w:val="0"/>
        <w:autoSpaceDN w:val="0"/>
        <w:adjustRightInd w:val="0"/>
        <w:spacing w:after="0" w:line="240" w:lineRule="auto"/>
        <w:rPr>
          <w:rFonts w:cstheme="minorHAnsi"/>
          <w:bCs/>
        </w:rPr>
      </w:pPr>
    </w:p>
    <w:p w:rsidR="0018740D" w:rsidRDefault="00092566" w:rsidP="00DB3627">
      <w:pPr>
        <w:autoSpaceDE w:val="0"/>
        <w:autoSpaceDN w:val="0"/>
        <w:adjustRightInd w:val="0"/>
        <w:spacing w:after="0" w:line="240" w:lineRule="auto"/>
        <w:rPr>
          <w:rStyle w:val="FormTextChar"/>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18740D">
        <w:rPr>
          <w:rStyle w:val="FormTextChar"/>
        </w:rPr>
        <w:t>The</w:t>
      </w:r>
      <w:r w:rsidR="005008D7">
        <w:rPr>
          <w:rStyle w:val="FormTextChar"/>
        </w:rPr>
        <w:t xml:space="preserve"> exclusions are relatively uncommon</w:t>
      </w:r>
      <w:r w:rsidR="0018740D">
        <w:rPr>
          <w:rStyle w:val="FormTextChar"/>
        </w:rPr>
        <w:t xml:space="preserve">, representing a small portion of potential denominator cases. </w:t>
      </w:r>
      <w:r w:rsidR="005008D7">
        <w:rPr>
          <w:rStyle w:val="FormTextChar"/>
        </w:rPr>
        <w:t xml:space="preserve"> </w:t>
      </w:r>
      <w:r w:rsidR="0018740D">
        <w:rPr>
          <w:rStyle w:val="FormTextChar"/>
        </w:rPr>
        <w:t xml:space="preserve">Forty percent of the potential numerator cases are excluded because they occur in hospitalizations with a diagnosis code for trauma, immunocompromised state, or </w:t>
      </w:r>
      <w:proofErr w:type="gramStart"/>
      <w:r w:rsidR="0018740D">
        <w:rPr>
          <w:rStyle w:val="FormTextChar"/>
        </w:rPr>
        <w:t>cancer,</w:t>
      </w:r>
      <w:proofErr w:type="gramEnd"/>
      <w:r w:rsidR="0018740D">
        <w:rPr>
          <w:rStyle w:val="FormTextChar"/>
        </w:rPr>
        <w:t xml:space="preserve"> however, these exclusions support the validity of the indicator because these conditions have increased risk for death.</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0D67E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0D67E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5008D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0D67E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0D67E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5008D7" w:rsidRPr="005008D7">
        <w:rPr>
          <w:rFonts w:cstheme="minorHAnsi"/>
          <w:bCs/>
          <w:color w:val="0000FF"/>
        </w:rPr>
        <w:t>Not applicable</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B0E62" w:rsidRDefault="00092566" w:rsidP="000B0E62">
      <w:pPr>
        <w:pStyle w:val="Default"/>
        <w:rPr>
          <w:rFonts w:asciiTheme="minorHAnsi" w:hAnsiTheme="minorHAnsi"/>
          <w:color w:val="0000FF"/>
          <w:sz w:val="22"/>
          <w:szCs w:val="22"/>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0B0E62">
        <w:rPr>
          <w:rFonts w:asciiTheme="minorHAnsi" w:hAnsiTheme="minorHAnsi"/>
          <w:color w:val="0000FF"/>
          <w:sz w:val="22"/>
          <w:szCs w:val="22"/>
        </w:rPr>
        <w:lastRenderedPageBreak/>
        <w:t xml:space="preserve">For the provider level indicators, each module has a standard set of covariates grouped into four categories: demographics, severity of illness, comorbidities, transfer-in status, point of origin and days to procedure. The standard set is tailored to each indicator to create a parsimonious set of covariates for each indicator. Based on cross tabulations between each covariate and the outcome of interest, only those covariates with at least 30 cases with the outcome of interest are retained. For categories that are mutually exclusive, covariates with fewer than 30 cases are pooled into the next covariate along the risk gradient. For example, age 70 to 74 is combined with age 65 to 69, or risk of mortality subclass 3 is combined with subclass 2. For categories with no risk gradient, covariates are pooled into broader covariates. For example, MS-DRGs are pooled into MDCs.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The omitted covariate within mutually exclusive categories is the reference group for those categories. Reference categories are usually 1) the most common and/or 2) the least risk.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The choice of omitted reference category does affect how one might use the model coefficients or odds ratios in an English language sentence, but it does not affect predicted probabilities or model performance.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Once the preliminary multivariable model is specified, it is estimated on the adult analytic data, as appropriate. Only those covariates that are statistically significant (p&lt;.05) are retained. For covariates that are not statistically significant in categories that are mutually exclusive, the pooling process described above is repeated until a complete, parsimonious model is specified. </w:t>
      </w:r>
    </w:p>
    <w:p w:rsidR="000B0E62" w:rsidRDefault="000B0E62" w:rsidP="000B0E62">
      <w:pPr>
        <w:autoSpaceDE w:val="0"/>
        <w:autoSpaceDN w:val="0"/>
        <w:adjustRightInd w:val="0"/>
        <w:spacing w:after="0" w:line="240" w:lineRule="auto"/>
        <w:rPr>
          <w:color w:val="0000FF"/>
        </w:rPr>
      </w:pPr>
    </w:p>
    <w:p w:rsidR="00092566" w:rsidRDefault="000B0E62" w:rsidP="00001D73">
      <w:pPr>
        <w:autoSpaceDE w:val="0"/>
        <w:autoSpaceDN w:val="0"/>
        <w:adjustRightInd w:val="0"/>
        <w:spacing w:after="0" w:line="240" w:lineRule="auto"/>
        <w:rPr>
          <w:rFonts w:cstheme="minorHAnsi"/>
          <w:bCs/>
        </w:rPr>
      </w:pPr>
      <w:r>
        <w:rPr>
          <w:color w:val="0000FF"/>
        </w:rPr>
        <w:t>Additional details are available in the AHRQ Quality Indicator Empirical Methods document, included in the supplemental file.</w:t>
      </w:r>
    </w:p>
    <w:p w:rsidR="00001D73" w:rsidRPr="00001D73" w:rsidRDefault="00001D73" w:rsidP="00001D73">
      <w:pPr>
        <w:autoSpaceDE w:val="0"/>
        <w:autoSpaceDN w:val="0"/>
        <w:adjustRightInd w:val="0"/>
        <w:spacing w:after="0" w:line="240" w:lineRule="auto"/>
        <w:rPr>
          <w:rFonts w:cstheme="minorHAnsi"/>
          <w:bCs/>
        </w:rPr>
      </w:pPr>
    </w:p>
    <w:p w:rsidR="000B0E62" w:rsidRDefault="00092566" w:rsidP="000B0E62">
      <w:pPr>
        <w:pStyle w:val="Default"/>
        <w:rPr>
          <w:rFonts w:asciiTheme="minorHAnsi" w:hAnsiTheme="minorHAnsi" w:cs="Calibri"/>
          <w:color w:val="0000FF"/>
          <w:sz w:val="22"/>
          <w:szCs w:val="22"/>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0B0E62">
        <w:rPr>
          <w:rFonts w:asciiTheme="minorHAnsi" w:hAnsiTheme="minorHAnsi" w:cs="Calibri"/>
          <w:color w:val="0000FF"/>
          <w:sz w:val="22"/>
          <w:szCs w:val="22"/>
        </w:rPr>
        <w:t xml:space="preserve">The process to select risk factors is described in the AHRQ QI Empirical Methods report. The results of the analyses are provided in the PSI Parameter Estimates document. Both documents are available to reviewers in the supporting materials. The results of the analyses are provided in the tables below as well as on the submitted excel spreadsheet. </w:t>
      </w:r>
    </w:p>
    <w:p w:rsidR="000B0E62" w:rsidRDefault="000B0E62" w:rsidP="000B0E62">
      <w:pPr>
        <w:pStyle w:val="Default"/>
        <w:rPr>
          <w:rFonts w:asciiTheme="minorHAnsi" w:hAnsiTheme="minorHAnsi" w:cs="Calibri"/>
          <w:color w:val="0000FF"/>
          <w:sz w:val="22"/>
          <w:szCs w:val="22"/>
        </w:rPr>
      </w:pP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There are several steps involved in estimating the QI risk-adjustment models.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1. Construct candidate covariates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2. Select model covariates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3. Estimate the models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4. Evaluate the models </w:t>
      </w:r>
    </w:p>
    <w:p w:rsidR="000B0E62" w:rsidRDefault="000B0E62" w:rsidP="000B0E62">
      <w:pPr>
        <w:autoSpaceDE w:val="0"/>
        <w:autoSpaceDN w:val="0"/>
        <w:adjustRightInd w:val="0"/>
        <w:spacing w:after="0" w:line="240" w:lineRule="auto"/>
        <w:rPr>
          <w:rFonts w:cs="Calibri"/>
          <w:color w:val="0000FF"/>
        </w:rPr>
      </w:pP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For the PSIs, potential risk-adjustment covariates indicate whether the discharge record meets the technical specification for gender, age, modified Diagnosis-Related Group (MDRG) and at least one of twenty-five (25) co-morbidities that are used as covariates in the risk-adjustment model. </w:t>
      </w:r>
    </w:p>
    <w:p w:rsidR="000B0E62" w:rsidRDefault="000B0E62" w:rsidP="000B0E62">
      <w:pPr>
        <w:autoSpaceDE w:val="0"/>
        <w:autoSpaceDN w:val="0"/>
        <w:adjustRightInd w:val="0"/>
        <w:spacing w:after="0" w:line="240" w:lineRule="auto"/>
        <w:rPr>
          <w:rFonts w:cs="Calibri"/>
          <w:color w:val="0000FF"/>
        </w:rPr>
      </w:pPr>
      <w:r>
        <w:rPr>
          <w:rFonts w:cs="Calibri"/>
          <w:color w:val="0000FF"/>
        </w:rPr>
        <w:t>Covariates are coded for each discharge record based on the data elements, data values, and logic described in the technical specifications and the appendices of the risk-adjustment coefficient tables. For a given covariate, if the discharge meets the technical specification for that covariate a value of “1” is assigned to the discharge level covariate data element. Otherwise a value of “0” is assigned to the discharge level covariate data element.</w:t>
      </w:r>
    </w:p>
    <w:p w:rsidR="000B0E62" w:rsidRDefault="000B0E62" w:rsidP="00001D73">
      <w:pPr>
        <w:autoSpaceDE w:val="0"/>
        <w:autoSpaceDN w:val="0"/>
        <w:adjustRightInd w:val="0"/>
        <w:spacing w:after="0" w:line="240" w:lineRule="auto"/>
        <w:rPr>
          <w:rFonts w:ascii="Calibri" w:eastAsia="Times New Roman" w:hAnsi="Calibri" w:cs="Calibri"/>
          <w:b/>
          <w:bCs/>
          <w:sz w:val="24"/>
          <w:szCs w:val="24"/>
        </w:rPr>
      </w:pPr>
    </w:p>
    <w:p w:rsidR="00092566" w:rsidRDefault="000B0E62" w:rsidP="000B0E62">
      <w:pPr>
        <w:keepNext/>
        <w:autoSpaceDE w:val="0"/>
        <w:autoSpaceDN w:val="0"/>
        <w:adjustRightInd w:val="0"/>
        <w:spacing w:after="0" w:line="240" w:lineRule="auto"/>
        <w:rPr>
          <w:rFonts w:ascii="Calibri" w:eastAsia="Times New Roman" w:hAnsi="Calibri" w:cs="Calibri"/>
          <w:b/>
          <w:bCs/>
          <w:color w:val="0000FF"/>
          <w:sz w:val="24"/>
          <w:szCs w:val="24"/>
        </w:rPr>
      </w:pPr>
      <w:proofErr w:type="gramStart"/>
      <w:r w:rsidRPr="000B0E62">
        <w:rPr>
          <w:rFonts w:ascii="Calibri" w:eastAsia="Times New Roman" w:hAnsi="Calibri" w:cs="Calibri"/>
          <w:b/>
          <w:bCs/>
          <w:color w:val="0000FF"/>
          <w:sz w:val="24"/>
          <w:szCs w:val="24"/>
        </w:rPr>
        <w:lastRenderedPageBreak/>
        <w:t>T</w:t>
      </w:r>
      <w:r>
        <w:rPr>
          <w:rFonts w:ascii="Calibri" w:eastAsia="Times New Roman" w:hAnsi="Calibri" w:cs="Calibri"/>
          <w:b/>
          <w:bCs/>
          <w:color w:val="0000FF"/>
          <w:sz w:val="24"/>
          <w:szCs w:val="24"/>
        </w:rPr>
        <w:t>able 4</w:t>
      </w:r>
      <w:r w:rsidRPr="000B0E62">
        <w:rPr>
          <w:rFonts w:ascii="Calibri" w:eastAsia="Times New Roman" w:hAnsi="Calibri" w:cs="Calibri"/>
          <w:b/>
          <w:bCs/>
          <w:color w:val="0000FF"/>
          <w:sz w:val="24"/>
          <w:szCs w:val="24"/>
        </w:rPr>
        <w:t>.</w:t>
      </w:r>
      <w:proofErr w:type="gramEnd"/>
      <w:r w:rsidRPr="000B0E62">
        <w:rPr>
          <w:rFonts w:ascii="Calibri" w:eastAsia="Times New Roman" w:hAnsi="Calibri" w:cs="Calibri"/>
          <w:b/>
          <w:bCs/>
          <w:color w:val="0000FF"/>
          <w:sz w:val="24"/>
          <w:szCs w:val="24"/>
        </w:rPr>
        <w:t xml:space="preserve"> Risk Adjustment Coefficients for PSI #02 - Death Rate in Low-Mortality Diagnosis Related Groups</w:t>
      </w:r>
    </w:p>
    <w:tbl>
      <w:tblPr>
        <w:tblW w:w="9483" w:type="dxa"/>
        <w:tblInd w:w="93" w:type="dxa"/>
        <w:tblLook w:val="04A0" w:firstRow="1" w:lastRow="0" w:firstColumn="1" w:lastColumn="0" w:noHBand="0" w:noVBand="1"/>
      </w:tblPr>
      <w:tblGrid>
        <w:gridCol w:w="1258"/>
        <w:gridCol w:w="2436"/>
        <w:gridCol w:w="549"/>
        <w:gridCol w:w="1352"/>
        <w:gridCol w:w="1080"/>
        <w:gridCol w:w="1423"/>
        <w:gridCol w:w="1385"/>
      </w:tblGrid>
      <w:tr w:rsidR="00AC5E90" w:rsidRPr="00AC5E90" w:rsidTr="000D67EB">
        <w:trPr>
          <w:trHeight w:val="300"/>
          <w:tblHeader/>
        </w:trPr>
        <w:tc>
          <w:tcPr>
            <w:tcW w:w="1258" w:type="dxa"/>
            <w:tcBorders>
              <w:top w:val="single" w:sz="4" w:space="0" w:color="auto"/>
              <w:left w:val="single" w:sz="4" w:space="0" w:color="auto"/>
              <w:bottom w:val="single" w:sz="4" w:space="0" w:color="auto"/>
              <w:right w:val="single" w:sz="4" w:space="0" w:color="auto"/>
            </w:tcBorders>
            <w:shd w:val="clear" w:color="auto" w:fill="C6D9F1" w:themeFill="text2" w:themeFillTint="33"/>
            <w:noWrap/>
          </w:tcPr>
          <w:p w:rsidR="00AC5E90" w:rsidRPr="000B0E62" w:rsidRDefault="00AC5E90" w:rsidP="00AC5E90">
            <w:pPr>
              <w:spacing w:after="0" w:line="240" w:lineRule="auto"/>
              <w:rPr>
                <w:rFonts w:ascii="Calibri" w:eastAsia="Times New Roman" w:hAnsi="Calibri" w:cs="Calibri"/>
                <w:b/>
                <w:bCs/>
                <w:color w:val="0000FF"/>
              </w:rPr>
            </w:pPr>
            <w:r w:rsidRPr="000B0E62">
              <w:rPr>
                <w:rFonts w:ascii="Calibri" w:eastAsia="Times New Roman" w:hAnsi="Calibri" w:cs="Calibri"/>
                <w:b/>
                <w:bCs/>
                <w:color w:val="0000FF"/>
              </w:rPr>
              <w:t>Parameter</w:t>
            </w:r>
          </w:p>
        </w:tc>
        <w:tc>
          <w:tcPr>
            <w:tcW w:w="2436" w:type="dxa"/>
            <w:tcBorders>
              <w:top w:val="single" w:sz="4" w:space="0" w:color="auto"/>
              <w:left w:val="nil"/>
              <w:bottom w:val="single" w:sz="4" w:space="0" w:color="auto"/>
              <w:right w:val="single" w:sz="4" w:space="0" w:color="auto"/>
            </w:tcBorders>
            <w:shd w:val="clear" w:color="auto" w:fill="C6D9F1" w:themeFill="text2" w:themeFillTint="33"/>
          </w:tcPr>
          <w:p w:rsidR="00AC5E90" w:rsidRPr="000B0E62" w:rsidRDefault="00AC5E90" w:rsidP="00AC5E90">
            <w:pPr>
              <w:spacing w:after="0" w:line="240" w:lineRule="auto"/>
              <w:rPr>
                <w:rFonts w:ascii="Calibri" w:eastAsia="Times New Roman" w:hAnsi="Calibri" w:cs="Calibri"/>
                <w:b/>
                <w:bCs/>
                <w:color w:val="0000FF"/>
              </w:rPr>
            </w:pPr>
            <w:r w:rsidRPr="000B0E62">
              <w:rPr>
                <w:rFonts w:ascii="Calibri" w:eastAsia="Times New Roman" w:hAnsi="Calibri" w:cs="Calibri"/>
                <w:b/>
                <w:bCs/>
                <w:color w:val="0000FF"/>
              </w:rPr>
              <w:t>Label</w:t>
            </w:r>
          </w:p>
        </w:tc>
        <w:tc>
          <w:tcPr>
            <w:tcW w:w="549" w:type="dxa"/>
            <w:tcBorders>
              <w:top w:val="single" w:sz="4" w:space="0" w:color="auto"/>
              <w:left w:val="nil"/>
              <w:bottom w:val="single" w:sz="4" w:space="0" w:color="auto"/>
              <w:right w:val="single" w:sz="4" w:space="0" w:color="auto"/>
            </w:tcBorders>
            <w:shd w:val="clear" w:color="auto" w:fill="C6D9F1" w:themeFill="text2" w:themeFillTint="33"/>
            <w:noWrap/>
          </w:tcPr>
          <w:p w:rsidR="00AC5E90" w:rsidRPr="000B0E62" w:rsidRDefault="00AC5E90" w:rsidP="00AC5E90">
            <w:pPr>
              <w:spacing w:after="0" w:line="240" w:lineRule="auto"/>
              <w:jc w:val="center"/>
              <w:rPr>
                <w:rFonts w:ascii="Calibri" w:eastAsia="Times New Roman" w:hAnsi="Calibri" w:cs="Calibri"/>
                <w:b/>
                <w:bCs/>
                <w:color w:val="0000FF"/>
              </w:rPr>
            </w:pPr>
            <w:r w:rsidRPr="000B0E62">
              <w:rPr>
                <w:rFonts w:ascii="Calibri" w:eastAsia="Times New Roman" w:hAnsi="Calibri" w:cs="Calibri"/>
                <w:b/>
                <w:bCs/>
                <w:color w:val="0000FF"/>
              </w:rPr>
              <w:t>DF</w:t>
            </w:r>
          </w:p>
        </w:tc>
        <w:tc>
          <w:tcPr>
            <w:tcW w:w="1352" w:type="dxa"/>
            <w:tcBorders>
              <w:top w:val="single" w:sz="4" w:space="0" w:color="auto"/>
              <w:left w:val="nil"/>
              <w:bottom w:val="single" w:sz="4" w:space="0" w:color="auto"/>
              <w:right w:val="single" w:sz="4" w:space="0" w:color="auto"/>
            </w:tcBorders>
            <w:shd w:val="clear" w:color="auto" w:fill="C6D9F1" w:themeFill="text2" w:themeFillTint="33"/>
            <w:noWrap/>
          </w:tcPr>
          <w:p w:rsidR="00AC5E90" w:rsidRPr="000B0E62" w:rsidRDefault="00AC5E90" w:rsidP="00AC5E90">
            <w:pPr>
              <w:spacing w:after="0" w:line="240" w:lineRule="auto"/>
              <w:jc w:val="center"/>
              <w:rPr>
                <w:rFonts w:ascii="Calibri" w:eastAsia="Times New Roman" w:hAnsi="Calibri" w:cs="Calibri"/>
                <w:b/>
                <w:bCs/>
                <w:color w:val="0000FF"/>
              </w:rPr>
            </w:pPr>
            <w:r w:rsidRPr="000B0E62">
              <w:rPr>
                <w:rFonts w:ascii="Calibri" w:eastAsia="Times New Roman" w:hAnsi="Calibri" w:cs="Calibri"/>
                <w:b/>
                <w:bCs/>
                <w:color w:val="0000FF"/>
              </w:rPr>
              <w:t>Estimate</w:t>
            </w:r>
          </w:p>
        </w:tc>
        <w:tc>
          <w:tcPr>
            <w:tcW w:w="1080" w:type="dxa"/>
            <w:tcBorders>
              <w:top w:val="single" w:sz="4" w:space="0" w:color="auto"/>
              <w:left w:val="nil"/>
              <w:bottom w:val="single" w:sz="4" w:space="0" w:color="auto"/>
              <w:right w:val="single" w:sz="4" w:space="0" w:color="auto"/>
            </w:tcBorders>
            <w:shd w:val="clear" w:color="auto" w:fill="C6D9F1" w:themeFill="text2" w:themeFillTint="33"/>
            <w:noWrap/>
          </w:tcPr>
          <w:p w:rsidR="00AC5E90" w:rsidRPr="000B0E62" w:rsidRDefault="00AC5E90" w:rsidP="00AC5E90">
            <w:pPr>
              <w:spacing w:after="0" w:line="240" w:lineRule="auto"/>
              <w:jc w:val="center"/>
              <w:rPr>
                <w:rFonts w:ascii="Calibri" w:eastAsia="Times New Roman" w:hAnsi="Calibri" w:cs="Calibri"/>
                <w:b/>
                <w:bCs/>
                <w:color w:val="0000FF"/>
              </w:rPr>
            </w:pPr>
            <w:r w:rsidRPr="000B0E62">
              <w:rPr>
                <w:rFonts w:ascii="Calibri" w:eastAsia="Times New Roman" w:hAnsi="Calibri" w:cs="Calibri"/>
                <w:b/>
                <w:bCs/>
                <w:color w:val="0000FF"/>
              </w:rPr>
              <w:t>Standard Error</w:t>
            </w:r>
          </w:p>
        </w:tc>
        <w:tc>
          <w:tcPr>
            <w:tcW w:w="1423" w:type="dxa"/>
            <w:tcBorders>
              <w:top w:val="single" w:sz="4" w:space="0" w:color="auto"/>
              <w:left w:val="nil"/>
              <w:bottom w:val="single" w:sz="4" w:space="0" w:color="auto"/>
              <w:right w:val="single" w:sz="4" w:space="0" w:color="auto"/>
            </w:tcBorders>
            <w:shd w:val="clear" w:color="auto" w:fill="C6D9F1" w:themeFill="text2" w:themeFillTint="33"/>
            <w:noWrap/>
            <w:vAlign w:val="center"/>
          </w:tcPr>
          <w:p w:rsidR="00AC5E90" w:rsidRPr="000B0E62" w:rsidRDefault="00AC5E90" w:rsidP="00AC5E90">
            <w:pPr>
              <w:spacing w:after="0" w:line="240" w:lineRule="auto"/>
              <w:rPr>
                <w:rFonts w:ascii="Calibri" w:eastAsia="Times New Roman" w:hAnsi="Calibri" w:cs="Calibri"/>
                <w:b/>
                <w:bCs/>
                <w:color w:val="0000FF"/>
              </w:rPr>
            </w:pPr>
            <w:r w:rsidRPr="000B0E62">
              <w:rPr>
                <w:rFonts w:ascii="Calibri" w:eastAsia="Times New Roman" w:hAnsi="Calibri" w:cs="Calibri"/>
                <w:b/>
                <w:bCs/>
                <w:color w:val="0000FF"/>
              </w:rPr>
              <w:t>Wald Chi-Square</w:t>
            </w:r>
          </w:p>
        </w:tc>
        <w:tc>
          <w:tcPr>
            <w:tcW w:w="1385" w:type="dxa"/>
            <w:tcBorders>
              <w:top w:val="single" w:sz="4" w:space="0" w:color="auto"/>
              <w:left w:val="nil"/>
              <w:bottom w:val="single" w:sz="4" w:space="0" w:color="auto"/>
              <w:right w:val="single" w:sz="4" w:space="0" w:color="auto"/>
            </w:tcBorders>
            <w:shd w:val="clear" w:color="auto" w:fill="C6D9F1" w:themeFill="text2" w:themeFillTint="33"/>
            <w:noWrap/>
            <w:vAlign w:val="center"/>
          </w:tcPr>
          <w:p w:rsidR="00AC5E90" w:rsidRPr="000B0E62" w:rsidRDefault="00AC5E90" w:rsidP="00AC5E90">
            <w:pPr>
              <w:spacing w:after="0" w:line="240" w:lineRule="auto"/>
              <w:rPr>
                <w:rFonts w:ascii="Calibri" w:eastAsia="Times New Roman" w:hAnsi="Calibri" w:cs="Calibri"/>
                <w:b/>
                <w:bCs/>
                <w:color w:val="0000FF"/>
              </w:rPr>
            </w:pPr>
            <w:proofErr w:type="spellStart"/>
            <w:r w:rsidRPr="000B0E62">
              <w:rPr>
                <w:rFonts w:ascii="Calibri" w:eastAsia="Times New Roman" w:hAnsi="Calibri" w:cs="Calibri"/>
                <w:b/>
                <w:bCs/>
                <w:color w:val="0000FF"/>
              </w:rPr>
              <w:t>Pr</w:t>
            </w:r>
            <w:proofErr w:type="spellEnd"/>
            <w:r w:rsidRPr="000B0E62">
              <w:rPr>
                <w:rFonts w:ascii="Calibri" w:eastAsia="Times New Roman" w:hAnsi="Calibri" w:cs="Calibri"/>
                <w:b/>
                <w:bCs/>
                <w:color w:val="0000FF"/>
              </w:rPr>
              <w:t xml:space="preserve"> &gt; Chi-Square</w:t>
            </w:r>
          </w:p>
        </w:tc>
      </w:tr>
      <w:tr w:rsidR="00AC5E90" w:rsidRPr="00AC5E90" w:rsidTr="00AC5E90">
        <w:trPr>
          <w:trHeight w:val="300"/>
        </w:trPr>
        <w:tc>
          <w:tcPr>
            <w:tcW w:w="1258" w:type="dxa"/>
            <w:tcBorders>
              <w:top w:val="single" w:sz="4" w:space="0" w:color="auto"/>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Intercept</w:t>
            </w:r>
          </w:p>
        </w:tc>
        <w:tc>
          <w:tcPr>
            <w:tcW w:w="2436" w:type="dxa"/>
            <w:tcBorders>
              <w:top w:val="single" w:sz="4" w:space="0" w:color="auto"/>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p>
        </w:tc>
        <w:tc>
          <w:tcPr>
            <w:tcW w:w="549" w:type="dxa"/>
            <w:tcBorders>
              <w:top w:val="single" w:sz="4" w:space="0" w:color="auto"/>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single" w:sz="4" w:space="0" w:color="auto"/>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-7.5687</w:t>
            </w:r>
          </w:p>
        </w:tc>
        <w:tc>
          <w:tcPr>
            <w:tcW w:w="1080" w:type="dxa"/>
            <w:tcBorders>
              <w:top w:val="single" w:sz="4" w:space="0" w:color="auto"/>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0.1108</w:t>
            </w:r>
          </w:p>
        </w:tc>
        <w:tc>
          <w:tcPr>
            <w:tcW w:w="1423" w:type="dxa"/>
            <w:tcBorders>
              <w:top w:val="single" w:sz="4" w:space="0" w:color="auto"/>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4664.6570</w:t>
            </w:r>
          </w:p>
        </w:tc>
        <w:tc>
          <w:tcPr>
            <w:tcW w:w="1385" w:type="dxa"/>
            <w:tcBorders>
              <w:top w:val="single" w:sz="4" w:space="0" w:color="auto"/>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SEX</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Female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-0.5166</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0.0502</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105.8548</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18 to 24</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-1.9011</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0.1728</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121.0655</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25 to 29</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-1.7175</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0.1656</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107.5324</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30 to 59</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-0.804</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0.1149</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49.0033</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65 to 69</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0.2905</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0.1452</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4.0010</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0.0455</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70 to 74</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0.7944</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0.1334</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35.4686</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75 to 79</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1.1037</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0.1278</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74.5457</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80 to 84</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1.5019</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0.1226</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150.1255</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AGE</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85+</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2.2864</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0.114</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402.0667</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MDRG</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0413 (Bronchitis &amp; Asthma)</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-0.048</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0.1202</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0.1597</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0.6894</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MDRG</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0533 (Syncope &amp; Collapse)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0.3738</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0.0793</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22.2348</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MDRG</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1915 ( Psychoses)</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-0.1671</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0.0947</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3.1155</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0.0776</w:t>
            </w:r>
          </w:p>
        </w:tc>
      </w:tr>
      <w:tr w:rsidR="00AC5E90" w:rsidRPr="00AC5E90" w:rsidTr="00AC5E90">
        <w:trPr>
          <w:trHeight w:val="6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MDRG</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2019 ( Alcohol/Drug Abuse or Dependence)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-0.4588</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0.5023</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0.8341</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0.3611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MDC</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0019 (Mental Diseases &amp; Disorders)</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0.0469</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0.1811</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0.0672</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0.7955</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TRNSFER</w:t>
            </w:r>
          </w:p>
        </w:tc>
        <w:tc>
          <w:tcPr>
            <w:tcW w:w="2436"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Transfer-in</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1.0153</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0.0596</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289.8918</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NOPRDAY</w:t>
            </w:r>
          </w:p>
        </w:tc>
        <w:tc>
          <w:tcPr>
            <w:tcW w:w="2436"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Procedure Days Data Not Available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-0.799</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0.0523</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233.0949</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COMORB</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Congestive heart failure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1.0853</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0.0672</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261.0132</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COMORB</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Other neurological</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0.492</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0.0683</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51.9229</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COMORB</w:t>
            </w:r>
          </w:p>
        </w:tc>
        <w:tc>
          <w:tcPr>
            <w:tcW w:w="2436"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Chronic pulmonary disease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0.2315</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0.0608</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14.4828</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COMORB</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Hypothyroidism</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-0.0954</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0.0684</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1.9458</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0.163</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COMORB</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Renal Failure</w:t>
            </w:r>
          </w:p>
        </w:tc>
        <w:tc>
          <w:tcPr>
            <w:tcW w:w="549"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0.3748</w:t>
            </w:r>
          </w:p>
        </w:tc>
        <w:tc>
          <w:tcPr>
            <w:tcW w:w="1080"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0.0663</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32.0023</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lastRenderedPageBreak/>
              <w:t xml:space="preserve">COMORB </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Obesity</w:t>
            </w:r>
          </w:p>
        </w:tc>
        <w:tc>
          <w:tcPr>
            <w:tcW w:w="549"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0.4206</w:t>
            </w:r>
          </w:p>
        </w:tc>
        <w:tc>
          <w:tcPr>
            <w:tcW w:w="1080"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0.0738</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32.4737</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&lt;.0001</w:t>
            </w:r>
          </w:p>
        </w:tc>
      </w:tr>
      <w:tr w:rsidR="00AC5E90" w:rsidRPr="00AC5E90" w:rsidTr="00AC5E90">
        <w:trPr>
          <w:trHeight w:val="300"/>
        </w:trPr>
        <w:tc>
          <w:tcPr>
            <w:tcW w:w="1258" w:type="dxa"/>
            <w:tcBorders>
              <w:top w:val="nil"/>
              <w:left w:val="single" w:sz="4" w:space="0" w:color="auto"/>
              <w:bottom w:val="single" w:sz="4" w:space="0" w:color="auto"/>
              <w:right w:val="single" w:sz="4" w:space="0" w:color="auto"/>
            </w:tcBorders>
            <w:shd w:val="clear" w:color="auto" w:fill="auto"/>
            <w:noWrap/>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 xml:space="preserve">COMORB </w:t>
            </w:r>
          </w:p>
        </w:tc>
        <w:tc>
          <w:tcPr>
            <w:tcW w:w="2436" w:type="dxa"/>
            <w:tcBorders>
              <w:top w:val="nil"/>
              <w:left w:val="nil"/>
              <w:bottom w:val="single" w:sz="4" w:space="0" w:color="auto"/>
              <w:right w:val="single" w:sz="4" w:space="0" w:color="auto"/>
            </w:tcBorders>
            <w:shd w:val="clear" w:color="auto" w:fill="auto"/>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Deficiency Anemias</w:t>
            </w:r>
          </w:p>
        </w:tc>
        <w:tc>
          <w:tcPr>
            <w:tcW w:w="549"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1</w:t>
            </w:r>
          </w:p>
        </w:tc>
        <w:tc>
          <w:tcPr>
            <w:tcW w:w="1352"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0.0794</w:t>
            </w:r>
          </w:p>
        </w:tc>
        <w:tc>
          <w:tcPr>
            <w:tcW w:w="1080" w:type="dxa"/>
            <w:tcBorders>
              <w:top w:val="nil"/>
              <w:left w:val="nil"/>
              <w:bottom w:val="single" w:sz="4" w:space="0" w:color="auto"/>
              <w:right w:val="single" w:sz="4" w:space="0" w:color="auto"/>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0.0618</w:t>
            </w:r>
          </w:p>
        </w:tc>
        <w:tc>
          <w:tcPr>
            <w:tcW w:w="1423" w:type="dxa"/>
            <w:tcBorders>
              <w:top w:val="nil"/>
              <w:left w:val="nil"/>
              <w:bottom w:val="single" w:sz="4" w:space="0" w:color="auto"/>
              <w:right w:val="single" w:sz="4" w:space="0" w:color="auto"/>
            </w:tcBorders>
            <w:shd w:val="clear" w:color="auto" w:fill="auto"/>
            <w:noWrap/>
            <w:hideMark/>
          </w:tcPr>
          <w:p w:rsidR="00AC5E90" w:rsidRDefault="00AC5E90" w:rsidP="00AC5E90">
            <w:pPr>
              <w:jc w:val="center"/>
              <w:rPr>
                <w:rFonts w:ascii="Calibri" w:hAnsi="Calibri" w:cs="Calibri"/>
                <w:color w:val="0000FF"/>
              </w:rPr>
            </w:pPr>
            <w:r>
              <w:rPr>
                <w:rFonts w:ascii="Calibri" w:hAnsi="Calibri" w:cs="Calibri"/>
                <w:color w:val="0000FF"/>
              </w:rPr>
              <w:t>1.6504</w:t>
            </w:r>
          </w:p>
        </w:tc>
        <w:tc>
          <w:tcPr>
            <w:tcW w:w="1385" w:type="dxa"/>
            <w:tcBorders>
              <w:top w:val="nil"/>
              <w:left w:val="nil"/>
              <w:bottom w:val="single" w:sz="4" w:space="0" w:color="auto"/>
              <w:right w:val="single" w:sz="4" w:space="0" w:color="auto"/>
            </w:tcBorders>
            <w:shd w:val="clear" w:color="auto" w:fill="auto"/>
            <w:noWrap/>
            <w:hideMark/>
          </w:tcPr>
          <w:p w:rsidR="00AC5E90" w:rsidRPr="00AC5E90" w:rsidRDefault="00AC5E90" w:rsidP="00AC5E90">
            <w:pPr>
              <w:spacing w:after="0" w:line="240" w:lineRule="auto"/>
              <w:jc w:val="center"/>
              <w:rPr>
                <w:rFonts w:ascii="Calibri" w:eastAsia="Times New Roman" w:hAnsi="Calibri" w:cs="Calibri"/>
                <w:color w:val="0000FF"/>
              </w:rPr>
            </w:pPr>
            <w:r w:rsidRPr="00AC5E90">
              <w:rPr>
                <w:rFonts w:ascii="Calibri" w:eastAsia="Times New Roman" w:hAnsi="Calibri" w:cs="Calibri"/>
                <w:color w:val="0000FF"/>
              </w:rPr>
              <w:t>0.1989</w:t>
            </w:r>
          </w:p>
        </w:tc>
      </w:tr>
      <w:tr w:rsidR="00AC5E90" w:rsidRPr="00AC5E90" w:rsidTr="00AC5E90">
        <w:trPr>
          <w:trHeight w:val="300"/>
        </w:trPr>
        <w:tc>
          <w:tcPr>
            <w:tcW w:w="3694" w:type="dxa"/>
            <w:gridSpan w:val="2"/>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FF"/>
              </w:rPr>
            </w:pPr>
            <w:r w:rsidRPr="00AC5E90">
              <w:rPr>
                <w:rFonts w:ascii="Calibri" w:eastAsia="Times New Roman" w:hAnsi="Calibri" w:cs="Calibri"/>
                <w:color w:val="0000FF"/>
              </w:rPr>
              <w:t>c-statistic=0.883</w:t>
            </w:r>
          </w:p>
        </w:tc>
        <w:tc>
          <w:tcPr>
            <w:tcW w:w="549" w:type="dxa"/>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00"/>
              </w:rPr>
            </w:pPr>
          </w:p>
        </w:tc>
        <w:tc>
          <w:tcPr>
            <w:tcW w:w="1352" w:type="dxa"/>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00"/>
              </w:rPr>
            </w:pPr>
          </w:p>
        </w:tc>
        <w:tc>
          <w:tcPr>
            <w:tcW w:w="1080" w:type="dxa"/>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00"/>
              </w:rPr>
            </w:pPr>
          </w:p>
        </w:tc>
        <w:tc>
          <w:tcPr>
            <w:tcW w:w="1423" w:type="dxa"/>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00"/>
              </w:rPr>
            </w:pPr>
          </w:p>
        </w:tc>
        <w:tc>
          <w:tcPr>
            <w:tcW w:w="1385" w:type="dxa"/>
            <w:tcBorders>
              <w:top w:val="nil"/>
              <w:left w:val="nil"/>
              <w:bottom w:val="nil"/>
              <w:right w:val="nil"/>
            </w:tcBorders>
            <w:shd w:val="clear" w:color="auto" w:fill="auto"/>
            <w:noWrap/>
            <w:vAlign w:val="center"/>
            <w:hideMark/>
          </w:tcPr>
          <w:p w:rsidR="00AC5E90" w:rsidRPr="00AC5E90" w:rsidRDefault="00AC5E90" w:rsidP="00AC5E90">
            <w:pPr>
              <w:spacing w:after="0" w:line="240" w:lineRule="auto"/>
              <w:rPr>
                <w:rFonts w:ascii="Calibri" w:eastAsia="Times New Roman" w:hAnsi="Calibri" w:cs="Calibri"/>
                <w:color w:val="000000"/>
              </w:rPr>
            </w:pPr>
          </w:p>
        </w:tc>
      </w:tr>
    </w:tbl>
    <w:p w:rsidR="00001D73" w:rsidRPr="00001D73" w:rsidRDefault="00001D73" w:rsidP="00001D73">
      <w:pPr>
        <w:autoSpaceDE w:val="0"/>
        <w:autoSpaceDN w:val="0"/>
        <w:adjustRightInd w:val="0"/>
        <w:spacing w:after="0" w:line="240" w:lineRule="auto"/>
        <w:rPr>
          <w:rFonts w:cstheme="minorHAnsi"/>
          <w:b/>
          <w:bCs/>
        </w:rPr>
      </w:pPr>
    </w:p>
    <w:p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D44355" w:rsidRPr="000B0E62" w:rsidRDefault="00D44355" w:rsidP="00D44355">
      <w:pPr>
        <w:spacing w:after="0"/>
        <w:rPr>
          <w:rFonts w:ascii="Calibri" w:hAnsi="Calibri" w:cs="Calibri"/>
          <w:color w:val="0000FF"/>
        </w:rPr>
      </w:pPr>
      <w:r w:rsidRPr="000B0E62">
        <w:rPr>
          <w:rFonts w:ascii="Calibri" w:hAnsi="Calibri" w:cs="Calibri"/>
          <w:color w:val="0000FF"/>
        </w:rPr>
        <w:t>This analysis evaluates how strongly the risk adjustment model is associated with the event of interest (i.e. hospitalization for dehydration).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 C-statistics above 0.70 and below 0.80 have moderate discrimination. Above 0.80 the discrimination is high. We did not employ common “goodness of fit” tests because these tests tend to not be informative with large samples.</w:t>
      </w:r>
    </w:p>
    <w:p w:rsidR="00D44355" w:rsidRPr="000B0E62" w:rsidRDefault="00D44355" w:rsidP="00D44355">
      <w:pPr>
        <w:autoSpaceDE w:val="0"/>
        <w:autoSpaceDN w:val="0"/>
        <w:adjustRightInd w:val="0"/>
        <w:spacing w:after="0" w:line="240" w:lineRule="auto"/>
        <w:rPr>
          <w:rFonts w:ascii="Calibri" w:hAnsi="Calibri" w:cs="Calibri"/>
          <w:color w:val="0000FF"/>
        </w:rPr>
      </w:pPr>
    </w:p>
    <w:p w:rsidR="00D44355" w:rsidRPr="000B0E62" w:rsidRDefault="00D44355" w:rsidP="00D44355">
      <w:pPr>
        <w:autoSpaceDE w:val="0"/>
        <w:autoSpaceDN w:val="0"/>
        <w:adjustRightInd w:val="0"/>
        <w:spacing w:after="0" w:line="240" w:lineRule="auto"/>
        <w:rPr>
          <w:rFonts w:cstheme="minorHAnsi"/>
          <w:bCs/>
          <w:color w:val="0000FF"/>
        </w:rPr>
      </w:pPr>
      <w:r w:rsidRPr="000B0E62">
        <w:rPr>
          <w:rFonts w:ascii="Calibri" w:hAnsi="Calibri" w:cs="Calibri"/>
          <w:color w:val="0000FF"/>
        </w:rPr>
        <w:t xml:space="preserve">We also evaluated the calibration of the risk adjustment model by evaluating how closely observed and predicted rates compare across </w:t>
      </w:r>
      <w:proofErr w:type="spellStart"/>
      <w:r w:rsidRPr="000B0E62">
        <w:rPr>
          <w:rFonts w:ascii="Calibri" w:hAnsi="Calibri" w:cs="Calibri"/>
          <w:color w:val="0000FF"/>
        </w:rPr>
        <w:t>deciles</w:t>
      </w:r>
      <w:proofErr w:type="spellEnd"/>
      <w:r w:rsidRPr="000B0E62">
        <w:rPr>
          <w:rFonts w:ascii="Calibri" w:hAnsi="Calibri" w:cs="Calibri"/>
          <w:color w:val="0000FF"/>
        </w:rPr>
        <w:t xml:space="preserve"> of the predicted rate.  This analysis splits the sample into </w:t>
      </w:r>
      <w:proofErr w:type="spellStart"/>
      <w:r w:rsidRPr="000B0E62">
        <w:rPr>
          <w:rFonts w:ascii="Calibri" w:hAnsi="Calibri" w:cs="Calibri"/>
          <w:color w:val="0000FF"/>
        </w:rPr>
        <w:t>deciles</w:t>
      </w:r>
      <w:proofErr w:type="spellEnd"/>
      <w:r w:rsidRPr="000B0E62">
        <w:rPr>
          <w:rFonts w:ascii="Calibri" w:hAnsi="Calibri" w:cs="Calibri"/>
          <w:color w:val="0000FF"/>
        </w:rPr>
        <w:t xml:space="preserve"> based on predicted rates, and then compares these rates with the observed rates for the population in each </w:t>
      </w:r>
      <w:proofErr w:type="spellStart"/>
      <w:r w:rsidRPr="000B0E62">
        <w:rPr>
          <w:rFonts w:ascii="Calibri" w:hAnsi="Calibri" w:cs="Calibri"/>
          <w:color w:val="0000FF"/>
        </w:rPr>
        <w:t>decile</w:t>
      </w:r>
      <w:proofErr w:type="spellEnd"/>
      <w:r w:rsidRPr="000B0E62">
        <w:rPr>
          <w:rFonts w:ascii="Calibri" w:hAnsi="Calibri" w:cs="Calibri"/>
          <w:color w:val="0000FF"/>
        </w:rPr>
        <w:t>. A well calibrated model, or one that does not over or under-estimate risk, will have comparable observed and predicted rates across the risk spectrum.</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D44355" w:rsidRPr="000B0E62" w:rsidRDefault="00D44355" w:rsidP="00D44355">
      <w:pPr>
        <w:autoSpaceDE w:val="0"/>
        <w:autoSpaceDN w:val="0"/>
        <w:adjustRightInd w:val="0"/>
        <w:spacing w:after="0" w:line="240" w:lineRule="auto"/>
        <w:ind w:left="90"/>
        <w:rPr>
          <w:rFonts w:ascii="Calibri" w:hAnsi="Calibri" w:cstheme="minorHAnsi"/>
          <w:b/>
          <w:bCs/>
          <w:color w:val="0000FF"/>
        </w:rPr>
      </w:pPr>
      <w:proofErr w:type="gramStart"/>
      <w:r w:rsidRPr="000B0E62">
        <w:rPr>
          <w:rFonts w:ascii="Calibri" w:hAnsi="Calibri" w:cstheme="minorHAnsi"/>
          <w:b/>
          <w:bCs/>
          <w:color w:val="0000FF"/>
        </w:rPr>
        <w:t xml:space="preserve">Table </w:t>
      </w:r>
      <w:r w:rsidR="000B0E62" w:rsidRPr="000B0E62">
        <w:rPr>
          <w:rFonts w:ascii="Calibri" w:hAnsi="Calibri" w:cstheme="minorHAnsi"/>
          <w:b/>
          <w:bCs/>
          <w:color w:val="0000FF"/>
        </w:rPr>
        <w:t>5</w:t>
      </w:r>
      <w:r w:rsidRPr="000B0E62">
        <w:rPr>
          <w:rFonts w:ascii="Calibri" w:hAnsi="Calibri" w:cstheme="minorHAnsi"/>
          <w:b/>
          <w:bCs/>
          <w:color w:val="0000FF"/>
        </w:rPr>
        <w:t>.</w:t>
      </w:r>
      <w:proofErr w:type="gramEnd"/>
      <w:r w:rsidRPr="000B0E62">
        <w:rPr>
          <w:rFonts w:ascii="Calibri" w:hAnsi="Calibri" w:cstheme="minorHAnsi"/>
          <w:b/>
          <w:bCs/>
          <w:color w:val="0000FF"/>
        </w:rPr>
        <w:t xml:space="preserve"> Risk adjustment Model Discrimination and Calibration </w:t>
      </w:r>
      <w:r w:rsidRPr="000B0E62">
        <w:rPr>
          <w:rFonts w:ascii="Calibri" w:hAnsi="Calibri" w:cstheme="minorHAnsi"/>
          <w:b/>
          <w:color w:val="0000FF"/>
        </w:rPr>
        <w:t>PSI 02 Death Rate in Low-Mortality Diagnosis Related Groups</w:t>
      </w:r>
    </w:p>
    <w:tbl>
      <w:tblPr>
        <w:tblW w:w="8804" w:type="dxa"/>
        <w:tblInd w:w="106" w:type="dxa"/>
        <w:tblLayout w:type="fixed"/>
        <w:tblCellMar>
          <w:left w:w="0" w:type="dxa"/>
          <w:right w:w="0" w:type="dxa"/>
        </w:tblCellMar>
        <w:tblLook w:val="01E0" w:firstRow="1" w:lastRow="1" w:firstColumn="1" w:lastColumn="1" w:noHBand="0" w:noVBand="0"/>
      </w:tblPr>
      <w:tblGrid>
        <w:gridCol w:w="2324"/>
        <w:gridCol w:w="2736"/>
        <w:gridCol w:w="2214"/>
        <w:gridCol w:w="1530"/>
      </w:tblGrid>
      <w:tr w:rsidR="00D44355" w:rsidRPr="000B0E62" w:rsidTr="000D67EB">
        <w:trPr>
          <w:trHeight w:hRule="exact" w:val="570"/>
          <w:tblHeader/>
        </w:trPr>
        <w:tc>
          <w:tcPr>
            <w:tcW w:w="2324" w:type="dxa"/>
            <w:tcBorders>
              <w:top w:val="single" w:sz="5" w:space="0" w:color="000000"/>
              <w:left w:val="nil"/>
              <w:bottom w:val="single" w:sz="5" w:space="0" w:color="000000"/>
              <w:right w:val="nil"/>
            </w:tcBorders>
            <w:shd w:val="clear" w:color="auto" w:fill="BEBEBE"/>
          </w:tcPr>
          <w:p w:rsidR="00D44355" w:rsidRPr="000B0E62" w:rsidRDefault="00D44355" w:rsidP="00FB7D6D">
            <w:pPr>
              <w:pStyle w:val="TableParagraph"/>
              <w:ind w:left="108" w:right="694"/>
              <w:rPr>
                <w:rFonts w:ascii="Calibri" w:eastAsia="Times New Roman" w:hAnsi="Calibri" w:cstheme="minorHAnsi"/>
                <w:color w:val="0000FF"/>
              </w:rPr>
            </w:pPr>
            <w:r w:rsidRPr="000B0E62">
              <w:rPr>
                <w:rFonts w:ascii="Calibri" w:hAnsi="Calibri" w:cstheme="minorHAnsi"/>
                <w:b/>
                <w:color w:val="0000FF"/>
              </w:rPr>
              <w:t>Predicted</w:t>
            </w:r>
            <w:r w:rsidRPr="000B0E62">
              <w:rPr>
                <w:rFonts w:ascii="Calibri" w:hAnsi="Calibri" w:cstheme="minorHAnsi"/>
                <w:b/>
                <w:color w:val="0000FF"/>
                <w:w w:val="99"/>
              </w:rPr>
              <w:t xml:space="preserve"> </w:t>
            </w:r>
            <w:r w:rsidRPr="000B0E62">
              <w:rPr>
                <w:rFonts w:ascii="Calibri" w:hAnsi="Calibri" w:cstheme="minorHAnsi"/>
                <w:b/>
                <w:color w:val="0000FF"/>
              </w:rPr>
              <w:t xml:space="preserve">Rate </w:t>
            </w:r>
            <w:proofErr w:type="spellStart"/>
            <w:r w:rsidRPr="000B0E62">
              <w:rPr>
                <w:rFonts w:ascii="Calibri" w:hAnsi="Calibri" w:cstheme="minorHAnsi"/>
                <w:b/>
                <w:color w:val="0000FF"/>
              </w:rPr>
              <w:t>Decile</w:t>
            </w:r>
            <w:proofErr w:type="spellEnd"/>
          </w:p>
        </w:tc>
        <w:tc>
          <w:tcPr>
            <w:tcW w:w="2736" w:type="dxa"/>
            <w:tcBorders>
              <w:top w:val="single" w:sz="5" w:space="0" w:color="000000"/>
              <w:left w:val="nil"/>
              <w:bottom w:val="single" w:sz="5" w:space="0" w:color="000000"/>
              <w:right w:val="nil"/>
            </w:tcBorders>
            <w:shd w:val="clear" w:color="auto" w:fill="BEBEBE"/>
          </w:tcPr>
          <w:p w:rsidR="00D44355" w:rsidRPr="000B0E62" w:rsidRDefault="00D44355" w:rsidP="00FB7D6D">
            <w:pPr>
              <w:pStyle w:val="TableParagraph"/>
              <w:spacing w:line="228" w:lineRule="exact"/>
              <w:ind w:left="8"/>
              <w:rPr>
                <w:rFonts w:ascii="Calibri" w:eastAsia="Times New Roman" w:hAnsi="Calibri" w:cstheme="minorHAnsi"/>
                <w:color w:val="0000FF"/>
              </w:rPr>
            </w:pPr>
            <w:r w:rsidRPr="000B0E62">
              <w:rPr>
                <w:rFonts w:ascii="Calibri" w:hAnsi="Calibri" w:cstheme="minorHAnsi"/>
                <w:b/>
                <w:color w:val="0000FF"/>
              </w:rPr>
              <w:t>Number of Discharges</w:t>
            </w:r>
          </w:p>
          <w:p w:rsidR="00D44355" w:rsidRPr="000B0E62" w:rsidRDefault="00D44355" w:rsidP="00FB7D6D">
            <w:pPr>
              <w:pStyle w:val="TableParagraph"/>
              <w:spacing w:line="228" w:lineRule="exact"/>
              <w:ind w:left="8"/>
              <w:rPr>
                <w:rFonts w:ascii="Calibri" w:eastAsia="Times New Roman" w:hAnsi="Calibri" w:cstheme="minorHAnsi"/>
                <w:color w:val="0000FF"/>
              </w:rPr>
            </w:pPr>
            <w:r w:rsidRPr="000B0E62">
              <w:rPr>
                <w:rFonts w:ascii="Calibri" w:hAnsi="Calibri" w:cstheme="minorHAnsi"/>
                <w:b/>
                <w:color w:val="0000FF"/>
              </w:rPr>
              <w:t xml:space="preserve">per </w:t>
            </w:r>
            <w:proofErr w:type="spellStart"/>
            <w:r w:rsidRPr="000B0E62">
              <w:rPr>
                <w:rFonts w:ascii="Calibri" w:hAnsi="Calibri" w:cstheme="minorHAnsi"/>
                <w:b/>
                <w:color w:val="0000FF"/>
              </w:rPr>
              <w:t>Decile</w:t>
            </w:r>
            <w:proofErr w:type="spellEnd"/>
          </w:p>
        </w:tc>
        <w:tc>
          <w:tcPr>
            <w:tcW w:w="2214" w:type="dxa"/>
            <w:tcBorders>
              <w:top w:val="single" w:sz="5" w:space="0" w:color="000000"/>
              <w:left w:val="nil"/>
              <w:bottom w:val="single" w:sz="5" w:space="0" w:color="000000"/>
              <w:right w:val="nil"/>
            </w:tcBorders>
            <w:shd w:val="clear" w:color="auto" w:fill="BEBEBE"/>
          </w:tcPr>
          <w:p w:rsidR="00D44355" w:rsidRPr="000B0E62" w:rsidRDefault="00D44355" w:rsidP="00FB7D6D">
            <w:pPr>
              <w:pStyle w:val="TableParagraph"/>
              <w:spacing w:line="228" w:lineRule="exact"/>
              <w:ind w:right="1"/>
              <w:rPr>
                <w:rFonts w:ascii="Calibri" w:eastAsia="Times New Roman" w:hAnsi="Calibri" w:cstheme="minorHAnsi"/>
                <w:color w:val="0000FF"/>
              </w:rPr>
            </w:pPr>
            <w:r w:rsidRPr="000B0E62">
              <w:rPr>
                <w:rFonts w:ascii="Calibri" w:hAnsi="Calibri" w:cstheme="minorHAnsi"/>
                <w:b/>
                <w:color w:val="0000FF"/>
              </w:rPr>
              <w:t>Predicted</w:t>
            </w:r>
            <w:r w:rsidRPr="000B0E62">
              <w:rPr>
                <w:rFonts w:ascii="Calibri" w:eastAsia="Times New Roman" w:hAnsi="Calibri" w:cstheme="minorHAnsi"/>
                <w:color w:val="0000FF"/>
              </w:rPr>
              <w:t xml:space="preserve"> </w:t>
            </w:r>
            <w:r w:rsidRPr="000B0E62">
              <w:rPr>
                <w:rFonts w:ascii="Calibri" w:hAnsi="Calibri" w:cstheme="minorHAnsi"/>
                <w:b/>
                <w:color w:val="0000FF"/>
              </w:rPr>
              <w:t>Rate</w:t>
            </w:r>
          </w:p>
        </w:tc>
        <w:tc>
          <w:tcPr>
            <w:tcW w:w="1530" w:type="dxa"/>
            <w:tcBorders>
              <w:top w:val="single" w:sz="5" w:space="0" w:color="000000"/>
              <w:left w:val="nil"/>
              <w:bottom w:val="single" w:sz="5" w:space="0" w:color="000000"/>
              <w:right w:val="nil"/>
            </w:tcBorders>
            <w:shd w:val="clear" w:color="auto" w:fill="BEBEBE"/>
          </w:tcPr>
          <w:p w:rsidR="00D44355" w:rsidRPr="000B0E62" w:rsidRDefault="00D44355" w:rsidP="00FB7D6D">
            <w:pPr>
              <w:pStyle w:val="TableParagraph"/>
              <w:tabs>
                <w:tab w:val="left" w:pos="1620"/>
              </w:tabs>
              <w:spacing w:line="228" w:lineRule="exact"/>
              <w:ind w:right="180"/>
              <w:rPr>
                <w:rFonts w:ascii="Calibri" w:eastAsia="Times New Roman" w:hAnsi="Calibri" w:cstheme="minorHAnsi"/>
                <w:color w:val="0000FF"/>
              </w:rPr>
            </w:pPr>
            <w:r w:rsidRPr="000B0E62">
              <w:rPr>
                <w:rFonts w:ascii="Calibri" w:hAnsi="Calibri" w:cstheme="minorHAnsi"/>
                <w:b/>
                <w:color w:val="0000FF"/>
                <w:w w:val="95"/>
              </w:rPr>
              <w:t>Observed</w:t>
            </w:r>
            <w:r w:rsidRPr="000B0E62">
              <w:rPr>
                <w:rFonts w:ascii="Calibri" w:eastAsia="Times New Roman" w:hAnsi="Calibri" w:cstheme="minorHAnsi"/>
                <w:color w:val="0000FF"/>
              </w:rPr>
              <w:t xml:space="preserve"> </w:t>
            </w:r>
            <w:r w:rsidRPr="000B0E62">
              <w:rPr>
                <w:rFonts w:ascii="Calibri" w:hAnsi="Calibri" w:cstheme="minorHAnsi"/>
                <w:b/>
                <w:color w:val="0000FF"/>
                <w:w w:val="95"/>
              </w:rPr>
              <w:t>Rate</w:t>
            </w:r>
          </w:p>
        </w:tc>
      </w:tr>
      <w:tr w:rsidR="00D44355" w:rsidRPr="000B0E62" w:rsidTr="00FB7D6D">
        <w:trPr>
          <w:trHeight w:hRule="exact" w:val="340"/>
        </w:trPr>
        <w:tc>
          <w:tcPr>
            <w:tcW w:w="2324" w:type="dxa"/>
            <w:tcBorders>
              <w:top w:val="single" w:sz="5" w:space="0" w:color="000000"/>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1</w:t>
            </w:r>
          </w:p>
        </w:tc>
        <w:tc>
          <w:tcPr>
            <w:tcW w:w="2736" w:type="dxa"/>
            <w:tcBorders>
              <w:top w:val="single" w:sz="5" w:space="0" w:color="000000"/>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single" w:sz="5" w:space="0" w:color="000000"/>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0.000036</w:t>
            </w:r>
          </w:p>
        </w:tc>
        <w:tc>
          <w:tcPr>
            <w:tcW w:w="1530" w:type="dxa"/>
            <w:tcBorders>
              <w:top w:val="single" w:sz="5" w:space="0" w:color="000000"/>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0.000017</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2</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0.000047</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0.000038</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3</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580,978</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0.000055</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0.000043</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4</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0.000059</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0.000043</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lastRenderedPageBreak/>
              <w:t>5</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0.000094</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0.000096</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6</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580,978</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0.000137</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0.000076</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7</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0.000138</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0.000074</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8</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580,978</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0.00016</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0.00016</w:t>
            </w:r>
          </w:p>
        </w:tc>
      </w:tr>
      <w:tr w:rsidR="00D44355" w:rsidRPr="000B0E62" w:rsidTr="00FB7D6D">
        <w:trPr>
          <w:trHeight w:hRule="exact" w:val="300"/>
        </w:trPr>
        <w:tc>
          <w:tcPr>
            <w:tcW w:w="232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9</w:t>
            </w:r>
          </w:p>
        </w:tc>
        <w:tc>
          <w:tcPr>
            <w:tcW w:w="2736"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0.000308</w:t>
            </w:r>
          </w:p>
        </w:tc>
        <w:tc>
          <w:tcPr>
            <w:tcW w:w="1530" w:type="dxa"/>
            <w:tcBorders>
              <w:top w:val="nil"/>
              <w:left w:val="nil"/>
              <w:bottom w:val="nil"/>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0.00036</w:t>
            </w:r>
          </w:p>
        </w:tc>
      </w:tr>
      <w:tr w:rsidR="00D44355" w:rsidRPr="000B0E62" w:rsidTr="00FB7D6D">
        <w:trPr>
          <w:trHeight w:hRule="exact" w:val="269"/>
        </w:trPr>
        <w:tc>
          <w:tcPr>
            <w:tcW w:w="2324" w:type="dxa"/>
            <w:tcBorders>
              <w:top w:val="nil"/>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10</w:t>
            </w:r>
          </w:p>
        </w:tc>
        <w:tc>
          <w:tcPr>
            <w:tcW w:w="2736" w:type="dxa"/>
            <w:tcBorders>
              <w:top w:val="nil"/>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580,977</w:t>
            </w:r>
          </w:p>
        </w:tc>
        <w:tc>
          <w:tcPr>
            <w:tcW w:w="2214" w:type="dxa"/>
            <w:tcBorders>
              <w:top w:val="nil"/>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0.002218</w:t>
            </w:r>
          </w:p>
        </w:tc>
        <w:tc>
          <w:tcPr>
            <w:tcW w:w="1530" w:type="dxa"/>
            <w:tcBorders>
              <w:top w:val="nil"/>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0.002343</w:t>
            </w:r>
          </w:p>
        </w:tc>
      </w:tr>
      <w:tr w:rsidR="00D44355" w:rsidRPr="000B0E62" w:rsidTr="00FB7D6D">
        <w:trPr>
          <w:trHeight w:hRule="exact" w:val="312"/>
        </w:trPr>
        <w:tc>
          <w:tcPr>
            <w:tcW w:w="2324" w:type="dxa"/>
            <w:tcBorders>
              <w:top w:val="single" w:sz="5" w:space="0" w:color="000000"/>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C-Statistic</w:t>
            </w:r>
          </w:p>
        </w:tc>
        <w:tc>
          <w:tcPr>
            <w:tcW w:w="2736" w:type="dxa"/>
            <w:tcBorders>
              <w:top w:val="single" w:sz="5" w:space="0" w:color="000000"/>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0.8833</w:t>
            </w:r>
          </w:p>
        </w:tc>
        <w:tc>
          <w:tcPr>
            <w:tcW w:w="2214" w:type="dxa"/>
            <w:tcBorders>
              <w:top w:val="single" w:sz="5" w:space="0" w:color="000000"/>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 </w:t>
            </w:r>
          </w:p>
        </w:tc>
        <w:tc>
          <w:tcPr>
            <w:tcW w:w="1530" w:type="dxa"/>
            <w:tcBorders>
              <w:top w:val="single" w:sz="5" w:space="0" w:color="000000"/>
              <w:left w:val="nil"/>
              <w:bottom w:val="single" w:sz="5" w:space="0" w:color="000000"/>
              <w:right w:val="nil"/>
            </w:tcBorders>
            <w:vAlign w:val="bottom"/>
          </w:tcPr>
          <w:p w:rsidR="00D44355" w:rsidRPr="000B0E62" w:rsidRDefault="00D44355" w:rsidP="00FB7D6D">
            <w:pPr>
              <w:rPr>
                <w:rFonts w:ascii="Calibri" w:hAnsi="Calibri"/>
                <w:color w:val="0000FF"/>
              </w:rPr>
            </w:pPr>
            <w:r w:rsidRPr="000B0E62">
              <w:rPr>
                <w:rFonts w:ascii="Calibri" w:hAnsi="Calibri"/>
                <w:color w:val="0000FF"/>
              </w:rPr>
              <w:t> </w:t>
            </w:r>
          </w:p>
        </w:tc>
      </w:tr>
    </w:tbl>
    <w:p w:rsidR="00D44355" w:rsidRPr="000B0E62" w:rsidRDefault="00D44355" w:rsidP="000B0E62">
      <w:pPr>
        <w:spacing w:line="239" w:lineRule="auto"/>
        <w:ind w:left="90" w:right="340"/>
        <w:rPr>
          <w:rFonts w:ascii="Calibri" w:eastAsia="Times New Roman" w:hAnsi="Calibri" w:cs="Calibri"/>
          <w:color w:val="0000FF"/>
        </w:rPr>
      </w:pPr>
      <w:r w:rsidRPr="000B0E62">
        <w:rPr>
          <w:rFonts w:ascii="Calibri" w:hAnsi="Calibri" w:cs="Calibri"/>
          <w:color w:val="0000FF"/>
        </w:rPr>
        <w:t>Source: HCUP State Inpatient Databases (SID). Healthcare Cost and Utilization Project (HCUP). 2012. Agency for</w:t>
      </w:r>
      <w:r w:rsidRPr="000B0E62">
        <w:rPr>
          <w:rFonts w:ascii="Calibri" w:hAnsi="Calibri" w:cs="Calibri"/>
          <w:color w:val="0000FF"/>
          <w:w w:val="99"/>
        </w:rPr>
        <w:t xml:space="preserve"> </w:t>
      </w:r>
      <w:r w:rsidRPr="000B0E62">
        <w:rPr>
          <w:rFonts w:ascii="Calibri" w:hAnsi="Calibri" w:cs="Calibri"/>
          <w:color w:val="0000FF"/>
        </w:rPr>
        <w:t xml:space="preserve">Healthcare Research and Quality, Rockville, MD. </w:t>
      </w:r>
      <w:hyperlink r:id="rId17">
        <w:r w:rsidRPr="000B0E62">
          <w:rPr>
            <w:rFonts w:ascii="Calibri" w:hAnsi="Calibri" w:cs="Calibri"/>
            <w:color w:val="0000FF"/>
            <w:u w:val="single" w:color="043C66"/>
          </w:rPr>
          <w:t>www.hcup-us.ahrq.gov/sidoverview.jsp</w:t>
        </w:r>
        <w:r w:rsidRPr="000B0E62">
          <w:rPr>
            <w:rFonts w:ascii="Calibri" w:hAnsi="Calibri" w:cs="Calibri"/>
            <w:color w:val="0000FF"/>
          </w:rPr>
          <w:t>.</w:t>
        </w:r>
      </w:hyperlink>
      <w:r w:rsidRPr="000B0E62">
        <w:rPr>
          <w:rFonts w:ascii="Calibri" w:hAnsi="Calibri" w:cs="Calibri"/>
          <w:color w:val="0000FF"/>
        </w:rPr>
        <w:t xml:space="preserve"> (AHRQ QI Software</w:t>
      </w:r>
      <w:r w:rsidRPr="000B0E62">
        <w:rPr>
          <w:rFonts w:ascii="Calibri" w:hAnsi="Calibri" w:cs="Calibri"/>
          <w:color w:val="0000FF"/>
          <w:w w:val="99"/>
        </w:rPr>
        <w:t xml:space="preserve"> </w:t>
      </w:r>
      <w:r w:rsidRPr="000B0E62">
        <w:rPr>
          <w:rFonts w:ascii="Calibri" w:hAnsi="Calibri" w:cs="Calibri"/>
          <w:color w:val="0000FF"/>
        </w:rPr>
        <w:t>Version 5.0)</w:t>
      </w:r>
    </w:p>
    <w:p w:rsidR="00001D73" w:rsidRPr="00D44355" w:rsidRDefault="00743E46" w:rsidP="00092566">
      <w:pPr>
        <w:autoSpaceDE w:val="0"/>
        <w:autoSpaceDN w:val="0"/>
        <w:adjustRightInd w:val="0"/>
        <w:spacing w:after="0" w:line="240" w:lineRule="auto"/>
        <w:rPr>
          <w:rFonts w:cstheme="minorHAnsi"/>
          <w:bCs/>
          <w:color w:val="1F497D" w:themeColor="text2"/>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0B0E62" w:rsidRPr="000B0E62">
        <w:rPr>
          <w:rFonts w:cstheme="minorHAnsi"/>
          <w:bCs/>
          <w:color w:val="0000FF"/>
        </w:rPr>
        <w:t>See 2b4.6 (Table 5</w:t>
      </w:r>
      <w:r w:rsidR="00D44355" w:rsidRPr="000B0E62">
        <w:rPr>
          <w:rFonts w:cstheme="minorHAnsi"/>
          <w:bCs/>
          <w:color w:val="0000FF"/>
        </w:rPr>
        <w:t>)</w:t>
      </w:r>
    </w:p>
    <w:p w:rsidR="00D44355" w:rsidRDefault="00D44355" w:rsidP="00092566">
      <w:pPr>
        <w:autoSpaceDE w:val="0"/>
        <w:autoSpaceDN w:val="0"/>
        <w:adjustRightInd w:val="0"/>
        <w:spacing w:after="0" w:line="240" w:lineRule="auto"/>
        <w:rPr>
          <w:rFonts w:cstheme="minorHAnsi"/>
          <w:b/>
          <w:bCs/>
        </w:rPr>
      </w:pPr>
    </w:p>
    <w:p w:rsidR="00D44355" w:rsidRPr="00D44355" w:rsidRDefault="00743E46" w:rsidP="00D44355">
      <w:pPr>
        <w:autoSpaceDE w:val="0"/>
        <w:autoSpaceDN w:val="0"/>
        <w:adjustRightInd w:val="0"/>
        <w:spacing w:after="0" w:line="240" w:lineRule="auto"/>
        <w:rPr>
          <w:rFonts w:cstheme="minorHAnsi"/>
          <w:bCs/>
          <w:color w:val="1F497D" w:themeColor="text2"/>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r w:rsidR="00D44355" w:rsidRPr="000B0E62">
        <w:rPr>
          <w:rFonts w:cstheme="minorHAnsi"/>
          <w:bCs/>
          <w:color w:val="0000FF"/>
        </w:rPr>
        <w:t xml:space="preserve">See 2b4.6 (Table </w:t>
      </w:r>
      <w:r w:rsidR="000B0E62" w:rsidRPr="000B0E62">
        <w:rPr>
          <w:rFonts w:cstheme="minorHAnsi"/>
          <w:bCs/>
          <w:color w:val="0000FF"/>
        </w:rPr>
        <w:t>5</w:t>
      </w:r>
      <w:r w:rsidR="00D44355" w:rsidRPr="000B0E62">
        <w:rPr>
          <w:rFonts w:cstheme="minorHAnsi"/>
          <w:bCs/>
          <w:color w:val="0000FF"/>
        </w:rPr>
        <w:t>)</w:t>
      </w:r>
    </w:p>
    <w:p w:rsidR="00743E46" w:rsidRDefault="00743E46" w:rsidP="00092566">
      <w:pPr>
        <w:autoSpaceDE w:val="0"/>
        <w:autoSpaceDN w:val="0"/>
        <w:adjustRightInd w:val="0"/>
        <w:spacing w:after="0" w:line="240" w:lineRule="auto"/>
        <w:rPr>
          <w:rFonts w:cstheme="minorHAnsi"/>
          <w:b/>
        </w:rPr>
      </w:pPr>
    </w:p>
    <w:p w:rsidR="00092566" w:rsidRDefault="00743E46" w:rsidP="00092566">
      <w:pPr>
        <w:autoSpaceDE w:val="0"/>
        <w:autoSpaceDN w:val="0"/>
        <w:adjustRightInd w:val="0"/>
        <w:spacing w:after="0" w:line="240" w:lineRule="auto"/>
        <w:rPr>
          <w:rFonts w:cstheme="minorHAnsi"/>
          <w:bCs/>
        </w:rPr>
      </w:pPr>
      <w:bookmarkStart w:id="14" w:name="question2b49"/>
      <w:bookmarkEnd w:id="1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B0E62" w:rsidRPr="000B0E62" w:rsidRDefault="000B0E62" w:rsidP="00092566">
      <w:pPr>
        <w:autoSpaceDE w:val="0"/>
        <w:autoSpaceDN w:val="0"/>
        <w:adjustRightInd w:val="0"/>
        <w:spacing w:after="0" w:line="240" w:lineRule="auto"/>
        <w:rPr>
          <w:rFonts w:cstheme="minorHAnsi"/>
          <w:bCs/>
          <w:color w:val="0000FF"/>
        </w:rPr>
      </w:pPr>
      <w:r w:rsidRPr="000B0E62">
        <w:rPr>
          <w:rFonts w:cstheme="minorHAnsi"/>
          <w:bCs/>
          <w:color w:val="0000FF"/>
        </w:rPr>
        <w:t>Not applicable</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0B0E62" w:rsidRDefault="00D44355" w:rsidP="00092566">
      <w:pPr>
        <w:spacing w:after="0" w:line="240" w:lineRule="auto"/>
        <w:rPr>
          <w:rFonts w:ascii="Calibri" w:hAnsi="Calibri" w:cstheme="minorHAnsi"/>
          <w:bCs/>
          <w:color w:val="0000FF"/>
        </w:rPr>
      </w:pPr>
      <w:r w:rsidRPr="000B0E62">
        <w:rPr>
          <w:rFonts w:ascii="Calibri" w:hAnsi="Calibri" w:cstheme="minorHAnsi"/>
          <w:bCs/>
          <w:color w:val="0000FF"/>
        </w:rPr>
        <w:t xml:space="preserve">A model that is well calibrated will have observed values similar to predicted values across the predicted value </w:t>
      </w:r>
      <w:proofErr w:type="spellStart"/>
      <w:r w:rsidRPr="000B0E62">
        <w:rPr>
          <w:rFonts w:ascii="Calibri" w:hAnsi="Calibri" w:cstheme="minorHAnsi"/>
          <w:bCs/>
          <w:color w:val="0000FF"/>
        </w:rPr>
        <w:t>deciles</w:t>
      </w:r>
      <w:proofErr w:type="spellEnd"/>
      <w:r w:rsidRPr="000B0E62">
        <w:rPr>
          <w:rFonts w:ascii="Calibri" w:hAnsi="Calibri" w:cstheme="minorHAnsi"/>
          <w:bCs/>
          <w:color w:val="0000FF"/>
        </w:rPr>
        <w:t xml:space="preserve">.  This indicator is well calibrated and has good discrimination, as the differences between observed and predicted values across the </w:t>
      </w:r>
      <w:proofErr w:type="spellStart"/>
      <w:r w:rsidRPr="000B0E62">
        <w:rPr>
          <w:rFonts w:ascii="Calibri" w:hAnsi="Calibri" w:cstheme="minorHAnsi"/>
          <w:bCs/>
          <w:color w:val="0000FF"/>
        </w:rPr>
        <w:t>deciles</w:t>
      </w:r>
      <w:proofErr w:type="spellEnd"/>
      <w:r w:rsidRPr="000B0E62">
        <w:rPr>
          <w:rFonts w:ascii="Calibri" w:hAnsi="Calibri" w:cstheme="minorHAnsi"/>
          <w:bCs/>
          <w:color w:val="0000FF"/>
        </w:rPr>
        <w:t xml:space="preserve"> are </w:t>
      </w:r>
      <w:proofErr w:type="gramStart"/>
      <w:r w:rsidRPr="000B0E62">
        <w:rPr>
          <w:rFonts w:ascii="Calibri" w:hAnsi="Calibri" w:cstheme="minorHAnsi"/>
          <w:bCs/>
          <w:color w:val="0000FF"/>
        </w:rPr>
        <w:t>under</w:t>
      </w:r>
      <w:proofErr w:type="gramEnd"/>
      <w:r w:rsidRPr="000B0E62">
        <w:rPr>
          <w:rFonts w:ascii="Calibri" w:hAnsi="Calibri" w:cstheme="minorHAnsi"/>
          <w:bCs/>
          <w:color w:val="0000FF"/>
        </w:rPr>
        <w:t xml:space="preserve"> 10% for hospitals with rates at the median or above. For hospitals with low predicted rates the relative differences between observed and predicted values is greater, primarily due to the very small observe rates.</w:t>
      </w:r>
    </w:p>
    <w:p w:rsidR="00D44355" w:rsidRPr="00A25024" w:rsidRDefault="00D44355"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0B0E62" w:rsidRPr="000B0E62" w:rsidRDefault="000B0E62" w:rsidP="000B0E62">
      <w:pPr>
        <w:rPr>
          <w:rFonts w:cstheme="minorHAnsi"/>
          <w:color w:val="0000FF"/>
        </w:rPr>
      </w:pPr>
      <w:r w:rsidRPr="000B0E62">
        <w:rPr>
          <w:rFonts w:cstheme="minorHAnsi"/>
          <w:color w:val="0000FF"/>
        </w:rPr>
        <w:t>Barker et al. (Med J Australia 2011</w:t>
      </w:r>
      <w:proofErr w:type="gramStart"/>
      <w:r w:rsidRPr="000B0E62">
        <w:rPr>
          <w:rFonts w:cstheme="minorHAnsi"/>
          <w:color w:val="0000FF"/>
        </w:rPr>
        <w:t>;195:89</w:t>
      </w:r>
      <w:proofErr w:type="gramEnd"/>
      <w:r w:rsidRPr="000B0E62">
        <w:rPr>
          <w:rFonts w:cstheme="minorHAnsi"/>
          <w:color w:val="0000FF"/>
        </w:rPr>
        <w:t xml:space="preserve">-94) confirmed the validity of the AHRQ risk-adjustment model in an entirely different setting, using data from 122 public hospitals in Victoria (Australia) in 2006-2008.  The Australian translation was inexact because Australia uses ICD-10-AM and Australian DRGs.  Their basic finding was that the indicator was sensitive to patient characteristics that are included in AHRQ’s risk-adjustment model: age, male sex, comorbidities, inter-hospital transfer, </w:t>
      </w:r>
      <w:r>
        <w:rPr>
          <w:rFonts w:cstheme="minorHAnsi"/>
          <w:color w:val="0000FF"/>
        </w:rPr>
        <w:t>and skilled nursing facility</w:t>
      </w:r>
      <w:r w:rsidRPr="000B0E62">
        <w:rPr>
          <w:rFonts w:cstheme="minorHAnsi"/>
          <w:color w:val="0000FF"/>
        </w:rPr>
        <w:t xml:space="preserve"> transfer. </w:t>
      </w:r>
    </w:p>
    <w:p w:rsidR="00D61410" w:rsidRPr="00A25024" w:rsidRDefault="000B0E62" w:rsidP="000B0E62">
      <w:pPr>
        <w:autoSpaceDE w:val="0"/>
        <w:autoSpaceDN w:val="0"/>
        <w:adjustRightInd w:val="0"/>
        <w:spacing w:after="0" w:line="240" w:lineRule="auto"/>
        <w:rPr>
          <w:rFonts w:cstheme="minorHAnsi"/>
          <w:bCs/>
        </w:rPr>
      </w:pPr>
      <w:r>
        <w:rPr>
          <w:rFonts w:cstheme="minorHAnsi"/>
          <w:bCs/>
        </w:rPr>
        <w:t xml:space="preserve"> </w:t>
      </w:r>
      <w:r w:rsidR="00D61410">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5" w:name="section2b5"/>
      <w:bookmarkEnd w:id="15"/>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rPr>
        <w:lastRenderedPageBreak/>
        <w:t>(</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 xml:space="preserve">This analysis assesses the probability that an area is higher or lower than a benchmark or threshold, given hospital size. It reflects whether the indicator can discriminate the best performing hospitals from the lower performing hospitals. </w:t>
      </w:r>
    </w:p>
    <w:p w:rsidR="00D44355" w:rsidRPr="000B0E62" w:rsidRDefault="00D44355" w:rsidP="00D44355">
      <w:pPr>
        <w:autoSpaceDE w:val="0"/>
        <w:autoSpaceDN w:val="0"/>
        <w:adjustRightInd w:val="0"/>
        <w:spacing w:after="0"/>
        <w:rPr>
          <w:rFonts w:ascii="Calibri" w:hAnsi="Calibri" w:cs="Calibri"/>
          <w:color w:val="0000FF"/>
        </w:rPr>
      </w:pP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For this analysis, “benchmark” refers to the smoothed indicator rate based on the 20</w:t>
      </w:r>
      <w:r w:rsidRPr="000B0E62">
        <w:rPr>
          <w:rFonts w:ascii="Calibri" w:hAnsi="Calibri" w:cs="Calibri"/>
          <w:color w:val="0000FF"/>
          <w:vertAlign w:val="superscript"/>
        </w:rPr>
        <w:t>th</w:t>
      </w:r>
      <w:r w:rsidRPr="000B0E62">
        <w:rPr>
          <w:rFonts w:ascii="Calibri" w:hAnsi="Calibri" w:cs="Calibri"/>
          <w:color w:val="0000FF"/>
        </w:rPr>
        <w:t xml:space="preserve"> percentile of the reference population (i.e., 20% of hospitals have a lower mortality rate or better performance</w:t>
      </w:r>
      <w:proofErr w:type="gramStart"/>
      <w:r w:rsidRPr="000B0E62">
        <w:rPr>
          <w:rFonts w:ascii="Calibri" w:hAnsi="Calibri" w:cs="Calibri"/>
          <w:color w:val="0000FF"/>
        </w:rPr>
        <w:t>) .</w:t>
      </w:r>
      <w:proofErr w:type="gramEnd"/>
      <w:r w:rsidRPr="000B0E62">
        <w:rPr>
          <w:rFonts w:ascii="Calibri" w:hAnsi="Calibri" w:cs="Calibri"/>
          <w:color w:val="0000FF"/>
        </w:rPr>
        <w:t xml:space="preserve"> “Threshold” refers to the indicator rate based on the 80</w:t>
      </w:r>
      <w:r w:rsidRPr="000B0E62">
        <w:rPr>
          <w:rFonts w:ascii="Calibri" w:hAnsi="Calibri" w:cs="Calibri"/>
          <w:color w:val="0000FF"/>
          <w:vertAlign w:val="superscript"/>
        </w:rPr>
        <w:t>th</w:t>
      </w:r>
      <w:r w:rsidRPr="000B0E62">
        <w:rPr>
          <w:rFonts w:ascii="Calibri" w:hAnsi="Calibri" w:cs="Calibri"/>
          <w:color w:val="0000FF"/>
        </w:rPr>
        <w:t xml:space="preserve"> percentile (i.e., 80% have lower mortality or better performance). </w:t>
      </w:r>
    </w:p>
    <w:p w:rsidR="00D44355" w:rsidRPr="000B0E62" w:rsidRDefault="00D44355" w:rsidP="00D44355">
      <w:pPr>
        <w:autoSpaceDE w:val="0"/>
        <w:autoSpaceDN w:val="0"/>
        <w:adjustRightInd w:val="0"/>
        <w:spacing w:after="0"/>
        <w:rPr>
          <w:rFonts w:ascii="Calibri" w:hAnsi="Calibri" w:cs="Calibri"/>
          <w:color w:val="0000FF"/>
        </w:rPr>
      </w:pP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 xml:space="preserve">The analysis is reported by size </w:t>
      </w:r>
      <w:proofErr w:type="spellStart"/>
      <w:r w:rsidRPr="000B0E62">
        <w:rPr>
          <w:rFonts w:ascii="Calibri" w:hAnsi="Calibri" w:cs="Calibri"/>
          <w:color w:val="0000FF"/>
        </w:rPr>
        <w:t>decile</w:t>
      </w:r>
      <w:proofErr w:type="spellEnd"/>
      <w:r w:rsidRPr="000B0E62">
        <w:rPr>
          <w:rFonts w:ascii="Calibri" w:hAnsi="Calibri" w:cs="Calibri"/>
          <w:color w:val="0000FF"/>
        </w:rPr>
        <w:t>,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proofErr w:type="gramStart"/>
      <w:r w:rsidRPr="000B0E62">
        <w:rPr>
          <w:rFonts w:ascii="Calibri" w:hAnsi="Calibri" w:cs="Calibri"/>
          <w:color w:val="0000FF"/>
        </w:rPr>
        <w:t>)</w:t>
      </w:r>
      <w:r w:rsidRPr="000B0E62">
        <w:rPr>
          <w:rFonts w:ascii="Calibri" w:hAnsi="Calibri" w:cs="Calibri"/>
          <w:color w:val="0000FF"/>
          <w:vertAlign w:val="superscript"/>
        </w:rPr>
        <w:t>2</w:t>
      </w:r>
      <w:proofErr w:type="gramEnd"/>
      <w:r w:rsidRPr="000B0E62">
        <w:rPr>
          <w:rFonts w:ascii="Calibri" w:hAnsi="Calibri" w:cs="Calibri"/>
          <w:color w:val="0000FF"/>
          <w:vertAlign w:val="subscript"/>
        </w:rPr>
        <w:t xml:space="preserve"> </w:t>
      </w:r>
      <w:r w:rsidRPr="000B0E62">
        <w:rPr>
          <w:rFonts w:ascii="Calibri" w:hAnsi="Calibri" w:cs="Calibri"/>
          <w:color w:val="0000FF"/>
        </w:rPr>
        <w:t>/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w:t>
      </w:r>
      <w:proofErr w:type="spellStart"/>
      <w:r w:rsidRPr="000B0E62">
        <w:rPr>
          <w:rFonts w:ascii="Calibri" w:hAnsi="Calibri" w:cs="Calibri"/>
          <w:color w:val="0000FF"/>
        </w:rPr>
        <w:t>deciles</w:t>
      </w:r>
      <w:proofErr w:type="spellEnd"/>
      <w:r w:rsidRPr="000B0E62">
        <w:rPr>
          <w:rFonts w:ascii="Calibri" w:hAnsi="Calibri" w:cs="Calibri"/>
          <w:color w:val="0000FF"/>
        </w:rPr>
        <w:t xml:space="preserve">).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rsidR="00D44355" w:rsidRPr="000B0E62" w:rsidRDefault="00D44355" w:rsidP="00D61410">
      <w:pPr>
        <w:autoSpaceDE w:val="0"/>
        <w:autoSpaceDN w:val="0"/>
        <w:adjustRightInd w:val="0"/>
        <w:spacing w:after="0" w:line="240" w:lineRule="auto"/>
        <w:rPr>
          <w:rFonts w:cstheme="minorHAnsi"/>
          <w:bCs/>
          <w:color w:val="0000FF"/>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44355" w:rsidRPr="000B0E62" w:rsidRDefault="00D44355" w:rsidP="00D44355">
      <w:pPr>
        <w:pStyle w:val="BodyText"/>
        <w:ind w:left="0"/>
        <w:rPr>
          <w:rFonts w:ascii="Calibri" w:hAnsi="Calibri" w:cstheme="minorHAnsi"/>
          <w:b/>
          <w:color w:val="0000FF"/>
        </w:rPr>
      </w:pPr>
      <w:proofErr w:type="gramStart"/>
      <w:r w:rsidRPr="000B0E62">
        <w:rPr>
          <w:rFonts w:ascii="Calibri" w:hAnsi="Calibri" w:cstheme="minorHAnsi"/>
          <w:b/>
          <w:color w:val="0000FF"/>
        </w:rPr>
        <w:t xml:space="preserve">Table </w:t>
      </w:r>
      <w:r w:rsidR="000B0E62" w:rsidRPr="000B0E62">
        <w:rPr>
          <w:rFonts w:ascii="Calibri" w:hAnsi="Calibri" w:cstheme="minorHAnsi"/>
          <w:b/>
          <w:color w:val="0000FF"/>
        </w:rPr>
        <w:t>6</w:t>
      </w:r>
      <w:r w:rsidRPr="000B0E62">
        <w:rPr>
          <w:rFonts w:ascii="Calibri" w:hAnsi="Calibri" w:cstheme="minorHAnsi"/>
          <w:b/>
          <w:color w:val="0000FF"/>
        </w:rPr>
        <w:t>.</w:t>
      </w:r>
      <w:proofErr w:type="gramEnd"/>
      <w:r w:rsidRPr="000B0E62">
        <w:rPr>
          <w:rFonts w:ascii="Calibri" w:hAnsi="Calibri" w:cstheme="minorHAnsi"/>
          <w:b/>
          <w:color w:val="0000FF"/>
        </w:rPr>
        <w:t xml:space="preserve"> Performance Categories by Hospital Size </w:t>
      </w:r>
      <w:proofErr w:type="spellStart"/>
      <w:r w:rsidRPr="000B0E62">
        <w:rPr>
          <w:rFonts w:ascii="Calibri" w:hAnsi="Calibri" w:cstheme="minorHAnsi"/>
          <w:b/>
          <w:color w:val="0000FF"/>
        </w:rPr>
        <w:t>Decile</w:t>
      </w:r>
      <w:proofErr w:type="spellEnd"/>
      <w:r w:rsidRPr="000B0E62">
        <w:rPr>
          <w:rFonts w:ascii="Calibri" w:hAnsi="Calibri" w:cstheme="minorHAnsi"/>
          <w:b/>
          <w:color w:val="0000FF"/>
        </w:rPr>
        <w:t xml:space="preserve"> PSI 02 Death Rate in Low-Mortality Diagnosis Related Groups</w:t>
      </w:r>
    </w:p>
    <w:tbl>
      <w:tblPr>
        <w:tblW w:w="9483" w:type="dxa"/>
        <w:tblInd w:w="93" w:type="dxa"/>
        <w:tblLook w:val="04A0" w:firstRow="1" w:lastRow="0" w:firstColumn="1" w:lastColumn="0" w:noHBand="0" w:noVBand="1"/>
      </w:tblPr>
      <w:tblGrid>
        <w:gridCol w:w="950"/>
        <w:gridCol w:w="948"/>
        <w:gridCol w:w="1261"/>
        <w:gridCol w:w="1026"/>
        <w:gridCol w:w="1026"/>
        <w:gridCol w:w="1110"/>
        <w:gridCol w:w="1026"/>
        <w:gridCol w:w="1026"/>
        <w:gridCol w:w="1110"/>
      </w:tblGrid>
      <w:tr w:rsidR="00D44355" w:rsidRPr="000B0E62" w:rsidTr="000D67EB">
        <w:trPr>
          <w:trHeight w:val="300"/>
          <w:tblHeader/>
        </w:trPr>
        <w:tc>
          <w:tcPr>
            <w:tcW w:w="950" w:type="dxa"/>
            <w:tcBorders>
              <w:top w:val="single" w:sz="4" w:space="0" w:color="auto"/>
              <w:left w:val="single" w:sz="4" w:space="0" w:color="auto"/>
              <w:bottom w:val="single" w:sz="4" w:space="0" w:color="auto"/>
            </w:tcBorders>
            <w:shd w:val="clear" w:color="000000" w:fill="C0C0C0"/>
            <w:noWrap/>
            <w:vAlign w:val="bottom"/>
            <w:hideMark/>
          </w:tcPr>
          <w:p w:rsidR="00D44355" w:rsidRPr="000B0E62" w:rsidRDefault="00D44355" w:rsidP="00FB7D6D">
            <w:pPr>
              <w:spacing w:after="0" w:line="240" w:lineRule="auto"/>
              <w:rPr>
                <w:rFonts w:ascii="Calibri" w:eastAsia="Times New Roman" w:hAnsi="Calibri" w:cs="Times New Roman"/>
                <w:color w:val="0000FF"/>
              </w:rPr>
            </w:pPr>
            <w:r w:rsidRPr="000B0E62">
              <w:rPr>
                <w:rFonts w:ascii="Calibri" w:eastAsia="Times New Roman" w:hAnsi="Calibri" w:cs="Times New Roman"/>
                <w:color w:val="0000FF"/>
              </w:rPr>
              <w:t> </w:t>
            </w:r>
          </w:p>
        </w:tc>
        <w:tc>
          <w:tcPr>
            <w:tcW w:w="948" w:type="dxa"/>
            <w:tcBorders>
              <w:top w:val="single" w:sz="4" w:space="0" w:color="auto"/>
              <w:bottom w:val="single" w:sz="4" w:space="0" w:color="auto"/>
            </w:tcBorders>
            <w:shd w:val="clear" w:color="000000" w:fill="C0C0C0"/>
            <w:noWrap/>
            <w:vAlign w:val="center"/>
            <w:hideMark/>
          </w:tcPr>
          <w:p w:rsidR="00D44355" w:rsidRPr="000B0E62" w:rsidRDefault="00D44355" w:rsidP="00FB7D6D">
            <w:pPr>
              <w:spacing w:after="0" w:line="240" w:lineRule="auto"/>
              <w:rPr>
                <w:rFonts w:ascii="Calibri" w:eastAsia="Times New Roman" w:hAnsi="Calibri" w:cs="Times New Roman"/>
                <w:b/>
                <w:bCs/>
                <w:color w:val="0000FF"/>
              </w:rPr>
            </w:pPr>
            <w:r w:rsidRPr="000B0E62">
              <w:rPr>
                <w:rFonts w:ascii="Calibri" w:eastAsia="Times New Roman" w:hAnsi="Calibri" w:cs="Times New Roman"/>
                <w:b/>
                <w:bCs/>
                <w:color w:val="0000FF"/>
              </w:rPr>
              <w:t xml:space="preserve"> </w:t>
            </w:r>
          </w:p>
        </w:tc>
        <w:tc>
          <w:tcPr>
            <w:tcW w:w="1261" w:type="dxa"/>
            <w:tcBorders>
              <w:top w:val="single" w:sz="4" w:space="0" w:color="auto"/>
              <w:bottom w:val="single" w:sz="4" w:space="0" w:color="auto"/>
              <w:right w:val="single" w:sz="4" w:space="0" w:color="auto"/>
            </w:tcBorders>
            <w:shd w:val="clear" w:color="000000" w:fill="C0C0C0"/>
            <w:noWrap/>
            <w:vAlign w:val="center"/>
            <w:hideMark/>
          </w:tcPr>
          <w:p w:rsidR="00D44355" w:rsidRPr="000B0E62" w:rsidRDefault="00D44355" w:rsidP="00FB7D6D">
            <w:pPr>
              <w:spacing w:after="0" w:line="240" w:lineRule="auto"/>
              <w:rPr>
                <w:rFonts w:ascii="Calibri" w:eastAsia="Times New Roman" w:hAnsi="Calibri" w:cs="Times New Roman"/>
                <w:b/>
                <w:bCs/>
                <w:color w:val="0000FF"/>
              </w:rPr>
            </w:pPr>
            <w:r w:rsidRPr="000B0E62">
              <w:rPr>
                <w:rFonts w:ascii="Calibri" w:eastAsia="Times New Roman" w:hAnsi="Calibri" w:cs="Times New Roman"/>
                <w:b/>
                <w:bCs/>
                <w:color w:val="0000FF"/>
              </w:rPr>
              <w:t xml:space="preserve"> </w:t>
            </w:r>
          </w:p>
        </w:tc>
        <w:tc>
          <w:tcPr>
            <w:tcW w:w="3162" w:type="dxa"/>
            <w:gridSpan w:val="3"/>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D44355" w:rsidRPr="000B0E62" w:rsidRDefault="00D44355" w:rsidP="00FB7D6D">
            <w:pPr>
              <w:spacing w:after="0" w:line="240" w:lineRule="auto"/>
              <w:rPr>
                <w:rFonts w:ascii="Calibri" w:eastAsia="Times New Roman" w:hAnsi="Calibri" w:cs="Times New Roman"/>
                <w:b/>
                <w:bCs/>
                <w:color w:val="0000FF"/>
              </w:rPr>
            </w:pPr>
            <w:r w:rsidRPr="000B0E62">
              <w:rPr>
                <w:rFonts w:ascii="Calibri" w:eastAsia="Times New Roman" w:hAnsi="Calibri" w:cs="Times New Roman"/>
                <w:b/>
                <w:bCs/>
                <w:color w:val="0000FF"/>
              </w:rPr>
              <w:t>Benchmark </w:t>
            </w:r>
          </w:p>
        </w:tc>
        <w:tc>
          <w:tcPr>
            <w:tcW w:w="3162" w:type="dxa"/>
            <w:gridSpan w:val="3"/>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D44355" w:rsidRPr="000B0E62" w:rsidRDefault="00D44355" w:rsidP="00FB7D6D">
            <w:pPr>
              <w:spacing w:after="0" w:line="240" w:lineRule="auto"/>
              <w:rPr>
                <w:rFonts w:ascii="Calibri" w:eastAsia="Times New Roman" w:hAnsi="Calibri" w:cs="Times New Roman"/>
                <w:color w:val="0000FF"/>
              </w:rPr>
            </w:pPr>
            <w:r w:rsidRPr="000B0E62">
              <w:rPr>
                <w:rFonts w:ascii="Calibri" w:eastAsia="Times New Roman" w:hAnsi="Calibri" w:cs="Times New Roman"/>
                <w:b/>
                <w:bCs/>
                <w:color w:val="0000FF"/>
              </w:rPr>
              <w:t>Threshold</w:t>
            </w:r>
            <w:r w:rsidRPr="000B0E62">
              <w:rPr>
                <w:rFonts w:ascii="Calibri" w:eastAsia="Times New Roman" w:hAnsi="Calibri" w:cs="Times New Roman"/>
                <w:color w:val="0000FF"/>
              </w:rPr>
              <w:t> </w:t>
            </w:r>
          </w:p>
        </w:tc>
      </w:tr>
      <w:tr w:rsidR="00D44355" w:rsidRPr="000B0E62" w:rsidTr="000D67EB">
        <w:trPr>
          <w:trHeight w:val="1465"/>
          <w:tblHeader/>
        </w:trPr>
        <w:tc>
          <w:tcPr>
            <w:tcW w:w="95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 xml:space="preserve">Size </w:t>
            </w:r>
            <w:proofErr w:type="spellStart"/>
            <w:r w:rsidRPr="000B0E62">
              <w:rPr>
                <w:rFonts w:ascii="Calibri" w:eastAsia="Times New Roman" w:hAnsi="Calibri" w:cs="Times New Roman"/>
                <w:b/>
                <w:bCs/>
                <w:color w:val="0000FF"/>
                <w:sz w:val="16"/>
                <w:szCs w:val="16"/>
              </w:rPr>
              <w:t>Decile</w:t>
            </w:r>
            <w:proofErr w:type="spellEnd"/>
          </w:p>
        </w:tc>
        <w:tc>
          <w:tcPr>
            <w:tcW w:w="948"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Number of Hospitals</w:t>
            </w:r>
          </w:p>
        </w:tc>
        <w:tc>
          <w:tcPr>
            <w:tcW w:w="1261"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Average Number of Denominator</w:t>
            </w:r>
          </w:p>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Discharges Per Hospital</w:t>
            </w:r>
          </w:p>
        </w:tc>
        <w:tc>
          <w:tcPr>
            <w:tcW w:w="1026" w:type="dxa"/>
            <w:tcBorders>
              <w:top w:val="single" w:sz="4" w:space="0" w:color="auto"/>
              <w:left w:val="single" w:sz="4" w:space="0" w:color="auto"/>
              <w:bottom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Proportion Better</w:t>
            </w:r>
          </w:p>
        </w:tc>
        <w:tc>
          <w:tcPr>
            <w:tcW w:w="1026" w:type="dxa"/>
            <w:tcBorders>
              <w:top w:val="single" w:sz="4" w:space="0" w:color="auto"/>
              <w:bottom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Proportion Worse</w:t>
            </w:r>
          </w:p>
        </w:tc>
        <w:tc>
          <w:tcPr>
            <w:tcW w:w="1110" w:type="dxa"/>
            <w:tcBorders>
              <w:top w:val="single" w:sz="4" w:space="0" w:color="auto"/>
              <w:bottom w:val="single" w:sz="4" w:space="0" w:color="auto"/>
              <w:right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 xml:space="preserve">Proportion Unclassified </w:t>
            </w:r>
          </w:p>
        </w:tc>
        <w:tc>
          <w:tcPr>
            <w:tcW w:w="1026" w:type="dxa"/>
            <w:tcBorders>
              <w:top w:val="single" w:sz="4" w:space="0" w:color="auto"/>
              <w:left w:val="single" w:sz="4" w:space="0" w:color="auto"/>
              <w:bottom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Proportion Better</w:t>
            </w:r>
          </w:p>
        </w:tc>
        <w:tc>
          <w:tcPr>
            <w:tcW w:w="1026" w:type="dxa"/>
            <w:tcBorders>
              <w:top w:val="single" w:sz="4" w:space="0" w:color="auto"/>
              <w:bottom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Proportion Worse</w:t>
            </w:r>
          </w:p>
        </w:tc>
        <w:tc>
          <w:tcPr>
            <w:tcW w:w="1110" w:type="dxa"/>
            <w:tcBorders>
              <w:top w:val="single" w:sz="4" w:space="0" w:color="auto"/>
              <w:bottom w:val="single" w:sz="4" w:space="0" w:color="auto"/>
              <w:right w:val="single" w:sz="4" w:space="0" w:color="auto"/>
            </w:tcBorders>
            <w:shd w:val="clear" w:color="000000" w:fill="C0C0C0"/>
            <w:vAlign w:val="center"/>
            <w:hideMark/>
          </w:tcPr>
          <w:p w:rsidR="00D44355" w:rsidRPr="000B0E62" w:rsidRDefault="00D44355" w:rsidP="00FB7D6D">
            <w:pPr>
              <w:spacing w:after="0" w:line="240" w:lineRule="auto"/>
              <w:rPr>
                <w:rFonts w:ascii="Calibri" w:eastAsia="Times New Roman" w:hAnsi="Calibri" w:cs="Times New Roman"/>
                <w:b/>
                <w:bCs/>
                <w:color w:val="0000FF"/>
                <w:sz w:val="16"/>
                <w:szCs w:val="16"/>
              </w:rPr>
            </w:pPr>
            <w:r w:rsidRPr="000B0E62">
              <w:rPr>
                <w:rFonts w:ascii="Calibri" w:eastAsia="Times New Roman" w:hAnsi="Calibri" w:cs="Times New Roman"/>
                <w:b/>
                <w:bCs/>
                <w:color w:val="0000FF"/>
                <w:sz w:val="16"/>
                <w:szCs w:val="16"/>
              </w:rPr>
              <w:t xml:space="preserve">Proportion Unclassified </w:t>
            </w:r>
          </w:p>
        </w:tc>
      </w:tr>
      <w:tr w:rsidR="00D44355" w:rsidRPr="000B0E62" w:rsidTr="00FB7D6D">
        <w:trPr>
          <w:trHeight w:val="289"/>
        </w:trPr>
        <w:tc>
          <w:tcPr>
            <w:tcW w:w="950" w:type="dxa"/>
            <w:tcBorders>
              <w:top w:val="single" w:sz="4" w:space="0" w:color="auto"/>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w:t>
            </w:r>
          </w:p>
        </w:tc>
        <w:tc>
          <w:tcPr>
            <w:tcW w:w="948" w:type="dxa"/>
            <w:tcBorders>
              <w:top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top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16.5</w:t>
            </w:r>
          </w:p>
        </w:tc>
        <w:tc>
          <w:tcPr>
            <w:tcW w:w="1026" w:type="dxa"/>
            <w:tcBorders>
              <w:top w:val="single" w:sz="4" w:space="0" w:color="auto"/>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top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0.0392</w:t>
            </w:r>
          </w:p>
        </w:tc>
        <w:tc>
          <w:tcPr>
            <w:tcW w:w="1110" w:type="dxa"/>
            <w:tcBorders>
              <w:top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0.9608</w:t>
            </w:r>
          </w:p>
        </w:tc>
        <w:tc>
          <w:tcPr>
            <w:tcW w:w="1026" w:type="dxa"/>
            <w:tcBorders>
              <w:top w:val="single" w:sz="4" w:space="0" w:color="auto"/>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0.0934</w:t>
            </w:r>
          </w:p>
        </w:tc>
        <w:tc>
          <w:tcPr>
            <w:tcW w:w="1026" w:type="dxa"/>
            <w:tcBorders>
              <w:top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0.0392</w:t>
            </w:r>
          </w:p>
        </w:tc>
        <w:tc>
          <w:tcPr>
            <w:tcW w:w="1110" w:type="dxa"/>
            <w:tcBorders>
              <w:top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0.8675</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2</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67.8</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0.0723</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0.1205</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0.8072</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0.7380</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0.1205</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0.1416</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333</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205.1</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0.6006</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0.1562</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0.2432</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0.8438</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0.1532</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0.0030</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4</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430.6</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0.8223</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0.1777</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0.8343</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0.1657</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5</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736.3</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0.7319</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0.2681</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0.7651</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0.2169</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0.0181</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6</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333</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1,170.10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0.6907</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0.3093</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0.7508</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0.2462</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0.0030</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lastRenderedPageBreak/>
              <w:t>7</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1,807.50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0.5693</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0.4307</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0.6898</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0.2982</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0.0120</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8</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333</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2,667.90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0.5165</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0.4835</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0.7177</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0.2643</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0.0180</w:t>
            </w:r>
          </w:p>
        </w:tc>
      </w:tr>
      <w:tr w:rsidR="00D44355" w:rsidRPr="000B0E62" w:rsidTr="00FB7D6D">
        <w:trPr>
          <w:trHeight w:val="289"/>
        </w:trPr>
        <w:tc>
          <w:tcPr>
            <w:tcW w:w="950" w:type="dxa"/>
            <w:tcBorders>
              <w:lef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9</w:t>
            </w:r>
          </w:p>
        </w:tc>
        <w:tc>
          <w:tcPr>
            <w:tcW w:w="948" w:type="dxa"/>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3,831.30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0.4729</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0.5271</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0.8072</w:t>
            </w:r>
          </w:p>
        </w:tc>
        <w:tc>
          <w:tcPr>
            <w:tcW w:w="1026" w:type="dxa"/>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0.1807</w:t>
            </w:r>
          </w:p>
        </w:tc>
        <w:tc>
          <w:tcPr>
            <w:tcW w:w="1110" w:type="dxa"/>
            <w:tcBorders>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0.0120</w:t>
            </w:r>
          </w:p>
        </w:tc>
      </w:tr>
      <w:tr w:rsidR="00D44355" w:rsidRPr="000B0E62" w:rsidTr="00FB7D6D">
        <w:trPr>
          <w:trHeight w:val="300"/>
        </w:trPr>
        <w:tc>
          <w:tcPr>
            <w:tcW w:w="950" w:type="dxa"/>
            <w:tcBorders>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10</w:t>
            </w:r>
          </w:p>
        </w:tc>
        <w:tc>
          <w:tcPr>
            <w:tcW w:w="948" w:type="dxa"/>
            <w:tcBorders>
              <w:bottom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w:t>
            </w:r>
          </w:p>
        </w:tc>
        <w:tc>
          <w:tcPr>
            <w:tcW w:w="1261" w:type="dxa"/>
            <w:tcBorders>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6,553.90</w:t>
            </w:r>
          </w:p>
        </w:tc>
        <w:tc>
          <w:tcPr>
            <w:tcW w:w="1026" w:type="dxa"/>
            <w:tcBorders>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0.3012</w:t>
            </w:r>
          </w:p>
        </w:tc>
        <w:tc>
          <w:tcPr>
            <w:tcW w:w="1026" w:type="dxa"/>
            <w:tcBorders>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0.6988</w:t>
            </w:r>
          </w:p>
        </w:tc>
        <w:tc>
          <w:tcPr>
            <w:tcW w:w="1110" w:type="dxa"/>
            <w:tcBorders>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0.0000</w:t>
            </w:r>
          </w:p>
        </w:tc>
        <w:tc>
          <w:tcPr>
            <w:tcW w:w="1026" w:type="dxa"/>
            <w:tcBorders>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0.7982</w:t>
            </w:r>
          </w:p>
        </w:tc>
        <w:tc>
          <w:tcPr>
            <w:tcW w:w="1026" w:type="dxa"/>
            <w:tcBorders>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0.1928</w:t>
            </w:r>
          </w:p>
        </w:tc>
        <w:tc>
          <w:tcPr>
            <w:tcW w:w="1110" w:type="dxa"/>
            <w:tcBorders>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0.0090</w:t>
            </w:r>
          </w:p>
        </w:tc>
      </w:tr>
      <w:tr w:rsidR="00D44355" w:rsidRPr="000B0E62" w:rsidTr="00FB7D6D">
        <w:trPr>
          <w:trHeight w:val="300"/>
        </w:trPr>
        <w:tc>
          <w:tcPr>
            <w:tcW w:w="950" w:type="dxa"/>
            <w:tcBorders>
              <w:top w:val="single" w:sz="4" w:space="0" w:color="auto"/>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Overall</w:t>
            </w:r>
          </w:p>
        </w:tc>
        <w:tc>
          <w:tcPr>
            <w:tcW w:w="948" w:type="dxa"/>
            <w:tcBorders>
              <w:top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3,323</w:t>
            </w:r>
          </w:p>
        </w:tc>
        <w:tc>
          <w:tcPr>
            <w:tcW w:w="1261" w:type="dxa"/>
            <w:tcBorders>
              <w:top w:val="single" w:sz="4" w:space="0" w:color="auto"/>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jc w:val="center"/>
              <w:rPr>
                <w:rFonts w:ascii="Calibri" w:hAnsi="Calibri"/>
                <w:color w:val="0000FF"/>
              </w:rPr>
            </w:pPr>
            <w:r w:rsidRPr="000B0E62">
              <w:rPr>
                <w:rFonts w:ascii="Calibri" w:hAnsi="Calibri"/>
                <w:color w:val="0000FF"/>
              </w:rPr>
              <w:t>1,748.30</w:t>
            </w:r>
          </w:p>
        </w:tc>
        <w:tc>
          <w:tcPr>
            <w:tcW w:w="1026" w:type="dxa"/>
            <w:tcBorders>
              <w:top w:val="single" w:sz="4" w:space="0" w:color="auto"/>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0.4779</w:t>
            </w:r>
          </w:p>
        </w:tc>
        <w:tc>
          <w:tcPr>
            <w:tcW w:w="1026" w:type="dxa"/>
            <w:tcBorders>
              <w:top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0.3211</w:t>
            </w:r>
          </w:p>
        </w:tc>
        <w:tc>
          <w:tcPr>
            <w:tcW w:w="1110" w:type="dxa"/>
            <w:tcBorders>
              <w:top w:val="single" w:sz="4" w:space="0" w:color="auto"/>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0.2010</w:t>
            </w:r>
          </w:p>
        </w:tc>
        <w:tc>
          <w:tcPr>
            <w:tcW w:w="1026" w:type="dxa"/>
            <w:tcBorders>
              <w:top w:val="single" w:sz="4" w:space="0" w:color="auto"/>
              <w:left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0.7039</w:t>
            </w:r>
          </w:p>
        </w:tc>
        <w:tc>
          <w:tcPr>
            <w:tcW w:w="1026" w:type="dxa"/>
            <w:tcBorders>
              <w:top w:val="single" w:sz="4" w:space="0" w:color="auto"/>
              <w:bottom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0.1878</w:t>
            </w:r>
          </w:p>
        </w:tc>
        <w:tc>
          <w:tcPr>
            <w:tcW w:w="1110" w:type="dxa"/>
            <w:tcBorders>
              <w:top w:val="single" w:sz="4" w:space="0" w:color="auto"/>
              <w:bottom w:val="single" w:sz="4" w:space="0" w:color="auto"/>
              <w:right w:val="single" w:sz="4" w:space="0" w:color="auto"/>
            </w:tcBorders>
            <w:shd w:val="clear" w:color="auto" w:fill="auto"/>
            <w:noWrap/>
            <w:vAlign w:val="bottom"/>
            <w:hideMark/>
          </w:tcPr>
          <w:p w:rsidR="00D44355" w:rsidRPr="000B0E62" w:rsidRDefault="00D44355" w:rsidP="00FB7D6D">
            <w:pPr>
              <w:spacing w:after="0" w:line="240" w:lineRule="auto"/>
              <w:rPr>
                <w:rFonts w:ascii="Calibri" w:hAnsi="Calibri"/>
                <w:color w:val="0000FF"/>
              </w:rPr>
            </w:pPr>
            <w:r w:rsidRPr="000B0E62">
              <w:rPr>
                <w:rFonts w:ascii="Calibri" w:hAnsi="Calibri"/>
                <w:color w:val="0000FF"/>
              </w:rPr>
              <w:t>0.1083</w:t>
            </w:r>
          </w:p>
        </w:tc>
      </w:tr>
    </w:tbl>
    <w:p w:rsidR="00D44355" w:rsidRPr="000B0E62" w:rsidRDefault="00D44355" w:rsidP="00D44355">
      <w:pPr>
        <w:ind w:right="340"/>
        <w:rPr>
          <w:rFonts w:ascii="Calibri" w:eastAsia="Times New Roman" w:hAnsi="Calibri" w:cs="Calibri"/>
          <w:color w:val="0000FF"/>
        </w:rPr>
      </w:pPr>
      <w:r w:rsidRPr="000B0E62">
        <w:rPr>
          <w:rFonts w:ascii="Calibri" w:hAnsi="Calibri" w:cs="Calibri"/>
          <w:color w:val="0000FF"/>
        </w:rPr>
        <w:t>Source: HCUP State Inpatient Databases (SID). Healthcare Cost and Utilization Project (HCUP). 2012. Agency for</w:t>
      </w:r>
      <w:r w:rsidRPr="000B0E62">
        <w:rPr>
          <w:rFonts w:ascii="Calibri" w:hAnsi="Calibri" w:cs="Calibri"/>
          <w:color w:val="0000FF"/>
          <w:w w:val="99"/>
        </w:rPr>
        <w:t xml:space="preserve"> </w:t>
      </w:r>
      <w:r w:rsidRPr="000B0E62">
        <w:rPr>
          <w:rFonts w:ascii="Calibri" w:hAnsi="Calibri" w:cs="Calibri"/>
          <w:color w:val="0000FF"/>
        </w:rPr>
        <w:t xml:space="preserve">Healthcare Research and Quality, Rockville, MD. </w:t>
      </w:r>
      <w:hyperlink r:id="rId18">
        <w:r w:rsidRPr="000B0E62">
          <w:rPr>
            <w:rFonts w:ascii="Calibri" w:hAnsi="Calibri" w:cs="Calibri"/>
            <w:color w:val="0000FF"/>
            <w:u w:val="single" w:color="043C66"/>
          </w:rPr>
          <w:t>www.hcup-us.ahrq.gov/sidoverview.jsp</w:t>
        </w:r>
        <w:r w:rsidRPr="000B0E62">
          <w:rPr>
            <w:rFonts w:ascii="Calibri" w:hAnsi="Calibri" w:cs="Calibri"/>
            <w:color w:val="0000FF"/>
          </w:rPr>
          <w:t>.</w:t>
        </w:r>
      </w:hyperlink>
      <w:r w:rsidRPr="000B0E62">
        <w:rPr>
          <w:rFonts w:ascii="Calibri" w:hAnsi="Calibri" w:cs="Calibri"/>
          <w:color w:val="0000FF"/>
        </w:rPr>
        <w:t xml:space="preserve"> (AHRQ QI Software</w:t>
      </w:r>
      <w:r w:rsidRPr="000B0E62">
        <w:rPr>
          <w:rFonts w:ascii="Calibri" w:hAnsi="Calibri" w:cs="Calibri"/>
          <w:color w:val="0000FF"/>
          <w:w w:val="99"/>
        </w:rPr>
        <w:t xml:space="preserve"> </w:t>
      </w:r>
      <w:r w:rsidRPr="000B0E62">
        <w:rPr>
          <w:rFonts w:ascii="Calibri" w:hAnsi="Calibri" w:cs="Calibri"/>
          <w:color w:val="0000FF"/>
        </w:rPr>
        <w:t>Version 5.0)</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D44355" w:rsidRPr="000B0E62" w:rsidRDefault="00D44355" w:rsidP="0086464B">
      <w:pPr>
        <w:spacing w:after="0" w:line="240" w:lineRule="auto"/>
        <w:rPr>
          <w:rFonts w:ascii="Calibri" w:hAnsi="Calibri" w:cstheme="minorHAnsi"/>
          <w:b/>
          <w:color w:val="0000FF"/>
        </w:rPr>
      </w:pPr>
      <w:r w:rsidRPr="000B0E62">
        <w:rPr>
          <w:rFonts w:ascii="Calibri" w:hAnsi="Calibri" w:cstheme="minorHAnsi"/>
          <w:color w:val="0000FF"/>
        </w:rPr>
        <w:t xml:space="preserve">This indicator has excellent discrimination for most hospitals to identify low performing hospitals; 90% of hospitals can be classified as </w:t>
      </w:r>
      <w:proofErr w:type="gramStart"/>
      <w:r w:rsidRPr="000B0E62">
        <w:rPr>
          <w:rFonts w:ascii="Calibri" w:hAnsi="Calibri" w:cstheme="minorHAnsi"/>
          <w:color w:val="0000FF"/>
        </w:rPr>
        <w:t>better or</w:t>
      </w:r>
      <w:proofErr w:type="gramEnd"/>
      <w:r w:rsidRPr="000B0E62">
        <w:rPr>
          <w:rFonts w:ascii="Calibri" w:hAnsi="Calibri" w:cstheme="minorHAnsi"/>
          <w:color w:val="0000FF"/>
        </w:rPr>
        <w:t xml:space="preserve"> worse than the threshold (the percentage classified as either above or below the threshold). The indicator has good discrimination, particularly for moderate to large hospitals to identify high performing hospitals; 80% of hospitals can be classified as </w:t>
      </w:r>
      <w:proofErr w:type="gramStart"/>
      <w:r w:rsidRPr="000B0E62">
        <w:rPr>
          <w:rFonts w:ascii="Calibri" w:hAnsi="Calibri" w:cstheme="minorHAnsi"/>
          <w:color w:val="0000FF"/>
        </w:rPr>
        <w:t>better or</w:t>
      </w:r>
      <w:proofErr w:type="gramEnd"/>
      <w:r w:rsidRPr="000B0E62">
        <w:rPr>
          <w:rFonts w:ascii="Calibri" w:hAnsi="Calibri" w:cstheme="minorHAnsi"/>
          <w:color w:val="0000FF"/>
        </w:rPr>
        <w:t xml:space="preserve"> worse than the benchmark.</w:t>
      </w:r>
      <w:r w:rsidRPr="000B0E62">
        <w:rPr>
          <w:rFonts w:ascii="Calibri" w:hAnsi="Calibri" w:cstheme="minorHAnsi"/>
          <w:b/>
          <w:color w:val="0000FF"/>
        </w:rPr>
        <w:t xml:space="preserve">  </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8E565E" w:rsidRDefault="008E565E" w:rsidP="00DB3627">
      <w:pPr>
        <w:autoSpaceDE w:val="0"/>
        <w:autoSpaceDN w:val="0"/>
        <w:adjustRightInd w:val="0"/>
        <w:spacing w:after="0" w:line="240" w:lineRule="auto"/>
        <w:rPr>
          <w:rFonts w:cstheme="minorHAnsi"/>
          <w:bCs/>
          <w:color w:val="0000FF"/>
        </w:rPr>
      </w:pPr>
      <w:r w:rsidRPr="008E565E">
        <w:rPr>
          <w:rFonts w:cstheme="minorHAnsi"/>
          <w:bCs/>
          <w:color w:val="0000FF"/>
        </w:rPr>
        <w:t>Not applicable</w:t>
      </w:r>
    </w:p>
    <w:p w:rsidR="008E565E" w:rsidRPr="00A25024" w:rsidRDefault="008E565E" w:rsidP="00DB3627">
      <w:pPr>
        <w:autoSpaceDE w:val="0"/>
        <w:autoSpaceDN w:val="0"/>
        <w:adjustRightInd w:val="0"/>
        <w:spacing w:after="0" w:line="240" w:lineRule="auto"/>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8E565E" w:rsidRPr="008E565E">
        <w:rPr>
          <w:rFonts w:cstheme="minorHAnsi"/>
          <w:bCs/>
          <w:color w:val="0000FF"/>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8E565E" w:rsidRPr="008E565E">
        <w:rPr>
          <w:rFonts w:cstheme="minorHAnsi"/>
          <w:bCs/>
          <w:color w:val="0000FF"/>
        </w:rPr>
        <w:t>Not applicable</w:t>
      </w:r>
    </w:p>
    <w:p w:rsidR="00E1508F" w:rsidRPr="00E1508F" w:rsidRDefault="00E1508F" w:rsidP="00E1508F">
      <w:pPr>
        <w:autoSpaceDE w:val="0"/>
        <w:autoSpaceDN w:val="0"/>
        <w:adjustRightInd w:val="0"/>
        <w:spacing w:after="0" w:line="240" w:lineRule="auto"/>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lastRenderedPageBreak/>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E565E" w:rsidRPr="008E565E">
        <w:rPr>
          <w:rFonts w:cstheme="minorHAnsi"/>
          <w:bCs/>
          <w:color w:val="0000FF"/>
        </w:rPr>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Default="008F7E67" w:rsidP="008F7E67">
      <w:pPr>
        <w:autoSpaceDE w:val="0"/>
        <w:autoSpaceDN w:val="0"/>
        <w:adjustRightInd w:val="0"/>
        <w:spacing w:after="0" w:line="240" w:lineRule="auto"/>
        <w:rPr>
          <w:rFonts w:cstheme="minorHAnsi"/>
          <w:bCs/>
          <w:color w:val="0000FF"/>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proofErr w:type="gramStart"/>
      <w:r w:rsidRPr="00A25024">
        <w:rPr>
          <w:rFonts w:cstheme="minorHAnsi"/>
          <w:bCs/>
        </w:rPr>
        <w:t>)</w:t>
      </w:r>
      <w:proofErr w:type="gramEnd"/>
      <w:r w:rsidRPr="00A25024">
        <w:rPr>
          <w:rFonts w:cstheme="minorHAnsi"/>
          <w:bCs/>
        </w:rPr>
        <w:br/>
      </w:r>
      <w:r w:rsidR="008E565E">
        <w:rPr>
          <w:rFonts w:cstheme="minorHAnsi"/>
          <w:bCs/>
          <w:color w:val="0000FF"/>
        </w:rPr>
        <w:t>The AHRQ QIs use frequently reported administrative data variables. PSI02 excludes cases with missing discharge disposition, age, sex, discharge quarter, discharge year, and principal diagnosis. These variables are required for indicator construction and are required of all hospital discharge records. The rate of missing data for each variable is available by state and year from the AHRQ HCUP website (</w:t>
      </w:r>
      <w:hyperlink r:id="rId19" w:history="1">
        <w:r w:rsidR="008E565E" w:rsidRPr="00142FD5">
          <w:rPr>
            <w:rStyle w:val="Hyperlink"/>
            <w:rFonts w:cstheme="minorHAnsi"/>
            <w:bCs/>
          </w:rPr>
          <w:t>http://www.hcup-us.ahrq.gov/cdstats/cdstats_search.jsp</w:t>
        </w:r>
      </w:hyperlink>
      <w:r w:rsidR="008E565E">
        <w:rPr>
          <w:rFonts w:cstheme="minorHAnsi"/>
          <w:bCs/>
          <w:color w:val="0000FF"/>
        </w:rPr>
        <w:t>).</w:t>
      </w:r>
    </w:p>
    <w:p w:rsidR="008E565E" w:rsidRDefault="008E565E" w:rsidP="008F7E67">
      <w:pPr>
        <w:autoSpaceDE w:val="0"/>
        <w:autoSpaceDN w:val="0"/>
        <w:adjustRightInd w:val="0"/>
        <w:spacing w:after="0" w:line="240" w:lineRule="auto"/>
        <w:rPr>
          <w:rFonts w:cstheme="minorHAnsi"/>
          <w:bCs/>
          <w:color w:val="0000FF"/>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8E565E">
        <w:rPr>
          <w:rFonts w:cstheme="minorHAnsi"/>
          <w:bCs/>
          <w:color w:val="0000FF"/>
        </w:rPr>
        <w:t>For these variables, rates of missing data are typically less than 1% of the state database. It is unlikely the bias would occur from such a low rate of missing data.</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8E565E" w:rsidRDefault="008E565E" w:rsidP="008E565E">
      <w:pPr>
        <w:autoSpaceDE w:val="0"/>
        <w:autoSpaceDN w:val="0"/>
        <w:adjustRightInd w:val="0"/>
        <w:spacing w:after="0" w:line="240" w:lineRule="auto"/>
        <w:rPr>
          <w:rFonts w:cstheme="minorHAnsi"/>
          <w:bCs/>
          <w:color w:val="0000FF"/>
        </w:rPr>
      </w:pPr>
      <w:r>
        <w:rPr>
          <w:rFonts w:cstheme="minorHAnsi"/>
          <w:bCs/>
          <w:color w:val="0000FF"/>
        </w:rPr>
        <w:t xml:space="preserve">Exclusion of cases for missing data is appropriate. </w:t>
      </w:r>
    </w:p>
    <w:sectPr w:rsidR="008E565E" w:rsidSect="008505D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CC9" w:rsidRDefault="00480CC9" w:rsidP="005C73CA">
      <w:pPr>
        <w:spacing w:after="0" w:line="240" w:lineRule="auto"/>
      </w:pPr>
      <w:r>
        <w:separator/>
      </w:r>
    </w:p>
  </w:endnote>
  <w:endnote w:type="continuationSeparator" w:id="0">
    <w:p w:rsidR="00480CC9" w:rsidRDefault="00480CC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C9" w:rsidRDefault="00480CC9">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0D67E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CC9" w:rsidRDefault="00480CC9" w:rsidP="005C73CA">
      <w:pPr>
        <w:spacing w:after="0" w:line="240" w:lineRule="auto"/>
      </w:pPr>
      <w:r>
        <w:separator/>
      </w:r>
    </w:p>
  </w:footnote>
  <w:footnote w:type="continuationSeparator" w:id="0">
    <w:p w:rsidR="00480CC9" w:rsidRDefault="00480CC9" w:rsidP="005C73CA">
      <w:pPr>
        <w:spacing w:after="0" w:line="240" w:lineRule="auto"/>
      </w:pPr>
      <w:r>
        <w:continuationSeparator/>
      </w:r>
    </w:p>
  </w:footnote>
  <w:footnote w:id="1">
    <w:p w:rsidR="00480CC9" w:rsidRPr="00BA60C6" w:rsidRDefault="00480CC9" w:rsidP="0018216F">
      <w:pPr>
        <w:pStyle w:val="Default"/>
        <w:rPr>
          <w:rFonts w:ascii="Calibri" w:hAnsi="Calibri" w:cs="Arial"/>
          <w:color w:val="auto"/>
          <w:sz w:val="18"/>
          <w:szCs w:val="18"/>
        </w:rPr>
      </w:pPr>
      <w:r w:rsidRPr="00BA60C6">
        <w:rPr>
          <w:rStyle w:val="FootnoteReference"/>
          <w:rFonts w:ascii="Calibri" w:hAnsi="Calibri"/>
          <w:color w:val="auto"/>
          <w:sz w:val="18"/>
          <w:szCs w:val="18"/>
        </w:rPr>
        <w:footnoteRef/>
      </w:r>
      <w:r w:rsidRPr="00BA60C6">
        <w:rPr>
          <w:rFonts w:ascii="Calibri" w:hAnsi="Calibri"/>
          <w:color w:val="auto"/>
          <w:sz w:val="18"/>
          <w:szCs w:val="18"/>
        </w:rPr>
        <w:t xml:space="preserve"> </w:t>
      </w:r>
      <w:r w:rsidRPr="00BA60C6">
        <w:rPr>
          <w:rFonts w:ascii="Calibri" w:hAnsi="Calibri"/>
          <w:color w:val="auto"/>
          <w:spacing w:val="1"/>
          <w:sz w:val="18"/>
          <w:szCs w:val="18"/>
        </w:rPr>
        <w:t>P</w:t>
      </w:r>
      <w:r w:rsidRPr="00BA60C6">
        <w:rPr>
          <w:rFonts w:ascii="Calibri" w:hAnsi="Calibri"/>
          <w:color w:val="auto"/>
          <w:sz w:val="18"/>
          <w:szCs w:val="18"/>
        </w:rPr>
        <w:t>re</w:t>
      </w:r>
      <w:r w:rsidRPr="00BA60C6">
        <w:rPr>
          <w:rFonts w:ascii="Calibri" w:hAnsi="Calibri"/>
          <w:color w:val="auto"/>
          <w:spacing w:val="-2"/>
          <w:sz w:val="18"/>
          <w:szCs w:val="18"/>
        </w:rPr>
        <w:t>s</w:t>
      </w:r>
      <w:r w:rsidRPr="00BA60C6">
        <w:rPr>
          <w:rFonts w:ascii="Calibri" w:hAnsi="Calibri"/>
          <w:color w:val="auto"/>
          <w:sz w:val="18"/>
          <w:szCs w:val="18"/>
        </w:rPr>
        <w:t>e</w:t>
      </w:r>
      <w:r w:rsidRPr="00BA60C6">
        <w:rPr>
          <w:rFonts w:ascii="Calibri" w:hAnsi="Calibri"/>
          <w:color w:val="auto"/>
          <w:spacing w:val="-1"/>
          <w:sz w:val="18"/>
          <w:szCs w:val="18"/>
        </w:rPr>
        <w:t>n</w:t>
      </w:r>
      <w:r w:rsidRPr="00BA60C6">
        <w:rPr>
          <w:rFonts w:ascii="Calibri" w:hAnsi="Calibri"/>
          <w:color w:val="auto"/>
          <w:sz w:val="18"/>
          <w:szCs w:val="18"/>
        </w:rPr>
        <w:t>t-</w:t>
      </w:r>
      <w:r w:rsidRPr="00BA60C6">
        <w:rPr>
          <w:rFonts w:ascii="Calibri" w:hAnsi="Calibri"/>
          <w:color w:val="auto"/>
          <w:spacing w:val="1"/>
          <w:sz w:val="18"/>
          <w:szCs w:val="18"/>
        </w:rPr>
        <w:t>o</w:t>
      </w:r>
      <w:r w:rsidRPr="00BA60C6">
        <w:rPr>
          <w:rFonts w:ascii="Calibri" w:hAnsi="Calibri"/>
          <w:color w:val="auto"/>
          <w:sz w:val="18"/>
          <w:szCs w:val="18"/>
        </w:rPr>
        <w:t>n -</w:t>
      </w:r>
      <w:r w:rsidRPr="00BA60C6">
        <w:rPr>
          <w:rFonts w:ascii="Calibri" w:hAnsi="Calibri"/>
          <w:color w:val="auto"/>
          <w:spacing w:val="-1"/>
          <w:sz w:val="18"/>
          <w:szCs w:val="18"/>
        </w:rPr>
        <w:t>A</w:t>
      </w:r>
      <w:r w:rsidRPr="00BA60C6">
        <w:rPr>
          <w:rFonts w:ascii="Calibri" w:hAnsi="Calibri"/>
          <w:color w:val="auto"/>
          <w:spacing w:val="-3"/>
          <w:sz w:val="18"/>
          <w:szCs w:val="18"/>
        </w:rPr>
        <w:t>d</w:t>
      </w:r>
      <w:r w:rsidRPr="00BA60C6">
        <w:rPr>
          <w:rFonts w:ascii="Calibri" w:hAnsi="Calibri"/>
          <w:color w:val="auto"/>
          <w:spacing w:val="1"/>
          <w:sz w:val="18"/>
          <w:szCs w:val="18"/>
        </w:rPr>
        <w:t>m</w:t>
      </w:r>
      <w:r w:rsidRPr="00BA60C6">
        <w:rPr>
          <w:rFonts w:ascii="Calibri" w:hAnsi="Calibri"/>
          <w:color w:val="auto"/>
          <w:sz w:val="18"/>
          <w:szCs w:val="18"/>
        </w:rPr>
        <w:t>iss</w:t>
      </w:r>
      <w:r w:rsidRPr="00BA60C6">
        <w:rPr>
          <w:rFonts w:ascii="Calibri" w:hAnsi="Calibri"/>
          <w:color w:val="auto"/>
          <w:spacing w:val="-3"/>
          <w:sz w:val="18"/>
          <w:szCs w:val="18"/>
        </w:rPr>
        <w:t>i</w:t>
      </w:r>
      <w:r w:rsidRPr="00BA60C6">
        <w:rPr>
          <w:rFonts w:ascii="Calibri" w:hAnsi="Calibri"/>
          <w:color w:val="auto"/>
          <w:spacing w:val="1"/>
          <w:sz w:val="18"/>
          <w:szCs w:val="18"/>
        </w:rPr>
        <w:t>o</w:t>
      </w:r>
      <w:r w:rsidRPr="00BA60C6">
        <w:rPr>
          <w:rFonts w:ascii="Calibri" w:hAnsi="Calibri"/>
          <w:color w:val="auto"/>
          <w:sz w:val="18"/>
          <w:szCs w:val="18"/>
        </w:rPr>
        <w:t>n w</w:t>
      </w:r>
      <w:r w:rsidRPr="00BA60C6">
        <w:rPr>
          <w:rFonts w:ascii="Calibri" w:hAnsi="Calibri"/>
          <w:color w:val="auto"/>
          <w:spacing w:val="-3"/>
          <w:sz w:val="18"/>
          <w:szCs w:val="18"/>
        </w:rPr>
        <w:t>a</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dd</w:t>
      </w:r>
      <w:r w:rsidRPr="00BA60C6">
        <w:rPr>
          <w:rFonts w:ascii="Calibri" w:hAnsi="Calibri"/>
          <w:color w:val="auto"/>
          <w:sz w:val="18"/>
          <w:szCs w:val="18"/>
        </w:rPr>
        <w:t>ed as</w:t>
      </w:r>
      <w:r w:rsidRPr="00BA60C6">
        <w:rPr>
          <w:rFonts w:ascii="Calibri" w:hAnsi="Calibri"/>
          <w:color w:val="auto"/>
          <w:spacing w:val="1"/>
          <w:sz w:val="18"/>
          <w:szCs w:val="18"/>
        </w:rPr>
        <w:t xml:space="preserve"> </w:t>
      </w:r>
      <w:r w:rsidRPr="00BA60C6">
        <w:rPr>
          <w:rFonts w:ascii="Calibri" w:hAnsi="Calibri"/>
          <w:color w:val="auto"/>
          <w:sz w:val="18"/>
          <w:szCs w:val="18"/>
        </w:rPr>
        <w:t xml:space="preserve">a </w:t>
      </w:r>
      <w:r w:rsidRPr="00BA60C6">
        <w:rPr>
          <w:rFonts w:ascii="Calibri" w:hAnsi="Calibri"/>
          <w:color w:val="auto"/>
          <w:spacing w:val="-1"/>
          <w:sz w:val="18"/>
          <w:szCs w:val="18"/>
        </w:rPr>
        <w:t>d</w:t>
      </w:r>
      <w:r w:rsidRPr="00BA60C6">
        <w:rPr>
          <w:rFonts w:ascii="Calibri" w:hAnsi="Calibri"/>
          <w:color w:val="auto"/>
          <w:spacing w:val="-3"/>
          <w:sz w:val="18"/>
          <w:szCs w:val="18"/>
        </w:rPr>
        <w:t>a</w:t>
      </w:r>
      <w:r w:rsidRPr="00BA60C6">
        <w:rPr>
          <w:rFonts w:ascii="Calibri" w:hAnsi="Calibri"/>
          <w:color w:val="auto"/>
          <w:sz w:val="18"/>
          <w:szCs w:val="18"/>
        </w:rPr>
        <w:t>ta e</w:t>
      </w:r>
      <w:r w:rsidRPr="00BA60C6">
        <w:rPr>
          <w:rFonts w:ascii="Calibri" w:hAnsi="Calibri"/>
          <w:color w:val="auto"/>
          <w:spacing w:val="-3"/>
          <w:sz w:val="18"/>
          <w:szCs w:val="18"/>
        </w:rPr>
        <w:t>l</w:t>
      </w:r>
      <w:r w:rsidRPr="00BA60C6">
        <w:rPr>
          <w:rFonts w:ascii="Calibri" w:hAnsi="Calibri"/>
          <w:color w:val="auto"/>
          <w:sz w:val="18"/>
          <w:szCs w:val="18"/>
        </w:rPr>
        <w:t>e</w:t>
      </w:r>
      <w:r w:rsidRPr="00BA60C6">
        <w:rPr>
          <w:rFonts w:ascii="Calibri" w:hAnsi="Calibri"/>
          <w:color w:val="auto"/>
          <w:spacing w:val="-1"/>
          <w:sz w:val="18"/>
          <w:szCs w:val="18"/>
        </w:rPr>
        <w:t>m</w:t>
      </w:r>
      <w:r w:rsidRPr="00BA60C6">
        <w:rPr>
          <w:rFonts w:ascii="Calibri" w:hAnsi="Calibri"/>
          <w:color w:val="auto"/>
          <w:sz w:val="18"/>
          <w:szCs w:val="18"/>
        </w:rPr>
        <w:t>e</w:t>
      </w:r>
      <w:r w:rsidRPr="00BA60C6">
        <w:rPr>
          <w:rFonts w:ascii="Calibri" w:hAnsi="Calibri"/>
          <w:color w:val="auto"/>
          <w:spacing w:val="-1"/>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pacing w:val="-2"/>
          <w:sz w:val="18"/>
          <w:szCs w:val="18"/>
        </w:rPr>
        <w:t>t</w:t>
      </w:r>
      <w:r w:rsidRPr="00BA60C6">
        <w:rPr>
          <w:rFonts w:ascii="Calibri" w:hAnsi="Calibri"/>
          <w:color w:val="auto"/>
          <w:sz w:val="18"/>
          <w:szCs w:val="18"/>
        </w:rPr>
        <w:t>o</w:t>
      </w:r>
      <w:r w:rsidRPr="00BA60C6">
        <w:rPr>
          <w:rFonts w:ascii="Calibri" w:hAnsi="Calibri"/>
          <w:color w:val="auto"/>
          <w:spacing w:val="2"/>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un</w:t>
      </w:r>
      <w:r w:rsidRPr="00BA60C6">
        <w:rPr>
          <w:rFonts w:ascii="Calibri" w:hAnsi="Calibri"/>
          <w:color w:val="auto"/>
          <w:sz w:val="18"/>
          <w:szCs w:val="18"/>
        </w:rPr>
        <w:t>if</w:t>
      </w:r>
      <w:r w:rsidRPr="00BA60C6">
        <w:rPr>
          <w:rFonts w:ascii="Calibri" w:hAnsi="Calibri"/>
          <w:color w:val="auto"/>
          <w:spacing w:val="1"/>
          <w:sz w:val="18"/>
          <w:szCs w:val="18"/>
        </w:rPr>
        <w:t>o</w:t>
      </w:r>
      <w:r w:rsidRPr="00BA60C6">
        <w:rPr>
          <w:rFonts w:ascii="Calibri" w:hAnsi="Calibri"/>
          <w:color w:val="auto"/>
          <w:spacing w:val="-3"/>
          <w:sz w:val="18"/>
          <w:szCs w:val="18"/>
        </w:rPr>
        <w:t>r</w:t>
      </w:r>
      <w:r w:rsidRPr="00BA60C6">
        <w:rPr>
          <w:rFonts w:ascii="Calibri" w:hAnsi="Calibri"/>
          <w:color w:val="auto"/>
          <w:sz w:val="18"/>
          <w:szCs w:val="18"/>
        </w:rPr>
        <w:t>m</w:t>
      </w:r>
      <w:r w:rsidRPr="00BA60C6">
        <w:rPr>
          <w:rFonts w:ascii="Calibri" w:hAnsi="Calibri"/>
          <w:color w:val="auto"/>
          <w:spacing w:val="2"/>
          <w:sz w:val="18"/>
          <w:szCs w:val="18"/>
        </w:rPr>
        <w:t xml:space="preserve"> </w:t>
      </w:r>
      <w:r w:rsidRPr="00BA60C6">
        <w:rPr>
          <w:rFonts w:ascii="Calibri" w:hAnsi="Calibri"/>
          <w:color w:val="auto"/>
          <w:spacing w:val="-1"/>
          <w:sz w:val="18"/>
          <w:szCs w:val="18"/>
        </w:rPr>
        <w:t>b</w:t>
      </w:r>
      <w:r w:rsidRPr="00BA60C6">
        <w:rPr>
          <w:rFonts w:ascii="Calibri" w:hAnsi="Calibri"/>
          <w:color w:val="auto"/>
          <w:sz w:val="18"/>
          <w:szCs w:val="18"/>
        </w:rPr>
        <w:t xml:space="preserve">ill </w:t>
      </w:r>
      <w:r w:rsidRPr="00BA60C6">
        <w:rPr>
          <w:rFonts w:ascii="Calibri" w:hAnsi="Calibri"/>
          <w:color w:val="auto"/>
          <w:spacing w:val="-3"/>
          <w:sz w:val="18"/>
          <w:szCs w:val="18"/>
        </w:rPr>
        <w:t>f</w:t>
      </w:r>
      <w:r w:rsidRPr="00BA60C6">
        <w:rPr>
          <w:rFonts w:ascii="Calibri" w:hAnsi="Calibri"/>
          <w:color w:val="auto"/>
          <w:spacing w:val="1"/>
          <w:sz w:val="18"/>
          <w:szCs w:val="18"/>
        </w:rPr>
        <w:t>o</w:t>
      </w:r>
      <w:r w:rsidRPr="00BA60C6">
        <w:rPr>
          <w:rFonts w:ascii="Calibri" w:hAnsi="Calibri"/>
          <w:color w:val="auto"/>
          <w:spacing w:val="-3"/>
          <w:sz w:val="18"/>
          <w:szCs w:val="18"/>
        </w:rPr>
        <w:t>r</w:t>
      </w:r>
      <w:r w:rsidRPr="00BA60C6">
        <w:rPr>
          <w:rFonts w:ascii="Calibri" w:hAnsi="Calibri"/>
          <w:color w:val="auto"/>
          <w:sz w:val="18"/>
          <w:szCs w:val="18"/>
        </w:rPr>
        <w:t>m</w:t>
      </w:r>
      <w:r w:rsidRPr="00BA60C6">
        <w:rPr>
          <w:rFonts w:ascii="Calibri" w:hAnsi="Calibri"/>
          <w:color w:val="auto"/>
          <w:spacing w:val="2"/>
          <w:sz w:val="18"/>
          <w:szCs w:val="18"/>
        </w:rPr>
        <w:t xml:space="preserve"> </w:t>
      </w:r>
      <w:r w:rsidRPr="00BA60C6">
        <w:rPr>
          <w:rFonts w:ascii="Calibri" w:hAnsi="Calibri"/>
          <w:color w:val="auto"/>
          <w:spacing w:val="1"/>
          <w:sz w:val="18"/>
          <w:szCs w:val="18"/>
        </w:rPr>
        <w:t>(</w:t>
      </w:r>
      <w:r w:rsidRPr="00BA60C6">
        <w:rPr>
          <w:rFonts w:ascii="Calibri" w:hAnsi="Calibri"/>
          <w:color w:val="auto"/>
          <w:sz w:val="18"/>
          <w:szCs w:val="18"/>
        </w:rPr>
        <w:t>U</w:t>
      </w:r>
      <w:r w:rsidRPr="00BA60C6">
        <w:rPr>
          <w:rFonts w:ascii="Calibri" w:hAnsi="Calibri"/>
          <w:color w:val="auto"/>
          <w:spacing w:val="-2"/>
          <w:sz w:val="18"/>
          <w:szCs w:val="18"/>
        </w:rPr>
        <w:t>B</w:t>
      </w:r>
      <w:r w:rsidRPr="00BA60C6">
        <w:rPr>
          <w:rFonts w:ascii="Calibri" w:hAnsi="Calibri"/>
          <w:color w:val="auto"/>
          <w:sz w:val="18"/>
          <w:szCs w:val="18"/>
        </w:rPr>
        <w:t>-</w:t>
      </w:r>
      <w:r w:rsidRPr="00BA60C6">
        <w:rPr>
          <w:rFonts w:ascii="Calibri" w:hAnsi="Calibri"/>
          <w:color w:val="auto"/>
          <w:spacing w:val="1"/>
          <w:sz w:val="18"/>
          <w:szCs w:val="18"/>
        </w:rPr>
        <w:t>04</w:t>
      </w:r>
      <w:r w:rsidRPr="00BA60C6">
        <w:rPr>
          <w:rFonts w:ascii="Calibri" w:hAnsi="Calibri"/>
          <w:color w:val="auto"/>
          <w:sz w:val="18"/>
          <w:szCs w:val="18"/>
        </w:rPr>
        <w:t>)</w:t>
      </w:r>
      <w:r w:rsidRPr="00BA60C6">
        <w:rPr>
          <w:rFonts w:ascii="Calibri" w:hAnsi="Calibri"/>
          <w:color w:val="auto"/>
          <w:spacing w:val="-2"/>
          <w:sz w:val="18"/>
          <w:szCs w:val="18"/>
        </w:rPr>
        <w:t xml:space="preserve"> </w:t>
      </w:r>
      <w:r w:rsidRPr="00BA60C6">
        <w:rPr>
          <w:rFonts w:ascii="Calibri" w:hAnsi="Calibri"/>
          <w:color w:val="auto"/>
          <w:spacing w:val="1"/>
          <w:sz w:val="18"/>
          <w:szCs w:val="18"/>
        </w:rPr>
        <w:t>e</w:t>
      </w:r>
      <w:r w:rsidRPr="00BA60C6">
        <w:rPr>
          <w:rFonts w:ascii="Calibri" w:hAnsi="Calibri"/>
          <w:color w:val="auto"/>
          <w:sz w:val="18"/>
          <w:szCs w:val="18"/>
        </w:rPr>
        <w:t>ff</w:t>
      </w:r>
      <w:r w:rsidRPr="00BA60C6">
        <w:rPr>
          <w:rFonts w:ascii="Calibri" w:hAnsi="Calibri"/>
          <w:color w:val="auto"/>
          <w:spacing w:val="-2"/>
          <w:sz w:val="18"/>
          <w:szCs w:val="18"/>
        </w:rPr>
        <w:t>e</w:t>
      </w:r>
      <w:r w:rsidRPr="00BA60C6">
        <w:rPr>
          <w:rFonts w:ascii="Calibri" w:hAnsi="Calibri"/>
          <w:color w:val="auto"/>
          <w:sz w:val="18"/>
          <w:szCs w:val="18"/>
        </w:rPr>
        <w:t>cti</w:t>
      </w:r>
      <w:r w:rsidRPr="00BA60C6">
        <w:rPr>
          <w:rFonts w:ascii="Calibri" w:hAnsi="Calibri"/>
          <w:color w:val="auto"/>
          <w:spacing w:val="-1"/>
          <w:sz w:val="18"/>
          <w:szCs w:val="18"/>
        </w:rPr>
        <w:t>v</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pacing w:val="-2"/>
          <w:sz w:val="18"/>
          <w:szCs w:val="18"/>
        </w:rPr>
        <w:t>O</w:t>
      </w:r>
      <w:r w:rsidRPr="00BA60C6">
        <w:rPr>
          <w:rFonts w:ascii="Calibri" w:hAnsi="Calibri"/>
          <w:color w:val="auto"/>
          <w:sz w:val="18"/>
          <w:szCs w:val="18"/>
        </w:rPr>
        <w:t>c</w:t>
      </w:r>
      <w:r w:rsidRPr="00BA60C6">
        <w:rPr>
          <w:rFonts w:ascii="Calibri" w:hAnsi="Calibri"/>
          <w:color w:val="auto"/>
          <w:spacing w:val="-2"/>
          <w:sz w:val="18"/>
          <w:szCs w:val="18"/>
        </w:rPr>
        <w:t>t</w:t>
      </w:r>
      <w:r w:rsidRPr="00BA60C6">
        <w:rPr>
          <w:rFonts w:ascii="Calibri" w:hAnsi="Calibri"/>
          <w:color w:val="auto"/>
          <w:spacing w:val="1"/>
          <w:sz w:val="18"/>
          <w:szCs w:val="18"/>
        </w:rPr>
        <w:t>o</w:t>
      </w:r>
      <w:r w:rsidRPr="00BA60C6">
        <w:rPr>
          <w:rFonts w:ascii="Calibri" w:hAnsi="Calibri"/>
          <w:color w:val="auto"/>
          <w:spacing w:val="-1"/>
          <w:sz w:val="18"/>
          <w:szCs w:val="18"/>
        </w:rPr>
        <w:t>b</w:t>
      </w:r>
      <w:r w:rsidRPr="00BA60C6">
        <w:rPr>
          <w:rFonts w:ascii="Calibri" w:hAnsi="Calibri"/>
          <w:color w:val="auto"/>
          <w:spacing w:val="1"/>
          <w:sz w:val="18"/>
          <w:szCs w:val="18"/>
        </w:rPr>
        <w:t>e</w:t>
      </w:r>
      <w:r w:rsidRPr="00BA60C6">
        <w:rPr>
          <w:rFonts w:ascii="Calibri" w:hAnsi="Calibri"/>
          <w:color w:val="auto"/>
          <w:sz w:val="18"/>
          <w:szCs w:val="18"/>
        </w:rPr>
        <w:t xml:space="preserve">r </w:t>
      </w:r>
      <w:r w:rsidRPr="00BA60C6">
        <w:rPr>
          <w:rFonts w:ascii="Calibri" w:hAnsi="Calibri"/>
          <w:color w:val="auto"/>
          <w:spacing w:val="1"/>
          <w:sz w:val="18"/>
          <w:szCs w:val="18"/>
        </w:rPr>
        <w:t>1</w:t>
      </w:r>
      <w:r w:rsidRPr="00BA60C6">
        <w:rPr>
          <w:rFonts w:ascii="Calibri" w:hAnsi="Calibri"/>
          <w:color w:val="auto"/>
          <w:sz w:val="18"/>
          <w:szCs w:val="18"/>
        </w:rPr>
        <w:t>,</w:t>
      </w:r>
      <w:r w:rsidRPr="00BA60C6">
        <w:rPr>
          <w:rFonts w:ascii="Calibri" w:hAnsi="Calibri"/>
          <w:color w:val="auto"/>
          <w:spacing w:val="1"/>
          <w:sz w:val="18"/>
          <w:szCs w:val="18"/>
        </w:rPr>
        <w:t xml:space="preserve"> </w:t>
      </w:r>
      <w:r w:rsidRPr="00BA60C6">
        <w:rPr>
          <w:rFonts w:ascii="Calibri" w:hAnsi="Calibri"/>
          <w:color w:val="auto"/>
          <w:spacing w:val="-2"/>
          <w:sz w:val="18"/>
          <w:szCs w:val="18"/>
        </w:rPr>
        <w:t>20</w:t>
      </w:r>
      <w:r w:rsidRPr="00BA60C6">
        <w:rPr>
          <w:rFonts w:ascii="Calibri" w:hAnsi="Calibri"/>
          <w:color w:val="auto"/>
          <w:spacing w:val="1"/>
          <w:sz w:val="18"/>
          <w:szCs w:val="18"/>
        </w:rPr>
        <w:t>07</w:t>
      </w:r>
      <w:r w:rsidRPr="00BA60C6">
        <w:rPr>
          <w:rFonts w:ascii="Calibri" w:hAnsi="Calibri"/>
          <w:color w:val="auto"/>
          <w:sz w:val="18"/>
          <w:szCs w:val="18"/>
        </w:rPr>
        <w:t>,</w:t>
      </w:r>
      <w:r w:rsidRPr="00BA60C6">
        <w:rPr>
          <w:rFonts w:ascii="Calibri" w:hAnsi="Calibri"/>
          <w:color w:val="auto"/>
          <w:spacing w:val="-2"/>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n</w:t>
      </w:r>
      <w:r w:rsidRPr="00BA60C6">
        <w:rPr>
          <w:rFonts w:ascii="Calibri" w:hAnsi="Calibri"/>
          <w:color w:val="auto"/>
          <w:sz w:val="18"/>
          <w:szCs w:val="18"/>
        </w:rPr>
        <w:t xml:space="preserve">d </w:t>
      </w:r>
      <w:r w:rsidRPr="00BA60C6">
        <w:rPr>
          <w:rFonts w:ascii="Calibri" w:hAnsi="Calibri"/>
          <w:color w:val="auto"/>
          <w:spacing w:val="-1"/>
          <w:sz w:val="18"/>
          <w:szCs w:val="18"/>
        </w:rPr>
        <w:t>h</w:t>
      </w:r>
      <w:r w:rsidRPr="00BA60C6">
        <w:rPr>
          <w:rFonts w:ascii="Calibri" w:hAnsi="Calibri"/>
          <w:color w:val="auto"/>
          <w:spacing w:val="1"/>
          <w:sz w:val="18"/>
          <w:szCs w:val="18"/>
        </w:rPr>
        <w:t>o</w:t>
      </w:r>
      <w:r w:rsidRPr="00BA60C6">
        <w:rPr>
          <w:rFonts w:ascii="Calibri" w:hAnsi="Calibri"/>
          <w:color w:val="auto"/>
          <w:sz w:val="18"/>
          <w:szCs w:val="18"/>
        </w:rPr>
        <w:t>s</w:t>
      </w:r>
      <w:r w:rsidRPr="00BA60C6">
        <w:rPr>
          <w:rFonts w:ascii="Calibri" w:hAnsi="Calibri"/>
          <w:color w:val="auto"/>
          <w:spacing w:val="-1"/>
          <w:sz w:val="18"/>
          <w:szCs w:val="18"/>
        </w:rPr>
        <w:t>p</w:t>
      </w:r>
      <w:r w:rsidRPr="00BA60C6">
        <w:rPr>
          <w:rFonts w:ascii="Calibri" w:hAnsi="Calibri"/>
          <w:color w:val="auto"/>
          <w:sz w:val="18"/>
          <w:szCs w:val="18"/>
        </w:rPr>
        <w:t>itals</w:t>
      </w:r>
      <w:r w:rsidRPr="00BA60C6">
        <w:rPr>
          <w:rFonts w:ascii="Calibri" w:hAnsi="Calibri"/>
          <w:color w:val="auto"/>
          <w:spacing w:val="-2"/>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c</w:t>
      </w:r>
      <w:r w:rsidRPr="00BA60C6">
        <w:rPr>
          <w:rFonts w:ascii="Calibri" w:hAnsi="Calibri"/>
          <w:color w:val="auto"/>
          <w:spacing w:val="-1"/>
          <w:sz w:val="18"/>
          <w:szCs w:val="18"/>
        </w:rPr>
        <w:t>u</w:t>
      </w:r>
      <w:r w:rsidRPr="00BA60C6">
        <w:rPr>
          <w:rFonts w:ascii="Calibri" w:hAnsi="Calibri"/>
          <w:color w:val="auto"/>
          <w:spacing w:val="-3"/>
          <w:sz w:val="18"/>
          <w:szCs w:val="18"/>
        </w:rPr>
        <w:t>r</w:t>
      </w:r>
      <w:r w:rsidRPr="00BA60C6">
        <w:rPr>
          <w:rFonts w:ascii="Calibri" w:hAnsi="Calibri"/>
          <w:color w:val="auto"/>
          <w:sz w:val="18"/>
          <w:szCs w:val="18"/>
        </w:rPr>
        <w:t>r</w:t>
      </w:r>
      <w:r w:rsidRPr="00BA60C6">
        <w:rPr>
          <w:rFonts w:ascii="Calibri" w:hAnsi="Calibri"/>
          <w:color w:val="auto"/>
          <w:spacing w:val="1"/>
          <w:sz w:val="18"/>
          <w:szCs w:val="18"/>
        </w:rPr>
        <w:t>e</w:t>
      </w:r>
      <w:r w:rsidRPr="00BA60C6">
        <w:rPr>
          <w:rFonts w:ascii="Calibri" w:hAnsi="Calibri"/>
          <w:color w:val="auto"/>
          <w:sz w:val="18"/>
          <w:szCs w:val="18"/>
        </w:rPr>
        <w:t xml:space="preserve">d a </w:t>
      </w:r>
      <w:r w:rsidRPr="00BA60C6">
        <w:rPr>
          <w:rFonts w:ascii="Calibri" w:hAnsi="Calibri"/>
          <w:color w:val="auto"/>
          <w:spacing w:val="-1"/>
          <w:sz w:val="18"/>
          <w:szCs w:val="18"/>
        </w:rPr>
        <w:t>p</w:t>
      </w:r>
      <w:r w:rsidRPr="00BA60C6">
        <w:rPr>
          <w:rFonts w:ascii="Calibri" w:hAnsi="Calibri"/>
          <w:color w:val="auto"/>
          <w:sz w:val="18"/>
          <w:szCs w:val="18"/>
        </w:rPr>
        <w:t>a</w:t>
      </w:r>
      <w:r w:rsidRPr="00BA60C6">
        <w:rPr>
          <w:rFonts w:ascii="Calibri" w:hAnsi="Calibri"/>
          <w:color w:val="auto"/>
          <w:spacing w:val="-2"/>
          <w:sz w:val="18"/>
          <w:szCs w:val="18"/>
        </w:rPr>
        <w:t>y</w:t>
      </w:r>
      <w:r w:rsidRPr="00BA60C6">
        <w:rPr>
          <w:rFonts w:ascii="Calibri" w:hAnsi="Calibri"/>
          <w:color w:val="auto"/>
          <w:spacing w:val="1"/>
          <w:sz w:val="18"/>
          <w:szCs w:val="18"/>
        </w:rPr>
        <w:t>me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pacing w:val="-1"/>
          <w:sz w:val="18"/>
          <w:szCs w:val="18"/>
        </w:rPr>
        <w:t>p</w:t>
      </w:r>
      <w:r w:rsidRPr="00BA60C6">
        <w:rPr>
          <w:rFonts w:ascii="Calibri" w:hAnsi="Calibri"/>
          <w:color w:val="auto"/>
          <w:spacing w:val="1"/>
          <w:sz w:val="18"/>
          <w:szCs w:val="18"/>
        </w:rPr>
        <w:t>e</w:t>
      </w:r>
      <w:r w:rsidRPr="00BA60C6">
        <w:rPr>
          <w:rFonts w:ascii="Calibri" w:hAnsi="Calibri"/>
          <w:color w:val="auto"/>
          <w:spacing w:val="-1"/>
          <w:sz w:val="18"/>
          <w:szCs w:val="18"/>
        </w:rPr>
        <w:t>n</w:t>
      </w:r>
      <w:r w:rsidRPr="00BA60C6">
        <w:rPr>
          <w:rFonts w:ascii="Calibri" w:hAnsi="Calibri"/>
          <w:color w:val="auto"/>
          <w:sz w:val="18"/>
          <w:szCs w:val="18"/>
        </w:rPr>
        <w:t>al</w:t>
      </w:r>
      <w:r w:rsidRPr="00BA60C6">
        <w:rPr>
          <w:rFonts w:ascii="Calibri" w:hAnsi="Calibri"/>
          <w:color w:val="auto"/>
          <w:spacing w:val="-2"/>
          <w:sz w:val="18"/>
          <w:szCs w:val="18"/>
        </w:rPr>
        <w:t>t</w:t>
      </w:r>
      <w:r w:rsidRPr="00BA60C6">
        <w:rPr>
          <w:rFonts w:ascii="Calibri" w:hAnsi="Calibri"/>
          <w:color w:val="auto"/>
          <w:sz w:val="18"/>
          <w:szCs w:val="18"/>
        </w:rPr>
        <w:t>y</w:t>
      </w:r>
      <w:r w:rsidRPr="00BA60C6">
        <w:rPr>
          <w:rFonts w:ascii="Calibri" w:hAnsi="Calibri"/>
          <w:color w:val="auto"/>
          <w:spacing w:val="1"/>
          <w:sz w:val="18"/>
          <w:szCs w:val="18"/>
        </w:rPr>
        <w:t xml:space="preserve"> </w:t>
      </w:r>
      <w:r w:rsidRPr="00BA60C6">
        <w:rPr>
          <w:rFonts w:ascii="Calibri" w:hAnsi="Calibri"/>
          <w:color w:val="auto"/>
          <w:spacing w:val="-3"/>
          <w:sz w:val="18"/>
          <w:szCs w:val="18"/>
        </w:rPr>
        <w:t>f</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pacing w:val="-1"/>
          <w:sz w:val="18"/>
          <w:szCs w:val="18"/>
        </w:rPr>
        <w:t>n</w:t>
      </w:r>
      <w:r w:rsidRPr="00BA60C6">
        <w:rPr>
          <w:rFonts w:ascii="Calibri" w:hAnsi="Calibri"/>
          <w:color w:val="auto"/>
          <w:spacing w:val="1"/>
          <w:sz w:val="18"/>
          <w:szCs w:val="18"/>
        </w:rPr>
        <w:t>o</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cl</w:t>
      </w:r>
      <w:r w:rsidRPr="00BA60C6">
        <w:rPr>
          <w:rFonts w:ascii="Calibri" w:hAnsi="Calibri"/>
          <w:color w:val="auto"/>
          <w:spacing w:val="-1"/>
          <w:sz w:val="18"/>
          <w:szCs w:val="18"/>
        </w:rPr>
        <w:t>ud</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 xml:space="preserve">g </w:t>
      </w:r>
      <w:r w:rsidRPr="00BA60C6">
        <w:rPr>
          <w:rFonts w:ascii="Calibri" w:hAnsi="Calibri"/>
          <w:color w:val="auto"/>
          <w:spacing w:val="-1"/>
          <w:sz w:val="18"/>
          <w:szCs w:val="18"/>
        </w:rPr>
        <w:t>P</w:t>
      </w:r>
      <w:r w:rsidRPr="00BA60C6">
        <w:rPr>
          <w:rFonts w:ascii="Calibri" w:hAnsi="Calibri"/>
          <w:color w:val="auto"/>
          <w:sz w:val="18"/>
          <w:szCs w:val="18"/>
        </w:rPr>
        <w:t xml:space="preserve">OA </w:t>
      </w:r>
      <w:r w:rsidRPr="00BA60C6">
        <w:rPr>
          <w:rFonts w:ascii="Calibri" w:hAnsi="Calibri"/>
          <w:color w:val="auto"/>
          <w:spacing w:val="1"/>
          <w:sz w:val="18"/>
          <w:szCs w:val="18"/>
        </w:rPr>
        <w:t>o</w:t>
      </w:r>
      <w:r w:rsidRPr="00BA60C6">
        <w:rPr>
          <w:rFonts w:ascii="Calibri" w:hAnsi="Calibri"/>
          <w:color w:val="auto"/>
          <w:sz w:val="18"/>
          <w:szCs w:val="18"/>
        </w:rPr>
        <w:t>n</w:t>
      </w:r>
      <w:r w:rsidRPr="00BA60C6">
        <w:rPr>
          <w:rFonts w:ascii="Calibri" w:hAnsi="Calibri"/>
          <w:color w:val="auto"/>
          <w:spacing w:val="-3"/>
          <w:sz w:val="18"/>
          <w:szCs w:val="18"/>
        </w:rPr>
        <w:t xml:space="preserve"> </w:t>
      </w:r>
      <w:r w:rsidRPr="00BA60C6">
        <w:rPr>
          <w:rFonts w:ascii="Calibri" w:hAnsi="Calibri"/>
          <w:color w:val="auto"/>
          <w:spacing w:val="-2"/>
          <w:sz w:val="18"/>
          <w:szCs w:val="18"/>
        </w:rPr>
        <w:t>M</w:t>
      </w:r>
      <w:r w:rsidRPr="00BA60C6">
        <w:rPr>
          <w:rFonts w:ascii="Calibri" w:hAnsi="Calibri"/>
          <w:color w:val="auto"/>
          <w:spacing w:val="1"/>
          <w:sz w:val="18"/>
          <w:szCs w:val="18"/>
        </w:rPr>
        <w:t>e</w:t>
      </w:r>
      <w:r w:rsidRPr="00BA60C6">
        <w:rPr>
          <w:rFonts w:ascii="Calibri" w:hAnsi="Calibri"/>
          <w:color w:val="auto"/>
          <w:spacing w:val="-1"/>
          <w:sz w:val="18"/>
          <w:szCs w:val="18"/>
        </w:rPr>
        <w:t>d</w:t>
      </w:r>
      <w:r w:rsidRPr="00BA60C6">
        <w:rPr>
          <w:rFonts w:ascii="Calibri" w:hAnsi="Calibri"/>
          <w:color w:val="auto"/>
          <w:sz w:val="18"/>
          <w:szCs w:val="18"/>
        </w:rPr>
        <w:t>icare</w:t>
      </w:r>
      <w:r w:rsidRPr="00BA60C6">
        <w:rPr>
          <w:rFonts w:ascii="Calibri" w:hAnsi="Calibri"/>
          <w:color w:val="auto"/>
          <w:spacing w:val="1"/>
          <w:sz w:val="18"/>
          <w:szCs w:val="18"/>
        </w:rPr>
        <w:t xml:space="preserve"> </w:t>
      </w:r>
      <w:r w:rsidRPr="00BA60C6">
        <w:rPr>
          <w:rFonts w:ascii="Calibri" w:hAnsi="Calibri"/>
          <w:color w:val="auto"/>
          <w:sz w:val="18"/>
          <w:szCs w:val="18"/>
        </w:rPr>
        <w:t>r</w:t>
      </w:r>
      <w:r w:rsidRPr="00BA60C6">
        <w:rPr>
          <w:rFonts w:ascii="Calibri" w:hAnsi="Calibri"/>
          <w:color w:val="auto"/>
          <w:spacing w:val="-2"/>
          <w:sz w:val="18"/>
          <w:szCs w:val="18"/>
        </w:rPr>
        <w:t>e</w:t>
      </w:r>
      <w:r w:rsidRPr="00BA60C6">
        <w:rPr>
          <w:rFonts w:ascii="Calibri" w:hAnsi="Calibri"/>
          <w:color w:val="auto"/>
          <w:sz w:val="18"/>
          <w:szCs w:val="18"/>
        </w:rPr>
        <w:t>c</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1"/>
          <w:sz w:val="18"/>
          <w:szCs w:val="18"/>
        </w:rPr>
        <w:t>d</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pacing w:val="-1"/>
          <w:sz w:val="18"/>
          <w:szCs w:val="18"/>
        </w:rPr>
        <w:t>b</w:t>
      </w:r>
      <w:r w:rsidRPr="00BA60C6">
        <w:rPr>
          <w:rFonts w:ascii="Calibri" w:hAnsi="Calibri"/>
          <w:color w:val="auto"/>
          <w:spacing w:val="1"/>
          <w:sz w:val="18"/>
          <w:szCs w:val="18"/>
        </w:rPr>
        <w:t>e</w:t>
      </w:r>
      <w:r w:rsidRPr="00BA60C6">
        <w:rPr>
          <w:rFonts w:ascii="Calibri" w:hAnsi="Calibri"/>
          <w:color w:val="auto"/>
          <w:spacing w:val="-1"/>
          <w:sz w:val="18"/>
          <w:szCs w:val="18"/>
        </w:rPr>
        <w:t>g</w:t>
      </w:r>
      <w:r w:rsidRPr="00BA60C6">
        <w:rPr>
          <w:rFonts w:ascii="Calibri" w:hAnsi="Calibri"/>
          <w:color w:val="auto"/>
          <w:sz w:val="18"/>
          <w:szCs w:val="18"/>
        </w:rPr>
        <w:t>i</w:t>
      </w:r>
      <w:r w:rsidRPr="00BA60C6">
        <w:rPr>
          <w:rFonts w:ascii="Calibri" w:hAnsi="Calibri"/>
          <w:color w:val="auto"/>
          <w:spacing w:val="-1"/>
          <w:sz w:val="18"/>
          <w:szCs w:val="18"/>
        </w:rPr>
        <w:t>nn</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g Oct</w:t>
      </w:r>
      <w:r w:rsidRPr="00BA60C6">
        <w:rPr>
          <w:rFonts w:ascii="Calibri" w:hAnsi="Calibri"/>
          <w:color w:val="auto"/>
          <w:spacing w:val="1"/>
          <w:sz w:val="18"/>
          <w:szCs w:val="18"/>
        </w:rPr>
        <w:t>o</w:t>
      </w:r>
      <w:r w:rsidRPr="00BA60C6">
        <w:rPr>
          <w:rFonts w:ascii="Calibri" w:hAnsi="Calibri"/>
          <w:color w:val="auto"/>
          <w:spacing w:val="-3"/>
          <w:sz w:val="18"/>
          <w:szCs w:val="18"/>
        </w:rPr>
        <w:t>b</w:t>
      </w:r>
      <w:r w:rsidRPr="00BA60C6">
        <w:rPr>
          <w:rFonts w:ascii="Calibri" w:hAnsi="Calibri"/>
          <w:color w:val="auto"/>
          <w:spacing w:val="1"/>
          <w:sz w:val="18"/>
          <w:szCs w:val="18"/>
        </w:rPr>
        <w:t>e</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pacing w:val="1"/>
          <w:sz w:val="18"/>
          <w:szCs w:val="18"/>
        </w:rPr>
        <w:t>1</w:t>
      </w:r>
      <w:r w:rsidRPr="00BA60C6">
        <w:rPr>
          <w:rFonts w:ascii="Calibri" w:hAnsi="Calibri"/>
          <w:color w:val="auto"/>
          <w:sz w:val="18"/>
          <w:szCs w:val="18"/>
        </w:rPr>
        <w:t>,</w:t>
      </w:r>
      <w:r w:rsidRPr="00BA60C6">
        <w:rPr>
          <w:rFonts w:ascii="Calibri" w:hAnsi="Calibri"/>
          <w:color w:val="auto"/>
          <w:spacing w:val="1"/>
          <w:sz w:val="18"/>
          <w:szCs w:val="18"/>
        </w:rPr>
        <w:t xml:space="preserve"> </w:t>
      </w:r>
      <w:r w:rsidRPr="00BA60C6">
        <w:rPr>
          <w:rFonts w:ascii="Calibri" w:hAnsi="Calibri"/>
          <w:color w:val="auto"/>
          <w:spacing w:val="-2"/>
          <w:sz w:val="18"/>
          <w:szCs w:val="18"/>
        </w:rPr>
        <w:t>20</w:t>
      </w:r>
      <w:r w:rsidRPr="00BA60C6">
        <w:rPr>
          <w:rFonts w:ascii="Calibri" w:hAnsi="Calibri"/>
          <w:color w:val="auto"/>
          <w:spacing w:val="1"/>
          <w:sz w:val="18"/>
          <w:szCs w:val="18"/>
        </w:rPr>
        <w:t>08</w:t>
      </w:r>
      <w:r w:rsidRPr="00BA60C6">
        <w:rPr>
          <w:rFonts w:ascii="Calibri" w:hAnsi="Calibri"/>
          <w:color w:val="auto"/>
          <w:sz w:val="18"/>
          <w:szCs w:val="18"/>
        </w:rPr>
        <w:t xml:space="preserve">. </w:t>
      </w:r>
      <w:r w:rsidRPr="00BA60C6">
        <w:rPr>
          <w:rFonts w:ascii="Calibri" w:hAnsi="Calibri"/>
          <w:color w:val="auto"/>
          <w:spacing w:val="-2"/>
          <w:sz w:val="18"/>
          <w:szCs w:val="18"/>
        </w:rPr>
        <w:t>E</w:t>
      </w:r>
      <w:r w:rsidRPr="00BA60C6">
        <w:rPr>
          <w:rFonts w:ascii="Calibri" w:hAnsi="Calibri"/>
          <w:color w:val="auto"/>
          <w:sz w:val="18"/>
          <w:szCs w:val="18"/>
        </w:rPr>
        <w:t>ach</w:t>
      </w:r>
      <w:r w:rsidRPr="00BA60C6">
        <w:rPr>
          <w:rFonts w:ascii="Calibri" w:hAnsi="Calibri"/>
          <w:color w:val="auto"/>
          <w:spacing w:val="-3"/>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f t</w:t>
      </w:r>
      <w:r w:rsidRPr="00BA60C6">
        <w:rPr>
          <w:rFonts w:ascii="Calibri" w:hAnsi="Calibri"/>
          <w:color w:val="auto"/>
          <w:spacing w:val="-3"/>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s</w:t>
      </w:r>
      <w:r w:rsidRPr="00BA60C6">
        <w:rPr>
          <w:rFonts w:ascii="Calibri" w:hAnsi="Calibri"/>
          <w:color w:val="auto"/>
          <w:spacing w:val="-2"/>
          <w:sz w:val="18"/>
          <w:szCs w:val="18"/>
        </w:rPr>
        <w:t>e</w:t>
      </w:r>
      <w:r w:rsidRPr="00BA60C6">
        <w:rPr>
          <w:rFonts w:ascii="Calibri" w:hAnsi="Calibri"/>
          <w:color w:val="auto"/>
          <w:spacing w:val="1"/>
          <w:sz w:val="18"/>
          <w:szCs w:val="18"/>
        </w:rPr>
        <w:t>ve</w:t>
      </w:r>
      <w:r w:rsidRPr="00BA60C6">
        <w:rPr>
          <w:rFonts w:ascii="Calibri" w:hAnsi="Calibri"/>
          <w:color w:val="auto"/>
          <w:sz w:val="18"/>
          <w:szCs w:val="18"/>
        </w:rPr>
        <w:t>ral</w:t>
      </w:r>
      <w:r w:rsidRPr="00BA60C6">
        <w:rPr>
          <w:rFonts w:ascii="Calibri" w:hAnsi="Calibri"/>
          <w:color w:val="auto"/>
          <w:spacing w:val="-2"/>
          <w:sz w:val="18"/>
          <w:szCs w:val="18"/>
        </w:rPr>
        <w:t xml:space="preserve"> </w:t>
      </w:r>
      <w:r w:rsidRPr="00BA60C6">
        <w:rPr>
          <w:rFonts w:ascii="Calibri" w:hAnsi="Calibri"/>
          <w:color w:val="auto"/>
          <w:spacing w:val="-1"/>
          <w:sz w:val="18"/>
          <w:szCs w:val="18"/>
        </w:rPr>
        <w:t>d</w:t>
      </w:r>
      <w:r w:rsidRPr="00BA60C6">
        <w:rPr>
          <w:rFonts w:ascii="Calibri" w:hAnsi="Calibri"/>
          <w:color w:val="auto"/>
          <w:sz w:val="18"/>
          <w:szCs w:val="18"/>
        </w:rPr>
        <w:t>ia</w:t>
      </w:r>
      <w:r w:rsidRPr="00BA60C6">
        <w:rPr>
          <w:rFonts w:ascii="Calibri" w:hAnsi="Calibri"/>
          <w:color w:val="auto"/>
          <w:spacing w:val="-1"/>
          <w:sz w:val="18"/>
          <w:szCs w:val="18"/>
        </w:rPr>
        <w:t>gn</w:t>
      </w:r>
      <w:r w:rsidRPr="00BA60C6">
        <w:rPr>
          <w:rFonts w:ascii="Calibri" w:hAnsi="Calibri"/>
          <w:color w:val="auto"/>
          <w:spacing w:val="1"/>
          <w:sz w:val="18"/>
          <w:szCs w:val="18"/>
        </w:rPr>
        <w:t>o</w:t>
      </w:r>
      <w:r w:rsidRPr="00BA60C6">
        <w:rPr>
          <w:rFonts w:ascii="Calibri" w:hAnsi="Calibri"/>
          <w:color w:val="auto"/>
          <w:sz w:val="18"/>
          <w:szCs w:val="18"/>
        </w:rPr>
        <w:t>s</w:t>
      </w:r>
      <w:r w:rsidRPr="00BA60C6">
        <w:rPr>
          <w:rFonts w:ascii="Calibri" w:hAnsi="Calibri"/>
          <w:color w:val="auto"/>
          <w:spacing w:val="1"/>
          <w:sz w:val="18"/>
          <w:szCs w:val="18"/>
        </w:rPr>
        <w:t>e</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z w:val="18"/>
          <w:szCs w:val="18"/>
        </w:rPr>
        <w:t xml:space="preserve">in a </w:t>
      </w:r>
      <w:r w:rsidRPr="00BA60C6">
        <w:rPr>
          <w:rFonts w:ascii="Calibri" w:hAnsi="Calibri"/>
          <w:color w:val="auto"/>
          <w:spacing w:val="-1"/>
          <w:sz w:val="18"/>
          <w:szCs w:val="18"/>
        </w:rPr>
        <w:t>d</w:t>
      </w:r>
      <w:r w:rsidRPr="00BA60C6">
        <w:rPr>
          <w:rFonts w:ascii="Calibri" w:hAnsi="Calibri"/>
          <w:color w:val="auto"/>
          <w:sz w:val="18"/>
          <w:szCs w:val="18"/>
        </w:rPr>
        <w:t>i</w:t>
      </w:r>
      <w:r w:rsidRPr="00BA60C6">
        <w:rPr>
          <w:rFonts w:ascii="Calibri" w:hAnsi="Calibri"/>
          <w:color w:val="auto"/>
          <w:spacing w:val="-2"/>
          <w:sz w:val="18"/>
          <w:szCs w:val="18"/>
        </w:rPr>
        <w:t>s</w:t>
      </w:r>
      <w:r w:rsidRPr="00BA60C6">
        <w:rPr>
          <w:rFonts w:ascii="Calibri" w:hAnsi="Calibri"/>
          <w:color w:val="auto"/>
          <w:sz w:val="18"/>
          <w:szCs w:val="18"/>
        </w:rPr>
        <w:t>c</w:t>
      </w:r>
      <w:r w:rsidRPr="00BA60C6">
        <w:rPr>
          <w:rFonts w:ascii="Calibri" w:hAnsi="Calibri"/>
          <w:color w:val="auto"/>
          <w:spacing w:val="-1"/>
          <w:sz w:val="18"/>
          <w:szCs w:val="18"/>
        </w:rPr>
        <w:t>h</w:t>
      </w:r>
      <w:r w:rsidRPr="00BA60C6">
        <w:rPr>
          <w:rFonts w:ascii="Calibri" w:hAnsi="Calibri"/>
          <w:color w:val="auto"/>
          <w:sz w:val="18"/>
          <w:szCs w:val="18"/>
        </w:rPr>
        <w:t>ar</w:t>
      </w:r>
      <w:r w:rsidRPr="00BA60C6">
        <w:rPr>
          <w:rFonts w:ascii="Calibri" w:hAnsi="Calibri"/>
          <w:color w:val="auto"/>
          <w:spacing w:val="-1"/>
          <w:sz w:val="18"/>
          <w:szCs w:val="18"/>
        </w:rPr>
        <w:t>g</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r</w:t>
      </w:r>
      <w:r w:rsidRPr="00BA60C6">
        <w:rPr>
          <w:rFonts w:ascii="Calibri" w:hAnsi="Calibri"/>
          <w:color w:val="auto"/>
          <w:spacing w:val="1"/>
          <w:sz w:val="18"/>
          <w:szCs w:val="18"/>
        </w:rPr>
        <w:t>e</w:t>
      </w:r>
      <w:r w:rsidRPr="00BA60C6">
        <w:rPr>
          <w:rFonts w:ascii="Calibri" w:hAnsi="Calibri"/>
          <w:color w:val="auto"/>
          <w:spacing w:val="-2"/>
          <w:sz w:val="18"/>
          <w:szCs w:val="18"/>
        </w:rPr>
        <w:t>c</w:t>
      </w:r>
      <w:r w:rsidRPr="00BA60C6">
        <w:rPr>
          <w:rFonts w:ascii="Calibri" w:hAnsi="Calibri"/>
          <w:color w:val="auto"/>
          <w:spacing w:val="1"/>
          <w:sz w:val="18"/>
          <w:szCs w:val="18"/>
        </w:rPr>
        <w:t>o</w:t>
      </w:r>
      <w:r w:rsidRPr="00BA60C6">
        <w:rPr>
          <w:rFonts w:ascii="Calibri" w:hAnsi="Calibri"/>
          <w:color w:val="auto"/>
          <w:sz w:val="18"/>
          <w:szCs w:val="18"/>
        </w:rPr>
        <w:t xml:space="preserve">rd </w:t>
      </w:r>
      <w:r w:rsidRPr="00BA60C6">
        <w:rPr>
          <w:rFonts w:ascii="Calibri" w:hAnsi="Calibri"/>
          <w:color w:val="auto"/>
          <w:spacing w:val="-2"/>
          <w:sz w:val="18"/>
          <w:szCs w:val="18"/>
        </w:rPr>
        <w:t>c</w:t>
      </w:r>
      <w:r w:rsidRPr="00BA60C6">
        <w:rPr>
          <w:rFonts w:ascii="Calibri" w:hAnsi="Calibri"/>
          <w:color w:val="auto"/>
          <w:sz w:val="18"/>
          <w:szCs w:val="18"/>
        </w:rPr>
        <w:t xml:space="preserve">an </w:t>
      </w:r>
      <w:r w:rsidRPr="00BA60C6">
        <w:rPr>
          <w:rFonts w:ascii="Calibri" w:hAnsi="Calibri"/>
          <w:color w:val="auto"/>
          <w:spacing w:val="-1"/>
          <w:sz w:val="18"/>
          <w:szCs w:val="18"/>
        </w:rPr>
        <w:t>b</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fla</w:t>
      </w:r>
      <w:r w:rsidRPr="00BA60C6">
        <w:rPr>
          <w:rFonts w:ascii="Calibri" w:hAnsi="Calibri"/>
          <w:color w:val="auto"/>
          <w:spacing w:val="-1"/>
          <w:sz w:val="18"/>
          <w:szCs w:val="18"/>
        </w:rPr>
        <w:t>g</w:t>
      </w:r>
      <w:r w:rsidRPr="00BA60C6">
        <w:rPr>
          <w:rFonts w:ascii="Calibri" w:hAnsi="Calibri"/>
          <w:color w:val="auto"/>
          <w:spacing w:val="-3"/>
          <w:sz w:val="18"/>
          <w:szCs w:val="18"/>
        </w:rPr>
        <w:t>g</w:t>
      </w:r>
      <w:r w:rsidRPr="00BA60C6">
        <w:rPr>
          <w:rFonts w:ascii="Calibri" w:hAnsi="Calibri"/>
          <w:color w:val="auto"/>
          <w:spacing w:val="1"/>
          <w:sz w:val="18"/>
          <w:szCs w:val="18"/>
        </w:rPr>
        <w:t>e</w:t>
      </w:r>
      <w:r w:rsidRPr="00BA60C6">
        <w:rPr>
          <w:rFonts w:ascii="Calibri" w:hAnsi="Calibri"/>
          <w:color w:val="auto"/>
          <w:sz w:val="18"/>
          <w:szCs w:val="18"/>
        </w:rPr>
        <w:t>d as</w:t>
      </w:r>
      <w:r w:rsidRPr="00BA60C6">
        <w:rPr>
          <w:rFonts w:ascii="Calibri" w:hAnsi="Calibri"/>
          <w:color w:val="auto"/>
          <w:spacing w:val="-1"/>
          <w:sz w:val="18"/>
          <w:szCs w:val="18"/>
        </w:rPr>
        <w:t xml:space="preserve"> </w:t>
      </w:r>
      <w:r w:rsidRPr="00BA60C6">
        <w:rPr>
          <w:rFonts w:ascii="Calibri" w:hAnsi="Calibri"/>
          <w:color w:val="auto"/>
          <w:spacing w:val="1"/>
          <w:sz w:val="18"/>
          <w:szCs w:val="18"/>
        </w:rPr>
        <w:t>“</w:t>
      </w:r>
      <w:r w:rsidRPr="00BA60C6">
        <w:rPr>
          <w:rFonts w:ascii="Calibri" w:hAnsi="Calibri"/>
          <w:color w:val="auto"/>
          <w:spacing w:val="-1"/>
          <w:sz w:val="18"/>
          <w:szCs w:val="18"/>
        </w:rPr>
        <w:t>p</w:t>
      </w:r>
      <w:r w:rsidRPr="00BA60C6">
        <w:rPr>
          <w:rFonts w:ascii="Calibri" w:hAnsi="Calibri"/>
          <w:color w:val="auto"/>
          <w:sz w:val="18"/>
          <w:szCs w:val="18"/>
        </w:rPr>
        <w:t>rese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at</w:t>
      </w:r>
      <w:r w:rsidRPr="00BA60C6">
        <w:rPr>
          <w:rFonts w:ascii="Calibri" w:hAnsi="Calibri"/>
          <w:color w:val="auto"/>
          <w:spacing w:val="-1"/>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 ti</w:t>
      </w:r>
      <w:r w:rsidRPr="00BA60C6">
        <w:rPr>
          <w:rFonts w:ascii="Calibri" w:hAnsi="Calibri"/>
          <w:color w:val="auto"/>
          <w:spacing w:val="1"/>
          <w:sz w:val="18"/>
          <w:szCs w:val="18"/>
        </w:rPr>
        <w:t>m</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1"/>
          <w:sz w:val="18"/>
          <w:szCs w:val="18"/>
        </w:rPr>
        <w:t>d</w:t>
      </w:r>
      <w:r w:rsidRPr="00BA60C6">
        <w:rPr>
          <w:rFonts w:ascii="Calibri" w:hAnsi="Calibri"/>
          <w:color w:val="auto"/>
          <w:spacing w:val="1"/>
          <w:sz w:val="18"/>
          <w:szCs w:val="18"/>
        </w:rPr>
        <w:t>e</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z w:val="18"/>
          <w:szCs w:val="18"/>
        </w:rPr>
        <w:t>f</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np</w:t>
      </w:r>
      <w:r w:rsidRPr="00BA60C6">
        <w:rPr>
          <w:rFonts w:ascii="Calibri" w:hAnsi="Calibri"/>
          <w:color w:val="auto"/>
          <w:sz w:val="18"/>
          <w:szCs w:val="18"/>
        </w:rPr>
        <w:t>atie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d</w:t>
      </w:r>
      <w:r w:rsidRPr="00BA60C6">
        <w:rPr>
          <w:rFonts w:ascii="Calibri" w:hAnsi="Calibri"/>
          <w:color w:val="auto"/>
          <w:spacing w:val="1"/>
          <w:sz w:val="18"/>
          <w:szCs w:val="18"/>
        </w:rPr>
        <w:t>m</w:t>
      </w:r>
      <w:r w:rsidRPr="00BA60C6">
        <w:rPr>
          <w:rFonts w:ascii="Calibri" w:hAnsi="Calibri"/>
          <w:color w:val="auto"/>
          <w:sz w:val="18"/>
          <w:szCs w:val="18"/>
        </w:rPr>
        <w:t>i</w:t>
      </w:r>
      <w:r w:rsidRPr="00BA60C6">
        <w:rPr>
          <w:rFonts w:ascii="Calibri" w:hAnsi="Calibri"/>
          <w:color w:val="auto"/>
          <w:spacing w:val="-2"/>
          <w:sz w:val="18"/>
          <w:szCs w:val="18"/>
        </w:rPr>
        <w:t>s</w:t>
      </w:r>
      <w:r w:rsidRPr="00BA60C6">
        <w:rPr>
          <w:rFonts w:ascii="Calibri" w:hAnsi="Calibri"/>
          <w:color w:val="auto"/>
          <w:sz w:val="18"/>
          <w:szCs w:val="18"/>
        </w:rPr>
        <w:t>si</w:t>
      </w:r>
      <w:r w:rsidRPr="00BA60C6">
        <w:rPr>
          <w:rFonts w:ascii="Calibri" w:hAnsi="Calibri"/>
          <w:color w:val="auto"/>
          <w:spacing w:val="1"/>
          <w:sz w:val="18"/>
          <w:szCs w:val="18"/>
        </w:rPr>
        <w:t>o</w:t>
      </w:r>
      <w:r w:rsidRPr="00BA60C6">
        <w:rPr>
          <w:rFonts w:ascii="Calibri" w:hAnsi="Calibri"/>
          <w:color w:val="auto"/>
          <w:sz w:val="18"/>
          <w:szCs w:val="18"/>
        </w:rPr>
        <w:t>n</w:t>
      </w:r>
      <w:r w:rsidRPr="00BA60C6">
        <w:rPr>
          <w:rFonts w:ascii="Calibri" w:hAnsi="Calibri"/>
          <w:color w:val="auto"/>
          <w:spacing w:val="-3"/>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cc</w:t>
      </w:r>
      <w:r w:rsidRPr="00BA60C6">
        <w:rPr>
          <w:rFonts w:ascii="Calibri" w:hAnsi="Calibri"/>
          <w:color w:val="auto"/>
          <w:spacing w:val="-1"/>
          <w:sz w:val="18"/>
          <w:szCs w:val="18"/>
        </w:rPr>
        <w:t>u</w:t>
      </w:r>
      <w:r w:rsidRPr="00BA60C6">
        <w:rPr>
          <w:rFonts w:ascii="Calibri" w:hAnsi="Calibri"/>
          <w:color w:val="auto"/>
          <w:sz w:val="18"/>
          <w:szCs w:val="18"/>
        </w:rPr>
        <w:t>r</w:t>
      </w:r>
      <w:r w:rsidRPr="00BA60C6">
        <w:rPr>
          <w:rFonts w:ascii="Calibri" w:hAnsi="Calibri"/>
          <w:color w:val="auto"/>
          <w:spacing w:val="-2"/>
          <w:sz w:val="18"/>
          <w:szCs w:val="18"/>
        </w:rPr>
        <w:t>s</w:t>
      </w:r>
      <w:r w:rsidRPr="00BA60C6">
        <w:rPr>
          <w:rFonts w:ascii="Calibri" w:hAnsi="Calibri"/>
          <w:color w:val="auto"/>
          <w:spacing w:val="9"/>
          <w:sz w:val="18"/>
          <w:szCs w:val="18"/>
        </w:rPr>
        <w:t>”</w:t>
      </w:r>
      <w:r w:rsidRPr="00BA60C6">
        <w:rPr>
          <w:rFonts w:ascii="Calibri" w:eastAsia="Times New Roman" w:hAnsi="Calibri"/>
          <w:color w:val="auto"/>
          <w:spacing w:val="12"/>
          <w:position w:val="11"/>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 xml:space="preserve">r </w:t>
      </w:r>
      <w:r w:rsidRPr="00BA60C6">
        <w:rPr>
          <w:rFonts w:ascii="Calibri" w:hAnsi="Calibri"/>
          <w:color w:val="auto"/>
          <w:spacing w:val="-3"/>
          <w:sz w:val="18"/>
          <w:szCs w:val="18"/>
        </w:rPr>
        <w:t>n</w:t>
      </w:r>
      <w:r w:rsidRPr="00BA60C6">
        <w:rPr>
          <w:rFonts w:ascii="Calibri" w:hAnsi="Calibri"/>
          <w:color w:val="auto"/>
          <w:spacing w:val="1"/>
          <w:sz w:val="18"/>
          <w:szCs w:val="18"/>
        </w:rPr>
        <w:t>o</w:t>
      </w:r>
      <w:r w:rsidRPr="00BA60C6">
        <w:rPr>
          <w:rFonts w:ascii="Calibri" w:hAnsi="Calibri"/>
          <w:color w:val="auto"/>
          <w:sz w:val="18"/>
          <w:szCs w:val="18"/>
        </w:rPr>
        <w:t xml:space="preserve">t (see </w:t>
      </w:r>
    </w:p>
    <w:p w:rsidR="00480CC9" w:rsidRDefault="00480CC9" w:rsidP="0018216F">
      <w:pPr>
        <w:pStyle w:val="FootnoteText"/>
      </w:pPr>
      <w:r w:rsidRPr="00BA60C6">
        <w:rPr>
          <w:rFonts w:ascii="Calibri" w:hAnsi="Calibri" w:cs="Arial"/>
          <w:sz w:val="18"/>
          <w:szCs w:val="18"/>
          <w:u w:val="single"/>
        </w:rPr>
        <w:t>http://www.cdc.gov/nchs/icd/icd9cm_addenda_guidelines.htm</w:t>
      </w:r>
      <w:r w:rsidRPr="00BA60C6">
        <w:rPr>
          <w:rStyle w:val="Hyperlink"/>
          <w:rFonts w:ascii="Calibri" w:hAnsi="Calibri"/>
          <w:color w:val="auto"/>
          <w:sz w:val="18"/>
          <w:szCs w:val="18"/>
        </w:rPr>
        <w:t>)</w:t>
      </w:r>
      <w:r w:rsidRPr="00BA60C6">
        <w:rPr>
          <w:rFonts w:ascii="Calibri" w:hAnsi="Calibr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C9" w:rsidRPr="00105D8B" w:rsidRDefault="00480CC9"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4"/>
  </w:num>
  <w:num w:numId="11">
    <w:abstractNumId w:val="10"/>
  </w:num>
  <w:num w:numId="12">
    <w:abstractNumId w:val="22"/>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3"/>
  </w:num>
  <w:num w:numId="18">
    <w:abstractNumId w:val="21"/>
  </w:num>
  <w:num w:numId="19">
    <w:abstractNumId w:val="20"/>
  </w:num>
  <w:num w:numId="20">
    <w:abstractNumId w:val="15"/>
  </w:num>
  <w:num w:numId="21">
    <w:abstractNumId w:val="18"/>
  </w:num>
  <w:num w:numId="22">
    <w:abstractNumId w:val="14"/>
  </w:num>
  <w:num w:numId="23">
    <w:abstractNumId w:val="6"/>
  </w:num>
  <w:num w:numId="24">
    <w:abstractNumId w:val="12"/>
  </w:num>
  <w:num w:numId="25">
    <w:abstractNumId w:val="11"/>
  </w:num>
  <w:num w:numId="26">
    <w:abstractNumId w:val="25"/>
  </w:num>
  <w:num w:numId="27">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6317"/>
    <w:rsid w:val="000414E8"/>
    <w:rsid w:val="0004593A"/>
    <w:rsid w:val="00050A3E"/>
    <w:rsid w:val="00052A6F"/>
    <w:rsid w:val="00053F02"/>
    <w:rsid w:val="0005612B"/>
    <w:rsid w:val="000574AB"/>
    <w:rsid w:val="00057DE6"/>
    <w:rsid w:val="0006147A"/>
    <w:rsid w:val="000775F8"/>
    <w:rsid w:val="00080CF7"/>
    <w:rsid w:val="000851B2"/>
    <w:rsid w:val="00092566"/>
    <w:rsid w:val="000968F8"/>
    <w:rsid w:val="00097012"/>
    <w:rsid w:val="000B032A"/>
    <w:rsid w:val="000B0E62"/>
    <w:rsid w:val="000B2DF7"/>
    <w:rsid w:val="000B3880"/>
    <w:rsid w:val="000D67EB"/>
    <w:rsid w:val="000D7948"/>
    <w:rsid w:val="000D7C84"/>
    <w:rsid w:val="000E4E13"/>
    <w:rsid w:val="000E78F6"/>
    <w:rsid w:val="000F034A"/>
    <w:rsid w:val="000F06B5"/>
    <w:rsid w:val="000F36E1"/>
    <w:rsid w:val="000F39E9"/>
    <w:rsid w:val="00104B45"/>
    <w:rsid w:val="00105D8B"/>
    <w:rsid w:val="0011342F"/>
    <w:rsid w:val="001138C7"/>
    <w:rsid w:val="001202E9"/>
    <w:rsid w:val="00121F73"/>
    <w:rsid w:val="0012454F"/>
    <w:rsid w:val="00125273"/>
    <w:rsid w:val="0012575E"/>
    <w:rsid w:val="00127C06"/>
    <w:rsid w:val="00145149"/>
    <w:rsid w:val="00145D4F"/>
    <w:rsid w:val="0014773C"/>
    <w:rsid w:val="0017696D"/>
    <w:rsid w:val="0018216F"/>
    <w:rsid w:val="001848FC"/>
    <w:rsid w:val="0018740D"/>
    <w:rsid w:val="001969C5"/>
    <w:rsid w:val="001A6CDD"/>
    <w:rsid w:val="001C12EE"/>
    <w:rsid w:val="001C7B02"/>
    <w:rsid w:val="001E4DD4"/>
    <w:rsid w:val="001E69DC"/>
    <w:rsid w:val="001F169D"/>
    <w:rsid w:val="001F1DA1"/>
    <w:rsid w:val="001F6F93"/>
    <w:rsid w:val="001F7A20"/>
    <w:rsid w:val="0021195A"/>
    <w:rsid w:val="00213383"/>
    <w:rsid w:val="00220211"/>
    <w:rsid w:val="00220250"/>
    <w:rsid w:val="0022691B"/>
    <w:rsid w:val="00232163"/>
    <w:rsid w:val="002376F8"/>
    <w:rsid w:val="002408E4"/>
    <w:rsid w:val="00241591"/>
    <w:rsid w:val="00250B4F"/>
    <w:rsid w:val="0025762F"/>
    <w:rsid w:val="00277C5A"/>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2F61E6"/>
    <w:rsid w:val="003059EB"/>
    <w:rsid w:val="003116AC"/>
    <w:rsid w:val="00315567"/>
    <w:rsid w:val="00322B35"/>
    <w:rsid w:val="00330144"/>
    <w:rsid w:val="00346245"/>
    <w:rsid w:val="00356267"/>
    <w:rsid w:val="00356BAD"/>
    <w:rsid w:val="003605B4"/>
    <w:rsid w:val="003627AC"/>
    <w:rsid w:val="00366914"/>
    <w:rsid w:val="003728D6"/>
    <w:rsid w:val="00372FE3"/>
    <w:rsid w:val="003755CB"/>
    <w:rsid w:val="00383F85"/>
    <w:rsid w:val="003A306C"/>
    <w:rsid w:val="003A7DE7"/>
    <w:rsid w:val="003B1006"/>
    <w:rsid w:val="003C5F11"/>
    <w:rsid w:val="003D6401"/>
    <w:rsid w:val="003E1863"/>
    <w:rsid w:val="0041606D"/>
    <w:rsid w:val="00416962"/>
    <w:rsid w:val="004348CC"/>
    <w:rsid w:val="004658FF"/>
    <w:rsid w:val="00474305"/>
    <w:rsid w:val="00474ED7"/>
    <w:rsid w:val="004756E1"/>
    <w:rsid w:val="0048008A"/>
    <w:rsid w:val="00480CC9"/>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08D7"/>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324"/>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190A"/>
    <w:rsid w:val="006327D8"/>
    <w:rsid w:val="00635FA6"/>
    <w:rsid w:val="0064070A"/>
    <w:rsid w:val="0064167F"/>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B3D12"/>
    <w:rsid w:val="007C04A1"/>
    <w:rsid w:val="007C21FA"/>
    <w:rsid w:val="007D0242"/>
    <w:rsid w:val="007D1788"/>
    <w:rsid w:val="007D4351"/>
    <w:rsid w:val="007D7019"/>
    <w:rsid w:val="007E18DB"/>
    <w:rsid w:val="007E6F1C"/>
    <w:rsid w:val="00804C69"/>
    <w:rsid w:val="0080711D"/>
    <w:rsid w:val="008155CD"/>
    <w:rsid w:val="00816510"/>
    <w:rsid w:val="00833325"/>
    <w:rsid w:val="00840A41"/>
    <w:rsid w:val="00842F3C"/>
    <w:rsid w:val="008501F5"/>
    <w:rsid w:val="008505D1"/>
    <w:rsid w:val="00855158"/>
    <w:rsid w:val="00857EE8"/>
    <w:rsid w:val="0086464B"/>
    <w:rsid w:val="008647FC"/>
    <w:rsid w:val="00864CA8"/>
    <w:rsid w:val="00865E2D"/>
    <w:rsid w:val="00870C40"/>
    <w:rsid w:val="00870E6C"/>
    <w:rsid w:val="00884486"/>
    <w:rsid w:val="008871A9"/>
    <w:rsid w:val="008916BA"/>
    <w:rsid w:val="00892176"/>
    <w:rsid w:val="008A1DB7"/>
    <w:rsid w:val="008A403A"/>
    <w:rsid w:val="008A4C13"/>
    <w:rsid w:val="008B5A56"/>
    <w:rsid w:val="008B604D"/>
    <w:rsid w:val="008C54A9"/>
    <w:rsid w:val="008E565E"/>
    <w:rsid w:val="008E67C3"/>
    <w:rsid w:val="008F589F"/>
    <w:rsid w:val="008F76A9"/>
    <w:rsid w:val="008F7E67"/>
    <w:rsid w:val="00900DBF"/>
    <w:rsid w:val="009048B9"/>
    <w:rsid w:val="00904E91"/>
    <w:rsid w:val="00912A2F"/>
    <w:rsid w:val="00915886"/>
    <w:rsid w:val="009214DC"/>
    <w:rsid w:val="00927027"/>
    <w:rsid w:val="009344BA"/>
    <w:rsid w:val="0094152E"/>
    <w:rsid w:val="00947F78"/>
    <w:rsid w:val="00953234"/>
    <w:rsid w:val="00961EAF"/>
    <w:rsid w:val="0096278F"/>
    <w:rsid w:val="009726E1"/>
    <w:rsid w:val="00977591"/>
    <w:rsid w:val="00980E75"/>
    <w:rsid w:val="00994BE0"/>
    <w:rsid w:val="009A25B1"/>
    <w:rsid w:val="009A4608"/>
    <w:rsid w:val="009A6632"/>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C5E90"/>
    <w:rsid w:val="00AD0240"/>
    <w:rsid w:val="00AD4137"/>
    <w:rsid w:val="00AE5A7A"/>
    <w:rsid w:val="00B0020D"/>
    <w:rsid w:val="00B037BA"/>
    <w:rsid w:val="00B20139"/>
    <w:rsid w:val="00B218DA"/>
    <w:rsid w:val="00B342FA"/>
    <w:rsid w:val="00B467F0"/>
    <w:rsid w:val="00B52956"/>
    <w:rsid w:val="00B53E8B"/>
    <w:rsid w:val="00B774D2"/>
    <w:rsid w:val="00B8015A"/>
    <w:rsid w:val="00B82485"/>
    <w:rsid w:val="00B82A57"/>
    <w:rsid w:val="00BA053B"/>
    <w:rsid w:val="00BA338A"/>
    <w:rsid w:val="00BB35AE"/>
    <w:rsid w:val="00BC03A1"/>
    <w:rsid w:val="00BC0D25"/>
    <w:rsid w:val="00BD2505"/>
    <w:rsid w:val="00BE592D"/>
    <w:rsid w:val="00BF52B0"/>
    <w:rsid w:val="00BF5697"/>
    <w:rsid w:val="00C14CCC"/>
    <w:rsid w:val="00C22C1C"/>
    <w:rsid w:val="00C33E44"/>
    <w:rsid w:val="00C33F2E"/>
    <w:rsid w:val="00C34936"/>
    <w:rsid w:val="00C34C14"/>
    <w:rsid w:val="00C355B9"/>
    <w:rsid w:val="00C3770F"/>
    <w:rsid w:val="00C401C4"/>
    <w:rsid w:val="00C41680"/>
    <w:rsid w:val="00C60A25"/>
    <w:rsid w:val="00C765C5"/>
    <w:rsid w:val="00C82479"/>
    <w:rsid w:val="00C867F0"/>
    <w:rsid w:val="00C87FB8"/>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4435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25C7"/>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399E"/>
    <w:rsid w:val="00F77F1D"/>
    <w:rsid w:val="00F87CCB"/>
    <w:rsid w:val="00FA48C7"/>
    <w:rsid w:val="00FB73C1"/>
    <w:rsid w:val="00FB7D6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D44355"/>
    <w:pPr>
      <w:spacing w:line="240" w:lineRule="auto"/>
    </w:pPr>
    <w:rPr>
      <w:sz w:val="20"/>
      <w:szCs w:val="20"/>
    </w:rPr>
  </w:style>
  <w:style w:type="character" w:customStyle="1" w:styleId="CommentTextChar">
    <w:name w:val="Comment Text Char"/>
    <w:basedOn w:val="DefaultParagraphFont"/>
    <w:link w:val="CommentText"/>
    <w:uiPriority w:val="99"/>
    <w:rsid w:val="00D44355"/>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821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277C5A"/>
    <w:pPr>
      <w:widowControl w:val="0"/>
      <w:spacing w:after="0" w:line="240" w:lineRule="auto"/>
    </w:pPr>
    <w:rPr>
      <w:rFonts w:eastAsiaTheme="minorHAnsi"/>
    </w:rPr>
  </w:style>
  <w:style w:type="paragraph" w:styleId="BodyText">
    <w:name w:val="Body Text"/>
    <w:basedOn w:val="Normal"/>
    <w:link w:val="BodyTextChar"/>
    <w:uiPriority w:val="1"/>
    <w:qFormat/>
    <w:rsid w:val="00D44355"/>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D44355"/>
    <w:rPr>
      <w:rFonts w:ascii="Times New Roman" w:eastAsia="Times New Roman" w:hAnsi="Times New Roman"/>
    </w:rPr>
  </w:style>
  <w:style w:type="character" w:customStyle="1" w:styleId="FormTextChar">
    <w:name w:val="FormText Char"/>
    <w:basedOn w:val="DefaultParagraphFont"/>
    <w:link w:val="FormText"/>
    <w:locked/>
    <w:rsid w:val="005008D7"/>
    <w:rPr>
      <w:color w:val="0000FF"/>
    </w:rPr>
  </w:style>
  <w:style w:type="paragraph" w:customStyle="1" w:styleId="FormText">
    <w:name w:val="FormText"/>
    <w:basedOn w:val="Normal"/>
    <w:link w:val="FormTextChar"/>
    <w:qFormat/>
    <w:rsid w:val="005008D7"/>
    <w:pPr>
      <w:autoSpaceDE w:val="0"/>
      <w:autoSpaceDN w:val="0"/>
      <w:adjustRightInd w:val="0"/>
      <w:spacing w:after="0" w:line="240" w:lineRule="auto"/>
    </w:pPr>
    <w:rPr>
      <w:color w:val="0000FF"/>
    </w:rPr>
  </w:style>
  <w:style w:type="paragraph" w:customStyle="1" w:styleId="NQFMeasureStyle">
    <w:name w:val="NQF Measure Style"/>
    <w:basedOn w:val="Normal"/>
    <w:link w:val="NQFMeasureStyleChar"/>
    <w:qFormat/>
    <w:rsid w:val="008E565E"/>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8E565E"/>
    <w:rPr>
      <w:rFonts w:ascii="Calibri" w:eastAsiaTheme="minorHAnsi" w:hAnsi="Calibr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D44355"/>
    <w:pPr>
      <w:spacing w:line="240" w:lineRule="auto"/>
    </w:pPr>
    <w:rPr>
      <w:sz w:val="20"/>
      <w:szCs w:val="20"/>
    </w:rPr>
  </w:style>
  <w:style w:type="character" w:customStyle="1" w:styleId="CommentTextChar">
    <w:name w:val="Comment Text Char"/>
    <w:basedOn w:val="DefaultParagraphFont"/>
    <w:link w:val="CommentText"/>
    <w:uiPriority w:val="99"/>
    <w:rsid w:val="00D44355"/>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821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277C5A"/>
    <w:pPr>
      <w:widowControl w:val="0"/>
      <w:spacing w:after="0" w:line="240" w:lineRule="auto"/>
    </w:pPr>
    <w:rPr>
      <w:rFonts w:eastAsiaTheme="minorHAnsi"/>
    </w:rPr>
  </w:style>
  <w:style w:type="paragraph" w:styleId="BodyText">
    <w:name w:val="Body Text"/>
    <w:basedOn w:val="Normal"/>
    <w:link w:val="BodyTextChar"/>
    <w:uiPriority w:val="1"/>
    <w:qFormat/>
    <w:rsid w:val="00D44355"/>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D44355"/>
    <w:rPr>
      <w:rFonts w:ascii="Times New Roman" w:eastAsia="Times New Roman" w:hAnsi="Times New Roman"/>
    </w:rPr>
  </w:style>
  <w:style w:type="character" w:customStyle="1" w:styleId="FormTextChar">
    <w:name w:val="FormText Char"/>
    <w:basedOn w:val="DefaultParagraphFont"/>
    <w:link w:val="FormText"/>
    <w:locked/>
    <w:rsid w:val="005008D7"/>
    <w:rPr>
      <w:color w:val="0000FF"/>
    </w:rPr>
  </w:style>
  <w:style w:type="paragraph" w:customStyle="1" w:styleId="FormText">
    <w:name w:val="FormText"/>
    <w:basedOn w:val="Normal"/>
    <w:link w:val="FormTextChar"/>
    <w:qFormat/>
    <w:rsid w:val="005008D7"/>
    <w:pPr>
      <w:autoSpaceDE w:val="0"/>
      <w:autoSpaceDN w:val="0"/>
      <w:adjustRightInd w:val="0"/>
      <w:spacing w:after="0" w:line="240" w:lineRule="auto"/>
    </w:pPr>
    <w:rPr>
      <w:color w:val="0000FF"/>
    </w:rPr>
  </w:style>
  <w:style w:type="paragraph" w:customStyle="1" w:styleId="NQFMeasureStyle">
    <w:name w:val="NQF Measure Style"/>
    <w:basedOn w:val="Normal"/>
    <w:link w:val="NQFMeasureStyleChar"/>
    <w:qFormat/>
    <w:rsid w:val="008E565E"/>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8E565E"/>
    <w:rPr>
      <w:rFonts w:ascii="Calibri" w:eastAsiaTheme="minorHAnsi" w:hAnsi="Calibr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23490">
      <w:bodyDiv w:val="1"/>
      <w:marLeft w:val="0"/>
      <w:marRight w:val="0"/>
      <w:marTop w:val="0"/>
      <w:marBottom w:val="0"/>
      <w:divBdr>
        <w:top w:val="none" w:sz="0" w:space="0" w:color="auto"/>
        <w:left w:val="none" w:sz="0" w:space="0" w:color="auto"/>
        <w:bottom w:val="none" w:sz="0" w:space="0" w:color="auto"/>
        <w:right w:val="none" w:sz="0" w:space="0" w:color="auto"/>
      </w:divBdr>
    </w:div>
    <w:div w:id="393283065">
      <w:bodyDiv w:val="1"/>
      <w:marLeft w:val="0"/>
      <w:marRight w:val="0"/>
      <w:marTop w:val="0"/>
      <w:marBottom w:val="0"/>
      <w:divBdr>
        <w:top w:val="none" w:sz="0" w:space="0" w:color="auto"/>
        <w:left w:val="none" w:sz="0" w:space="0" w:color="auto"/>
        <w:bottom w:val="none" w:sz="0" w:space="0" w:color="auto"/>
        <w:right w:val="none" w:sz="0" w:space="0" w:color="auto"/>
      </w:divBdr>
    </w:div>
    <w:div w:id="39886495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1357812">
      <w:bodyDiv w:val="1"/>
      <w:marLeft w:val="0"/>
      <w:marRight w:val="0"/>
      <w:marTop w:val="0"/>
      <w:marBottom w:val="0"/>
      <w:divBdr>
        <w:top w:val="none" w:sz="0" w:space="0" w:color="auto"/>
        <w:left w:val="none" w:sz="0" w:space="0" w:color="auto"/>
        <w:bottom w:val="none" w:sz="0" w:space="0" w:color="auto"/>
        <w:right w:val="none" w:sz="0" w:space="0" w:color="auto"/>
      </w:divBdr>
    </w:div>
    <w:div w:id="605505122">
      <w:bodyDiv w:val="1"/>
      <w:marLeft w:val="0"/>
      <w:marRight w:val="0"/>
      <w:marTop w:val="0"/>
      <w:marBottom w:val="0"/>
      <w:divBdr>
        <w:top w:val="none" w:sz="0" w:space="0" w:color="auto"/>
        <w:left w:val="none" w:sz="0" w:space="0" w:color="auto"/>
        <w:bottom w:val="none" w:sz="0" w:space="0" w:color="auto"/>
        <w:right w:val="none" w:sz="0" w:space="0" w:color="auto"/>
      </w:divBdr>
    </w:div>
    <w:div w:id="634681666">
      <w:bodyDiv w:val="1"/>
      <w:marLeft w:val="0"/>
      <w:marRight w:val="0"/>
      <w:marTop w:val="0"/>
      <w:marBottom w:val="0"/>
      <w:divBdr>
        <w:top w:val="none" w:sz="0" w:space="0" w:color="auto"/>
        <w:left w:val="none" w:sz="0" w:space="0" w:color="auto"/>
        <w:bottom w:val="none" w:sz="0" w:space="0" w:color="auto"/>
        <w:right w:val="none" w:sz="0" w:space="0" w:color="auto"/>
      </w:divBdr>
    </w:div>
    <w:div w:id="652297048">
      <w:bodyDiv w:val="1"/>
      <w:marLeft w:val="0"/>
      <w:marRight w:val="0"/>
      <w:marTop w:val="0"/>
      <w:marBottom w:val="0"/>
      <w:divBdr>
        <w:top w:val="none" w:sz="0" w:space="0" w:color="auto"/>
        <w:left w:val="none" w:sz="0" w:space="0" w:color="auto"/>
        <w:bottom w:val="none" w:sz="0" w:space="0" w:color="auto"/>
        <w:right w:val="none" w:sz="0" w:space="0" w:color="auto"/>
      </w:divBdr>
    </w:div>
    <w:div w:id="101673769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2326974">
      <w:bodyDiv w:val="1"/>
      <w:marLeft w:val="0"/>
      <w:marRight w:val="0"/>
      <w:marTop w:val="0"/>
      <w:marBottom w:val="0"/>
      <w:divBdr>
        <w:top w:val="none" w:sz="0" w:space="0" w:color="auto"/>
        <w:left w:val="none" w:sz="0" w:space="0" w:color="auto"/>
        <w:bottom w:val="none" w:sz="0" w:space="0" w:color="auto"/>
        <w:right w:val="none" w:sz="0" w:space="0" w:color="auto"/>
      </w:divBdr>
    </w:div>
    <w:div w:id="1909529830">
      <w:bodyDiv w:val="1"/>
      <w:marLeft w:val="0"/>
      <w:marRight w:val="0"/>
      <w:marTop w:val="0"/>
      <w:marBottom w:val="0"/>
      <w:divBdr>
        <w:top w:val="none" w:sz="0" w:space="0" w:color="auto"/>
        <w:left w:val="none" w:sz="0" w:space="0" w:color="auto"/>
        <w:bottom w:val="none" w:sz="0" w:space="0" w:color="auto"/>
        <w:right w:val="none" w:sz="0" w:space="0" w:color="auto"/>
      </w:divBdr>
    </w:div>
    <w:div w:id="2089039693">
      <w:bodyDiv w:val="1"/>
      <w:marLeft w:val="0"/>
      <w:marRight w:val="0"/>
      <w:marTop w:val="0"/>
      <w:marBottom w:val="0"/>
      <w:divBdr>
        <w:top w:val="none" w:sz="0" w:space="0" w:color="auto"/>
        <w:left w:val="none" w:sz="0" w:space="0" w:color="auto"/>
        <w:bottom w:val="none" w:sz="0" w:space="0" w:color="auto"/>
        <w:right w:val="none" w:sz="0" w:space="0" w:color="auto"/>
      </w:divBdr>
    </w:div>
    <w:div w:id="209867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yperlink" Target="http://www.hcup-us.ahrq.gov/sidoverview.jsp"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hcup-us.ahrq.gov/sidoverview.jsp"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hcup-us.ahrq.gov/cdstats/cdstats_search.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5D7075"/>
    <w:rsid w:val="00632A7E"/>
    <w:rsid w:val="00632AB6"/>
    <w:rsid w:val="006A7463"/>
    <w:rsid w:val="006C05A5"/>
    <w:rsid w:val="006C4A87"/>
    <w:rsid w:val="00730B33"/>
    <w:rsid w:val="00772B2A"/>
    <w:rsid w:val="007C672A"/>
    <w:rsid w:val="007D4368"/>
    <w:rsid w:val="00822666"/>
    <w:rsid w:val="00823ECC"/>
    <w:rsid w:val="00830FD3"/>
    <w:rsid w:val="00866C97"/>
    <w:rsid w:val="009017AE"/>
    <w:rsid w:val="009C542D"/>
    <w:rsid w:val="00A95183"/>
    <w:rsid w:val="00AB4AF7"/>
    <w:rsid w:val="00AD7C4F"/>
    <w:rsid w:val="00B445F5"/>
    <w:rsid w:val="00BD40CB"/>
    <w:rsid w:val="00C362A2"/>
    <w:rsid w:val="00C90121"/>
    <w:rsid w:val="00CA332C"/>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B2DF5-3BEE-48E2-8237-4578E6579BF1}">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4.xml><?xml version="1.0" encoding="utf-8"?>
<ds:datastoreItem xmlns:ds="http://schemas.openxmlformats.org/officeDocument/2006/customXml" ds:itemID="{CFF5F6E7-D90F-4782-BC31-E39975DDC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7602</Words>
  <Characters>41436</Characters>
  <Application>Microsoft Office Word</Application>
  <DocSecurity>0</DocSecurity>
  <Lines>3453</Lines>
  <Paragraphs>3269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Ellen Schultz</cp:lastModifiedBy>
  <cp:revision>3</cp:revision>
  <cp:lastPrinted>2015-02-11T20:22:00Z</cp:lastPrinted>
  <dcterms:created xsi:type="dcterms:W3CDTF">2015-04-02T19:54:00Z</dcterms:created>
  <dcterms:modified xsi:type="dcterms:W3CDTF">2015-04-06T21:02:00Z</dcterms:modified>
</cp:coreProperties>
</file>