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C307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09CF96A" w14:textId="77777777" w:rsidR="00496AF8" w:rsidRPr="00496AF8" w:rsidRDefault="00496AF8" w:rsidP="002E2177">
      <w:pPr>
        <w:ind w:left="0" w:firstLine="0"/>
        <w:rPr>
          <w:noProof/>
        </w:rPr>
      </w:pPr>
    </w:p>
    <w:p w14:paraId="41190E6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F227D">
            <w:rPr>
              <w:rStyle w:val="Style1"/>
            </w:rPr>
            <w:t>0419</w:t>
          </w:r>
        </w:sdtContent>
      </w:sdt>
    </w:p>
    <w:p w14:paraId="794B7144"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F227D">
            <w:rPr>
              <w:rFonts w:ascii="Arial Narrow" w:eastAsia="Arial Narrow" w:hAnsi="Arial Narrow" w:cs="Arial Narrow"/>
              <w:b/>
              <w:bCs/>
              <w:spacing w:val="-3"/>
            </w:rPr>
            <w:t>D</w:t>
          </w:r>
          <w:r w:rsidR="00BF227D">
            <w:rPr>
              <w:rFonts w:ascii="Arial Narrow" w:eastAsia="Arial Narrow" w:hAnsi="Arial Narrow" w:cs="Arial Narrow"/>
              <w:b/>
              <w:bCs/>
            </w:rPr>
            <w:t>ocumen</w:t>
          </w:r>
          <w:r w:rsidR="00BF227D">
            <w:rPr>
              <w:rFonts w:ascii="Arial Narrow" w:eastAsia="Arial Narrow" w:hAnsi="Arial Narrow" w:cs="Arial Narrow"/>
              <w:b/>
              <w:bCs/>
              <w:spacing w:val="-1"/>
            </w:rPr>
            <w:t>t</w:t>
          </w:r>
          <w:r w:rsidR="00BF227D">
            <w:rPr>
              <w:rFonts w:ascii="Arial Narrow" w:eastAsia="Arial Narrow" w:hAnsi="Arial Narrow" w:cs="Arial Narrow"/>
              <w:b/>
              <w:bCs/>
            </w:rPr>
            <w:t xml:space="preserve">ation </w:t>
          </w:r>
          <w:r w:rsidR="00BF227D">
            <w:rPr>
              <w:rFonts w:ascii="Arial Narrow" w:eastAsia="Arial Narrow" w:hAnsi="Arial Narrow" w:cs="Arial Narrow"/>
              <w:b/>
              <w:bCs/>
              <w:spacing w:val="-1"/>
            </w:rPr>
            <w:t>o</w:t>
          </w:r>
          <w:r w:rsidR="00BF227D">
            <w:rPr>
              <w:rFonts w:ascii="Arial Narrow" w:eastAsia="Arial Narrow" w:hAnsi="Arial Narrow" w:cs="Arial Narrow"/>
              <w:b/>
              <w:bCs/>
            </w:rPr>
            <w:t>f</w:t>
          </w:r>
          <w:r w:rsidR="00BF227D">
            <w:rPr>
              <w:rFonts w:ascii="Arial Narrow" w:eastAsia="Arial Narrow" w:hAnsi="Arial Narrow" w:cs="Arial Narrow"/>
              <w:b/>
              <w:bCs/>
              <w:spacing w:val="1"/>
            </w:rPr>
            <w:t xml:space="preserve"> </w:t>
          </w:r>
          <w:r w:rsidR="00BF227D">
            <w:rPr>
              <w:rFonts w:ascii="Arial Narrow" w:eastAsia="Arial Narrow" w:hAnsi="Arial Narrow" w:cs="Arial Narrow"/>
              <w:b/>
              <w:bCs/>
              <w:spacing w:val="-1"/>
            </w:rPr>
            <w:t>C</w:t>
          </w:r>
          <w:r w:rsidR="00BF227D">
            <w:rPr>
              <w:rFonts w:ascii="Arial Narrow" w:eastAsia="Arial Narrow" w:hAnsi="Arial Narrow" w:cs="Arial Narrow"/>
              <w:b/>
              <w:bCs/>
            </w:rPr>
            <w:t>u</w:t>
          </w:r>
          <w:r w:rsidR="00BF227D">
            <w:rPr>
              <w:rFonts w:ascii="Arial Narrow" w:eastAsia="Arial Narrow" w:hAnsi="Arial Narrow" w:cs="Arial Narrow"/>
              <w:b/>
              <w:bCs/>
              <w:spacing w:val="-1"/>
            </w:rPr>
            <w:t>rr</w:t>
          </w:r>
          <w:r w:rsidR="00BF227D">
            <w:rPr>
              <w:rFonts w:ascii="Arial Narrow" w:eastAsia="Arial Narrow" w:hAnsi="Arial Narrow" w:cs="Arial Narrow"/>
              <w:b/>
              <w:bCs/>
            </w:rPr>
            <w:t xml:space="preserve">ent </w:t>
          </w:r>
          <w:r w:rsidR="00BF227D">
            <w:rPr>
              <w:rFonts w:ascii="Arial Narrow" w:eastAsia="Arial Narrow" w:hAnsi="Arial Narrow" w:cs="Arial Narrow"/>
              <w:b/>
              <w:bCs/>
              <w:spacing w:val="-2"/>
            </w:rPr>
            <w:t>Me</w:t>
          </w:r>
          <w:r w:rsidR="00BF227D">
            <w:rPr>
              <w:rFonts w:ascii="Arial Narrow" w:eastAsia="Arial Narrow" w:hAnsi="Arial Narrow" w:cs="Arial Narrow"/>
              <w:b/>
              <w:bCs/>
            </w:rPr>
            <w:t xml:space="preserve">dications in </w:t>
          </w:r>
          <w:r w:rsidR="00BF227D">
            <w:rPr>
              <w:rFonts w:ascii="Arial Narrow" w:eastAsia="Arial Narrow" w:hAnsi="Arial Narrow" w:cs="Arial Narrow"/>
              <w:b/>
              <w:bCs/>
              <w:spacing w:val="-1"/>
            </w:rPr>
            <w:t>t</w:t>
          </w:r>
          <w:r w:rsidR="00BF227D">
            <w:rPr>
              <w:rFonts w:ascii="Arial Narrow" w:eastAsia="Arial Narrow" w:hAnsi="Arial Narrow" w:cs="Arial Narrow"/>
              <w:b/>
              <w:bCs/>
              <w:spacing w:val="-3"/>
            </w:rPr>
            <w:t>h</w:t>
          </w:r>
          <w:r w:rsidR="00BF227D">
            <w:rPr>
              <w:rFonts w:ascii="Arial Narrow" w:eastAsia="Arial Narrow" w:hAnsi="Arial Narrow" w:cs="Arial Narrow"/>
              <w:b/>
              <w:bCs/>
            </w:rPr>
            <w:t>e Med</w:t>
          </w:r>
          <w:r w:rsidR="00BF227D">
            <w:rPr>
              <w:rFonts w:ascii="Arial Narrow" w:eastAsia="Arial Narrow" w:hAnsi="Arial Narrow" w:cs="Arial Narrow"/>
              <w:b/>
              <w:bCs/>
              <w:spacing w:val="-3"/>
            </w:rPr>
            <w:t>i</w:t>
          </w:r>
          <w:r w:rsidR="00BF227D">
            <w:rPr>
              <w:rFonts w:ascii="Arial Narrow" w:eastAsia="Arial Narrow" w:hAnsi="Arial Narrow" w:cs="Arial Narrow"/>
              <w:b/>
              <w:bCs/>
            </w:rPr>
            <w:t xml:space="preserve">cal </w:t>
          </w:r>
          <w:r w:rsidR="00BF227D">
            <w:rPr>
              <w:rFonts w:ascii="Arial Narrow" w:eastAsia="Arial Narrow" w:hAnsi="Arial Narrow" w:cs="Arial Narrow"/>
              <w:b/>
              <w:bCs/>
              <w:spacing w:val="-1"/>
            </w:rPr>
            <w:t>R</w:t>
          </w:r>
          <w:r w:rsidR="00BF227D">
            <w:rPr>
              <w:rFonts w:ascii="Arial Narrow" w:eastAsia="Arial Narrow" w:hAnsi="Arial Narrow" w:cs="Arial Narrow"/>
              <w:b/>
              <w:bCs/>
            </w:rPr>
            <w:t>e</w:t>
          </w:r>
          <w:r w:rsidR="00BF227D">
            <w:rPr>
              <w:rFonts w:ascii="Arial Narrow" w:eastAsia="Arial Narrow" w:hAnsi="Arial Narrow" w:cs="Arial Narrow"/>
              <w:b/>
              <w:bCs/>
              <w:spacing w:val="-2"/>
            </w:rPr>
            <w:t>c</w:t>
          </w:r>
          <w:r w:rsidR="00BF227D">
            <w:rPr>
              <w:rFonts w:ascii="Arial Narrow" w:eastAsia="Arial Narrow" w:hAnsi="Arial Narrow" w:cs="Arial Narrow"/>
              <w:b/>
              <w:bCs/>
            </w:rPr>
            <w:t>o</w:t>
          </w:r>
          <w:r w:rsidR="00BF227D">
            <w:rPr>
              <w:rFonts w:ascii="Arial Narrow" w:eastAsia="Arial Narrow" w:hAnsi="Arial Narrow" w:cs="Arial Narrow"/>
              <w:b/>
              <w:bCs/>
              <w:spacing w:val="-1"/>
            </w:rPr>
            <w:t>r</w:t>
          </w:r>
          <w:r w:rsidR="00BF227D">
            <w:rPr>
              <w:rFonts w:ascii="Arial Narrow" w:eastAsia="Arial Narrow" w:hAnsi="Arial Narrow" w:cs="Arial Narrow"/>
              <w:b/>
              <w:bCs/>
              <w:spacing w:val="1"/>
            </w:rPr>
            <w:t>d</w:t>
          </w:r>
          <w:r w:rsidR="00BF227D">
            <w:rPr>
              <w:rFonts w:ascii="Arial Narrow" w:eastAsia="Arial Narrow" w:hAnsi="Arial Narrow" w:cs="Arial Narrow"/>
              <w:b/>
              <w:bCs/>
            </w:rPr>
            <w:t xml:space="preserve">- </w:t>
          </w:r>
          <w:r w:rsidR="00BF227D">
            <w:rPr>
              <w:rFonts w:ascii="Arial Narrow" w:eastAsia="Arial Narrow" w:hAnsi="Arial Narrow" w:cs="Arial Narrow"/>
              <w:b/>
              <w:bCs/>
              <w:spacing w:val="-1"/>
            </w:rPr>
            <w:t>N</w:t>
          </w:r>
          <w:r w:rsidR="00BF227D">
            <w:rPr>
              <w:rFonts w:ascii="Arial Narrow" w:eastAsia="Arial Narrow" w:hAnsi="Arial Narrow" w:cs="Arial Narrow"/>
              <w:b/>
              <w:bCs/>
            </w:rPr>
            <w:t>ational Quali</w:t>
          </w:r>
          <w:r w:rsidR="00BF227D">
            <w:rPr>
              <w:rFonts w:ascii="Arial Narrow" w:eastAsia="Arial Narrow" w:hAnsi="Arial Narrow" w:cs="Arial Narrow"/>
              <w:b/>
              <w:bCs/>
              <w:spacing w:val="-2"/>
            </w:rPr>
            <w:t>t</w:t>
          </w:r>
          <w:r w:rsidR="00BF227D">
            <w:rPr>
              <w:rFonts w:ascii="Arial Narrow" w:eastAsia="Arial Narrow" w:hAnsi="Arial Narrow" w:cs="Arial Narrow"/>
              <w:b/>
              <w:bCs/>
            </w:rPr>
            <w:t>y S</w:t>
          </w:r>
          <w:r w:rsidR="00BF227D">
            <w:rPr>
              <w:rFonts w:ascii="Arial Narrow" w:eastAsia="Arial Narrow" w:hAnsi="Arial Narrow" w:cs="Arial Narrow"/>
              <w:b/>
              <w:bCs/>
              <w:spacing w:val="-1"/>
            </w:rPr>
            <w:t>tr</w:t>
          </w:r>
          <w:r w:rsidR="00BF227D">
            <w:rPr>
              <w:rFonts w:ascii="Arial Narrow" w:eastAsia="Arial Narrow" w:hAnsi="Arial Narrow" w:cs="Arial Narrow"/>
              <w:b/>
              <w:bCs/>
            </w:rPr>
            <w:t xml:space="preserve">ategy </w:t>
          </w:r>
          <w:r w:rsidR="00BF227D">
            <w:rPr>
              <w:rFonts w:ascii="Arial Narrow" w:eastAsia="Arial Narrow" w:hAnsi="Arial Narrow" w:cs="Arial Narrow"/>
              <w:b/>
              <w:bCs/>
              <w:spacing w:val="-1"/>
            </w:rPr>
            <w:t>D</w:t>
          </w:r>
          <w:r w:rsidR="00BF227D">
            <w:rPr>
              <w:rFonts w:ascii="Arial Narrow" w:eastAsia="Arial Narrow" w:hAnsi="Arial Narrow" w:cs="Arial Narrow"/>
              <w:b/>
              <w:bCs/>
              <w:spacing w:val="-3"/>
            </w:rPr>
            <w:t>o</w:t>
          </w:r>
          <w:r w:rsidR="00BF227D">
            <w:rPr>
              <w:rFonts w:ascii="Arial Narrow" w:eastAsia="Arial Narrow" w:hAnsi="Arial Narrow" w:cs="Arial Narrow"/>
              <w:b/>
              <w:bCs/>
            </w:rPr>
            <w:t xml:space="preserve">main: </w:t>
          </w:r>
          <w:r w:rsidR="00BF227D">
            <w:rPr>
              <w:rFonts w:ascii="Arial Narrow" w:eastAsia="Arial Narrow" w:hAnsi="Arial Narrow" w:cs="Arial Narrow"/>
              <w:b/>
              <w:bCs/>
              <w:spacing w:val="-1"/>
            </w:rPr>
            <w:t>P</w:t>
          </w:r>
          <w:r w:rsidR="00BF227D">
            <w:rPr>
              <w:rFonts w:ascii="Arial Narrow" w:eastAsia="Arial Narrow" w:hAnsi="Arial Narrow" w:cs="Arial Narrow"/>
              <w:b/>
              <w:bCs/>
            </w:rPr>
            <w:t xml:space="preserve">atient </w:t>
          </w:r>
          <w:r w:rsidR="00BF227D">
            <w:rPr>
              <w:rFonts w:ascii="Arial Narrow" w:eastAsia="Arial Narrow" w:hAnsi="Arial Narrow" w:cs="Arial Narrow"/>
              <w:b/>
              <w:bCs/>
              <w:spacing w:val="-1"/>
            </w:rPr>
            <w:t>S</w:t>
          </w:r>
          <w:r w:rsidR="00BF227D">
            <w:rPr>
              <w:rFonts w:ascii="Arial Narrow" w:eastAsia="Arial Narrow" w:hAnsi="Arial Narrow" w:cs="Arial Narrow"/>
              <w:b/>
              <w:bCs/>
            </w:rPr>
            <w:t xml:space="preserve">afety </w:t>
          </w:r>
        </w:sdtContent>
      </w:sdt>
    </w:p>
    <w:p w14:paraId="5E453FB4"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BF227D">
            <w:rPr>
              <w:rStyle w:val="Style1"/>
            </w:rPr>
            <w:t>N/A</w:t>
          </w:r>
        </w:sdtContent>
      </w:sdt>
    </w:p>
    <w:p w14:paraId="21A9BBED" w14:textId="77777777" w:rsidR="00114848" w:rsidRPr="003B1CC5" w:rsidRDefault="00114848" w:rsidP="002E2177">
      <w:pPr>
        <w:ind w:left="0" w:firstLine="0"/>
        <w:rPr>
          <w:b/>
          <w:noProof/>
        </w:rPr>
      </w:pPr>
    </w:p>
    <w:p w14:paraId="079B3D48" w14:textId="10F5F800"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4-09T00:00:00Z">
            <w:dateFormat w:val="M/d/yyyy"/>
            <w:lid w:val="en-US"/>
            <w:storeMappedDataAs w:val="dateTime"/>
            <w:calendar w:val="gregorian"/>
          </w:date>
        </w:sdtPr>
        <w:sdtEndPr>
          <w:rPr>
            <w:rStyle w:val="DefaultParagraphFont"/>
            <w:noProof/>
            <w:color w:val="auto"/>
            <w:u w:val="none"/>
          </w:rPr>
        </w:sdtEndPr>
        <w:sdtContent>
          <w:r w:rsidR="0069520E">
            <w:rPr>
              <w:rStyle w:val="Style2"/>
            </w:rPr>
            <w:t>4/9/2015</w:t>
          </w:r>
        </w:sdtContent>
      </w:sdt>
    </w:p>
    <w:p w14:paraId="698A9FE3"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2992D65C" w14:textId="77777777" w:rsidTr="00176E60">
        <w:trPr>
          <w:jc w:val="center"/>
        </w:trPr>
        <w:tc>
          <w:tcPr>
            <w:tcW w:w="9576" w:type="dxa"/>
          </w:tcPr>
          <w:p w14:paraId="0624B22B"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8D3C1E9"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7EC2DA83"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445CFC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3FAB7A"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06A2400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197F7582"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49CBC6B4"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013661A4"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664B6988" w14:textId="77777777" w:rsidTr="00176E60">
        <w:trPr>
          <w:jc w:val="center"/>
        </w:trPr>
        <w:tc>
          <w:tcPr>
            <w:tcW w:w="9576" w:type="dxa"/>
          </w:tcPr>
          <w:p w14:paraId="1E4C785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76B272EE" w14:textId="77777777" w:rsidR="008659ED" w:rsidRPr="003B1CC5" w:rsidRDefault="008659ED" w:rsidP="008659ED">
            <w:pPr>
              <w:ind w:left="90" w:hanging="90"/>
              <w:rPr>
                <w:sz w:val="20"/>
                <w:szCs w:val="20"/>
              </w:rPr>
            </w:pPr>
            <w:bookmarkStart w:id="0" w:name="Note2"/>
            <w:bookmarkEnd w:id="0"/>
          </w:p>
          <w:p w14:paraId="36F0166D"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33991C8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13E75097"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2C0B6E86"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4D9BD0F6"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6DAC55BD"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076234D7"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D91D546" w14:textId="77777777" w:rsidR="00CB1E41" w:rsidRPr="003B1CC5" w:rsidRDefault="00CB1E41" w:rsidP="008659ED">
            <w:pPr>
              <w:autoSpaceDE w:val="0"/>
              <w:autoSpaceDN w:val="0"/>
              <w:adjustRightInd w:val="0"/>
              <w:rPr>
                <w:rFonts w:eastAsia="Calibri" w:cs="Calibri"/>
                <w:b/>
                <w:bCs/>
                <w:iCs/>
                <w:sz w:val="18"/>
              </w:rPr>
            </w:pPr>
          </w:p>
          <w:p w14:paraId="3EAFCEF9"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9A3F98D"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22A980EC"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BC3AA62"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7C6C6AD5"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 xml:space="preserve">Measurement Framework: Evaluating </w:t>
              </w:r>
              <w:r w:rsidRPr="003B1CC5">
                <w:rPr>
                  <w:rFonts w:eastAsia="Calibri" w:cs="Calibri"/>
                  <w:color w:val="0000FF"/>
                  <w:sz w:val="20"/>
                  <w:szCs w:val="20"/>
                  <w:u w:val="single"/>
                </w:rPr>
                <w:lastRenderedPageBreak/>
                <w:t>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761C85DB"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3F4821A3"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D3F4673" w14:textId="77777777" w:rsidR="00496AF8" w:rsidRPr="003B1CC5" w:rsidRDefault="009C3671"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F7E9A9F" w14:textId="77777777" w:rsidR="00236F87" w:rsidRPr="003B1CC5" w:rsidRDefault="009C3671"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6FE8E5F"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6EA8865C" w14:textId="77777777" w:rsidR="00496AF8" w:rsidRPr="003B1CC5" w:rsidRDefault="009C3671"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376BEF" w14:textId="77777777" w:rsidR="00496AF8" w:rsidRPr="003B1CC5" w:rsidRDefault="009C3671"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3D4551">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CE1ABB" w:rsidRPr="00CE1ABB">
            <w:rPr>
              <w:rStyle w:val="Style2"/>
              <w:rFonts w:cstheme="minorHAnsi"/>
            </w:rPr>
            <w:t>Documentation of Current Medications in the Medical Record</w:t>
          </w:r>
        </w:sdtContent>
      </w:sdt>
    </w:p>
    <w:p w14:paraId="33349B0C" w14:textId="77777777" w:rsidR="00496AF8" w:rsidRPr="003B1CC5" w:rsidRDefault="009C367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042CF26E" w14:textId="77777777" w:rsidR="00496AF8" w:rsidRPr="003B1CC5" w:rsidRDefault="009C367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4B5D1BFC" w14:textId="77777777" w:rsidR="00496AF8" w:rsidRPr="003B1CC5" w:rsidRDefault="00496AF8" w:rsidP="002E2177">
      <w:pPr>
        <w:ind w:left="0" w:firstLine="0"/>
        <w:rPr>
          <w:bCs/>
        </w:rPr>
      </w:pPr>
    </w:p>
    <w:p w14:paraId="4E076AF6" w14:textId="77777777" w:rsidR="00850C35" w:rsidRPr="003B1CC5" w:rsidRDefault="00925F11" w:rsidP="002E2177">
      <w:pPr>
        <w:ind w:left="0" w:firstLine="0"/>
        <w:rPr>
          <w:b/>
          <w:bCs/>
        </w:rPr>
      </w:pPr>
      <w:r w:rsidRPr="003B1CC5">
        <w:rPr>
          <w:b/>
          <w:iCs/>
          <w:caps/>
        </w:rPr>
        <w:t>_________________________</w:t>
      </w:r>
    </w:p>
    <w:p w14:paraId="0D9F4619"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00727D4A" w:rsidRPr="003B1CC5">
        <w:rPr>
          <w:b/>
          <w:bCs/>
        </w:rPr>
        <w:t xml:space="preserve">MEASURE </w:t>
      </w:r>
      <w:r w:rsidR="00727D4A" w:rsidRPr="003B1CC5">
        <w:rPr>
          <w:bCs/>
        </w:rPr>
        <w:t>If</w:t>
      </w:r>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3250E1AF" w14:textId="77777777" w:rsidR="00470FAC"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r w:rsidR="00DD6B6F">
        <w:rPr>
          <w:b/>
          <w:iCs/>
        </w:rPr>
        <w:t xml:space="preserve"> </w:t>
      </w:r>
    </w:p>
    <w:p w14:paraId="63EEBDAE" w14:textId="77777777" w:rsidR="002B06BD" w:rsidRPr="00470FAC" w:rsidRDefault="00DD6B6F" w:rsidP="002B06BD">
      <w:pPr>
        <w:ind w:left="432" w:hanging="432"/>
        <w:rPr>
          <w:iCs/>
        </w:rPr>
      </w:pPr>
      <w:r w:rsidRPr="003A7A01">
        <w:rPr>
          <w:iCs/>
        </w:rPr>
        <w:t>N/A</w:t>
      </w:r>
    </w:p>
    <w:p w14:paraId="58EFA483" w14:textId="77777777" w:rsidR="002B06BD" w:rsidRPr="003B1CC5" w:rsidRDefault="002B06BD" w:rsidP="002E2177">
      <w:pPr>
        <w:ind w:left="432" w:hanging="432"/>
        <w:rPr>
          <w:color w:val="0000FF"/>
        </w:rPr>
      </w:pPr>
    </w:p>
    <w:p w14:paraId="7C87096E" w14:textId="77777777" w:rsidR="00470FAC"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r w:rsidR="00DD6B6F">
        <w:rPr>
          <w:b/>
          <w:iCs/>
        </w:rPr>
        <w:t xml:space="preserve"> </w:t>
      </w:r>
    </w:p>
    <w:p w14:paraId="6381CAFA" w14:textId="77777777" w:rsidR="00496AF8" w:rsidRPr="00470FAC" w:rsidRDefault="00DD6B6F" w:rsidP="002E2177">
      <w:pPr>
        <w:ind w:left="432" w:hanging="432"/>
        <w:rPr>
          <w:iCs/>
        </w:rPr>
      </w:pPr>
      <w:r w:rsidRPr="003A7A01">
        <w:rPr>
          <w:iCs/>
        </w:rPr>
        <w:t>N/A</w:t>
      </w:r>
    </w:p>
    <w:p w14:paraId="0554C924" w14:textId="77777777" w:rsidR="00D14F0B" w:rsidRPr="003B1CC5" w:rsidRDefault="00D14F0B" w:rsidP="002E2177">
      <w:pPr>
        <w:ind w:left="0" w:firstLine="0"/>
        <w:rPr>
          <w:iCs/>
        </w:rPr>
      </w:pPr>
    </w:p>
    <w:p w14:paraId="20B52845"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60D6AFC3" w14:textId="77777777" w:rsidR="002B06BD" w:rsidRPr="003B1CC5" w:rsidRDefault="00925F11" w:rsidP="002E2177">
      <w:pPr>
        <w:ind w:left="0" w:firstLine="0"/>
        <w:rPr>
          <w:b/>
          <w:iCs/>
          <w:caps/>
        </w:rPr>
      </w:pPr>
      <w:r w:rsidRPr="003B1CC5">
        <w:rPr>
          <w:b/>
          <w:iCs/>
          <w:caps/>
        </w:rPr>
        <w:t>_________________________</w:t>
      </w:r>
    </w:p>
    <w:p w14:paraId="2721BDBC"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4788C5E" w14:textId="77777777" w:rsidR="003D4551"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r w:rsidR="003D4551" w:rsidRPr="003B1CC5">
        <w:rPr>
          <w:i/>
          <w:iCs/>
        </w:rPr>
        <w:t xml:space="preserve"> </w:t>
      </w:r>
    </w:p>
    <w:p w14:paraId="2FADDF65" w14:textId="77777777" w:rsidR="00DF6120" w:rsidRDefault="00470FAC" w:rsidP="002E2177">
      <w:pPr>
        <w:ind w:left="0" w:firstLine="0"/>
        <w:rPr>
          <w:i/>
          <w:iCs/>
        </w:rPr>
      </w:pPr>
      <w:r>
        <w:rPr>
          <w:i/>
          <w:iCs/>
          <w:noProof/>
        </w:rPr>
        <mc:AlternateContent>
          <mc:Choice Requires="wps">
            <w:drawing>
              <wp:anchor distT="0" distB="0" distL="114300" distR="114300" simplePos="0" relativeHeight="251659776" behindDoc="0" locked="0" layoutInCell="1" allowOverlap="1" wp14:anchorId="2EFE1C19" wp14:editId="6588B63C">
                <wp:simplePos x="0" y="0"/>
                <wp:positionH relativeFrom="column">
                  <wp:posOffset>3810000</wp:posOffset>
                </wp:positionH>
                <wp:positionV relativeFrom="paragraph">
                  <wp:posOffset>31115</wp:posOffset>
                </wp:positionV>
                <wp:extent cx="2781300" cy="150495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2781300" cy="1504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66B880" w14:textId="77777777" w:rsidR="00B33918" w:rsidRDefault="00B33918">
                            <w:pPr>
                              <w:ind w:left="0"/>
                            </w:pPr>
                            <w:r>
                              <w:t xml:space="preserve">       Improve medication safety: prescriptions and other medications are accurately documented on the patient’s current medication list with every physician encounter</w:t>
                            </w:r>
                            <w:r w:rsidR="00470FAC">
                              <w:t>,</w:t>
                            </w:r>
                            <w:r>
                              <w:t xml:space="preserve"> thus </w:t>
                            </w:r>
                            <w:r w:rsidR="00470FAC">
                              <w:t xml:space="preserve">providing physicians with the information they need to </w:t>
                            </w:r>
                            <w:r>
                              <w:t xml:space="preserve">prevent medication discrepancies and adverse drug events.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300pt;margin-top:2.45pt;width:219pt;height:11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" fillcolor="white [3201]" strokeweight=".5pt">
                <v:textbox>
                  <w:txbxContent>
                    <w:p w14:paraId="7D66B880" w14:textId="77777777" w:rsidR="00B33918" w:rsidRDefault="00B33918">
                      <w:pPr>
                        <w:ind w:left="0"/>
                      </w:pPr>
                      <w:r>
                        <w:t xml:space="preserve">       Improve medication safety: prescriptions and other medications are accurately documented on the patient’s current medication list with every physician encounter</w:t>
                      </w:r>
                      <w:r w:rsidR="00470FAC">
                        <w:t>,</w:t>
                      </w:r>
                      <w:r>
                        <w:t xml:space="preserve"> thus </w:t>
                      </w:r>
                      <w:r w:rsidR="00470FAC">
                        <w:t xml:space="preserve">providing physicians with the information they need to </w:t>
                      </w:r>
                      <w:r>
                        <w:t xml:space="preserve">prevent medication discrepancies and adverse drug events.  </w:t>
                      </w:r>
                    </w:p>
                  </w:txbxContent>
                </v:textbox>
              </v:shape>
            </w:pict>
          </mc:Fallback>
        </mc:AlternateContent>
      </w:r>
      <w:r>
        <w:rPr>
          <w:i/>
          <w:iCs/>
          <w:noProof/>
        </w:rPr>
        <mc:AlternateContent>
          <mc:Choice Requires="wps">
            <w:drawing>
              <wp:anchor distT="0" distB="0" distL="114300" distR="114300" simplePos="0" relativeHeight="251657728" behindDoc="0" locked="0" layoutInCell="1" allowOverlap="1" wp14:anchorId="48C3FCC1" wp14:editId="21C4539A">
                <wp:simplePos x="0" y="0"/>
                <wp:positionH relativeFrom="column">
                  <wp:posOffset>1352550</wp:posOffset>
                </wp:positionH>
                <wp:positionV relativeFrom="paragraph">
                  <wp:posOffset>21589</wp:posOffset>
                </wp:positionV>
                <wp:extent cx="2095500" cy="180022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2095500" cy="1800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30E450" w14:textId="77777777" w:rsidR="00B33918" w:rsidRDefault="00B33918" w:rsidP="00CE1ABB">
                            <w:pPr>
                              <w:ind w:left="0"/>
                            </w:pPr>
                            <w:r>
                              <w:t>IIj    Identifying a patient</w:t>
                            </w:r>
                            <w:r w:rsidR="00470FAC">
                              <w:t>’</w:t>
                            </w:r>
                            <w:r>
                              <w:t>s current medications</w:t>
                            </w:r>
                            <w:r w:rsidR="00470FAC">
                              <w:t>,</w:t>
                            </w:r>
                            <w:r>
                              <w:t xml:space="preserve"> including</w:t>
                            </w:r>
                            <w:r w:rsidRPr="004413A9">
                              <w:t xml:space="preserve"> </w:t>
                            </w:r>
                            <w:r>
                              <w:t>ALL known prescriptions, over-the-counters, herbals, and vitamin/mineral/dietary (nutritional) supplements AND the name, dosage, frequency, and route</w:t>
                            </w:r>
                            <w:r w:rsidR="00CE1ABB">
                              <w:t xml:space="preserve"> </w:t>
                            </w:r>
                            <w:r>
                              <w:t>of administration</w:t>
                            </w:r>
                            <w:r w:rsidR="00470FAC">
                              <w:t xml:space="preserve"> for each medication</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106.5pt;margin-top:1.7pt;width:165pt;height:1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" fillcolor="white [3201]" strokeweight=".5pt">
                <v:textbox>
                  <w:txbxContent>
                    <w:p w14:paraId="4F30E450" w14:textId="77777777" w:rsidR="00B33918" w:rsidRDefault="00B33918" w:rsidP="00CE1ABB">
                      <w:pPr>
                        <w:ind w:left="0"/>
                      </w:pPr>
                      <w:r>
                        <w:t>IIj    Identifying a patient</w:t>
                      </w:r>
                      <w:r w:rsidR="00470FAC">
                        <w:t>’</w:t>
                      </w:r>
                      <w:r>
                        <w:t>s current medications</w:t>
                      </w:r>
                      <w:r w:rsidR="00470FAC">
                        <w:t>,</w:t>
                      </w:r>
                      <w:r>
                        <w:t xml:space="preserve"> including</w:t>
                      </w:r>
                      <w:r w:rsidRPr="004413A9">
                        <w:t xml:space="preserve"> </w:t>
                      </w:r>
                      <w:r>
                        <w:t>ALL known prescriptions, over-the-counters, herbals, and vitamin/mineral/dietary (nutritional) supplements AND the name, dosage, frequency, and route</w:t>
                      </w:r>
                      <w:r w:rsidR="00CE1ABB">
                        <w:t xml:space="preserve"> </w:t>
                      </w:r>
                      <w:r>
                        <w:t>of administration</w:t>
                      </w:r>
                      <w:r w:rsidR="00470FAC">
                        <w:t xml:space="preserve"> for each medication</w:t>
                      </w:r>
                      <w:r>
                        <w:t>.</w:t>
                      </w:r>
                    </w:p>
                  </w:txbxContent>
                </v:textbox>
              </v:shape>
            </w:pict>
          </mc:Fallback>
        </mc:AlternateContent>
      </w:r>
      <w:r w:rsidR="008C5207">
        <w:rPr>
          <w:i/>
          <w:iCs/>
          <w:noProof/>
        </w:rPr>
        <mc:AlternateContent>
          <mc:Choice Requires="wps">
            <w:drawing>
              <wp:anchor distT="0" distB="0" distL="114300" distR="114300" simplePos="0" relativeHeight="251655680" behindDoc="0" locked="0" layoutInCell="1" allowOverlap="1" wp14:anchorId="03C80C79" wp14:editId="2C93230C">
                <wp:simplePos x="0" y="0"/>
                <wp:positionH relativeFrom="column">
                  <wp:posOffset>-66675</wp:posOffset>
                </wp:positionH>
                <wp:positionV relativeFrom="paragraph">
                  <wp:posOffset>26035</wp:posOffset>
                </wp:positionV>
                <wp:extent cx="1066800" cy="12096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1066800" cy="1209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9BBB7B" w14:textId="77777777" w:rsidR="00B33918" w:rsidRDefault="00727D4A" w:rsidP="00D218EA">
                            <w:pPr>
                              <w:ind w:left="0"/>
                              <w:jc w:val="center"/>
                            </w:pPr>
                            <w:proofErr w:type="gramStart"/>
                            <w:r>
                              <w:t>o</w:t>
                            </w:r>
                            <w:proofErr w:type="gramEnd"/>
                            <w:r w:rsidR="00B33918">
                              <w:t xml:space="preserve">   Collection o</w:t>
                            </w:r>
                            <w:r w:rsidR="00CE1ABB">
                              <w:t>f a current medications l</w:t>
                            </w:r>
                            <w:r w:rsidR="00B33918">
                              <w:t>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5.25pt;margin-top:2.05pt;width:84pt;height:9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" fillcolor="white [3201]" strokeweight=".5pt">
                <v:textbox>
                  <w:txbxContent>
                    <w:p w14:paraId="069BBB7B" w14:textId="77777777" w:rsidR="00B33918" w:rsidRDefault="00727D4A" w:rsidP="00D218EA">
                      <w:pPr>
                        <w:ind w:left="0"/>
                        <w:jc w:val="center"/>
                      </w:pPr>
                      <w:r>
                        <w:t>o</w:t>
                      </w:r>
                      <w:r w:rsidR="00B33918">
                        <w:t xml:space="preserve">   Collection o</w:t>
                      </w:r>
                      <w:r w:rsidR="00CE1ABB">
                        <w:t>f a current medications l</w:t>
                      </w:r>
                      <w:r w:rsidR="00B33918">
                        <w:t>ist</w:t>
                      </w:r>
                    </w:p>
                  </w:txbxContent>
                </v:textbox>
              </v:shape>
            </w:pict>
          </mc:Fallback>
        </mc:AlternateContent>
      </w:r>
    </w:p>
    <w:p w14:paraId="3C5FF916" w14:textId="77777777" w:rsidR="00DF6120" w:rsidRDefault="00DF6120" w:rsidP="002E2177">
      <w:pPr>
        <w:ind w:left="0" w:firstLine="0"/>
        <w:rPr>
          <w:i/>
          <w:iCs/>
        </w:rPr>
      </w:pPr>
    </w:p>
    <w:p w14:paraId="48E3A133" w14:textId="77777777" w:rsidR="00DF6120" w:rsidRDefault="004413A9" w:rsidP="002E2177">
      <w:pPr>
        <w:ind w:left="0" w:firstLine="0"/>
        <w:rPr>
          <w:i/>
          <w:iCs/>
        </w:rPr>
      </w:pPr>
      <w:r>
        <w:rPr>
          <w:i/>
          <w:iCs/>
          <w:noProof/>
        </w:rPr>
        <mc:AlternateContent>
          <mc:Choice Requires="wps">
            <w:drawing>
              <wp:anchor distT="0" distB="0" distL="114300" distR="114300" simplePos="0" relativeHeight="251663360" behindDoc="0" locked="0" layoutInCell="1" allowOverlap="1" wp14:anchorId="23B459D4" wp14:editId="58E6E505">
                <wp:simplePos x="0" y="0"/>
                <wp:positionH relativeFrom="column">
                  <wp:posOffset>3448050</wp:posOffset>
                </wp:positionH>
                <wp:positionV relativeFrom="paragraph">
                  <wp:posOffset>46355</wp:posOffset>
                </wp:positionV>
                <wp:extent cx="361950" cy="0"/>
                <wp:effectExtent l="0" t="76200" r="19050" b="114300"/>
                <wp:wrapNone/>
                <wp:docPr id="8" name="Straight Arrow Connector 8"/>
                <wp:cNvGraphicFramePr/>
                <a:graphic xmlns:a="http://schemas.openxmlformats.org/drawingml/2006/main">
                  <a:graphicData uri="http://schemas.microsoft.com/office/word/2010/wordprocessingShape">
                    <wps:wsp>
                      <wps:cNvCnPr/>
                      <wps:spPr>
                        <a:xfrm>
                          <a:off x="0" y="0"/>
                          <a:ext cx="361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73805D8" id="_x0000_t32" coordsize="21600,21600" o:spt="32" o:oned="t" path="m,l21600,21600e" filled="f">
                <v:path arrowok="t" fillok="f" o:connecttype="none"/>
                <o:lock v:ext="edit" shapetype="t"/>
              </v:shapetype>
              <v:shape id="Straight Arrow Connector 8" o:spid="_x0000_s1026" type="#_x0000_t32" style="position:absolute;margin-left:271.5pt;margin-top:3.65pt;width:2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" strokecolor="#4579b8 [3044]">
                <v:stroke endarrow="open"/>
              </v:shape>
            </w:pict>
          </mc:Fallback>
        </mc:AlternateContent>
      </w:r>
      <w:r>
        <w:rPr>
          <w:i/>
          <w:iCs/>
          <w:noProof/>
        </w:rPr>
        <mc:AlternateContent>
          <mc:Choice Requires="wps">
            <w:drawing>
              <wp:anchor distT="0" distB="0" distL="114300" distR="114300" simplePos="0" relativeHeight="251661312" behindDoc="0" locked="0" layoutInCell="1" allowOverlap="1" wp14:anchorId="2CECC3D7" wp14:editId="1221CC7A">
                <wp:simplePos x="0" y="0"/>
                <wp:positionH relativeFrom="column">
                  <wp:posOffset>1000125</wp:posOffset>
                </wp:positionH>
                <wp:positionV relativeFrom="paragraph">
                  <wp:posOffset>-1270</wp:posOffset>
                </wp:positionV>
                <wp:extent cx="352425" cy="0"/>
                <wp:effectExtent l="0" t="76200" r="28575" b="114300"/>
                <wp:wrapNone/>
                <wp:docPr id="6" name="Straight Arrow Connector 6"/>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B16915B" id="Straight Arrow Connector 6" o:spid="_x0000_s1026" type="#_x0000_t32" style="position:absolute;margin-left:78.75pt;margin-top:-.1pt;width:27.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" strokecolor="#4579b8 [3044]">
                <v:stroke endarrow="open"/>
              </v:shape>
            </w:pict>
          </mc:Fallback>
        </mc:AlternateContent>
      </w:r>
    </w:p>
    <w:p w14:paraId="5FAC040E" w14:textId="77777777" w:rsidR="00DF6120" w:rsidRDefault="00DF6120" w:rsidP="002E2177">
      <w:pPr>
        <w:ind w:left="0" w:firstLine="0"/>
        <w:rPr>
          <w:i/>
          <w:iCs/>
        </w:rPr>
      </w:pPr>
    </w:p>
    <w:p w14:paraId="652487D1" w14:textId="77777777" w:rsidR="00DF6120" w:rsidRPr="003B1CC5" w:rsidRDefault="00DF6120" w:rsidP="002E2177">
      <w:pPr>
        <w:ind w:left="0" w:firstLine="0"/>
        <w:rPr>
          <w:i/>
          <w:iCs/>
        </w:rPr>
      </w:pPr>
    </w:p>
    <w:p w14:paraId="457B4AFF" w14:textId="77777777" w:rsidR="007C1887" w:rsidRPr="003B1CC5" w:rsidRDefault="007C1887" w:rsidP="002E2177">
      <w:pPr>
        <w:ind w:left="0" w:firstLine="0"/>
      </w:pPr>
    </w:p>
    <w:p w14:paraId="25F8EBF5" w14:textId="77777777" w:rsidR="004413A9" w:rsidRDefault="004413A9" w:rsidP="002E2177">
      <w:pPr>
        <w:ind w:left="0" w:firstLine="0"/>
        <w:rPr>
          <w:b/>
          <w:color w:val="0000FF"/>
        </w:rPr>
      </w:pPr>
    </w:p>
    <w:p w14:paraId="5980EF3E" w14:textId="77777777" w:rsidR="004413A9" w:rsidRDefault="004413A9" w:rsidP="002E2177">
      <w:pPr>
        <w:ind w:left="0" w:firstLine="0"/>
        <w:rPr>
          <w:b/>
          <w:color w:val="0000FF"/>
        </w:rPr>
      </w:pPr>
    </w:p>
    <w:p w14:paraId="4267042D" w14:textId="77777777" w:rsidR="004413A9" w:rsidRDefault="004413A9" w:rsidP="002E2177">
      <w:pPr>
        <w:ind w:left="0" w:firstLine="0"/>
        <w:rPr>
          <w:b/>
          <w:color w:val="0000FF"/>
        </w:rPr>
      </w:pPr>
    </w:p>
    <w:p w14:paraId="05180659" w14:textId="77777777" w:rsidR="004413A9" w:rsidRDefault="004413A9" w:rsidP="002E2177">
      <w:pPr>
        <w:ind w:left="0" w:firstLine="0"/>
        <w:rPr>
          <w:b/>
          <w:color w:val="0000FF"/>
        </w:rPr>
      </w:pPr>
    </w:p>
    <w:p w14:paraId="05B82933" w14:textId="77777777" w:rsidR="00470FAC" w:rsidRDefault="00470FAC" w:rsidP="002E2177">
      <w:pPr>
        <w:ind w:left="0" w:firstLine="0"/>
        <w:rPr>
          <w:b/>
          <w:color w:val="0000FF"/>
        </w:rPr>
      </w:pPr>
    </w:p>
    <w:p w14:paraId="05114B18"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37A88BA" w14:textId="77777777" w:rsidR="00FD4D82" w:rsidRPr="003B1CC5" w:rsidRDefault="009C3671"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6B06A0">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0EDBF31B" w14:textId="77777777" w:rsidR="00FD4D82" w:rsidRPr="003B1CC5" w:rsidRDefault="009C3671"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270A1ABE" w14:textId="77777777" w:rsidR="007573F0" w:rsidRPr="003B1CC5" w:rsidRDefault="009C3671"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B509B2">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49B0ACE3" w14:textId="77777777" w:rsidR="00FD4D82" w:rsidRPr="003B1CC5" w:rsidRDefault="009C3671"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E32437">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9E54D58" w14:textId="77777777" w:rsidR="00FD4D82" w:rsidRPr="003B1CC5" w:rsidRDefault="00FD4D82" w:rsidP="002E2177">
      <w:pPr>
        <w:ind w:left="0" w:firstLine="0"/>
      </w:pPr>
    </w:p>
    <w:p w14:paraId="0CD4EA62" w14:textId="77777777" w:rsidR="00201FF9" w:rsidRPr="003B1CC5" w:rsidRDefault="00201FF9" w:rsidP="002E2177">
      <w:pPr>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F307B08"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61ECBC0B"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1F6DF8A"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06EAA068" w14:textId="77777777" w:rsidR="006D3943" w:rsidRPr="003B1CC5" w:rsidRDefault="006B06A0" w:rsidP="002E2177">
      <w:pPr>
        <w:ind w:left="0" w:firstLine="0"/>
        <w:rPr>
          <w:rFonts w:cs="Arial"/>
          <w:sz w:val="20"/>
          <w:szCs w:val="20"/>
        </w:rPr>
      </w:pPr>
      <w:r>
        <w:rPr>
          <w:rFonts w:cs="Arial"/>
          <w:sz w:val="20"/>
          <w:szCs w:val="20"/>
        </w:rPr>
        <w:t>N/A</w:t>
      </w:r>
    </w:p>
    <w:p w14:paraId="72185F24" w14:textId="77777777" w:rsidR="006F4B7F" w:rsidRPr="003B1CC5" w:rsidRDefault="006F4B7F" w:rsidP="002E2177">
      <w:pPr>
        <w:ind w:left="0" w:firstLine="0"/>
        <w:rPr>
          <w:color w:val="0000FF"/>
        </w:rPr>
      </w:pPr>
    </w:p>
    <w:p w14:paraId="2C06CC1C"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1BD11488" w14:textId="77777777" w:rsidR="005A7C6D" w:rsidRDefault="006B06A0" w:rsidP="00CF3DF8">
      <w:pPr>
        <w:ind w:left="0" w:firstLine="0"/>
      </w:pPr>
      <w:r>
        <w:t>N/A</w:t>
      </w:r>
    </w:p>
    <w:p w14:paraId="3F0D6E63"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0150A2A9" w14:textId="77777777" w:rsidR="008A45F3" w:rsidRDefault="008A45F3" w:rsidP="006337F6"/>
    <w:p w14:paraId="0D7CE6F1" w14:textId="77777777" w:rsidR="008A45F3" w:rsidRPr="003B1CC5" w:rsidRDefault="006B06A0" w:rsidP="00265702">
      <w:pPr>
        <w:ind w:left="0" w:firstLine="0"/>
      </w:pPr>
      <w:r>
        <w:t>N/A</w:t>
      </w:r>
    </w:p>
    <w:p w14:paraId="0BB47236" w14:textId="77777777" w:rsidR="00265702"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48E4B9C" w14:textId="77777777" w:rsidR="000E436E" w:rsidRDefault="000E436E" w:rsidP="00265702">
      <w:pPr>
        <w:ind w:left="0" w:firstLine="0"/>
      </w:pPr>
    </w:p>
    <w:p w14:paraId="01F77488" w14:textId="77777777" w:rsidR="006337F6" w:rsidRPr="007C50DC" w:rsidRDefault="006337F6" w:rsidP="00265702">
      <w:pPr>
        <w:ind w:left="0" w:firstLine="0"/>
      </w:pPr>
    </w:p>
    <w:p w14:paraId="0D3E40DE" w14:textId="77777777"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284B2A01" w14:textId="77777777" w:rsidR="005B55DD" w:rsidRPr="005B55DD" w:rsidRDefault="005B55DD" w:rsidP="002E2177">
      <w:pPr>
        <w:ind w:left="432" w:hanging="432"/>
      </w:pPr>
      <w:r w:rsidRPr="005B55DD">
        <w:t>N/A</w:t>
      </w:r>
    </w:p>
    <w:p w14:paraId="669734A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1CC61EE" w14:textId="77777777" w:rsidR="00FC32D3" w:rsidRPr="003B1CC5" w:rsidRDefault="009C3671"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28D5D130" w14:textId="77777777" w:rsidR="00736AEC" w:rsidRPr="003B1CC5" w:rsidRDefault="009C3671"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5B55DD">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2DC6DD3B" w14:textId="77777777" w:rsidR="00736AEC" w:rsidRPr="003B1CC5" w:rsidRDefault="00736AEC" w:rsidP="00736AEC">
      <w:pPr>
        <w:rPr>
          <w:b/>
        </w:rPr>
      </w:pPr>
    </w:p>
    <w:p w14:paraId="4121DC27" w14:textId="77777777" w:rsidR="00EE5AF6" w:rsidRPr="003B1CC5" w:rsidRDefault="00925F11" w:rsidP="00307FA5">
      <w:pPr>
        <w:ind w:left="0" w:firstLine="0"/>
        <w:rPr>
          <w:color w:val="0000FF"/>
        </w:rPr>
      </w:pPr>
      <w:r w:rsidRPr="003B1CC5">
        <w:rPr>
          <w:b/>
          <w:iCs/>
          <w:caps/>
        </w:rPr>
        <w:t>_________________________</w:t>
      </w:r>
    </w:p>
    <w:p w14:paraId="4B079517"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7CEF73C9"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r w:rsidR="008A7CED">
        <w:t>N/A</w:t>
      </w:r>
    </w:p>
    <w:p w14:paraId="0939DD75" w14:textId="77777777" w:rsidR="00307FA5" w:rsidRPr="003B1CC5" w:rsidRDefault="00307FA5" w:rsidP="00307FA5">
      <w:pPr>
        <w:ind w:left="0" w:firstLine="0"/>
        <w:rPr>
          <w:rFonts w:cs="Arial"/>
          <w:sz w:val="20"/>
          <w:szCs w:val="20"/>
        </w:rPr>
      </w:pPr>
    </w:p>
    <w:p w14:paraId="0BF199AA" w14:textId="77777777" w:rsidR="00307FA5" w:rsidRPr="003B1CC5" w:rsidRDefault="00307FA5" w:rsidP="00307FA5">
      <w:pPr>
        <w:ind w:left="0" w:firstLine="0"/>
      </w:pPr>
    </w:p>
    <w:p w14:paraId="4EA0BF29" w14:textId="77777777" w:rsidR="00307FA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7D26EC6" w14:textId="77777777" w:rsidR="00794F19" w:rsidRPr="003B1CC5" w:rsidRDefault="00794F19" w:rsidP="00307FA5">
      <w:pPr>
        <w:ind w:left="0" w:firstLine="0"/>
      </w:pPr>
      <w:r>
        <w:t>N/A</w:t>
      </w:r>
    </w:p>
    <w:p w14:paraId="2EF06478" w14:textId="77777777" w:rsidR="00307FA5" w:rsidRPr="003B1CC5" w:rsidRDefault="00307FA5" w:rsidP="00307FA5">
      <w:pPr>
        <w:ind w:left="0" w:firstLine="0"/>
      </w:pPr>
    </w:p>
    <w:p w14:paraId="574B0E75" w14:textId="77777777" w:rsidR="00307FA5" w:rsidRPr="003B1CC5" w:rsidRDefault="00307FA5" w:rsidP="00307FA5">
      <w:pPr>
        <w:ind w:left="0" w:firstLine="0"/>
      </w:pPr>
    </w:p>
    <w:p w14:paraId="7576878D"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r w:rsidR="00794F19">
        <w:t xml:space="preserve"> N/A</w:t>
      </w:r>
    </w:p>
    <w:p w14:paraId="5F3B1F63" w14:textId="77777777" w:rsidR="008A45F3" w:rsidRPr="003B1CC5" w:rsidRDefault="008A45F3" w:rsidP="00307FA5">
      <w:pPr>
        <w:ind w:left="0" w:firstLine="0"/>
      </w:pPr>
    </w:p>
    <w:p w14:paraId="7A2FF9D8"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r w:rsidR="00794F19">
        <w:t xml:space="preserve"> N/A</w:t>
      </w:r>
    </w:p>
    <w:p w14:paraId="1D90CE5B" w14:textId="77777777" w:rsidR="00307FA5" w:rsidRPr="003B1CC5" w:rsidRDefault="00307FA5" w:rsidP="00307FA5">
      <w:pPr>
        <w:ind w:left="0" w:firstLine="0"/>
        <w:rPr>
          <w:b/>
          <w:color w:val="0000FF"/>
        </w:rPr>
      </w:pPr>
    </w:p>
    <w:p w14:paraId="57492856"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r w:rsidR="00794F19">
        <w:rPr>
          <w:b/>
        </w:rPr>
        <w:t xml:space="preserve"> </w:t>
      </w:r>
      <w:r w:rsidR="00794F19" w:rsidRPr="00043F0C">
        <w:t>N/A</w:t>
      </w:r>
    </w:p>
    <w:p w14:paraId="2C9D5CAF" w14:textId="77777777" w:rsidR="00736AEC" w:rsidRPr="003B1CC5" w:rsidRDefault="00736AEC" w:rsidP="002E2177">
      <w:pPr>
        <w:ind w:left="432" w:hanging="432"/>
        <w:rPr>
          <w:b/>
        </w:rPr>
      </w:pPr>
    </w:p>
    <w:p w14:paraId="2BF97F91"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1D9F96EC" w14:textId="77777777" w:rsidR="00EE5AF6" w:rsidRPr="003B1CC5" w:rsidRDefault="00925F11" w:rsidP="002E2177">
      <w:pPr>
        <w:ind w:left="432" w:hanging="432"/>
        <w:rPr>
          <w:b/>
          <w:color w:val="0000FF"/>
        </w:rPr>
      </w:pPr>
      <w:r w:rsidRPr="003B1CC5">
        <w:rPr>
          <w:b/>
          <w:iCs/>
          <w:caps/>
        </w:rPr>
        <w:t>_________________________</w:t>
      </w:r>
    </w:p>
    <w:p w14:paraId="0E6DACE3"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208E2914"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08CAA8FB" w14:textId="77777777" w:rsidR="00FA7F67" w:rsidRDefault="00FA7F67" w:rsidP="00A17BC9">
      <w:proofErr w:type="gramStart"/>
      <w:r w:rsidRPr="00FA7F67">
        <w:t>Tache, S.V., Sonnichsen, A., &amp; Ashcroft, D.M. (2011).</w:t>
      </w:r>
      <w:proofErr w:type="gramEnd"/>
      <w:r w:rsidRPr="00FA7F67">
        <w:t xml:space="preserve">  Prevalence of Adverse Drug Events in Ambulatory Care: A Systematic Review. The Annals of Pharmacotherapy, 45(7-8), 977-989. </w:t>
      </w:r>
      <w:proofErr w:type="gramStart"/>
      <w:r w:rsidRPr="00FA7F67">
        <w:t>doi</w:t>
      </w:r>
      <w:proofErr w:type="gramEnd"/>
      <w:r w:rsidRPr="00FA7F67">
        <w:t>: 10.1345/aph.1P627.</w:t>
      </w:r>
    </w:p>
    <w:p w14:paraId="61C147F3" w14:textId="77777777" w:rsidR="00CA31EE" w:rsidRDefault="00CA31EE" w:rsidP="00502909">
      <w:pPr>
        <w:pStyle w:val="ListParagraph"/>
        <w:ind w:left="405" w:firstLine="0"/>
      </w:pPr>
    </w:p>
    <w:p w14:paraId="4EF219E8" w14:textId="77777777" w:rsidR="003D0346" w:rsidRPr="00502909" w:rsidRDefault="00CA31EE" w:rsidP="005B55DD">
      <w:pPr>
        <w:pStyle w:val="ListParagraph"/>
        <w:ind w:left="405" w:firstLine="0"/>
      </w:pPr>
      <w:r>
        <w:t>GRADE evidence quality grade for this reference is</w:t>
      </w:r>
      <w:r w:rsidR="00CE5C83" w:rsidRPr="00CE5C83">
        <w:t xml:space="preserve"> </w:t>
      </w:r>
      <w:r w:rsidRPr="00CE5C83">
        <w:t>high</w:t>
      </w:r>
      <w:r>
        <w:t>.</w:t>
      </w:r>
      <w:r w:rsidRPr="00CA31EE">
        <w:t xml:space="preserve"> </w:t>
      </w:r>
    </w:p>
    <w:p w14:paraId="38D8B0F3"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r w:rsidR="00692AE1">
        <w:rPr>
          <w:b/>
        </w:rPr>
        <w:t xml:space="preserve"> </w:t>
      </w:r>
      <w:r w:rsidR="00B33918" w:rsidRPr="00B33918">
        <w:t>Same as 1a.6.1</w:t>
      </w:r>
    </w:p>
    <w:p w14:paraId="6C0921AF" w14:textId="77777777" w:rsidR="005D0FDB" w:rsidRPr="003B1CC5" w:rsidRDefault="005D0FDB" w:rsidP="00EE5AF6">
      <w:pPr>
        <w:ind w:left="0" w:firstLine="0"/>
      </w:pPr>
    </w:p>
    <w:p w14:paraId="355E1463"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7540DD53" w14:textId="77777777" w:rsidR="00C84623" w:rsidRPr="003B1CC5" w:rsidRDefault="00925F11" w:rsidP="00EE5AF6">
      <w:pPr>
        <w:ind w:left="0" w:firstLine="0"/>
        <w:rPr>
          <w:b/>
          <w:color w:val="0000FF"/>
        </w:rPr>
      </w:pPr>
      <w:r w:rsidRPr="003B1CC5">
        <w:rPr>
          <w:b/>
          <w:iCs/>
          <w:caps/>
        </w:rPr>
        <w:t>_________________________</w:t>
      </w:r>
    </w:p>
    <w:p w14:paraId="54779E4E"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0C00F89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1C4CB18A" w14:textId="77777777" w:rsidR="00CB1E41" w:rsidRPr="003B1CC5" w:rsidRDefault="00CB1E41" w:rsidP="00EE5AF6">
      <w:pPr>
        <w:ind w:left="0" w:firstLine="0"/>
        <w:rPr>
          <w:b/>
          <w:color w:val="0000FF"/>
        </w:rPr>
      </w:pPr>
    </w:p>
    <w:p w14:paraId="4543ACF6"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504F2B30" w14:textId="77777777" w:rsidR="00EE5AF6" w:rsidRDefault="0078303A" w:rsidP="00EE5AF6">
      <w:pPr>
        <w:ind w:left="0" w:firstLine="0"/>
      </w:pPr>
      <w:r w:rsidRPr="0078303A">
        <w:t>Most medications are prescribed, dispensed, and administered in ambulatory care settings, yet little information exists on the adverse effects of drugs in this setting. This review was conducted to estimate the prevalence of adverse drug events (ADEs) and the proportion of preventable ADEs in ambulatory care settings; compare data for different age groups including children, adults, and elderly patients; and review drug classes most commonly associated with ADEs.</w:t>
      </w:r>
    </w:p>
    <w:p w14:paraId="0838B7C4" w14:textId="77777777" w:rsidR="00627982" w:rsidRPr="003B1CC5" w:rsidRDefault="00627982" w:rsidP="00EE5AF6">
      <w:pPr>
        <w:ind w:left="0" w:firstLine="0"/>
      </w:pPr>
    </w:p>
    <w:p w14:paraId="02EEA031" w14:textId="77777777"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17841DF1" w14:textId="77777777" w:rsidR="003C7351" w:rsidRDefault="003C7351" w:rsidP="003C7351">
      <w:pPr>
        <w:ind w:left="0" w:firstLine="0"/>
      </w:pPr>
      <w:r>
        <w:t>GRADE evidence quality grade:</w:t>
      </w:r>
      <w:r w:rsidR="008A3D87">
        <w:t xml:space="preserve"> High</w:t>
      </w:r>
    </w:p>
    <w:p w14:paraId="427D6B7D" w14:textId="77777777" w:rsidR="003C7351" w:rsidRDefault="003C7351" w:rsidP="003C7351">
      <w:pPr>
        <w:ind w:left="0" w:firstLine="0"/>
      </w:pPr>
      <w:r>
        <w:t>High = further research is very unlikely to change our confi</w:t>
      </w:r>
      <w:r w:rsidR="008A3D87">
        <w:t>dence in the estimate of effect</w:t>
      </w:r>
    </w:p>
    <w:p w14:paraId="60916915" w14:textId="77777777" w:rsidR="00627982" w:rsidRPr="003B1CC5" w:rsidRDefault="00627982" w:rsidP="003C7351">
      <w:pPr>
        <w:ind w:left="0" w:firstLine="0"/>
      </w:pPr>
    </w:p>
    <w:p w14:paraId="45794031" w14:textId="77777777" w:rsidR="0078303A" w:rsidRDefault="00095EC9" w:rsidP="00EA79C9">
      <w:pPr>
        <w:ind w:left="0" w:firstLine="0"/>
        <w:rPr>
          <w:b/>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r w:rsidR="0078303A">
        <w:rPr>
          <w:b/>
        </w:rPr>
        <w:t xml:space="preserve"> </w:t>
      </w:r>
    </w:p>
    <w:p w14:paraId="57A0716A" w14:textId="77777777" w:rsidR="00780C0E" w:rsidRPr="003C7351" w:rsidRDefault="00780C0E" w:rsidP="00EA79C9">
      <w:pPr>
        <w:ind w:left="0" w:firstLine="0"/>
        <w:rPr>
          <w:b/>
        </w:rPr>
      </w:pPr>
    </w:p>
    <w:p w14:paraId="412BD2A3" w14:textId="77777777" w:rsidR="003C7351" w:rsidRDefault="003C7351" w:rsidP="003C7351">
      <w:pPr>
        <w:ind w:left="0" w:firstLine="0"/>
        <w:rPr>
          <w:noProof/>
        </w:rPr>
      </w:pPr>
      <w:r>
        <w:rPr>
          <w:noProof/>
        </w:rPr>
        <w:t>GRADE evidence quality grade:</w:t>
      </w:r>
    </w:p>
    <w:p w14:paraId="493C9CF8" w14:textId="77777777" w:rsidR="003C7351" w:rsidRDefault="003C7351" w:rsidP="003C7351">
      <w:pPr>
        <w:ind w:left="0" w:firstLine="0"/>
        <w:rPr>
          <w:noProof/>
        </w:rPr>
      </w:pPr>
      <w:r>
        <w:rPr>
          <w:noProof/>
        </w:rPr>
        <w:t>High = further research is very unlikely to change our confidence in the estimate of effect;</w:t>
      </w:r>
    </w:p>
    <w:p w14:paraId="355EA332" w14:textId="77777777" w:rsidR="003C7351" w:rsidRDefault="003C7351" w:rsidP="003C7351">
      <w:pPr>
        <w:ind w:left="0" w:firstLine="0"/>
        <w:rPr>
          <w:noProof/>
        </w:rPr>
      </w:pPr>
      <w:r>
        <w:rPr>
          <w:noProof/>
        </w:rPr>
        <w:t>Moderate = further research is likely to have an important impact on our confidence in the estimate of effect and may change the estimate;</w:t>
      </w:r>
    </w:p>
    <w:p w14:paraId="0AA78B7C" w14:textId="77777777" w:rsidR="003C7351" w:rsidRDefault="003C7351" w:rsidP="003C7351">
      <w:pPr>
        <w:ind w:left="0" w:firstLine="0"/>
        <w:rPr>
          <w:noProof/>
        </w:rPr>
      </w:pPr>
      <w:r>
        <w:rPr>
          <w:noProof/>
        </w:rPr>
        <w:t>Low = further research is very likely to have an important impact on our confidence in the estimate of effect and is likely to change the estimate;</w:t>
      </w:r>
    </w:p>
    <w:p w14:paraId="75E80AD9" w14:textId="61F512E0" w:rsidR="00411C9E" w:rsidRDefault="003C7351" w:rsidP="003C7351">
      <w:pPr>
        <w:ind w:left="0" w:firstLine="0"/>
        <w:rPr>
          <w:noProof/>
        </w:rPr>
      </w:pPr>
      <w:r>
        <w:rPr>
          <w:noProof/>
        </w:rPr>
        <w:t>Very low = any estimate of effect is very uncertain.</w:t>
      </w:r>
    </w:p>
    <w:p w14:paraId="11E218E2" w14:textId="77777777" w:rsidR="00411C9E" w:rsidRDefault="00411C9E" w:rsidP="003C7351">
      <w:pPr>
        <w:ind w:left="0" w:firstLine="0"/>
        <w:rPr>
          <w:noProof/>
        </w:rPr>
      </w:pPr>
    </w:p>
    <w:p w14:paraId="29E15318" w14:textId="77777777" w:rsidR="00411C9E" w:rsidRDefault="00411C9E" w:rsidP="003C7351">
      <w:pPr>
        <w:ind w:left="0" w:firstLine="0"/>
        <w:rPr>
          <w:noProof/>
        </w:rPr>
      </w:pPr>
    </w:p>
    <w:p w14:paraId="443D9403" w14:textId="77777777" w:rsidR="00411C9E" w:rsidRDefault="00411C9E" w:rsidP="003C7351">
      <w:pPr>
        <w:ind w:left="0" w:firstLine="0"/>
        <w:rPr>
          <w:noProof/>
        </w:rPr>
      </w:pPr>
    </w:p>
    <w:p w14:paraId="09641E32" w14:textId="77777777" w:rsidR="00411C9E" w:rsidRDefault="00411C9E" w:rsidP="003C7351">
      <w:pPr>
        <w:ind w:left="0" w:firstLine="0"/>
        <w:rPr>
          <w:noProof/>
        </w:rPr>
      </w:pPr>
    </w:p>
    <w:p w14:paraId="60E7153E" w14:textId="77777777" w:rsidR="00411C9E" w:rsidRDefault="00411C9E" w:rsidP="003C7351">
      <w:pPr>
        <w:ind w:left="0" w:firstLine="0"/>
        <w:rPr>
          <w:noProof/>
        </w:rPr>
      </w:pPr>
    </w:p>
    <w:p w14:paraId="1C26C464" w14:textId="77777777" w:rsidR="00411C9E" w:rsidRDefault="00411C9E" w:rsidP="003C7351">
      <w:pPr>
        <w:ind w:left="0" w:firstLine="0"/>
        <w:rPr>
          <w:noProof/>
        </w:rPr>
      </w:pPr>
    </w:p>
    <w:p w14:paraId="1648F424" w14:textId="77777777" w:rsidR="00411C9E" w:rsidRDefault="00411C9E" w:rsidP="003C7351">
      <w:pPr>
        <w:ind w:left="0" w:firstLine="0"/>
        <w:rPr>
          <w:noProof/>
        </w:rPr>
      </w:pPr>
    </w:p>
    <w:p w14:paraId="5FC920CC" w14:textId="77777777" w:rsidR="00780C0E" w:rsidRDefault="00780C0E" w:rsidP="003C7351">
      <w:pPr>
        <w:ind w:left="0" w:firstLine="0"/>
        <w:rPr>
          <w:noProof/>
        </w:rPr>
      </w:pPr>
    </w:p>
    <w:tbl>
      <w:tblPr>
        <w:tblW w:w="9540" w:type="dxa"/>
        <w:tblInd w:w="10" w:type="dxa"/>
        <w:tblCellMar>
          <w:left w:w="0" w:type="dxa"/>
          <w:right w:w="0" w:type="dxa"/>
        </w:tblCellMar>
        <w:tblLook w:val="04A0" w:firstRow="1" w:lastRow="0" w:firstColumn="1" w:lastColumn="0" w:noHBand="0" w:noVBand="1"/>
      </w:tblPr>
      <w:tblGrid>
        <w:gridCol w:w="1350"/>
        <w:gridCol w:w="2340"/>
        <w:gridCol w:w="2970"/>
        <w:gridCol w:w="2880"/>
      </w:tblGrid>
      <w:tr w:rsidR="00780C0E" w:rsidRPr="00E868BF" w14:paraId="5072580C" w14:textId="77777777" w:rsidTr="002C16C5">
        <w:trPr>
          <w:trHeight w:hRule="exact" w:val="398"/>
        </w:trPr>
        <w:tc>
          <w:tcPr>
            <w:tcW w:w="1350" w:type="dxa"/>
            <w:tcBorders>
              <w:top w:val="single" w:sz="8" w:space="0" w:color="000000"/>
              <w:left w:val="single" w:sz="8" w:space="0" w:color="000000"/>
              <w:bottom w:val="single" w:sz="8" w:space="0" w:color="000000"/>
              <w:right w:val="single" w:sz="8" w:space="0" w:color="000000"/>
            </w:tcBorders>
            <w:vAlign w:val="center"/>
            <w:hideMark/>
          </w:tcPr>
          <w:p w14:paraId="41FC1517" w14:textId="77777777" w:rsidR="00780C0E" w:rsidRPr="00E868BF" w:rsidRDefault="00780C0E" w:rsidP="002C16C5">
            <w:pPr>
              <w:overflowPunct w:val="0"/>
              <w:autoSpaceDE w:val="0"/>
              <w:autoSpaceDN w:val="0"/>
              <w:spacing w:before="38"/>
              <w:ind w:left="163" w:right="270" w:firstLine="0"/>
              <w:jc w:val="center"/>
              <w:rPr>
                <w:rFonts w:ascii="Calibri" w:eastAsia="Calibri" w:hAnsi="Calibri" w:cs="Times New Roman"/>
              </w:rPr>
            </w:pPr>
            <w:r w:rsidRPr="00E868BF">
              <w:rPr>
                <w:rFonts w:ascii="Calibri" w:eastAsia="Calibri" w:hAnsi="Calibri" w:cs="Times New Roman"/>
                <w:b/>
                <w:bCs/>
                <w:spacing w:val="1"/>
              </w:rPr>
              <w:t>Categor</w:t>
            </w:r>
            <w:r w:rsidRPr="00E868BF">
              <w:rPr>
                <w:rFonts w:ascii="Calibri" w:eastAsia="Calibri" w:hAnsi="Calibri" w:cs="Times New Roman"/>
                <w:b/>
                <w:bCs/>
              </w:rPr>
              <w:t>y</w:t>
            </w:r>
          </w:p>
        </w:tc>
        <w:tc>
          <w:tcPr>
            <w:tcW w:w="2340" w:type="dxa"/>
            <w:tcBorders>
              <w:top w:val="single" w:sz="8" w:space="0" w:color="000000"/>
              <w:left w:val="nil"/>
              <w:bottom w:val="single" w:sz="8" w:space="0" w:color="000000"/>
              <w:right w:val="single" w:sz="8" w:space="0" w:color="000000"/>
            </w:tcBorders>
            <w:vAlign w:val="center"/>
            <w:hideMark/>
          </w:tcPr>
          <w:p w14:paraId="7EC1EB2B" w14:textId="77777777" w:rsidR="00780C0E" w:rsidRPr="00E868BF" w:rsidRDefault="00780C0E" w:rsidP="002C16C5">
            <w:pPr>
              <w:overflowPunct w:val="0"/>
              <w:autoSpaceDE w:val="0"/>
              <w:autoSpaceDN w:val="0"/>
              <w:spacing w:before="38"/>
              <w:ind w:left="169" w:firstLine="0"/>
              <w:jc w:val="center"/>
              <w:rPr>
                <w:rFonts w:ascii="Calibri" w:eastAsia="Calibri" w:hAnsi="Calibri" w:cs="Times New Roman"/>
              </w:rPr>
            </w:pPr>
            <w:r w:rsidRPr="00F320C8">
              <w:rPr>
                <w:rFonts w:ascii="Calibri" w:eastAsia="Calibri" w:hAnsi="Calibri" w:cs="Times New Roman"/>
                <w:b/>
                <w:bCs/>
                <w:spacing w:val="1"/>
              </w:rPr>
              <w:t>Qualit</w:t>
            </w:r>
            <w:r w:rsidRPr="00F320C8">
              <w:rPr>
                <w:rFonts w:ascii="Calibri" w:eastAsia="Calibri" w:hAnsi="Calibri" w:cs="Times New Roman"/>
                <w:b/>
                <w:bCs/>
              </w:rPr>
              <w:t>y</w:t>
            </w:r>
            <w:r w:rsidRPr="00F320C8">
              <w:rPr>
                <w:rFonts w:ascii="Calibri" w:eastAsia="Calibri" w:hAnsi="Calibri" w:cs="Times New Roman"/>
                <w:b/>
                <w:bCs/>
                <w:spacing w:val="23"/>
              </w:rPr>
              <w:t xml:space="preserve"> </w:t>
            </w:r>
            <w:r w:rsidRPr="00F320C8">
              <w:rPr>
                <w:rFonts w:ascii="Calibri" w:eastAsia="Calibri" w:hAnsi="Calibri" w:cs="Times New Roman"/>
                <w:b/>
                <w:bCs/>
                <w:spacing w:val="1"/>
              </w:rPr>
              <w:t>Definition</w:t>
            </w:r>
            <w:r w:rsidRPr="00F320C8">
              <w:rPr>
                <w:rFonts w:ascii="Calibri" w:eastAsia="Calibri" w:hAnsi="Calibri" w:cs="Times New Roman"/>
                <w:b/>
                <w:bCs/>
              </w:rPr>
              <w:t>s</w:t>
            </w:r>
          </w:p>
        </w:tc>
        <w:tc>
          <w:tcPr>
            <w:tcW w:w="2970" w:type="dxa"/>
            <w:tcBorders>
              <w:top w:val="single" w:sz="8" w:space="0" w:color="000000"/>
              <w:left w:val="nil"/>
              <w:bottom w:val="single" w:sz="8" w:space="0" w:color="000000"/>
              <w:right w:val="single" w:sz="8" w:space="0" w:color="000000"/>
            </w:tcBorders>
            <w:vAlign w:val="center"/>
            <w:hideMark/>
          </w:tcPr>
          <w:p w14:paraId="7067CC53" w14:textId="77777777" w:rsidR="00780C0E" w:rsidRPr="00E868BF" w:rsidRDefault="00780C0E" w:rsidP="002C16C5">
            <w:pPr>
              <w:overflowPunct w:val="0"/>
              <w:autoSpaceDE w:val="0"/>
              <w:autoSpaceDN w:val="0"/>
              <w:spacing w:before="38"/>
              <w:ind w:left="114" w:firstLine="10"/>
              <w:jc w:val="center"/>
              <w:rPr>
                <w:rFonts w:ascii="Calibri" w:eastAsia="Calibri" w:hAnsi="Calibri" w:cs="Times New Roman"/>
              </w:rPr>
            </w:pPr>
            <w:r w:rsidRPr="00E868BF">
              <w:rPr>
                <w:rFonts w:ascii="Calibri" w:eastAsia="Calibri" w:hAnsi="Calibri" w:cs="Times New Roman"/>
                <w:b/>
                <w:bCs/>
              </w:rPr>
              <w:t>S</w:t>
            </w:r>
            <w:r w:rsidRPr="00E868BF">
              <w:rPr>
                <w:rFonts w:ascii="Calibri" w:eastAsia="Calibri" w:hAnsi="Calibri" w:cs="Times New Roman"/>
                <w:b/>
                <w:bCs/>
                <w:spacing w:val="1"/>
              </w:rPr>
              <w:t>tron</w:t>
            </w:r>
            <w:r w:rsidRPr="00E868BF">
              <w:rPr>
                <w:rFonts w:ascii="Calibri" w:eastAsia="Calibri" w:hAnsi="Calibri" w:cs="Times New Roman"/>
                <w:b/>
                <w:bCs/>
              </w:rPr>
              <w:t>g</w:t>
            </w:r>
            <w:r w:rsidRPr="00E868BF">
              <w:rPr>
                <w:rFonts w:ascii="Calibri" w:eastAsia="Calibri" w:hAnsi="Calibri" w:cs="Times New Roman"/>
                <w:b/>
                <w:bCs/>
                <w:spacing w:val="29"/>
              </w:rPr>
              <w:t xml:space="preserve"> </w:t>
            </w:r>
            <w:r w:rsidRPr="00E868BF">
              <w:rPr>
                <w:rFonts w:ascii="Calibri" w:eastAsia="Calibri" w:hAnsi="Calibri" w:cs="Times New Roman"/>
                <w:b/>
                <w:bCs/>
                <w:spacing w:val="1"/>
              </w:rPr>
              <w:t>Reco</w:t>
            </w:r>
            <w:r w:rsidRPr="00E868BF">
              <w:rPr>
                <w:rFonts w:ascii="Calibri" w:eastAsia="Calibri" w:hAnsi="Calibri" w:cs="Times New Roman"/>
                <w:b/>
                <w:bCs/>
                <w:spacing w:val="2"/>
              </w:rPr>
              <w:t>mm</w:t>
            </w:r>
            <w:r w:rsidRPr="00E868BF">
              <w:rPr>
                <w:rFonts w:ascii="Calibri" w:eastAsia="Calibri" w:hAnsi="Calibri" w:cs="Times New Roman"/>
                <w:b/>
                <w:bCs/>
                <w:spacing w:val="1"/>
              </w:rPr>
              <w:t>endatio</w:t>
            </w:r>
            <w:r w:rsidRPr="00E868BF">
              <w:rPr>
                <w:rFonts w:ascii="Calibri" w:eastAsia="Calibri" w:hAnsi="Calibri" w:cs="Times New Roman"/>
                <w:b/>
                <w:bCs/>
              </w:rPr>
              <w:t>n</w:t>
            </w:r>
          </w:p>
        </w:tc>
        <w:tc>
          <w:tcPr>
            <w:tcW w:w="2880" w:type="dxa"/>
            <w:tcBorders>
              <w:top w:val="single" w:sz="8" w:space="0" w:color="000000"/>
              <w:left w:val="nil"/>
              <w:bottom w:val="single" w:sz="8" w:space="0" w:color="000000"/>
              <w:right w:val="single" w:sz="8" w:space="0" w:color="000000"/>
            </w:tcBorders>
            <w:vAlign w:val="center"/>
            <w:hideMark/>
          </w:tcPr>
          <w:p w14:paraId="59168828" w14:textId="77777777" w:rsidR="00780C0E" w:rsidRPr="00E868BF" w:rsidRDefault="00780C0E" w:rsidP="002C16C5">
            <w:pPr>
              <w:overflowPunct w:val="0"/>
              <w:autoSpaceDE w:val="0"/>
              <w:autoSpaceDN w:val="0"/>
              <w:spacing w:before="38"/>
              <w:ind w:left="113" w:hanging="46"/>
              <w:jc w:val="center"/>
              <w:rPr>
                <w:rFonts w:ascii="Calibri" w:eastAsia="Calibri" w:hAnsi="Calibri" w:cs="Times New Roman"/>
              </w:rPr>
            </w:pPr>
            <w:r w:rsidRPr="00E868BF">
              <w:rPr>
                <w:rFonts w:ascii="Calibri" w:eastAsia="Calibri" w:hAnsi="Calibri" w:cs="Times New Roman"/>
                <w:b/>
                <w:bCs/>
                <w:spacing w:val="2"/>
              </w:rPr>
              <w:t>W</w:t>
            </w:r>
            <w:r w:rsidRPr="00E868BF">
              <w:rPr>
                <w:rFonts w:ascii="Calibri" w:eastAsia="Calibri" w:hAnsi="Calibri" w:cs="Times New Roman"/>
                <w:b/>
                <w:bCs/>
                <w:spacing w:val="1"/>
              </w:rPr>
              <w:t>ea</w:t>
            </w:r>
            <w:r w:rsidRPr="00E868BF">
              <w:rPr>
                <w:rFonts w:ascii="Calibri" w:eastAsia="Calibri" w:hAnsi="Calibri" w:cs="Times New Roman"/>
                <w:b/>
                <w:bCs/>
              </w:rPr>
              <w:t>k</w:t>
            </w:r>
            <w:r w:rsidRPr="00E868BF">
              <w:rPr>
                <w:rFonts w:ascii="Calibri" w:eastAsia="Calibri" w:hAnsi="Calibri" w:cs="Times New Roman"/>
                <w:b/>
                <w:bCs/>
                <w:spacing w:val="29"/>
              </w:rPr>
              <w:t xml:space="preserve"> </w:t>
            </w:r>
            <w:r w:rsidRPr="00E868BF">
              <w:rPr>
                <w:rFonts w:ascii="Calibri" w:eastAsia="Calibri" w:hAnsi="Calibri" w:cs="Times New Roman"/>
                <w:b/>
                <w:bCs/>
                <w:spacing w:val="1"/>
              </w:rPr>
              <w:t>Reco</w:t>
            </w:r>
            <w:r w:rsidRPr="00E868BF">
              <w:rPr>
                <w:rFonts w:ascii="Calibri" w:eastAsia="Calibri" w:hAnsi="Calibri" w:cs="Times New Roman"/>
                <w:b/>
                <w:bCs/>
                <w:spacing w:val="2"/>
              </w:rPr>
              <w:t>mm</w:t>
            </w:r>
            <w:r w:rsidRPr="00E868BF">
              <w:rPr>
                <w:rFonts w:ascii="Calibri" w:eastAsia="Calibri" w:hAnsi="Calibri" w:cs="Times New Roman"/>
                <w:b/>
                <w:bCs/>
                <w:spacing w:val="1"/>
              </w:rPr>
              <w:t>endatio</w:t>
            </w:r>
            <w:r w:rsidRPr="00E868BF">
              <w:rPr>
                <w:rFonts w:ascii="Calibri" w:eastAsia="Calibri" w:hAnsi="Calibri" w:cs="Times New Roman"/>
                <w:b/>
                <w:bCs/>
              </w:rPr>
              <w:t>n</w:t>
            </w:r>
          </w:p>
        </w:tc>
      </w:tr>
      <w:tr w:rsidR="00780C0E" w:rsidRPr="00E868BF" w14:paraId="6E40B254" w14:textId="77777777" w:rsidTr="002C16C5">
        <w:trPr>
          <w:trHeight w:hRule="exact" w:val="2243"/>
        </w:trPr>
        <w:tc>
          <w:tcPr>
            <w:tcW w:w="1350" w:type="dxa"/>
            <w:tcBorders>
              <w:top w:val="nil"/>
              <w:left w:val="single" w:sz="8" w:space="0" w:color="000000"/>
              <w:bottom w:val="single" w:sz="8" w:space="0" w:color="000000"/>
              <w:right w:val="single" w:sz="8" w:space="0" w:color="000000"/>
            </w:tcBorders>
            <w:hideMark/>
          </w:tcPr>
          <w:p w14:paraId="4DA8A551" w14:textId="77777777" w:rsidR="00780C0E" w:rsidRPr="00E868BF" w:rsidRDefault="00780C0E" w:rsidP="002C16C5">
            <w:pPr>
              <w:overflowPunct w:val="0"/>
              <w:autoSpaceDE w:val="0"/>
              <w:autoSpaceDN w:val="0"/>
              <w:ind w:left="90" w:right="8" w:firstLine="0"/>
              <w:rPr>
                <w:rFonts w:ascii="Calibri" w:eastAsia="Calibri" w:hAnsi="Calibri" w:cs="Times New Roman"/>
                <w:b/>
                <w:bCs/>
                <w:spacing w:val="29"/>
              </w:rPr>
            </w:pPr>
            <w:r w:rsidRPr="00E868BF">
              <w:rPr>
                <w:rFonts w:ascii="Calibri" w:eastAsia="Calibri" w:hAnsi="Calibri" w:cs="Times New Roman"/>
                <w:b/>
                <w:bCs/>
                <w:spacing w:val="1"/>
              </w:rPr>
              <w:t>H</w:t>
            </w:r>
            <w:r w:rsidRPr="00E868BF">
              <w:rPr>
                <w:rFonts w:ascii="Calibri" w:eastAsia="Calibri" w:hAnsi="Calibri" w:cs="Times New Roman"/>
                <w:b/>
                <w:bCs/>
              </w:rPr>
              <w:t>igh</w:t>
            </w:r>
            <w:r w:rsidRPr="00E868BF">
              <w:rPr>
                <w:rFonts w:ascii="Calibri" w:eastAsia="Calibri" w:hAnsi="Calibri" w:cs="Times New Roman"/>
                <w:b/>
                <w:bCs/>
                <w:spacing w:val="29"/>
              </w:rPr>
              <w:t xml:space="preserve"> </w:t>
            </w:r>
          </w:p>
          <w:p w14:paraId="59DAEFE9" w14:textId="77777777" w:rsidR="00780C0E" w:rsidRPr="00E868BF" w:rsidRDefault="00780C0E" w:rsidP="002C16C5">
            <w:pPr>
              <w:overflowPunct w:val="0"/>
              <w:autoSpaceDE w:val="0"/>
              <w:autoSpaceDN w:val="0"/>
              <w:ind w:left="90" w:right="8" w:firstLine="0"/>
              <w:rPr>
                <w:rFonts w:ascii="Calibri" w:eastAsia="Calibri" w:hAnsi="Calibri" w:cs="Times New Roman"/>
              </w:rPr>
            </w:pPr>
            <w:r w:rsidRPr="00E868BF">
              <w:rPr>
                <w:rFonts w:ascii="Calibri" w:eastAsia="Calibri" w:hAnsi="Calibri" w:cs="Times New Roman"/>
                <w:b/>
                <w:bCs/>
                <w:spacing w:val="1"/>
              </w:rPr>
              <w:t>Q</w:t>
            </w:r>
            <w:r w:rsidRPr="00E868BF">
              <w:rPr>
                <w:rFonts w:ascii="Calibri" w:eastAsia="Calibri" w:hAnsi="Calibri" w:cs="Times New Roman"/>
                <w:b/>
                <w:bCs/>
              </w:rPr>
              <w:t xml:space="preserve">uality </w:t>
            </w:r>
            <w:r w:rsidRPr="00E868BF">
              <w:rPr>
                <w:rFonts w:ascii="Calibri" w:eastAsia="Calibri" w:hAnsi="Calibri" w:cs="Times New Roman"/>
                <w:b/>
                <w:bCs/>
                <w:spacing w:val="1"/>
              </w:rPr>
              <w:t>E</w:t>
            </w:r>
            <w:r w:rsidRPr="00E868BF">
              <w:rPr>
                <w:rFonts w:ascii="Calibri" w:eastAsia="Calibri" w:hAnsi="Calibri" w:cs="Times New Roman"/>
                <w:b/>
                <w:bCs/>
              </w:rPr>
              <w:t>vidence</w:t>
            </w:r>
          </w:p>
        </w:tc>
        <w:tc>
          <w:tcPr>
            <w:tcW w:w="2340" w:type="dxa"/>
            <w:tcBorders>
              <w:top w:val="nil"/>
              <w:left w:val="nil"/>
              <w:bottom w:val="single" w:sz="8" w:space="0" w:color="000000"/>
              <w:right w:val="single" w:sz="8" w:space="0" w:color="000000"/>
            </w:tcBorders>
            <w:hideMark/>
          </w:tcPr>
          <w:p w14:paraId="3F32B588" w14:textId="77777777" w:rsidR="00780C0E" w:rsidRPr="00E868BF" w:rsidRDefault="00780C0E" w:rsidP="002C16C5">
            <w:pPr>
              <w:overflowPunct w:val="0"/>
              <w:autoSpaceDE w:val="0"/>
              <w:autoSpaceDN w:val="0"/>
              <w:ind w:left="169" w:right="56" w:firstLine="0"/>
              <w:rPr>
                <w:rFonts w:ascii="Calibri" w:eastAsia="Calibri" w:hAnsi="Calibri" w:cs="Times New Roman"/>
              </w:rPr>
            </w:pPr>
            <w:r w:rsidRPr="00E868BF">
              <w:rPr>
                <w:rFonts w:ascii="Calibri" w:eastAsia="Calibri" w:hAnsi="Calibri" w:cs="Times New Roman"/>
              </w:rPr>
              <w:t>Further</w:t>
            </w:r>
            <w:r w:rsidRPr="00E868BF">
              <w:rPr>
                <w:rFonts w:ascii="Calibri" w:eastAsia="Calibri" w:hAnsi="Calibri" w:cs="Times New Roman"/>
                <w:spacing w:val="19"/>
              </w:rPr>
              <w:t xml:space="preserve"> </w:t>
            </w:r>
            <w:r w:rsidRPr="00E868BF">
              <w:rPr>
                <w:rFonts w:ascii="Calibri" w:eastAsia="Calibri" w:hAnsi="Calibri" w:cs="Times New Roman"/>
              </w:rPr>
              <w:t>research</w:t>
            </w:r>
            <w:r w:rsidRPr="00E868BF">
              <w:rPr>
                <w:rFonts w:ascii="Calibri" w:eastAsia="Calibri" w:hAnsi="Calibri" w:cs="Times New Roman"/>
                <w:spacing w:val="19"/>
              </w:rPr>
              <w:t xml:space="preserve"> </w:t>
            </w:r>
            <w:r w:rsidRPr="00E868BF">
              <w:rPr>
                <w:rFonts w:ascii="Calibri" w:eastAsia="Calibri" w:hAnsi="Calibri" w:cs="Times New Roman"/>
              </w:rPr>
              <w:t>is</w:t>
            </w:r>
            <w:r w:rsidRPr="00E868BF">
              <w:rPr>
                <w:rFonts w:ascii="Calibri" w:eastAsia="Calibri" w:hAnsi="Calibri" w:cs="Times New Roman"/>
                <w:spacing w:val="19"/>
              </w:rPr>
              <w:t xml:space="preserve"> </w:t>
            </w:r>
            <w:r w:rsidRPr="00E868BF">
              <w:rPr>
                <w:rFonts w:ascii="Calibri" w:eastAsia="Calibri" w:hAnsi="Calibri" w:cs="Times New Roman"/>
              </w:rPr>
              <w:t>very unlikely</w:t>
            </w:r>
            <w:r w:rsidRPr="00E868BF">
              <w:rPr>
                <w:rFonts w:ascii="Calibri" w:eastAsia="Calibri" w:hAnsi="Calibri" w:cs="Times New Roman"/>
                <w:spacing w:val="17"/>
              </w:rPr>
              <w:t xml:space="preserve"> </w:t>
            </w:r>
            <w:r w:rsidRPr="00E868BF">
              <w:rPr>
                <w:rFonts w:ascii="Calibri" w:eastAsia="Calibri" w:hAnsi="Calibri" w:cs="Times New Roman"/>
              </w:rPr>
              <w:t>to</w:t>
            </w:r>
            <w:r w:rsidRPr="00E868BF">
              <w:rPr>
                <w:rFonts w:ascii="Calibri" w:eastAsia="Calibri" w:hAnsi="Calibri" w:cs="Times New Roman"/>
                <w:spacing w:val="17"/>
              </w:rPr>
              <w:t xml:space="preserve"> </w:t>
            </w:r>
            <w:r w:rsidRPr="00E868BF">
              <w:rPr>
                <w:rFonts w:ascii="Calibri" w:eastAsia="Calibri" w:hAnsi="Calibri" w:cs="Times New Roman"/>
              </w:rPr>
              <w:t>change</w:t>
            </w:r>
            <w:r w:rsidRPr="00E868BF">
              <w:rPr>
                <w:rFonts w:ascii="Calibri" w:eastAsia="Calibri" w:hAnsi="Calibri" w:cs="Times New Roman"/>
                <w:spacing w:val="17"/>
              </w:rPr>
              <w:t xml:space="preserve"> </w:t>
            </w:r>
            <w:r w:rsidRPr="00E868BF">
              <w:rPr>
                <w:rFonts w:ascii="Calibri" w:eastAsia="Calibri" w:hAnsi="Calibri" w:cs="Times New Roman"/>
              </w:rPr>
              <w:t>our confidence</w:t>
            </w:r>
            <w:r w:rsidRPr="00E868BF">
              <w:rPr>
                <w:rFonts w:ascii="Calibri" w:eastAsia="Calibri" w:hAnsi="Calibri" w:cs="Times New Roman"/>
                <w:spacing w:val="19"/>
              </w:rPr>
              <w:t xml:space="preserve"> </w:t>
            </w:r>
            <w:r w:rsidRPr="00E868BF">
              <w:rPr>
                <w:rFonts w:ascii="Calibri" w:eastAsia="Calibri" w:hAnsi="Calibri" w:cs="Times New Roman"/>
              </w:rPr>
              <w:t>in</w:t>
            </w:r>
            <w:r w:rsidRPr="00E868BF">
              <w:rPr>
                <w:rFonts w:ascii="Calibri" w:eastAsia="Calibri" w:hAnsi="Calibri" w:cs="Times New Roman"/>
                <w:spacing w:val="20"/>
              </w:rPr>
              <w:t xml:space="preserve"> </w:t>
            </w:r>
            <w:r w:rsidRPr="00E868BF">
              <w:rPr>
                <w:rFonts w:ascii="Calibri" w:eastAsia="Calibri" w:hAnsi="Calibri" w:cs="Times New Roman"/>
              </w:rPr>
              <w:t>the esti</w:t>
            </w:r>
            <w:r w:rsidRPr="00E868BF">
              <w:rPr>
                <w:rFonts w:ascii="Calibri" w:eastAsia="Calibri" w:hAnsi="Calibri" w:cs="Times New Roman"/>
                <w:spacing w:val="1"/>
              </w:rPr>
              <w:t>m</w:t>
            </w:r>
            <w:r w:rsidRPr="00E868BF">
              <w:rPr>
                <w:rFonts w:ascii="Calibri" w:eastAsia="Calibri" w:hAnsi="Calibri" w:cs="Times New Roman"/>
              </w:rPr>
              <w:t>ate</w:t>
            </w:r>
            <w:r w:rsidRPr="00E868BF">
              <w:rPr>
                <w:rFonts w:ascii="Calibri" w:eastAsia="Calibri" w:hAnsi="Calibri" w:cs="Times New Roman"/>
                <w:spacing w:val="20"/>
              </w:rPr>
              <w:t xml:space="preserve"> </w:t>
            </w:r>
            <w:r w:rsidRPr="00E868BF">
              <w:rPr>
                <w:rFonts w:ascii="Calibri" w:eastAsia="Calibri" w:hAnsi="Calibri" w:cs="Times New Roman"/>
              </w:rPr>
              <w:t>of</w:t>
            </w:r>
            <w:r w:rsidRPr="00E868BF">
              <w:rPr>
                <w:rFonts w:ascii="Calibri" w:eastAsia="Calibri" w:hAnsi="Calibri" w:cs="Times New Roman"/>
                <w:spacing w:val="21"/>
              </w:rPr>
              <w:t xml:space="preserve"> </w:t>
            </w:r>
            <w:r w:rsidRPr="00E868BF">
              <w:rPr>
                <w:rFonts w:ascii="Calibri" w:eastAsia="Calibri" w:hAnsi="Calibri" w:cs="Times New Roman"/>
              </w:rPr>
              <w:t>effect.</w:t>
            </w:r>
          </w:p>
        </w:tc>
        <w:tc>
          <w:tcPr>
            <w:tcW w:w="2970" w:type="dxa"/>
            <w:tcBorders>
              <w:top w:val="nil"/>
              <w:left w:val="nil"/>
              <w:bottom w:val="single" w:sz="8" w:space="0" w:color="000000"/>
              <w:right w:val="single" w:sz="8" w:space="0" w:color="000000"/>
            </w:tcBorders>
            <w:hideMark/>
          </w:tcPr>
          <w:p w14:paraId="176AEDDD" w14:textId="77777777" w:rsidR="00780C0E" w:rsidRPr="00E868BF" w:rsidRDefault="00780C0E" w:rsidP="002C16C5">
            <w:pPr>
              <w:overflowPunct w:val="0"/>
              <w:autoSpaceDE w:val="0"/>
              <w:autoSpaceDN w:val="0"/>
              <w:ind w:left="114" w:right="120" w:firstLine="10"/>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15"/>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16"/>
              </w:rPr>
              <w:t xml:space="preserve"> </w:t>
            </w:r>
            <w:r w:rsidRPr="00E868BF">
              <w:rPr>
                <w:rFonts w:ascii="Calibri" w:eastAsia="Calibri" w:hAnsi="Calibri" w:cs="Times New Roman"/>
              </w:rPr>
              <w:t>group</w:t>
            </w:r>
            <w:r w:rsidRPr="00E868BF">
              <w:rPr>
                <w:rFonts w:ascii="Calibri" w:eastAsia="Calibri" w:hAnsi="Calibri" w:cs="Times New Roman"/>
                <w:spacing w:val="16"/>
              </w:rPr>
              <w:t xml:space="preserve"> </w:t>
            </w:r>
            <w:r w:rsidRPr="00E868BF">
              <w:rPr>
                <w:rFonts w:ascii="Calibri" w:eastAsia="Calibri" w:hAnsi="Calibri" w:cs="Times New Roman"/>
              </w:rPr>
              <w:t>is</w:t>
            </w:r>
            <w:r w:rsidRPr="00E868BF">
              <w:rPr>
                <w:rFonts w:ascii="Calibri" w:eastAsia="Calibri" w:hAnsi="Calibri" w:cs="Times New Roman"/>
                <w:spacing w:val="15"/>
              </w:rPr>
              <w:t xml:space="preserve"> </w:t>
            </w:r>
            <w:r w:rsidRPr="00E868BF">
              <w:rPr>
                <w:rFonts w:ascii="Calibri" w:eastAsia="Calibri" w:hAnsi="Calibri" w:cs="Times New Roman"/>
              </w:rPr>
              <w:t>confident</w:t>
            </w:r>
            <w:r w:rsidRPr="00E868BF">
              <w:rPr>
                <w:rFonts w:ascii="Calibri" w:eastAsia="Calibri" w:hAnsi="Calibri" w:cs="Times New Roman"/>
                <w:spacing w:val="15"/>
              </w:rPr>
              <w:t xml:space="preserve"> </w:t>
            </w:r>
            <w:r w:rsidRPr="00E868BF">
              <w:rPr>
                <w:rFonts w:ascii="Calibri" w:eastAsia="Calibri" w:hAnsi="Calibri" w:cs="Times New Roman"/>
              </w:rPr>
              <w:t>that the</w:t>
            </w:r>
            <w:r w:rsidRPr="00E868BF">
              <w:rPr>
                <w:rFonts w:ascii="Calibri" w:eastAsia="Calibri" w:hAnsi="Calibri" w:cs="Times New Roman"/>
                <w:spacing w:val="16"/>
              </w:rPr>
              <w:t xml:space="preserve"> </w:t>
            </w:r>
            <w:r w:rsidRPr="00E868BF">
              <w:rPr>
                <w:rFonts w:ascii="Calibri" w:eastAsia="Calibri" w:hAnsi="Calibri" w:cs="Times New Roman"/>
              </w:rPr>
              <w:t>desirable</w:t>
            </w:r>
            <w:r w:rsidRPr="00E868BF">
              <w:rPr>
                <w:rFonts w:ascii="Calibri" w:eastAsia="Calibri" w:hAnsi="Calibri" w:cs="Times New Roman"/>
                <w:spacing w:val="16"/>
              </w:rPr>
              <w:t xml:space="preserve"> </w:t>
            </w:r>
            <w:r w:rsidRPr="00E868BF">
              <w:rPr>
                <w:rFonts w:ascii="Calibri" w:eastAsia="Calibri" w:hAnsi="Calibri" w:cs="Times New Roman"/>
              </w:rPr>
              <w:t>effects</w:t>
            </w:r>
            <w:r w:rsidRPr="00E868BF">
              <w:rPr>
                <w:rFonts w:ascii="Calibri" w:eastAsia="Calibri" w:hAnsi="Calibri" w:cs="Times New Roman"/>
                <w:spacing w:val="17"/>
              </w:rPr>
              <w:t xml:space="preserve"> </w:t>
            </w:r>
            <w:r w:rsidRPr="00E868BF">
              <w:rPr>
                <w:rFonts w:ascii="Calibri" w:eastAsia="Calibri" w:hAnsi="Calibri" w:cs="Times New Roman"/>
              </w:rPr>
              <w:t>of</w:t>
            </w:r>
            <w:r w:rsidRPr="00E868BF">
              <w:rPr>
                <w:rFonts w:ascii="Calibri" w:eastAsia="Calibri" w:hAnsi="Calibri" w:cs="Times New Roman"/>
                <w:spacing w:val="16"/>
              </w:rPr>
              <w:t xml:space="preserve"> </w:t>
            </w:r>
            <w:r w:rsidRPr="00E868BF">
              <w:rPr>
                <w:rFonts w:ascii="Calibri" w:eastAsia="Calibri" w:hAnsi="Calibri" w:cs="Times New Roman"/>
              </w:rPr>
              <w:t>adhering</w:t>
            </w:r>
            <w:r w:rsidRPr="00E868BF">
              <w:rPr>
                <w:rFonts w:ascii="Calibri" w:eastAsia="Calibri" w:hAnsi="Calibri" w:cs="Times New Roman"/>
                <w:spacing w:val="16"/>
              </w:rPr>
              <w:t xml:space="preserve"> </w:t>
            </w:r>
            <w:r w:rsidRPr="00E868BF">
              <w:rPr>
                <w:rFonts w:ascii="Calibri" w:eastAsia="Calibri" w:hAnsi="Calibri" w:cs="Times New Roman"/>
              </w:rPr>
              <w:t>to this</w:t>
            </w:r>
            <w:r w:rsidRPr="00E868BF">
              <w:rPr>
                <w:rFonts w:ascii="Calibri" w:eastAsia="Calibri" w:hAnsi="Calibri" w:cs="Times New Roman"/>
                <w:spacing w:val="25"/>
              </w:rPr>
              <w:t xml:space="preserve"> </w:t>
            </w:r>
            <w:r w:rsidRPr="00E868BF">
              <w:rPr>
                <w:rFonts w:ascii="Calibri" w:eastAsia="Calibri" w:hAnsi="Calibri" w:cs="Times New Roman"/>
              </w:rPr>
              <w:t>reco</w:t>
            </w:r>
            <w:r w:rsidRPr="00E868BF">
              <w:rPr>
                <w:rFonts w:ascii="Calibri" w:eastAsia="Calibri" w:hAnsi="Calibri" w:cs="Times New Roman"/>
                <w:spacing w:val="1"/>
              </w:rPr>
              <w:t>mm</w:t>
            </w:r>
            <w:r w:rsidRPr="00E868BF">
              <w:rPr>
                <w:rFonts w:ascii="Calibri" w:eastAsia="Calibri" w:hAnsi="Calibri" w:cs="Times New Roman"/>
              </w:rPr>
              <w:t>endation</w:t>
            </w:r>
            <w:r w:rsidRPr="00E868BF">
              <w:rPr>
                <w:rFonts w:ascii="Calibri" w:eastAsia="Calibri" w:hAnsi="Calibri" w:cs="Times New Roman"/>
                <w:spacing w:val="26"/>
              </w:rPr>
              <w:t xml:space="preserve"> </w:t>
            </w:r>
            <w:r w:rsidRPr="00E868BF">
              <w:rPr>
                <w:rFonts w:ascii="Calibri" w:eastAsia="Calibri" w:hAnsi="Calibri" w:cs="Times New Roman"/>
              </w:rPr>
              <w:t>out</w:t>
            </w:r>
            <w:r w:rsidRPr="00E868BF">
              <w:rPr>
                <w:rFonts w:ascii="Calibri" w:eastAsia="Calibri" w:hAnsi="Calibri" w:cs="Times New Roman"/>
                <w:spacing w:val="1"/>
              </w:rPr>
              <w:t>w</w:t>
            </w:r>
            <w:r w:rsidRPr="00E868BF">
              <w:rPr>
                <w:rFonts w:ascii="Calibri" w:eastAsia="Calibri" w:hAnsi="Calibri" w:cs="Times New Roman"/>
              </w:rPr>
              <w:t>eigh</w:t>
            </w:r>
            <w:r w:rsidRPr="00E868BF">
              <w:rPr>
                <w:rFonts w:ascii="Calibri" w:eastAsia="Calibri" w:hAnsi="Calibri" w:cs="Times New Roman"/>
                <w:spacing w:val="25"/>
              </w:rPr>
              <w:t xml:space="preserve"> </w:t>
            </w:r>
            <w:r w:rsidRPr="00E868BF">
              <w:rPr>
                <w:rFonts w:ascii="Calibri" w:eastAsia="Calibri" w:hAnsi="Calibri" w:cs="Times New Roman"/>
              </w:rPr>
              <w:t>the undesirable</w:t>
            </w:r>
            <w:r w:rsidRPr="00E868BF">
              <w:rPr>
                <w:rFonts w:ascii="Calibri" w:eastAsia="Calibri" w:hAnsi="Calibri" w:cs="Times New Roman"/>
                <w:spacing w:val="14"/>
              </w:rPr>
              <w:t xml:space="preserve"> </w:t>
            </w:r>
            <w:r w:rsidRPr="00E868BF">
              <w:rPr>
                <w:rFonts w:ascii="Calibri" w:eastAsia="Calibri" w:hAnsi="Calibri" w:cs="Times New Roman"/>
              </w:rPr>
              <w:t xml:space="preserve">effects. </w:t>
            </w:r>
            <w:r w:rsidRPr="00E868BF">
              <w:rPr>
                <w:rFonts w:ascii="Calibri" w:eastAsia="Calibri" w:hAnsi="Calibri" w:cs="Times New Roman"/>
                <w:spacing w:val="26"/>
              </w:rPr>
              <w:t> </w:t>
            </w:r>
            <w:r w:rsidRPr="00E868BF">
              <w:rPr>
                <w:rFonts w:ascii="Calibri" w:eastAsia="Calibri" w:hAnsi="Calibri" w:cs="Times New Roman"/>
                <w:spacing w:val="1"/>
              </w:rPr>
              <w:t>T</w:t>
            </w:r>
            <w:r w:rsidRPr="00E868BF">
              <w:rPr>
                <w:rFonts w:ascii="Calibri" w:eastAsia="Calibri" w:hAnsi="Calibri" w:cs="Times New Roman"/>
              </w:rPr>
              <w:t>his</w:t>
            </w:r>
            <w:r w:rsidRPr="00E868BF">
              <w:rPr>
                <w:rFonts w:ascii="Calibri" w:eastAsia="Calibri" w:hAnsi="Calibri" w:cs="Times New Roman"/>
                <w:spacing w:val="14"/>
              </w:rPr>
              <w:t xml:space="preserve"> </w:t>
            </w:r>
            <w:r w:rsidRPr="00E868BF">
              <w:rPr>
                <w:rFonts w:ascii="Calibri" w:eastAsia="Calibri" w:hAnsi="Calibri" w:cs="Times New Roman"/>
              </w:rPr>
              <w:t>is</w:t>
            </w:r>
            <w:r w:rsidRPr="00E868BF">
              <w:rPr>
                <w:rFonts w:ascii="Calibri" w:eastAsia="Calibri" w:hAnsi="Calibri" w:cs="Times New Roman"/>
                <w:spacing w:val="14"/>
              </w:rPr>
              <w:t xml:space="preserve"> </w:t>
            </w:r>
            <w:r w:rsidRPr="00E868BF">
              <w:rPr>
                <w:rFonts w:ascii="Calibri" w:eastAsia="Calibri" w:hAnsi="Calibri" w:cs="Times New Roman"/>
              </w:rPr>
              <w:t>a strong</w:t>
            </w:r>
            <w:r w:rsidRPr="00E868BF">
              <w:rPr>
                <w:rFonts w:ascii="Calibri" w:eastAsia="Calibri" w:hAnsi="Calibri" w:cs="Times New Roman"/>
                <w:spacing w:val="23"/>
              </w:rPr>
              <w:t xml:space="preserve"> </w:t>
            </w:r>
            <w:r w:rsidRPr="00E868BF">
              <w:rPr>
                <w:rFonts w:ascii="Calibri" w:eastAsia="Calibri" w:hAnsi="Calibri" w:cs="Times New Roman"/>
              </w:rPr>
              <w:t>reco</w:t>
            </w:r>
            <w:r w:rsidRPr="00E868BF">
              <w:rPr>
                <w:rFonts w:ascii="Calibri" w:eastAsia="Calibri" w:hAnsi="Calibri" w:cs="Times New Roman"/>
                <w:spacing w:val="1"/>
              </w:rPr>
              <w:t>mm</w:t>
            </w:r>
            <w:r w:rsidRPr="00E868BF">
              <w:rPr>
                <w:rFonts w:ascii="Calibri" w:eastAsia="Calibri" w:hAnsi="Calibri" w:cs="Times New Roman"/>
              </w:rPr>
              <w:t>endation</w:t>
            </w:r>
            <w:r w:rsidRPr="00E868BF">
              <w:rPr>
                <w:rFonts w:ascii="Calibri" w:eastAsia="Calibri" w:hAnsi="Calibri" w:cs="Times New Roman"/>
                <w:spacing w:val="23"/>
              </w:rPr>
              <w:t xml:space="preserve"> </w:t>
            </w:r>
            <w:r w:rsidRPr="00E868BF">
              <w:rPr>
                <w:rFonts w:ascii="Calibri" w:eastAsia="Calibri" w:hAnsi="Calibri" w:cs="Times New Roman"/>
              </w:rPr>
              <w:t>for</w:t>
            </w:r>
            <w:r w:rsidRPr="00E868BF">
              <w:rPr>
                <w:rFonts w:ascii="Calibri" w:eastAsia="Calibri" w:hAnsi="Calibri" w:cs="Times New Roman"/>
                <w:spacing w:val="23"/>
              </w:rPr>
              <w:t xml:space="preserve"> </w:t>
            </w:r>
            <w:r w:rsidRPr="00E868BF">
              <w:rPr>
                <w:rFonts w:ascii="Calibri" w:eastAsia="Calibri" w:hAnsi="Calibri" w:cs="Times New Roman"/>
              </w:rPr>
              <w:t>or against.</w:t>
            </w:r>
            <w:r w:rsidRPr="00E868BF">
              <w:rPr>
                <w:rFonts w:ascii="Calibri" w:eastAsia="Calibri" w:hAnsi="Calibri" w:cs="Times New Roman"/>
                <w:spacing w:val="15"/>
              </w:rPr>
              <w:t xml:space="preserve"> </w:t>
            </w:r>
            <w:r w:rsidRPr="00E868BF">
              <w:rPr>
                <w:rFonts w:ascii="Calibri" w:eastAsia="Calibri" w:hAnsi="Calibri" w:cs="Times New Roman"/>
                <w:spacing w:val="1"/>
              </w:rPr>
              <w:t>T</w:t>
            </w:r>
            <w:r w:rsidRPr="00E868BF">
              <w:rPr>
                <w:rFonts w:ascii="Calibri" w:eastAsia="Calibri" w:hAnsi="Calibri" w:cs="Times New Roman"/>
              </w:rPr>
              <w:t>his</w:t>
            </w:r>
            <w:r w:rsidRPr="00E868BF">
              <w:rPr>
                <w:rFonts w:ascii="Calibri" w:eastAsia="Calibri" w:hAnsi="Calibri" w:cs="Times New Roman"/>
                <w:spacing w:val="16"/>
              </w:rPr>
              <w:t xml:space="preserve"> </w:t>
            </w:r>
            <w:r w:rsidRPr="00E868BF">
              <w:rPr>
                <w:rFonts w:ascii="Calibri" w:eastAsia="Calibri" w:hAnsi="Calibri" w:cs="Times New Roman"/>
              </w:rPr>
              <w:t>applies</w:t>
            </w:r>
            <w:r w:rsidRPr="00E868BF">
              <w:rPr>
                <w:rFonts w:ascii="Calibri" w:eastAsia="Calibri" w:hAnsi="Calibri" w:cs="Times New Roman"/>
                <w:spacing w:val="17"/>
              </w:rPr>
              <w:t xml:space="preserve"> </w:t>
            </w:r>
            <w:r w:rsidRPr="00E868BF">
              <w:rPr>
                <w:rFonts w:ascii="Calibri" w:eastAsia="Calibri" w:hAnsi="Calibri" w:cs="Times New Roman"/>
              </w:rPr>
              <w:t>to</w:t>
            </w:r>
            <w:r w:rsidRPr="00E868BF">
              <w:rPr>
                <w:rFonts w:ascii="Calibri" w:eastAsia="Calibri" w:hAnsi="Calibri" w:cs="Times New Roman"/>
                <w:spacing w:val="16"/>
              </w:rPr>
              <w:t xml:space="preserve"> </w:t>
            </w:r>
            <w:r w:rsidRPr="00E868BF">
              <w:rPr>
                <w:rFonts w:ascii="Calibri" w:eastAsia="Calibri" w:hAnsi="Calibri" w:cs="Times New Roman"/>
                <w:spacing w:val="1"/>
              </w:rPr>
              <w:t>m</w:t>
            </w:r>
            <w:r w:rsidRPr="00E868BF">
              <w:rPr>
                <w:rFonts w:ascii="Calibri" w:eastAsia="Calibri" w:hAnsi="Calibri" w:cs="Times New Roman"/>
              </w:rPr>
              <w:t>ost patients.</w:t>
            </w:r>
          </w:p>
        </w:tc>
        <w:tc>
          <w:tcPr>
            <w:tcW w:w="2880" w:type="dxa"/>
            <w:tcBorders>
              <w:top w:val="nil"/>
              <w:left w:val="nil"/>
              <w:bottom w:val="single" w:sz="8" w:space="0" w:color="000000"/>
              <w:right w:val="single" w:sz="8" w:space="0" w:color="000000"/>
            </w:tcBorders>
            <w:hideMark/>
          </w:tcPr>
          <w:p w14:paraId="7C33E763" w14:textId="77777777" w:rsidR="00780C0E" w:rsidRPr="00E868BF" w:rsidRDefault="00780C0E" w:rsidP="002C16C5">
            <w:pPr>
              <w:overflowPunct w:val="0"/>
              <w:autoSpaceDE w:val="0"/>
              <w:autoSpaceDN w:val="0"/>
              <w:ind w:left="113" w:right="152" w:hanging="46"/>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21"/>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22"/>
              </w:rPr>
              <w:t xml:space="preserve"> </w:t>
            </w:r>
            <w:r w:rsidRPr="00E868BF">
              <w:rPr>
                <w:rFonts w:ascii="Calibri" w:eastAsia="Calibri" w:hAnsi="Calibri" w:cs="Times New Roman"/>
              </w:rPr>
              <w:t>group</w:t>
            </w:r>
            <w:r w:rsidRPr="00E868BF">
              <w:rPr>
                <w:rFonts w:ascii="Calibri" w:eastAsia="Calibri" w:hAnsi="Calibri" w:cs="Times New Roman"/>
                <w:spacing w:val="21"/>
              </w:rPr>
              <w:t xml:space="preserve"> </w:t>
            </w:r>
            <w:r w:rsidRPr="00E868BF">
              <w:rPr>
                <w:rFonts w:ascii="Calibri" w:eastAsia="Calibri" w:hAnsi="Calibri" w:cs="Times New Roman"/>
              </w:rPr>
              <w:t>recognizes that</w:t>
            </w:r>
            <w:r w:rsidRPr="00E868BF">
              <w:rPr>
                <w:rFonts w:ascii="Calibri" w:eastAsia="Calibri" w:hAnsi="Calibri" w:cs="Times New Roman"/>
                <w:spacing w:val="15"/>
              </w:rPr>
              <w:t xml:space="preserve"> </w:t>
            </w:r>
            <w:r w:rsidRPr="00E868BF">
              <w:rPr>
                <w:rFonts w:ascii="Calibri" w:eastAsia="Calibri" w:hAnsi="Calibri" w:cs="Times New Roman"/>
              </w:rPr>
              <w:t>the</w:t>
            </w:r>
            <w:r w:rsidRPr="00E868BF">
              <w:rPr>
                <w:rFonts w:ascii="Calibri" w:eastAsia="Calibri" w:hAnsi="Calibri" w:cs="Times New Roman"/>
                <w:spacing w:val="16"/>
              </w:rPr>
              <w:t xml:space="preserve"> </w:t>
            </w:r>
            <w:r w:rsidRPr="00E868BF">
              <w:rPr>
                <w:rFonts w:ascii="Calibri" w:eastAsia="Calibri" w:hAnsi="Calibri" w:cs="Times New Roman"/>
              </w:rPr>
              <w:t>evidence,</w:t>
            </w:r>
            <w:r w:rsidRPr="00E868BF">
              <w:rPr>
                <w:rFonts w:ascii="Calibri" w:eastAsia="Calibri" w:hAnsi="Calibri" w:cs="Times New Roman"/>
                <w:spacing w:val="16"/>
              </w:rPr>
              <w:t xml:space="preserve"> </w:t>
            </w:r>
            <w:r w:rsidRPr="00E868BF">
              <w:rPr>
                <w:rFonts w:ascii="Calibri" w:eastAsia="Calibri" w:hAnsi="Calibri" w:cs="Times New Roman"/>
              </w:rPr>
              <w:t>though</w:t>
            </w:r>
            <w:r w:rsidRPr="00E868BF">
              <w:rPr>
                <w:rFonts w:ascii="Calibri" w:eastAsia="Calibri" w:hAnsi="Calibri" w:cs="Times New Roman"/>
                <w:spacing w:val="16"/>
              </w:rPr>
              <w:t xml:space="preserve"> </w:t>
            </w:r>
            <w:r w:rsidRPr="00E868BF">
              <w:rPr>
                <w:rFonts w:ascii="Calibri" w:eastAsia="Calibri" w:hAnsi="Calibri" w:cs="Times New Roman"/>
              </w:rPr>
              <w:t>of high</w:t>
            </w:r>
            <w:r w:rsidRPr="00E868BF">
              <w:rPr>
                <w:rFonts w:ascii="Calibri" w:eastAsia="Calibri" w:hAnsi="Calibri" w:cs="Times New Roman"/>
                <w:spacing w:val="16"/>
              </w:rPr>
              <w:t xml:space="preserve"> </w:t>
            </w:r>
            <w:r w:rsidRPr="00E868BF">
              <w:rPr>
                <w:rFonts w:ascii="Calibri" w:eastAsia="Calibri" w:hAnsi="Calibri" w:cs="Times New Roman"/>
              </w:rPr>
              <w:t>quality,</w:t>
            </w:r>
            <w:r w:rsidRPr="00E868BF">
              <w:rPr>
                <w:rFonts w:ascii="Calibri" w:eastAsia="Calibri" w:hAnsi="Calibri" w:cs="Times New Roman"/>
                <w:spacing w:val="15"/>
              </w:rPr>
              <w:t xml:space="preserve"> </w:t>
            </w:r>
            <w:r w:rsidRPr="00E868BF">
              <w:rPr>
                <w:rFonts w:ascii="Calibri" w:eastAsia="Calibri" w:hAnsi="Calibri" w:cs="Times New Roman"/>
              </w:rPr>
              <w:t>sho</w:t>
            </w:r>
            <w:r w:rsidRPr="00E868BF">
              <w:rPr>
                <w:rFonts w:ascii="Calibri" w:eastAsia="Calibri" w:hAnsi="Calibri" w:cs="Times New Roman"/>
                <w:spacing w:val="1"/>
              </w:rPr>
              <w:t>w</w:t>
            </w:r>
            <w:r w:rsidRPr="00E868BF">
              <w:rPr>
                <w:rFonts w:ascii="Calibri" w:eastAsia="Calibri" w:hAnsi="Calibri" w:cs="Times New Roman"/>
              </w:rPr>
              <w:t>s</w:t>
            </w:r>
            <w:r w:rsidRPr="00E868BF">
              <w:rPr>
                <w:rFonts w:ascii="Calibri" w:eastAsia="Calibri" w:hAnsi="Calibri" w:cs="Times New Roman"/>
                <w:spacing w:val="16"/>
              </w:rPr>
              <w:t xml:space="preserve"> </w:t>
            </w:r>
            <w:r w:rsidRPr="00E868BF">
              <w:rPr>
                <w:rFonts w:ascii="Calibri" w:eastAsia="Calibri" w:hAnsi="Calibri" w:cs="Times New Roman"/>
              </w:rPr>
              <w:t>a balance</w:t>
            </w:r>
            <w:r w:rsidRPr="00E868BF">
              <w:rPr>
                <w:rFonts w:ascii="Calibri" w:eastAsia="Calibri" w:hAnsi="Calibri" w:cs="Times New Roman"/>
                <w:spacing w:val="29"/>
              </w:rPr>
              <w:t xml:space="preserve"> </w:t>
            </w:r>
            <w:r w:rsidRPr="00E868BF">
              <w:rPr>
                <w:rFonts w:ascii="Calibri" w:eastAsia="Calibri" w:hAnsi="Calibri" w:cs="Times New Roman"/>
              </w:rPr>
              <w:t>bet</w:t>
            </w:r>
            <w:r w:rsidRPr="00E868BF">
              <w:rPr>
                <w:rFonts w:ascii="Calibri" w:eastAsia="Calibri" w:hAnsi="Calibri" w:cs="Times New Roman"/>
                <w:spacing w:val="1"/>
              </w:rPr>
              <w:t>w</w:t>
            </w:r>
            <w:r w:rsidRPr="00E868BF">
              <w:rPr>
                <w:rFonts w:ascii="Calibri" w:eastAsia="Calibri" w:hAnsi="Calibri" w:cs="Times New Roman"/>
              </w:rPr>
              <w:t>een</w:t>
            </w:r>
            <w:r w:rsidRPr="00E868BF">
              <w:rPr>
                <w:rFonts w:ascii="Calibri" w:eastAsia="Calibri" w:hAnsi="Calibri" w:cs="Times New Roman"/>
                <w:spacing w:val="30"/>
              </w:rPr>
              <w:t xml:space="preserve"> </w:t>
            </w:r>
            <w:r w:rsidRPr="00E868BF">
              <w:rPr>
                <w:rFonts w:ascii="Calibri" w:eastAsia="Calibri" w:hAnsi="Calibri" w:cs="Times New Roman"/>
              </w:rPr>
              <w:t>esti</w:t>
            </w:r>
            <w:r w:rsidRPr="00E868BF">
              <w:rPr>
                <w:rFonts w:ascii="Calibri" w:eastAsia="Calibri" w:hAnsi="Calibri" w:cs="Times New Roman"/>
                <w:spacing w:val="1"/>
              </w:rPr>
              <w:t>m</w:t>
            </w:r>
            <w:r w:rsidRPr="00E868BF">
              <w:rPr>
                <w:rFonts w:ascii="Calibri" w:eastAsia="Calibri" w:hAnsi="Calibri" w:cs="Times New Roman"/>
              </w:rPr>
              <w:t>ates of</w:t>
            </w:r>
            <w:r w:rsidRPr="00E868BF">
              <w:rPr>
                <w:rFonts w:ascii="Calibri" w:eastAsia="Calibri" w:hAnsi="Calibri" w:cs="Times New Roman"/>
                <w:spacing w:val="16"/>
              </w:rPr>
              <w:t xml:space="preserve"> </w:t>
            </w:r>
            <w:r w:rsidRPr="00E868BF">
              <w:rPr>
                <w:rFonts w:ascii="Calibri" w:eastAsia="Calibri" w:hAnsi="Calibri" w:cs="Times New Roman"/>
              </w:rPr>
              <w:t>har</w:t>
            </w:r>
            <w:r w:rsidRPr="00E868BF">
              <w:rPr>
                <w:rFonts w:ascii="Calibri" w:eastAsia="Calibri" w:hAnsi="Calibri" w:cs="Times New Roman"/>
                <w:spacing w:val="1"/>
              </w:rPr>
              <w:t>m</w:t>
            </w:r>
            <w:r w:rsidRPr="00E868BF">
              <w:rPr>
                <w:rFonts w:ascii="Calibri" w:eastAsia="Calibri" w:hAnsi="Calibri" w:cs="Times New Roman"/>
              </w:rPr>
              <w:t>s</w:t>
            </w:r>
            <w:r w:rsidRPr="00E868BF">
              <w:rPr>
                <w:rFonts w:ascii="Calibri" w:eastAsia="Calibri" w:hAnsi="Calibri" w:cs="Times New Roman"/>
                <w:spacing w:val="16"/>
              </w:rPr>
              <w:t xml:space="preserve"> </w:t>
            </w:r>
            <w:r w:rsidRPr="00E868BF">
              <w:rPr>
                <w:rFonts w:ascii="Calibri" w:eastAsia="Calibri" w:hAnsi="Calibri" w:cs="Times New Roman"/>
              </w:rPr>
              <w:t>and</w:t>
            </w:r>
            <w:r w:rsidRPr="00E868BF">
              <w:rPr>
                <w:rFonts w:ascii="Calibri" w:eastAsia="Calibri" w:hAnsi="Calibri" w:cs="Times New Roman"/>
                <w:spacing w:val="16"/>
              </w:rPr>
              <w:t xml:space="preserve"> </w:t>
            </w:r>
            <w:r w:rsidRPr="00E868BF">
              <w:rPr>
                <w:rFonts w:ascii="Calibri" w:eastAsia="Calibri" w:hAnsi="Calibri" w:cs="Times New Roman"/>
              </w:rPr>
              <w:t>benefits.</w:t>
            </w:r>
            <w:r w:rsidRPr="00E868BF">
              <w:rPr>
                <w:rFonts w:ascii="Calibri" w:eastAsia="Calibri" w:hAnsi="Calibri" w:cs="Times New Roman"/>
                <w:spacing w:val="14"/>
              </w:rPr>
              <w:t xml:space="preserve"> </w:t>
            </w:r>
            <w:r w:rsidRPr="00E868BF">
              <w:rPr>
                <w:rFonts w:ascii="Calibri" w:eastAsia="Calibri" w:hAnsi="Calibri" w:cs="Times New Roman"/>
                <w:spacing w:val="1"/>
              </w:rPr>
              <w:t>T</w:t>
            </w:r>
            <w:r w:rsidRPr="00E868BF">
              <w:rPr>
                <w:rFonts w:ascii="Calibri" w:eastAsia="Calibri" w:hAnsi="Calibri" w:cs="Times New Roman"/>
              </w:rPr>
              <w:t>he best</w:t>
            </w:r>
            <w:r w:rsidRPr="00E868BF">
              <w:rPr>
                <w:rFonts w:ascii="Calibri" w:eastAsia="Calibri" w:hAnsi="Calibri" w:cs="Times New Roman"/>
                <w:spacing w:val="14"/>
              </w:rPr>
              <w:t xml:space="preserve"> </w:t>
            </w:r>
            <w:r w:rsidRPr="00E868BF">
              <w:rPr>
                <w:rFonts w:ascii="Calibri" w:eastAsia="Calibri" w:hAnsi="Calibri" w:cs="Times New Roman"/>
              </w:rPr>
              <w:t>action</w:t>
            </w:r>
            <w:r w:rsidRPr="00E868BF">
              <w:rPr>
                <w:rFonts w:ascii="Calibri" w:eastAsia="Calibri" w:hAnsi="Calibri" w:cs="Times New Roman"/>
                <w:spacing w:val="15"/>
              </w:rPr>
              <w:t xml:space="preserve"> </w:t>
            </w:r>
            <w:r w:rsidRPr="00E868BF">
              <w:rPr>
                <w:rFonts w:ascii="Calibri" w:eastAsia="Calibri" w:hAnsi="Calibri" w:cs="Times New Roman"/>
                <w:spacing w:val="1"/>
              </w:rPr>
              <w:t>w</w:t>
            </w:r>
            <w:r w:rsidRPr="00E868BF">
              <w:rPr>
                <w:rFonts w:ascii="Calibri" w:eastAsia="Calibri" w:hAnsi="Calibri" w:cs="Times New Roman"/>
              </w:rPr>
              <w:t>ill</w:t>
            </w:r>
            <w:r w:rsidRPr="00E868BF">
              <w:rPr>
                <w:rFonts w:ascii="Calibri" w:eastAsia="Calibri" w:hAnsi="Calibri" w:cs="Times New Roman"/>
                <w:spacing w:val="14"/>
              </w:rPr>
              <w:t xml:space="preserve"> </w:t>
            </w:r>
            <w:r w:rsidRPr="00E868BF">
              <w:rPr>
                <w:rFonts w:ascii="Calibri" w:eastAsia="Calibri" w:hAnsi="Calibri" w:cs="Times New Roman"/>
              </w:rPr>
              <w:t>depend</w:t>
            </w:r>
            <w:r w:rsidRPr="00E868BF">
              <w:rPr>
                <w:rFonts w:ascii="Calibri" w:eastAsia="Calibri" w:hAnsi="Calibri" w:cs="Times New Roman"/>
                <w:spacing w:val="16"/>
              </w:rPr>
              <w:t xml:space="preserve"> </w:t>
            </w:r>
            <w:r w:rsidRPr="00E868BF">
              <w:rPr>
                <w:rFonts w:ascii="Calibri" w:eastAsia="Calibri" w:hAnsi="Calibri" w:cs="Times New Roman"/>
              </w:rPr>
              <w:t>on local</w:t>
            </w:r>
            <w:r w:rsidRPr="00E868BF">
              <w:rPr>
                <w:rFonts w:ascii="Calibri" w:eastAsia="Calibri" w:hAnsi="Calibri" w:cs="Times New Roman"/>
                <w:spacing w:val="31"/>
              </w:rPr>
              <w:t xml:space="preserve"> </w:t>
            </w:r>
            <w:r w:rsidRPr="00E868BF">
              <w:rPr>
                <w:rFonts w:ascii="Calibri" w:eastAsia="Calibri" w:hAnsi="Calibri" w:cs="Times New Roman"/>
              </w:rPr>
              <w:t>circu</w:t>
            </w:r>
            <w:r w:rsidRPr="00E868BF">
              <w:rPr>
                <w:rFonts w:ascii="Calibri" w:eastAsia="Calibri" w:hAnsi="Calibri" w:cs="Times New Roman"/>
                <w:spacing w:val="1"/>
              </w:rPr>
              <w:t>m</w:t>
            </w:r>
            <w:r w:rsidRPr="00E868BF">
              <w:rPr>
                <w:rFonts w:ascii="Calibri" w:eastAsia="Calibri" w:hAnsi="Calibri" w:cs="Times New Roman"/>
              </w:rPr>
              <w:t>stances,</w:t>
            </w:r>
            <w:r w:rsidRPr="00E868BF">
              <w:rPr>
                <w:rFonts w:ascii="Calibri" w:eastAsia="Calibri" w:hAnsi="Calibri" w:cs="Times New Roman"/>
                <w:spacing w:val="31"/>
              </w:rPr>
              <w:t xml:space="preserve"> </w:t>
            </w:r>
            <w:r w:rsidRPr="00E868BF">
              <w:rPr>
                <w:rFonts w:ascii="Calibri" w:eastAsia="Calibri" w:hAnsi="Calibri" w:cs="Times New Roman"/>
              </w:rPr>
              <w:t>patient values</w:t>
            </w:r>
            <w:r w:rsidRPr="00E868BF">
              <w:rPr>
                <w:rFonts w:ascii="Calibri" w:eastAsia="Calibri" w:hAnsi="Calibri" w:cs="Times New Roman"/>
                <w:spacing w:val="26"/>
              </w:rPr>
              <w:t xml:space="preserve"> </w:t>
            </w:r>
            <w:r w:rsidRPr="00E868BF">
              <w:rPr>
                <w:rFonts w:ascii="Calibri" w:eastAsia="Calibri" w:hAnsi="Calibri" w:cs="Times New Roman"/>
              </w:rPr>
              <w:t>or</w:t>
            </w:r>
            <w:r w:rsidRPr="00E868BF">
              <w:rPr>
                <w:rFonts w:ascii="Calibri" w:eastAsia="Calibri" w:hAnsi="Calibri" w:cs="Times New Roman"/>
                <w:spacing w:val="27"/>
              </w:rPr>
              <w:t xml:space="preserve"> </w:t>
            </w:r>
            <w:r w:rsidRPr="00E868BF">
              <w:rPr>
                <w:rFonts w:ascii="Calibri" w:eastAsia="Calibri" w:hAnsi="Calibri" w:cs="Times New Roman"/>
              </w:rPr>
              <w:t>preferences.</w:t>
            </w:r>
          </w:p>
        </w:tc>
      </w:tr>
      <w:tr w:rsidR="00780C0E" w:rsidRPr="00E868BF" w14:paraId="496A5123" w14:textId="77777777" w:rsidTr="002C16C5">
        <w:trPr>
          <w:trHeight w:hRule="exact" w:val="3845"/>
        </w:trPr>
        <w:tc>
          <w:tcPr>
            <w:tcW w:w="1350" w:type="dxa"/>
            <w:tcBorders>
              <w:top w:val="nil"/>
              <w:left w:val="single" w:sz="8" w:space="0" w:color="000000"/>
              <w:bottom w:val="single" w:sz="8" w:space="0" w:color="000000"/>
              <w:right w:val="single" w:sz="8" w:space="0" w:color="000000"/>
            </w:tcBorders>
            <w:hideMark/>
          </w:tcPr>
          <w:p w14:paraId="430639F9" w14:textId="77777777" w:rsidR="00780C0E" w:rsidRPr="00E868BF" w:rsidRDefault="00780C0E" w:rsidP="002C16C5">
            <w:pPr>
              <w:overflowPunct w:val="0"/>
              <w:autoSpaceDE w:val="0"/>
              <w:autoSpaceDN w:val="0"/>
              <w:ind w:left="90" w:right="267" w:firstLine="0"/>
              <w:rPr>
                <w:rFonts w:ascii="Calibri" w:eastAsia="Calibri" w:hAnsi="Calibri" w:cs="Times New Roman"/>
              </w:rPr>
            </w:pPr>
            <w:r w:rsidRPr="00E868BF">
              <w:rPr>
                <w:rFonts w:ascii="Calibri" w:eastAsia="Calibri" w:hAnsi="Calibri" w:cs="Times New Roman"/>
                <w:b/>
                <w:bCs/>
                <w:spacing w:val="2"/>
              </w:rPr>
              <w:t>M</w:t>
            </w:r>
            <w:r w:rsidRPr="00E868BF">
              <w:rPr>
                <w:rFonts w:ascii="Calibri" w:eastAsia="Calibri" w:hAnsi="Calibri" w:cs="Times New Roman"/>
                <w:b/>
                <w:bCs/>
              </w:rPr>
              <w:t>oderate</w:t>
            </w:r>
            <w:r w:rsidRPr="00E868BF">
              <w:rPr>
                <w:rFonts w:ascii="Calibri" w:eastAsia="Calibri" w:hAnsi="Calibri" w:cs="Times New Roman"/>
                <w:b/>
                <w:bCs/>
                <w:spacing w:val="42"/>
              </w:rPr>
              <w:t xml:space="preserve"> </w:t>
            </w:r>
            <w:r w:rsidRPr="00E868BF">
              <w:rPr>
                <w:rFonts w:ascii="Calibri" w:eastAsia="Calibri" w:hAnsi="Calibri" w:cs="Times New Roman"/>
                <w:b/>
                <w:bCs/>
                <w:spacing w:val="1"/>
              </w:rPr>
              <w:t>Q</w:t>
            </w:r>
            <w:r w:rsidRPr="00E868BF">
              <w:rPr>
                <w:rFonts w:ascii="Calibri" w:eastAsia="Calibri" w:hAnsi="Calibri" w:cs="Times New Roman"/>
                <w:b/>
                <w:bCs/>
              </w:rPr>
              <w:t xml:space="preserve">uality </w:t>
            </w:r>
            <w:r w:rsidRPr="00E868BF">
              <w:rPr>
                <w:rFonts w:ascii="Calibri" w:eastAsia="Calibri" w:hAnsi="Calibri" w:cs="Times New Roman"/>
                <w:b/>
                <w:bCs/>
                <w:spacing w:val="1"/>
              </w:rPr>
              <w:t>E</w:t>
            </w:r>
            <w:r w:rsidRPr="00E868BF">
              <w:rPr>
                <w:rFonts w:ascii="Calibri" w:eastAsia="Calibri" w:hAnsi="Calibri" w:cs="Times New Roman"/>
                <w:b/>
                <w:bCs/>
              </w:rPr>
              <w:t>vidence</w:t>
            </w:r>
          </w:p>
        </w:tc>
        <w:tc>
          <w:tcPr>
            <w:tcW w:w="2340" w:type="dxa"/>
            <w:tcBorders>
              <w:top w:val="nil"/>
              <w:left w:val="nil"/>
              <w:bottom w:val="single" w:sz="8" w:space="0" w:color="000000"/>
              <w:right w:val="single" w:sz="8" w:space="0" w:color="000000"/>
            </w:tcBorders>
            <w:hideMark/>
          </w:tcPr>
          <w:p w14:paraId="60EAF03A" w14:textId="77777777" w:rsidR="00780C0E" w:rsidRPr="00E868BF" w:rsidRDefault="00780C0E" w:rsidP="002C16C5">
            <w:pPr>
              <w:overflowPunct w:val="0"/>
              <w:autoSpaceDE w:val="0"/>
              <w:autoSpaceDN w:val="0"/>
              <w:ind w:left="169" w:right="308" w:firstLine="0"/>
              <w:rPr>
                <w:rFonts w:ascii="Calibri" w:eastAsia="Calibri" w:hAnsi="Calibri" w:cs="Times New Roman"/>
              </w:rPr>
            </w:pPr>
            <w:r w:rsidRPr="00E868BF">
              <w:rPr>
                <w:rFonts w:ascii="Calibri" w:eastAsia="Calibri" w:hAnsi="Calibri" w:cs="Times New Roman"/>
              </w:rPr>
              <w:t>Further</w:t>
            </w:r>
            <w:r w:rsidRPr="00E868BF">
              <w:rPr>
                <w:rFonts w:ascii="Calibri" w:eastAsia="Calibri" w:hAnsi="Calibri" w:cs="Times New Roman"/>
                <w:spacing w:val="22"/>
              </w:rPr>
              <w:t xml:space="preserve"> </w:t>
            </w:r>
            <w:r w:rsidRPr="00E868BF">
              <w:rPr>
                <w:rFonts w:ascii="Calibri" w:eastAsia="Calibri" w:hAnsi="Calibri" w:cs="Times New Roman"/>
              </w:rPr>
              <w:t>research</w:t>
            </w:r>
            <w:r w:rsidRPr="00E868BF">
              <w:rPr>
                <w:rFonts w:ascii="Calibri" w:eastAsia="Calibri" w:hAnsi="Calibri" w:cs="Times New Roman"/>
                <w:spacing w:val="22"/>
              </w:rPr>
              <w:t xml:space="preserve"> </w:t>
            </w:r>
            <w:r w:rsidRPr="00E868BF">
              <w:rPr>
                <w:rFonts w:ascii="Calibri" w:eastAsia="Calibri" w:hAnsi="Calibri" w:cs="Times New Roman"/>
              </w:rPr>
              <w:t>is likely</w:t>
            </w:r>
            <w:r w:rsidRPr="00E868BF">
              <w:rPr>
                <w:rFonts w:ascii="Calibri" w:eastAsia="Calibri" w:hAnsi="Calibri" w:cs="Times New Roman"/>
                <w:spacing w:val="12"/>
              </w:rPr>
              <w:t xml:space="preserve"> </w:t>
            </w:r>
            <w:r w:rsidRPr="00E868BF">
              <w:rPr>
                <w:rFonts w:ascii="Calibri" w:eastAsia="Calibri" w:hAnsi="Calibri" w:cs="Times New Roman"/>
              </w:rPr>
              <w:t>to</w:t>
            </w:r>
            <w:r w:rsidRPr="00E868BF">
              <w:rPr>
                <w:rFonts w:ascii="Calibri" w:eastAsia="Calibri" w:hAnsi="Calibri" w:cs="Times New Roman"/>
                <w:spacing w:val="12"/>
              </w:rPr>
              <w:t xml:space="preserve"> </w:t>
            </w:r>
            <w:r w:rsidRPr="00E868BF">
              <w:rPr>
                <w:rFonts w:ascii="Calibri" w:eastAsia="Calibri" w:hAnsi="Calibri" w:cs="Times New Roman"/>
              </w:rPr>
              <w:t>have</w:t>
            </w:r>
            <w:r w:rsidRPr="00E868BF">
              <w:rPr>
                <w:rFonts w:ascii="Calibri" w:eastAsia="Calibri" w:hAnsi="Calibri" w:cs="Times New Roman"/>
                <w:spacing w:val="13"/>
              </w:rPr>
              <w:t xml:space="preserve"> </w:t>
            </w:r>
            <w:r w:rsidRPr="00E868BF">
              <w:rPr>
                <w:rFonts w:ascii="Calibri" w:eastAsia="Calibri" w:hAnsi="Calibri" w:cs="Times New Roman"/>
              </w:rPr>
              <w:t>an i</w:t>
            </w:r>
            <w:r w:rsidRPr="00E868BF">
              <w:rPr>
                <w:rFonts w:ascii="Calibri" w:eastAsia="Calibri" w:hAnsi="Calibri" w:cs="Times New Roman"/>
                <w:spacing w:val="1"/>
              </w:rPr>
              <w:t>m</w:t>
            </w:r>
            <w:r w:rsidRPr="00E868BF">
              <w:rPr>
                <w:rFonts w:ascii="Calibri" w:eastAsia="Calibri" w:hAnsi="Calibri" w:cs="Times New Roman"/>
              </w:rPr>
              <w:t>portant</w:t>
            </w:r>
            <w:r w:rsidRPr="00E868BF">
              <w:rPr>
                <w:rFonts w:ascii="Calibri" w:eastAsia="Calibri" w:hAnsi="Calibri" w:cs="Times New Roman"/>
                <w:spacing w:val="21"/>
              </w:rPr>
              <w:t xml:space="preserve"> </w:t>
            </w:r>
            <w:r w:rsidRPr="00E868BF">
              <w:rPr>
                <w:rFonts w:ascii="Calibri" w:eastAsia="Calibri" w:hAnsi="Calibri" w:cs="Times New Roman"/>
              </w:rPr>
              <w:t>i</w:t>
            </w:r>
            <w:r w:rsidRPr="00E868BF">
              <w:rPr>
                <w:rFonts w:ascii="Calibri" w:eastAsia="Calibri" w:hAnsi="Calibri" w:cs="Times New Roman"/>
                <w:spacing w:val="1"/>
              </w:rPr>
              <w:t>m</w:t>
            </w:r>
            <w:r w:rsidRPr="00E868BF">
              <w:rPr>
                <w:rFonts w:ascii="Calibri" w:eastAsia="Calibri" w:hAnsi="Calibri" w:cs="Times New Roman"/>
              </w:rPr>
              <w:t>pact</w:t>
            </w:r>
            <w:r w:rsidRPr="00E868BF">
              <w:rPr>
                <w:rFonts w:ascii="Calibri" w:eastAsia="Calibri" w:hAnsi="Calibri" w:cs="Times New Roman"/>
                <w:spacing w:val="22"/>
              </w:rPr>
              <w:t xml:space="preserve"> </w:t>
            </w:r>
            <w:r w:rsidRPr="00E868BF">
              <w:rPr>
                <w:rFonts w:ascii="Calibri" w:eastAsia="Calibri" w:hAnsi="Calibri" w:cs="Times New Roman"/>
              </w:rPr>
              <w:t>on our</w:t>
            </w:r>
            <w:r w:rsidRPr="00E868BF">
              <w:rPr>
                <w:rFonts w:ascii="Calibri" w:eastAsia="Calibri" w:hAnsi="Calibri" w:cs="Times New Roman"/>
                <w:spacing w:val="16"/>
              </w:rPr>
              <w:t xml:space="preserve"> </w:t>
            </w:r>
            <w:r w:rsidRPr="00E868BF">
              <w:rPr>
                <w:rFonts w:ascii="Calibri" w:eastAsia="Calibri" w:hAnsi="Calibri" w:cs="Times New Roman"/>
              </w:rPr>
              <w:t>confidence</w:t>
            </w:r>
            <w:r w:rsidRPr="00E868BF">
              <w:rPr>
                <w:rFonts w:ascii="Calibri" w:eastAsia="Calibri" w:hAnsi="Calibri" w:cs="Times New Roman"/>
                <w:spacing w:val="16"/>
              </w:rPr>
              <w:t xml:space="preserve"> </w:t>
            </w:r>
            <w:r w:rsidRPr="00E868BF">
              <w:rPr>
                <w:rFonts w:ascii="Calibri" w:eastAsia="Calibri" w:hAnsi="Calibri" w:cs="Times New Roman"/>
              </w:rPr>
              <w:t>in</w:t>
            </w:r>
            <w:r w:rsidRPr="00E868BF">
              <w:rPr>
                <w:rFonts w:ascii="Calibri" w:eastAsia="Calibri" w:hAnsi="Calibri" w:cs="Times New Roman"/>
                <w:spacing w:val="17"/>
              </w:rPr>
              <w:t xml:space="preserve"> </w:t>
            </w:r>
            <w:r w:rsidRPr="00E868BF">
              <w:rPr>
                <w:rFonts w:ascii="Calibri" w:eastAsia="Calibri" w:hAnsi="Calibri" w:cs="Times New Roman"/>
              </w:rPr>
              <w:t>the esti</w:t>
            </w:r>
            <w:r w:rsidRPr="00E868BF">
              <w:rPr>
                <w:rFonts w:ascii="Calibri" w:eastAsia="Calibri" w:hAnsi="Calibri" w:cs="Times New Roman"/>
                <w:spacing w:val="1"/>
              </w:rPr>
              <w:t>m</w:t>
            </w:r>
            <w:r w:rsidRPr="00E868BF">
              <w:rPr>
                <w:rFonts w:ascii="Calibri" w:eastAsia="Calibri" w:hAnsi="Calibri" w:cs="Times New Roman"/>
              </w:rPr>
              <w:t>ate</w:t>
            </w:r>
            <w:r w:rsidRPr="00E868BF">
              <w:rPr>
                <w:rFonts w:ascii="Calibri" w:eastAsia="Calibri" w:hAnsi="Calibri" w:cs="Times New Roman"/>
                <w:spacing w:val="17"/>
              </w:rPr>
              <w:t xml:space="preserve"> </w:t>
            </w:r>
            <w:r w:rsidRPr="00E868BF">
              <w:rPr>
                <w:rFonts w:ascii="Calibri" w:eastAsia="Calibri" w:hAnsi="Calibri" w:cs="Times New Roman"/>
              </w:rPr>
              <w:t>of</w:t>
            </w:r>
            <w:r w:rsidRPr="00E868BF">
              <w:rPr>
                <w:rFonts w:ascii="Calibri" w:eastAsia="Calibri" w:hAnsi="Calibri" w:cs="Times New Roman"/>
                <w:spacing w:val="17"/>
              </w:rPr>
              <w:t xml:space="preserve"> </w:t>
            </w:r>
            <w:r w:rsidRPr="00E868BF">
              <w:rPr>
                <w:rFonts w:ascii="Calibri" w:eastAsia="Calibri" w:hAnsi="Calibri" w:cs="Times New Roman"/>
              </w:rPr>
              <w:t>effect</w:t>
            </w:r>
            <w:r w:rsidRPr="00E868BF">
              <w:rPr>
                <w:rFonts w:ascii="Calibri" w:eastAsia="Calibri" w:hAnsi="Calibri" w:cs="Times New Roman"/>
                <w:spacing w:val="15"/>
              </w:rPr>
              <w:t xml:space="preserve"> </w:t>
            </w:r>
            <w:r w:rsidRPr="00E868BF">
              <w:rPr>
                <w:rFonts w:ascii="Calibri" w:eastAsia="Calibri" w:hAnsi="Calibri" w:cs="Times New Roman"/>
              </w:rPr>
              <w:t xml:space="preserve">and </w:t>
            </w:r>
            <w:r w:rsidRPr="00E868BF">
              <w:rPr>
                <w:rFonts w:ascii="Calibri" w:eastAsia="Calibri" w:hAnsi="Calibri" w:cs="Times New Roman"/>
                <w:spacing w:val="1"/>
              </w:rPr>
              <w:t>m</w:t>
            </w:r>
            <w:r w:rsidRPr="00E868BF">
              <w:rPr>
                <w:rFonts w:ascii="Calibri" w:eastAsia="Calibri" w:hAnsi="Calibri" w:cs="Times New Roman"/>
              </w:rPr>
              <w:t>ay</w:t>
            </w:r>
            <w:r w:rsidRPr="00E868BF">
              <w:rPr>
                <w:rFonts w:ascii="Calibri" w:eastAsia="Calibri" w:hAnsi="Calibri" w:cs="Times New Roman"/>
                <w:spacing w:val="17"/>
              </w:rPr>
              <w:t xml:space="preserve"> </w:t>
            </w:r>
            <w:r w:rsidRPr="00E868BF">
              <w:rPr>
                <w:rFonts w:ascii="Calibri" w:eastAsia="Calibri" w:hAnsi="Calibri" w:cs="Times New Roman"/>
              </w:rPr>
              <w:t>change</w:t>
            </w:r>
            <w:r w:rsidRPr="00E868BF">
              <w:rPr>
                <w:rFonts w:ascii="Calibri" w:eastAsia="Calibri" w:hAnsi="Calibri" w:cs="Times New Roman"/>
                <w:spacing w:val="18"/>
              </w:rPr>
              <w:t xml:space="preserve"> </w:t>
            </w:r>
            <w:r w:rsidRPr="00E868BF">
              <w:rPr>
                <w:rFonts w:ascii="Calibri" w:eastAsia="Calibri" w:hAnsi="Calibri" w:cs="Times New Roman"/>
              </w:rPr>
              <w:t>the esti</w:t>
            </w:r>
            <w:r w:rsidRPr="00E868BF">
              <w:rPr>
                <w:rFonts w:ascii="Calibri" w:eastAsia="Calibri" w:hAnsi="Calibri" w:cs="Times New Roman"/>
                <w:spacing w:val="1"/>
              </w:rPr>
              <w:t>m</w:t>
            </w:r>
            <w:r w:rsidRPr="00E868BF">
              <w:rPr>
                <w:rFonts w:ascii="Calibri" w:eastAsia="Calibri" w:hAnsi="Calibri" w:cs="Times New Roman"/>
              </w:rPr>
              <w:t>ate.</w:t>
            </w:r>
          </w:p>
        </w:tc>
        <w:tc>
          <w:tcPr>
            <w:tcW w:w="2970" w:type="dxa"/>
            <w:tcBorders>
              <w:top w:val="nil"/>
              <w:left w:val="nil"/>
              <w:bottom w:val="single" w:sz="8" w:space="0" w:color="000000"/>
              <w:right w:val="single" w:sz="8" w:space="0" w:color="000000"/>
            </w:tcBorders>
            <w:hideMark/>
          </w:tcPr>
          <w:p w14:paraId="300EDB0E" w14:textId="77777777" w:rsidR="00780C0E" w:rsidRPr="00E868BF" w:rsidRDefault="00780C0E" w:rsidP="002C16C5">
            <w:pPr>
              <w:overflowPunct w:val="0"/>
              <w:autoSpaceDE w:val="0"/>
              <w:autoSpaceDN w:val="0"/>
              <w:ind w:left="114" w:right="169" w:firstLine="10"/>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15"/>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16"/>
              </w:rPr>
              <w:t xml:space="preserve"> </w:t>
            </w:r>
            <w:r w:rsidRPr="00E868BF">
              <w:rPr>
                <w:rFonts w:ascii="Calibri" w:eastAsia="Calibri" w:hAnsi="Calibri" w:cs="Times New Roman"/>
              </w:rPr>
              <w:t>group</w:t>
            </w:r>
            <w:r w:rsidRPr="00E868BF">
              <w:rPr>
                <w:rFonts w:ascii="Calibri" w:eastAsia="Calibri" w:hAnsi="Calibri" w:cs="Times New Roman"/>
                <w:spacing w:val="16"/>
              </w:rPr>
              <w:t xml:space="preserve"> </w:t>
            </w:r>
            <w:r w:rsidRPr="00E868BF">
              <w:rPr>
                <w:rFonts w:ascii="Calibri" w:eastAsia="Calibri" w:hAnsi="Calibri" w:cs="Times New Roman"/>
              </w:rPr>
              <w:t>is</w:t>
            </w:r>
            <w:r w:rsidRPr="00E868BF">
              <w:rPr>
                <w:rFonts w:ascii="Calibri" w:eastAsia="Calibri" w:hAnsi="Calibri" w:cs="Times New Roman"/>
                <w:spacing w:val="15"/>
              </w:rPr>
              <w:t xml:space="preserve"> </w:t>
            </w:r>
            <w:r w:rsidRPr="00E868BF">
              <w:rPr>
                <w:rFonts w:ascii="Calibri" w:eastAsia="Calibri" w:hAnsi="Calibri" w:cs="Times New Roman"/>
              </w:rPr>
              <w:t>confident</w:t>
            </w:r>
            <w:r w:rsidRPr="00E868BF">
              <w:rPr>
                <w:rFonts w:ascii="Calibri" w:eastAsia="Calibri" w:hAnsi="Calibri" w:cs="Times New Roman"/>
                <w:spacing w:val="15"/>
              </w:rPr>
              <w:t xml:space="preserve"> </w:t>
            </w:r>
            <w:r w:rsidRPr="00E868BF">
              <w:rPr>
                <w:rFonts w:ascii="Calibri" w:eastAsia="Calibri" w:hAnsi="Calibri" w:cs="Times New Roman"/>
              </w:rPr>
              <w:t>that the</w:t>
            </w:r>
            <w:r w:rsidRPr="00E868BF">
              <w:rPr>
                <w:rFonts w:ascii="Calibri" w:eastAsia="Calibri" w:hAnsi="Calibri" w:cs="Times New Roman"/>
                <w:spacing w:val="17"/>
              </w:rPr>
              <w:t xml:space="preserve"> </w:t>
            </w:r>
            <w:r w:rsidRPr="00E868BF">
              <w:rPr>
                <w:rFonts w:ascii="Calibri" w:eastAsia="Calibri" w:hAnsi="Calibri" w:cs="Times New Roman"/>
              </w:rPr>
              <w:t>benefits</w:t>
            </w:r>
            <w:r w:rsidRPr="00E868BF">
              <w:rPr>
                <w:rFonts w:ascii="Calibri" w:eastAsia="Calibri" w:hAnsi="Calibri" w:cs="Times New Roman"/>
                <w:spacing w:val="18"/>
              </w:rPr>
              <w:t xml:space="preserve"> </w:t>
            </w:r>
            <w:r w:rsidRPr="00E868BF">
              <w:rPr>
                <w:rFonts w:ascii="Calibri" w:eastAsia="Calibri" w:hAnsi="Calibri" w:cs="Times New Roman"/>
              </w:rPr>
              <w:t>out</w:t>
            </w:r>
            <w:r w:rsidRPr="00E868BF">
              <w:rPr>
                <w:rFonts w:ascii="Calibri" w:eastAsia="Calibri" w:hAnsi="Calibri" w:cs="Times New Roman"/>
                <w:spacing w:val="1"/>
              </w:rPr>
              <w:t>w</w:t>
            </w:r>
            <w:r w:rsidRPr="00E868BF">
              <w:rPr>
                <w:rFonts w:ascii="Calibri" w:eastAsia="Calibri" w:hAnsi="Calibri" w:cs="Times New Roman"/>
              </w:rPr>
              <w:t>eigh</w:t>
            </w:r>
            <w:r w:rsidRPr="00E868BF">
              <w:rPr>
                <w:rFonts w:ascii="Calibri" w:eastAsia="Calibri" w:hAnsi="Calibri" w:cs="Times New Roman"/>
                <w:spacing w:val="18"/>
              </w:rPr>
              <w:t xml:space="preserve"> </w:t>
            </w:r>
            <w:r w:rsidRPr="00E868BF">
              <w:rPr>
                <w:rFonts w:ascii="Calibri" w:eastAsia="Calibri" w:hAnsi="Calibri" w:cs="Times New Roman"/>
              </w:rPr>
              <w:t>the</w:t>
            </w:r>
            <w:r w:rsidRPr="00E868BF">
              <w:rPr>
                <w:rFonts w:ascii="Calibri" w:eastAsia="Calibri" w:hAnsi="Calibri" w:cs="Times New Roman"/>
                <w:spacing w:val="18"/>
              </w:rPr>
              <w:t xml:space="preserve"> </w:t>
            </w:r>
            <w:r w:rsidRPr="00E868BF">
              <w:rPr>
                <w:rFonts w:ascii="Calibri" w:eastAsia="Calibri" w:hAnsi="Calibri" w:cs="Times New Roman"/>
              </w:rPr>
              <w:t>risks, but</w:t>
            </w:r>
            <w:r w:rsidRPr="00E868BF">
              <w:rPr>
                <w:rFonts w:ascii="Calibri" w:eastAsia="Calibri" w:hAnsi="Calibri" w:cs="Times New Roman"/>
                <w:spacing w:val="17"/>
              </w:rPr>
              <w:t xml:space="preserve"> </w:t>
            </w:r>
            <w:r w:rsidRPr="00E868BF">
              <w:rPr>
                <w:rFonts w:ascii="Calibri" w:eastAsia="Calibri" w:hAnsi="Calibri" w:cs="Times New Roman"/>
              </w:rPr>
              <w:t>recognizes</w:t>
            </w:r>
            <w:r w:rsidRPr="00E868BF">
              <w:rPr>
                <w:rFonts w:ascii="Calibri" w:eastAsia="Calibri" w:hAnsi="Calibri" w:cs="Times New Roman"/>
                <w:spacing w:val="19"/>
              </w:rPr>
              <w:t xml:space="preserve"> </w:t>
            </w:r>
            <w:r w:rsidRPr="00E868BF">
              <w:rPr>
                <w:rFonts w:ascii="Calibri" w:eastAsia="Calibri" w:hAnsi="Calibri" w:cs="Times New Roman"/>
              </w:rPr>
              <w:t>that</w:t>
            </w:r>
            <w:r w:rsidRPr="00E868BF">
              <w:rPr>
                <w:rFonts w:ascii="Calibri" w:eastAsia="Calibri" w:hAnsi="Calibri" w:cs="Times New Roman"/>
                <w:spacing w:val="18"/>
              </w:rPr>
              <w:t xml:space="preserve"> </w:t>
            </w:r>
            <w:r w:rsidRPr="00E868BF">
              <w:rPr>
                <w:rFonts w:ascii="Calibri" w:eastAsia="Calibri" w:hAnsi="Calibri" w:cs="Times New Roman"/>
              </w:rPr>
              <w:t>the</w:t>
            </w:r>
            <w:r w:rsidRPr="00E868BF">
              <w:rPr>
                <w:rFonts w:ascii="Calibri" w:eastAsia="Calibri" w:hAnsi="Calibri" w:cs="Times New Roman"/>
                <w:spacing w:val="19"/>
              </w:rPr>
              <w:t xml:space="preserve"> </w:t>
            </w:r>
            <w:r w:rsidRPr="00E868BF">
              <w:rPr>
                <w:rFonts w:ascii="Calibri" w:eastAsia="Calibri" w:hAnsi="Calibri" w:cs="Times New Roman"/>
              </w:rPr>
              <w:t>evidence has</w:t>
            </w:r>
            <w:r w:rsidRPr="00E868BF">
              <w:rPr>
                <w:rFonts w:ascii="Calibri" w:eastAsia="Calibri" w:hAnsi="Calibri" w:cs="Times New Roman"/>
                <w:spacing w:val="19"/>
              </w:rPr>
              <w:t xml:space="preserve"> </w:t>
            </w:r>
            <w:r w:rsidRPr="00E868BF">
              <w:rPr>
                <w:rFonts w:ascii="Calibri" w:eastAsia="Calibri" w:hAnsi="Calibri" w:cs="Times New Roman"/>
              </w:rPr>
              <w:t>li</w:t>
            </w:r>
            <w:r w:rsidRPr="00E868BF">
              <w:rPr>
                <w:rFonts w:ascii="Calibri" w:eastAsia="Calibri" w:hAnsi="Calibri" w:cs="Times New Roman"/>
                <w:spacing w:val="1"/>
              </w:rPr>
              <w:t>m</w:t>
            </w:r>
            <w:r w:rsidRPr="00E868BF">
              <w:rPr>
                <w:rFonts w:ascii="Calibri" w:eastAsia="Calibri" w:hAnsi="Calibri" w:cs="Times New Roman"/>
              </w:rPr>
              <w:t xml:space="preserve">itations. </w:t>
            </w:r>
            <w:r w:rsidRPr="00E868BF">
              <w:rPr>
                <w:rFonts w:ascii="Calibri" w:eastAsia="Calibri" w:hAnsi="Calibri" w:cs="Times New Roman"/>
                <w:spacing w:val="36"/>
              </w:rPr>
              <w:t> </w:t>
            </w:r>
            <w:r w:rsidRPr="00E868BF">
              <w:rPr>
                <w:rFonts w:ascii="Calibri" w:eastAsia="Calibri" w:hAnsi="Calibri" w:cs="Times New Roman"/>
              </w:rPr>
              <w:t>Further</w:t>
            </w:r>
            <w:r w:rsidRPr="00E868BF">
              <w:rPr>
                <w:rFonts w:ascii="Calibri" w:eastAsia="Calibri" w:hAnsi="Calibri" w:cs="Times New Roman"/>
                <w:spacing w:val="19"/>
              </w:rPr>
              <w:t xml:space="preserve"> </w:t>
            </w:r>
            <w:r w:rsidRPr="00E868BF">
              <w:rPr>
                <w:rFonts w:ascii="Calibri" w:eastAsia="Calibri" w:hAnsi="Calibri" w:cs="Times New Roman"/>
              </w:rPr>
              <w:t xml:space="preserve">evidence </w:t>
            </w:r>
            <w:r w:rsidRPr="00E868BF">
              <w:rPr>
                <w:rFonts w:ascii="Calibri" w:eastAsia="Calibri" w:hAnsi="Calibri" w:cs="Times New Roman"/>
                <w:spacing w:val="1"/>
              </w:rPr>
              <w:t>m</w:t>
            </w:r>
            <w:r w:rsidRPr="00E868BF">
              <w:rPr>
                <w:rFonts w:ascii="Calibri" w:eastAsia="Calibri" w:hAnsi="Calibri" w:cs="Times New Roman"/>
              </w:rPr>
              <w:t>ay</w:t>
            </w:r>
            <w:r w:rsidRPr="00E868BF">
              <w:rPr>
                <w:rFonts w:ascii="Calibri" w:eastAsia="Calibri" w:hAnsi="Calibri" w:cs="Times New Roman"/>
                <w:spacing w:val="25"/>
              </w:rPr>
              <w:t xml:space="preserve"> </w:t>
            </w:r>
            <w:r w:rsidRPr="00E868BF">
              <w:rPr>
                <w:rFonts w:ascii="Calibri" w:eastAsia="Calibri" w:hAnsi="Calibri" w:cs="Times New Roman"/>
              </w:rPr>
              <w:t>i</w:t>
            </w:r>
            <w:r w:rsidRPr="00E868BF">
              <w:rPr>
                <w:rFonts w:ascii="Calibri" w:eastAsia="Calibri" w:hAnsi="Calibri" w:cs="Times New Roman"/>
                <w:spacing w:val="1"/>
              </w:rPr>
              <w:t>m</w:t>
            </w:r>
            <w:r w:rsidRPr="00E868BF">
              <w:rPr>
                <w:rFonts w:ascii="Calibri" w:eastAsia="Calibri" w:hAnsi="Calibri" w:cs="Times New Roman"/>
              </w:rPr>
              <w:t>pact</w:t>
            </w:r>
            <w:r w:rsidRPr="00E868BF">
              <w:rPr>
                <w:rFonts w:ascii="Calibri" w:eastAsia="Calibri" w:hAnsi="Calibri" w:cs="Times New Roman"/>
                <w:spacing w:val="25"/>
              </w:rPr>
              <w:t xml:space="preserve"> </w:t>
            </w:r>
            <w:r w:rsidRPr="00E868BF">
              <w:rPr>
                <w:rFonts w:ascii="Calibri" w:eastAsia="Calibri" w:hAnsi="Calibri" w:cs="Times New Roman"/>
              </w:rPr>
              <w:t>this</w:t>
            </w:r>
            <w:r w:rsidRPr="00E868BF">
              <w:rPr>
                <w:rFonts w:ascii="Calibri" w:eastAsia="Calibri" w:hAnsi="Calibri" w:cs="Times New Roman"/>
                <w:spacing w:val="25"/>
              </w:rPr>
              <w:t xml:space="preserve"> </w:t>
            </w:r>
            <w:r w:rsidRPr="00E868BF">
              <w:rPr>
                <w:rFonts w:ascii="Calibri" w:eastAsia="Calibri" w:hAnsi="Calibri" w:cs="Times New Roman"/>
              </w:rPr>
              <w:t>reco</w:t>
            </w:r>
            <w:r w:rsidRPr="00E868BF">
              <w:rPr>
                <w:rFonts w:ascii="Calibri" w:eastAsia="Calibri" w:hAnsi="Calibri" w:cs="Times New Roman"/>
                <w:spacing w:val="1"/>
              </w:rPr>
              <w:t>mm</w:t>
            </w:r>
            <w:r w:rsidRPr="00E868BF">
              <w:rPr>
                <w:rFonts w:ascii="Calibri" w:eastAsia="Calibri" w:hAnsi="Calibri" w:cs="Times New Roman"/>
              </w:rPr>
              <w:t>endation.</w:t>
            </w:r>
          </w:p>
          <w:p w14:paraId="44F676D6" w14:textId="77777777" w:rsidR="00780C0E" w:rsidRPr="00E868BF" w:rsidRDefault="00780C0E" w:rsidP="002C16C5">
            <w:pPr>
              <w:overflowPunct w:val="0"/>
              <w:autoSpaceDE w:val="0"/>
              <w:autoSpaceDN w:val="0"/>
              <w:ind w:left="114" w:right="449" w:firstLine="10"/>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his</w:t>
            </w:r>
            <w:r w:rsidRPr="00E868BF">
              <w:rPr>
                <w:rFonts w:ascii="Calibri" w:eastAsia="Calibri" w:hAnsi="Calibri" w:cs="Times New Roman"/>
                <w:spacing w:val="17"/>
              </w:rPr>
              <w:t xml:space="preserve"> </w:t>
            </w:r>
            <w:r w:rsidRPr="00E868BF">
              <w:rPr>
                <w:rFonts w:ascii="Calibri" w:eastAsia="Calibri" w:hAnsi="Calibri" w:cs="Times New Roman"/>
              </w:rPr>
              <w:t>is</w:t>
            </w:r>
            <w:r w:rsidRPr="00E868BF">
              <w:rPr>
                <w:rFonts w:ascii="Calibri" w:eastAsia="Calibri" w:hAnsi="Calibri" w:cs="Times New Roman"/>
                <w:spacing w:val="17"/>
              </w:rPr>
              <w:t xml:space="preserve"> </w:t>
            </w:r>
            <w:r w:rsidRPr="00E868BF">
              <w:rPr>
                <w:rFonts w:ascii="Calibri" w:eastAsia="Calibri" w:hAnsi="Calibri" w:cs="Times New Roman"/>
              </w:rPr>
              <w:t>a</w:t>
            </w:r>
            <w:r w:rsidRPr="00E868BF">
              <w:rPr>
                <w:rFonts w:ascii="Calibri" w:eastAsia="Calibri" w:hAnsi="Calibri" w:cs="Times New Roman"/>
                <w:spacing w:val="17"/>
              </w:rPr>
              <w:t xml:space="preserve"> </w:t>
            </w:r>
            <w:r w:rsidRPr="00E868BF">
              <w:rPr>
                <w:rFonts w:ascii="Calibri" w:eastAsia="Calibri" w:hAnsi="Calibri" w:cs="Times New Roman"/>
              </w:rPr>
              <w:t>reco</w:t>
            </w:r>
            <w:r w:rsidRPr="00E868BF">
              <w:rPr>
                <w:rFonts w:ascii="Calibri" w:eastAsia="Calibri" w:hAnsi="Calibri" w:cs="Times New Roman"/>
                <w:spacing w:val="1"/>
              </w:rPr>
              <w:t>mm</w:t>
            </w:r>
            <w:r w:rsidRPr="00E868BF">
              <w:rPr>
                <w:rFonts w:ascii="Calibri" w:eastAsia="Calibri" w:hAnsi="Calibri" w:cs="Times New Roman"/>
              </w:rPr>
              <w:t>endation</w:t>
            </w:r>
            <w:r w:rsidRPr="00E868BF">
              <w:rPr>
                <w:rFonts w:ascii="Calibri" w:eastAsia="Calibri" w:hAnsi="Calibri" w:cs="Times New Roman"/>
                <w:spacing w:val="18"/>
              </w:rPr>
              <w:t xml:space="preserve"> </w:t>
            </w:r>
            <w:r w:rsidRPr="00E868BF">
              <w:rPr>
                <w:rFonts w:ascii="Calibri" w:eastAsia="Calibri" w:hAnsi="Calibri" w:cs="Times New Roman"/>
              </w:rPr>
              <w:t>that likely</w:t>
            </w:r>
            <w:r w:rsidRPr="00E868BF">
              <w:rPr>
                <w:rFonts w:ascii="Calibri" w:eastAsia="Calibri" w:hAnsi="Calibri" w:cs="Times New Roman"/>
                <w:spacing w:val="17"/>
              </w:rPr>
              <w:t xml:space="preserve"> </w:t>
            </w:r>
            <w:r w:rsidRPr="00E868BF">
              <w:rPr>
                <w:rFonts w:ascii="Calibri" w:eastAsia="Calibri" w:hAnsi="Calibri" w:cs="Times New Roman"/>
              </w:rPr>
              <w:t>applies</w:t>
            </w:r>
            <w:r w:rsidRPr="00E868BF">
              <w:rPr>
                <w:rFonts w:ascii="Calibri" w:eastAsia="Calibri" w:hAnsi="Calibri" w:cs="Times New Roman"/>
                <w:spacing w:val="17"/>
              </w:rPr>
              <w:t xml:space="preserve"> </w:t>
            </w:r>
            <w:r w:rsidRPr="00E868BF">
              <w:rPr>
                <w:rFonts w:ascii="Calibri" w:eastAsia="Calibri" w:hAnsi="Calibri" w:cs="Times New Roman"/>
              </w:rPr>
              <w:t>to</w:t>
            </w:r>
            <w:r w:rsidRPr="00E868BF">
              <w:rPr>
                <w:rFonts w:ascii="Calibri" w:eastAsia="Calibri" w:hAnsi="Calibri" w:cs="Times New Roman"/>
                <w:spacing w:val="17"/>
              </w:rPr>
              <w:t xml:space="preserve"> </w:t>
            </w:r>
            <w:r w:rsidRPr="00E868BF">
              <w:rPr>
                <w:rFonts w:ascii="Calibri" w:eastAsia="Calibri" w:hAnsi="Calibri" w:cs="Times New Roman"/>
                <w:spacing w:val="1"/>
              </w:rPr>
              <w:t>m</w:t>
            </w:r>
            <w:r w:rsidRPr="00E868BF">
              <w:rPr>
                <w:rFonts w:ascii="Calibri" w:eastAsia="Calibri" w:hAnsi="Calibri" w:cs="Times New Roman"/>
              </w:rPr>
              <w:t>ost</w:t>
            </w:r>
            <w:r w:rsidRPr="00E868BF">
              <w:rPr>
                <w:rFonts w:ascii="Calibri" w:eastAsia="Calibri" w:hAnsi="Calibri" w:cs="Times New Roman"/>
                <w:spacing w:val="16"/>
              </w:rPr>
              <w:t xml:space="preserve"> </w:t>
            </w:r>
            <w:r w:rsidRPr="00E868BF">
              <w:rPr>
                <w:rFonts w:ascii="Calibri" w:eastAsia="Calibri" w:hAnsi="Calibri" w:cs="Times New Roman"/>
              </w:rPr>
              <w:t>patients.</w:t>
            </w:r>
          </w:p>
        </w:tc>
        <w:tc>
          <w:tcPr>
            <w:tcW w:w="2880" w:type="dxa"/>
            <w:tcBorders>
              <w:top w:val="nil"/>
              <w:left w:val="nil"/>
              <w:bottom w:val="single" w:sz="8" w:space="0" w:color="000000"/>
              <w:right w:val="single" w:sz="8" w:space="0" w:color="000000"/>
            </w:tcBorders>
            <w:hideMark/>
          </w:tcPr>
          <w:p w14:paraId="3E39C5E9" w14:textId="77777777" w:rsidR="00780C0E" w:rsidRPr="00E868BF" w:rsidRDefault="00780C0E" w:rsidP="002C16C5">
            <w:pPr>
              <w:overflowPunct w:val="0"/>
              <w:autoSpaceDE w:val="0"/>
              <w:autoSpaceDN w:val="0"/>
              <w:ind w:left="113" w:right="168" w:hanging="46"/>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21"/>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22"/>
              </w:rPr>
              <w:t xml:space="preserve"> </w:t>
            </w:r>
            <w:r w:rsidRPr="00E868BF">
              <w:rPr>
                <w:rFonts w:ascii="Calibri" w:eastAsia="Calibri" w:hAnsi="Calibri" w:cs="Times New Roman"/>
              </w:rPr>
              <w:t>group</w:t>
            </w:r>
            <w:r w:rsidRPr="00E868BF">
              <w:rPr>
                <w:rFonts w:ascii="Calibri" w:eastAsia="Calibri" w:hAnsi="Calibri" w:cs="Times New Roman"/>
                <w:spacing w:val="21"/>
              </w:rPr>
              <w:t xml:space="preserve"> </w:t>
            </w:r>
            <w:r w:rsidRPr="00E868BF">
              <w:rPr>
                <w:rFonts w:ascii="Calibri" w:eastAsia="Calibri" w:hAnsi="Calibri" w:cs="Times New Roman"/>
              </w:rPr>
              <w:t>recognizes that</w:t>
            </w:r>
            <w:r w:rsidRPr="00E868BF">
              <w:rPr>
                <w:rFonts w:ascii="Calibri" w:eastAsia="Calibri" w:hAnsi="Calibri" w:cs="Times New Roman"/>
                <w:spacing w:val="11"/>
              </w:rPr>
              <w:t xml:space="preserve"> </w:t>
            </w:r>
            <w:r w:rsidRPr="00E868BF">
              <w:rPr>
                <w:rFonts w:ascii="Calibri" w:eastAsia="Calibri" w:hAnsi="Calibri" w:cs="Times New Roman"/>
              </w:rPr>
              <w:t>there</w:t>
            </w:r>
            <w:r w:rsidRPr="00E868BF">
              <w:rPr>
                <w:rFonts w:ascii="Calibri" w:eastAsia="Calibri" w:hAnsi="Calibri" w:cs="Times New Roman"/>
                <w:spacing w:val="12"/>
              </w:rPr>
              <w:t xml:space="preserve"> </w:t>
            </w:r>
            <w:r w:rsidRPr="00E868BF">
              <w:rPr>
                <w:rFonts w:ascii="Calibri" w:eastAsia="Calibri" w:hAnsi="Calibri" w:cs="Times New Roman"/>
              </w:rPr>
              <w:t>is</w:t>
            </w:r>
            <w:r w:rsidRPr="00E868BF">
              <w:rPr>
                <w:rFonts w:ascii="Calibri" w:eastAsia="Calibri" w:hAnsi="Calibri" w:cs="Times New Roman"/>
                <w:spacing w:val="13"/>
              </w:rPr>
              <w:t xml:space="preserve"> </w:t>
            </w:r>
            <w:r w:rsidRPr="00E868BF">
              <w:rPr>
                <w:rFonts w:ascii="Calibri" w:eastAsia="Calibri" w:hAnsi="Calibri" w:cs="Times New Roman"/>
              </w:rPr>
              <w:t>a</w:t>
            </w:r>
            <w:r w:rsidRPr="00E868BF">
              <w:rPr>
                <w:rFonts w:ascii="Calibri" w:eastAsia="Calibri" w:hAnsi="Calibri" w:cs="Times New Roman"/>
                <w:spacing w:val="13"/>
              </w:rPr>
              <w:t xml:space="preserve"> </w:t>
            </w:r>
            <w:r w:rsidRPr="00E868BF">
              <w:rPr>
                <w:rFonts w:ascii="Calibri" w:eastAsia="Calibri" w:hAnsi="Calibri" w:cs="Times New Roman"/>
              </w:rPr>
              <w:t>balance bet</w:t>
            </w:r>
            <w:r w:rsidRPr="00E868BF">
              <w:rPr>
                <w:rFonts w:ascii="Calibri" w:eastAsia="Calibri" w:hAnsi="Calibri" w:cs="Times New Roman"/>
                <w:spacing w:val="1"/>
              </w:rPr>
              <w:t>w</w:t>
            </w:r>
            <w:r w:rsidRPr="00E868BF">
              <w:rPr>
                <w:rFonts w:ascii="Calibri" w:eastAsia="Calibri" w:hAnsi="Calibri" w:cs="Times New Roman"/>
              </w:rPr>
              <w:t>een</w:t>
            </w:r>
            <w:r w:rsidRPr="00E868BF">
              <w:rPr>
                <w:rFonts w:ascii="Calibri" w:eastAsia="Calibri" w:hAnsi="Calibri" w:cs="Times New Roman"/>
                <w:spacing w:val="21"/>
              </w:rPr>
              <w:t xml:space="preserve"> </w:t>
            </w:r>
            <w:r w:rsidRPr="00E868BF">
              <w:rPr>
                <w:rFonts w:ascii="Calibri" w:eastAsia="Calibri" w:hAnsi="Calibri" w:cs="Times New Roman"/>
              </w:rPr>
              <w:t>har</w:t>
            </w:r>
            <w:r w:rsidRPr="00E868BF">
              <w:rPr>
                <w:rFonts w:ascii="Calibri" w:eastAsia="Calibri" w:hAnsi="Calibri" w:cs="Times New Roman"/>
                <w:spacing w:val="1"/>
              </w:rPr>
              <w:t>m</w:t>
            </w:r>
            <w:r w:rsidRPr="00E868BF">
              <w:rPr>
                <w:rFonts w:ascii="Calibri" w:eastAsia="Calibri" w:hAnsi="Calibri" w:cs="Times New Roman"/>
              </w:rPr>
              <w:t>s</w:t>
            </w:r>
            <w:r w:rsidRPr="00E868BF">
              <w:rPr>
                <w:rFonts w:ascii="Calibri" w:eastAsia="Calibri" w:hAnsi="Calibri" w:cs="Times New Roman"/>
                <w:spacing w:val="21"/>
              </w:rPr>
              <w:t xml:space="preserve"> </w:t>
            </w:r>
            <w:r w:rsidRPr="00E868BF">
              <w:rPr>
                <w:rFonts w:ascii="Calibri" w:eastAsia="Calibri" w:hAnsi="Calibri" w:cs="Times New Roman"/>
              </w:rPr>
              <w:t>and</w:t>
            </w:r>
            <w:r w:rsidRPr="00E868BF">
              <w:rPr>
                <w:rFonts w:ascii="Calibri" w:eastAsia="Calibri" w:hAnsi="Calibri" w:cs="Times New Roman"/>
                <w:spacing w:val="21"/>
              </w:rPr>
              <w:t xml:space="preserve"> </w:t>
            </w:r>
            <w:r w:rsidRPr="00E868BF">
              <w:rPr>
                <w:rFonts w:ascii="Calibri" w:eastAsia="Calibri" w:hAnsi="Calibri" w:cs="Times New Roman"/>
              </w:rPr>
              <w:t>benefit, based</w:t>
            </w:r>
            <w:r w:rsidRPr="00E868BF">
              <w:rPr>
                <w:rFonts w:ascii="Calibri" w:eastAsia="Calibri" w:hAnsi="Calibri" w:cs="Times New Roman"/>
                <w:spacing w:val="20"/>
              </w:rPr>
              <w:t xml:space="preserve"> </w:t>
            </w:r>
            <w:r w:rsidRPr="00E868BF">
              <w:rPr>
                <w:rFonts w:ascii="Calibri" w:eastAsia="Calibri" w:hAnsi="Calibri" w:cs="Times New Roman"/>
              </w:rPr>
              <w:t>on</w:t>
            </w:r>
            <w:r w:rsidRPr="00E868BF">
              <w:rPr>
                <w:rFonts w:ascii="Calibri" w:eastAsia="Calibri" w:hAnsi="Calibri" w:cs="Times New Roman"/>
                <w:spacing w:val="20"/>
              </w:rPr>
              <w:t xml:space="preserve"> </w:t>
            </w:r>
            <w:r w:rsidRPr="00E868BF">
              <w:rPr>
                <w:rFonts w:ascii="Calibri" w:eastAsia="Calibri" w:hAnsi="Calibri" w:cs="Times New Roman"/>
                <w:spacing w:val="1"/>
              </w:rPr>
              <w:t>m</w:t>
            </w:r>
            <w:r w:rsidRPr="00E868BF">
              <w:rPr>
                <w:rFonts w:ascii="Calibri" w:eastAsia="Calibri" w:hAnsi="Calibri" w:cs="Times New Roman"/>
              </w:rPr>
              <w:t>oderate</w:t>
            </w:r>
            <w:r w:rsidRPr="00E868BF">
              <w:rPr>
                <w:rFonts w:ascii="Calibri" w:eastAsia="Calibri" w:hAnsi="Calibri" w:cs="Times New Roman"/>
                <w:spacing w:val="20"/>
              </w:rPr>
              <w:t xml:space="preserve"> </w:t>
            </w:r>
            <w:r w:rsidRPr="00E868BF">
              <w:rPr>
                <w:rFonts w:ascii="Calibri" w:eastAsia="Calibri" w:hAnsi="Calibri" w:cs="Times New Roman"/>
              </w:rPr>
              <w:t>quality evidence,</w:t>
            </w:r>
            <w:r w:rsidRPr="00E868BF">
              <w:rPr>
                <w:rFonts w:ascii="Calibri" w:eastAsia="Calibri" w:hAnsi="Calibri" w:cs="Times New Roman"/>
                <w:spacing w:val="13"/>
              </w:rPr>
              <w:t xml:space="preserve"> </w:t>
            </w:r>
            <w:r w:rsidRPr="00E868BF">
              <w:rPr>
                <w:rFonts w:ascii="Calibri" w:eastAsia="Calibri" w:hAnsi="Calibri" w:cs="Times New Roman"/>
              </w:rPr>
              <w:t>or</w:t>
            </w:r>
            <w:r w:rsidRPr="00E868BF">
              <w:rPr>
                <w:rFonts w:ascii="Calibri" w:eastAsia="Calibri" w:hAnsi="Calibri" w:cs="Times New Roman"/>
                <w:spacing w:val="15"/>
              </w:rPr>
              <w:t xml:space="preserve"> </w:t>
            </w:r>
            <w:r w:rsidRPr="00E868BF">
              <w:rPr>
                <w:rFonts w:ascii="Calibri" w:eastAsia="Calibri" w:hAnsi="Calibri" w:cs="Times New Roman"/>
              </w:rPr>
              <w:t>that</w:t>
            </w:r>
            <w:r w:rsidRPr="00E868BF">
              <w:rPr>
                <w:rFonts w:ascii="Calibri" w:eastAsia="Calibri" w:hAnsi="Calibri" w:cs="Times New Roman"/>
                <w:spacing w:val="13"/>
              </w:rPr>
              <w:t xml:space="preserve"> </w:t>
            </w:r>
            <w:r w:rsidRPr="00E868BF">
              <w:rPr>
                <w:rFonts w:ascii="Calibri" w:eastAsia="Calibri" w:hAnsi="Calibri" w:cs="Times New Roman"/>
              </w:rPr>
              <w:t>there</w:t>
            </w:r>
            <w:r w:rsidRPr="00E868BF">
              <w:rPr>
                <w:rFonts w:ascii="Calibri" w:eastAsia="Calibri" w:hAnsi="Calibri" w:cs="Times New Roman"/>
                <w:spacing w:val="15"/>
              </w:rPr>
              <w:t xml:space="preserve"> </w:t>
            </w:r>
            <w:r w:rsidRPr="00E868BF">
              <w:rPr>
                <w:rFonts w:ascii="Calibri" w:eastAsia="Calibri" w:hAnsi="Calibri" w:cs="Times New Roman"/>
              </w:rPr>
              <w:t>is uncertainty</w:t>
            </w:r>
            <w:r w:rsidRPr="00E868BF">
              <w:rPr>
                <w:rFonts w:ascii="Calibri" w:eastAsia="Calibri" w:hAnsi="Calibri" w:cs="Times New Roman"/>
                <w:spacing w:val="24"/>
              </w:rPr>
              <w:t xml:space="preserve"> </w:t>
            </w:r>
            <w:r w:rsidRPr="00E868BF">
              <w:rPr>
                <w:rFonts w:ascii="Calibri" w:eastAsia="Calibri" w:hAnsi="Calibri" w:cs="Times New Roman"/>
              </w:rPr>
              <w:t>about</w:t>
            </w:r>
            <w:r w:rsidRPr="00E868BF">
              <w:rPr>
                <w:rFonts w:ascii="Calibri" w:eastAsia="Calibri" w:hAnsi="Calibri" w:cs="Times New Roman"/>
                <w:spacing w:val="23"/>
              </w:rPr>
              <w:t xml:space="preserve"> </w:t>
            </w:r>
            <w:r w:rsidRPr="00E868BF">
              <w:rPr>
                <w:rFonts w:ascii="Calibri" w:eastAsia="Calibri" w:hAnsi="Calibri" w:cs="Times New Roman"/>
              </w:rPr>
              <w:t>the esti</w:t>
            </w:r>
            <w:r w:rsidRPr="00E868BF">
              <w:rPr>
                <w:rFonts w:ascii="Calibri" w:eastAsia="Calibri" w:hAnsi="Calibri" w:cs="Times New Roman"/>
                <w:spacing w:val="1"/>
              </w:rPr>
              <w:t>m</w:t>
            </w:r>
            <w:r w:rsidRPr="00E868BF">
              <w:rPr>
                <w:rFonts w:ascii="Calibri" w:eastAsia="Calibri" w:hAnsi="Calibri" w:cs="Times New Roman"/>
              </w:rPr>
              <w:t>ates</w:t>
            </w:r>
            <w:r w:rsidRPr="00E868BF">
              <w:rPr>
                <w:rFonts w:ascii="Calibri" w:eastAsia="Calibri" w:hAnsi="Calibri" w:cs="Times New Roman"/>
                <w:spacing w:val="15"/>
              </w:rPr>
              <w:t xml:space="preserve"> </w:t>
            </w:r>
            <w:r w:rsidRPr="00E868BF">
              <w:rPr>
                <w:rFonts w:ascii="Calibri" w:eastAsia="Calibri" w:hAnsi="Calibri" w:cs="Times New Roman"/>
              </w:rPr>
              <w:t>of</w:t>
            </w:r>
            <w:r w:rsidRPr="00E868BF">
              <w:rPr>
                <w:rFonts w:ascii="Calibri" w:eastAsia="Calibri" w:hAnsi="Calibri" w:cs="Times New Roman"/>
                <w:spacing w:val="15"/>
              </w:rPr>
              <w:t xml:space="preserve"> </w:t>
            </w:r>
            <w:r w:rsidRPr="00E868BF">
              <w:rPr>
                <w:rFonts w:ascii="Calibri" w:eastAsia="Calibri" w:hAnsi="Calibri" w:cs="Times New Roman"/>
              </w:rPr>
              <w:t>the</w:t>
            </w:r>
            <w:r w:rsidRPr="00E868BF">
              <w:rPr>
                <w:rFonts w:ascii="Calibri" w:eastAsia="Calibri" w:hAnsi="Calibri" w:cs="Times New Roman"/>
                <w:spacing w:val="16"/>
              </w:rPr>
              <w:t xml:space="preserve"> </w:t>
            </w:r>
            <w:r w:rsidRPr="00E868BF">
              <w:rPr>
                <w:rFonts w:ascii="Calibri" w:eastAsia="Calibri" w:hAnsi="Calibri" w:cs="Times New Roman"/>
              </w:rPr>
              <w:t>har</w:t>
            </w:r>
            <w:r w:rsidRPr="00E868BF">
              <w:rPr>
                <w:rFonts w:ascii="Calibri" w:eastAsia="Calibri" w:hAnsi="Calibri" w:cs="Times New Roman"/>
                <w:spacing w:val="1"/>
              </w:rPr>
              <w:t>m</w:t>
            </w:r>
            <w:r w:rsidRPr="00E868BF">
              <w:rPr>
                <w:rFonts w:ascii="Calibri" w:eastAsia="Calibri" w:hAnsi="Calibri" w:cs="Times New Roman"/>
              </w:rPr>
              <w:t>s</w:t>
            </w:r>
            <w:r w:rsidRPr="00E868BF">
              <w:rPr>
                <w:rFonts w:ascii="Calibri" w:eastAsia="Calibri" w:hAnsi="Calibri" w:cs="Times New Roman"/>
                <w:spacing w:val="15"/>
              </w:rPr>
              <w:t xml:space="preserve"> </w:t>
            </w:r>
            <w:r w:rsidRPr="00E868BF">
              <w:rPr>
                <w:rFonts w:ascii="Calibri" w:eastAsia="Calibri" w:hAnsi="Calibri" w:cs="Times New Roman"/>
              </w:rPr>
              <w:t>and benefits</w:t>
            </w:r>
            <w:r w:rsidRPr="00E868BF">
              <w:rPr>
                <w:rFonts w:ascii="Calibri" w:eastAsia="Calibri" w:hAnsi="Calibri" w:cs="Times New Roman"/>
                <w:spacing w:val="18"/>
              </w:rPr>
              <w:t xml:space="preserve"> </w:t>
            </w:r>
            <w:r w:rsidRPr="00E868BF">
              <w:rPr>
                <w:rFonts w:ascii="Calibri" w:eastAsia="Calibri" w:hAnsi="Calibri" w:cs="Times New Roman"/>
              </w:rPr>
              <w:t>of</w:t>
            </w:r>
            <w:r w:rsidRPr="00E868BF">
              <w:rPr>
                <w:rFonts w:ascii="Calibri" w:eastAsia="Calibri" w:hAnsi="Calibri" w:cs="Times New Roman"/>
                <w:spacing w:val="19"/>
              </w:rPr>
              <w:t xml:space="preserve"> </w:t>
            </w:r>
            <w:r w:rsidRPr="00E868BF">
              <w:rPr>
                <w:rFonts w:ascii="Calibri" w:eastAsia="Calibri" w:hAnsi="Calibri" w:cs="Times New Roman"/>
              </w:rPr>
              <w:t>the</w:t>
            </w:r>
            <w:r w:rsidRPr="00E868BF">
              <w:rPr>
                <w:rFonts w:ascii="Calibri" w:eastAsia="Calibri" w:hAnsi="Calibri" w:cs="Times New Roman"/>
                <w:spacing w:val="19"/>
              </w:rPr>
              <w:t xml:space="preserve"> </w:t>
            </w:r>
            <w:r w:rsidRPr="00E868BF">
              <w:rPr>
                <w:rFonts w:ascii="Calibri" w:eastAsia="Calibri" w:hAnsi="Calibri" w:cs="Times New Roman"/>
              </w:rPr>
              <w:t>proposed intervention</w:t>
            </w:r>
            <w:r w:rsidRPr="00E868BF">
              <w:rPr>
                <w:rFonts w:ascii="Calibri" w:eastAsia="Calibri" w:hAnsi="Calibri" w:cs="Times New Roman"/>
                <w:spacing w:val="18"/>
              </w:rPr>
              <w:t xml:space="preserve"> </w:t>
            </w:r>
            <w:r w:rsidRPr="00E868BF">
              <w:rPr>
                <w:rFonts w:ascii="Calibri" w:eastAsia="Calibri" w:hAnsi="Calibri" w:cs="Times New Roman"/>
              </w:rPr>
              <w:t>that</w:t>
            </w:r>
            <w:r w:rsidRPr="00E868BF">
              <w:rPr>
                <w:rFonts w:ascii="Calibri" w:eastAsia="Calibri" w:hAnsi="Calibri" w:cs="Times New Roman"/>
                <w:spacing w:val="17"/>
              </w:rPr>
              <w:t xml:space="preserve"> </w:t>
            </w:r>
            <w:r w:rsidRPr="00E868BF">
              <w:rPr>
                <w:rFonts w:ascii="Calibri" w:eastAsia="Calibri" w:hAnsi="Calibri" w:cs="Times New Roman"/>
                <w:spacing w:val="1"/>
              </w:rPr>
              <w:t>m</w:t>
            </w:r>
            <w:r w:rsidRPr="00E868BF">
              <w:rPr>
                <w:rFonts w:ascii="Calibri" w:eastAsia="Calibri" w:hAnsi="Calibri" w:cs="Times New Roman"/>
              </w:rPr>
              <w:t>ay</w:t>
            </w:r>
            <w:r w:rsidRPr="00E868BF">
              <w:rPr>
                <w:rFonts w:ascii="Calibri" w:eastAsia="Calibri" w:hAnsi="Calibri" w:cs="Times New Roman"/>
                <w:spacing w:val="19"/>
              </w:rPr>
              <w:t xml:space="preserve"> </w:t>
            </w:r>
            <w:r w:rsidRPr="00E868BF">
              <w:rPr>
                <w:rFonts w:ascii="Calibri" w:eastAsia="Calibri" w:hAnsi="Calibri" w:cs="Times New Roman"/>
              </w:rPr>
              <w:t>be affected</w:t>
            </w:r>
            <w:r w:rsidRPr="00E868BF">
              <w:rPr>
                <w:rFonts w:ascii="Calibri" w:eastAsia="Calibri" w:hAnsi="Calibri" w:cs="Times New Roman"/>
                <w:spacing w:val="20"/>
              </w:rPr>
              <w:t xml:space="preserve"> </w:t>
            </w:r>
            <w:r w:rsidRPr="00E868BF">
              <w:rPr>
                <w:rFonts w:ascii="Calibri" w:eastAsia="Calibri" w:hAnsi="Calibri" w:cs="Times New Roman"/>
              </w:rPr>
              <w:t>by</w:t>
            </w:r>
            <w:r w:rsidRPr="00E868BF">
              <w:rPr>
                <w:rFonts w:ascii="Calibri" w:eastAsia="Calibri" w:hAnsi="Calibri" w:cs="Times New Roman"/>
                <w:spacing w:val="21"/>
              </w:rPr>
              <w:t xml:space="preserve"> </w:t>
            </w:r>
            <w:r w:rsidRPr="00E868BF">
              <w:rPr>
                <w:rFonts w:ascii="Calibri" w:eastAsia="Calibri" w:hAnsi="Calibri" w:cs="Times New Roman"/>
              </w:rPr>
              <w:t>new</w:t>
            </w:r>
            <w:r w:rsidRPr="00E868BF">
              <w:rPr>
                <w:rFonts w:ascii="Calibri" w:eastAsia="Calibri" w:hAnsi="Calibri" w:cs="Times New Roman"/>
                <w:spacing w:val="21"/>
              </w:rPr>
              <w:t xml:space="preserve"> </w:t>
            </w:r>
            <w:r w:rsidRPr="00E868BF">
              <w:rPr>
                <w:rFonts w:ascii="Calibri" w:eastAsia="Calibri" w:hAnsi="Calibri" w:cs="Times New Roman"/>
              </w:rPr>
              <w:t xml:space="preserve">evidence. </w:t>
            </w:r>
            <w:r w:rsidRPr="00E868BF">
              <w:rPr>
                <w:rFonts w:ascii="Calibri" w:eastAsia="Calibri" w:hAnsi="Calibri" w:cs="Times New Roman"/>
                <w:spacing w:val="1"/>
              </w:rPr>
              <w:t>A</w:t>
            </w:r>
            <w:r w:rsidRPr="00E868BF">
              <w:rPr>
                <w:rFonts w:ascii="Calibri" w:eastAsia="Calibri" w:hAnsi="Calibri" w:cs="Times New Roman"/>
              </w:rPr>
              <w:t>lternative</w:t>
            </w:r>
            <w:r w:rsidRPr="00E868BF">
              <w:rPr>
                <w:rFonts w:ascii="Calibri" w:eastAsia="Calibri" w:hAnsi="Calibri" w:cs="Times New Roman"/>
                <w:spacing w:val="31"/>
              </w:rPr>
              <w:t xml:space="preserve"> </w:t>
            </w:r>
            <w:r w:rsidRPr="00E868BF">
              <w:rPr>
                <w:rFonts w:ascii="Calibri" w:eastAsia="Calibri" w:hAnsi="Calibri" w:cs="Times New Roman"/>
              </w:rPr>
              <w:t>approaches</w:t>
            </w:r>
            <w:r w:rsidRPr="00E868BF">
              <w:rPr>
                <w:rFonts w:ascii="Calibri" w:eastAsia="Calibri" w:hAnsi="Calibri" w:cs="Times New Roman"/>
                <w:spacing w:val="31"/>
              </w:rPr>
              <w:t xml:space="preserve"> </w:t>
            </w:r>
            <w:r w:rsidRPr="00E868BF">
              <w:rPr>
                <w:rFonts w:ascii="Calibri" w:eastAsia="Calibri" w:hAnsi="Calibri" w:cs="Times New Roman"/>
                <w:spacing w:val="1"/>
              </w:rPr>
              <w:t>w</w:t>
            </w:r>
            <w:r w:rsidRPr="00E868BF">
              <w:rPr>
                <w:rFonts w:ascii="Calibri" w:eastAsia="Calibri" w:hAnsi="Calibri" w:cs="Times New Roman"/>
              </w:rPr>
              <w:t>ill likely</w:t>
            </w:r>
            <w:r w:rsidRPr="00E868BF">
              <w:rPr>
                <w:rFonts w:ascii="Calibri" w:eastAsia="Calibri" w:hAnsi="Calibri" w:cs="Times New Roman"/>
                <w:spacing w:val="14"/>
              </w:rPr>
              <w:t xml:space="preserve"> </w:t>
            </w:r>
            <w:r w:rsidRPr="00E868BF">
              <w:rPr>
                <w:rFonts w:ascii="Calibri" w:eastAsia="Calibri" w:hAnsi="Calibri" w:cs="Times New Roman"/>
              </w:rPr>
              <w:t>be</w:t>
            </w:r>
            <w:r w:rsidRPr="00E868BF">
              <w:rPr>
                <w:rFonts w:ascii="Calibri" w:eastAsia="Calibri" w:hAnsi="Calibri" w:cs="Times New Roman"/>
                <w:spacing w:val="14"/>
              </w:rPr>
              <w:t xml:space="preserve"> </w:t>
            </w:r>
            <w:r w:rsidRPr="00E868BF">
              <w:rPr>
                <w:rFonts w:ascii="Calibri" w:eastAsia="Calibri" w:hAnsi="Calibri" w:cs="Times New Roman"/>
              </w:rPr>
              <w:t>better</w:t>
            </w:r>
            <w:r w:rsidRPr="00E868BF">
              <w:rPr>
                <w:rFonts w:ascii="Calibri" w:eastAsia="Calibri" w:hAnsi="Calibri" w:cs="Times New Roman"/>
                <w:spacing w:val="13"/>
              </w:rPr>
              <w:t xml:space="preserve"> </w:t>
            </w:r>
            <w:r w:rsidRPr="00E868BF">
              <w:rPr>
                <w:rFonts w:ascii="Calibri" w:eastAsia="Calibri" w:hAnsi="Calibri" w:cs="Times New Roman"/>
              </w:rPr>
              <w:t>for</w:t>
            </w:r>
            <w:r w:rsidRPr="00E868BF">
              <w:rPr>
                <w:rFonts w:ascii="Calibri" w:eastAsia="Calibri" w:hAnsi="Calibri" w:cs="Times New Roman"/>
                <w:spacing w:val="14"/>
              </w:rPr>
              <w:t xml:space="preserve"> </w:t>
            </w:r>
            <w:r w:rsidRPr="00E868BF">
              <w:rPr>
                <w:rFonts w:ascii="Calibri" w:eastAsia="Calibri" w:hAnsi="Calibri" w:cs="Times New Roman"/>
              </w:rPr>
              <w:t>so</w:t>
            </w:r>
            <w:r w:rsidRPr="00E868BF">
              <w:rPr>
                <w:rFonts w:ascii="Calibri" w:eastAsia="Calibri" w:hAnsi="Calibri" w:cs="Times New Roman"/>
                <w:spacing w:val="1"/>
              </w:rPr>
              <w:t>m</w:t>
            </w:r>
            <w:r w:rsidRPr="00E868BF">
              <w:rPr>
                <w:rFonts w:ascii="Calibri" w:eastAsia="Calibri" w:hAnsi="Calibri" w:cs="Times New Roman"/>
              </w:rPr>
              <w:t>e patients</w:t>
            </w:r>
            <w:r w:rsidRPr="00E868BF">
              <w:rPr>
                <w:rFonts w:ascii="Calibri" w:eastAsia="Calibri" w:hAnsi="Calibri" w:cs="Times New Roman"/>
                <w:spacing w:val="22"/>
              </w:rPr>
              <w:t xml:space="preserve"> </w:t>
            </w:r>
            <w:r w:rsidRPr="00E868BF">
              <w:rPr>
                <w:rFonts w:ascii="Calibri" w:eastAsia="Calibri" w:hAnsi="Calibri" w:cs="Times New Roman"/>
              </w:rPr>
              <w:t>under</w:t>
            </w:r>
            <w:r w:rsidRPr="00E868BF">
              <w:rPr>
                <w:rFonts w:ascii="Calibri" w:eastAsia="Calibri" w:hAnsi="Calibri" w:cs="Times New Roman"/>
                <w:spacing w:val="23"/>
              </w:rPr>
              <w:t xml:space="preserve"> </w:t>
            </w:r>
            <w:r w:rsidRPr="00E868BF">
              <w:rPr>
                <w:rFonts w:ascii="Calibri" w:eastAsia="Calibri" w:hAnsi="Calibri" w:cs="Times New Roman"/>
              </w:rPr>
              <w:t>so</w:t>
            </w:r>
            <w:r w:rsidRPr="00E868BF">
              <w:rPr>
                <w:rFonts w:ascii="Calibri" w:eastAsia="Calibri" w:hAnsi="Calibri" w:cs="Times New Roman"/>
                <w:spacing w:val="1"/>
              </w:rPr>
              <w:t>m</w:t>
            </w:r>
            <w:r w:rsidRPr="00E868BF">
              <w:rPr>
                <w:rFonts w:ascii="Calibri" w:eastAsia="Calibri" w:hAnsi="Calibri" w:cs="Times New Roman"/>
              </w:rPr>
              <w:t>e circu</w:t>
            </w:r>
            <w:r w:rsidRPr="00E868BF">
              <w:rPr>
                <w:rFonts w:ascii="Calibri" w:eastAsia="Calibri" w:hAnsi="Calibri" w:cs="Times New Roman"/>
                <w:spacing w:val="1"/>
              </w:rPr>
              <w:t>m</w:t>
            </w:r>
            <w:r w:rsidRPr="00E868BF">
              <w:rPr>
                <w:rFonts w:ascii="Calibri" w:eastAsia="Calibri" w:hAnsi="Calibri" w:cs="Times New Roman"/>
              </w:rPr>
              <w:t>stances.</w:t>
            </w:r>
          </w:p>
        </w:tc>
      </w:tr>
      <w:tr w:rsidR="00780C0E" w:rsidRPr="00E868BF" w14:paraId="13629866" w14:textId="77777777" w:rsidTr="002C16C5">
        <w:trPr>
          <w:trHeight w:hRule="exact" w:val="2540"/>
        </w:trPr>
        <w:tc>
          <w:tcPr>
            <w:tcW w:w="1350" w:type="dxa"/>
            <w:tcBorders>
              <w:top w:val="nil"/>
              <w:left w:val="single" w:sz="8" w:space="0" w:color="000000"/>
              <w:bottom w:val="single" w:sz="8" w:space="0" w:color="000000"/>
              <w:right w:val="single" w:sz="8" w:space="0" w:color="000000"/>
            </w:tcBorders>
            <w:hideMark/>
          </w:tcPr>
          <w:p w14:paraId="0EB78F39" w14:textId="77777777" w:rsidR="00780C0E" w:rsidRPr="00E868BF" w:rsidRDefault="00780C0E" w:rsidP="002C16C5">
            <w:pPr>
              <w:overflowPunct w:val="0"/>
              <w:autoSpaceDE w:val="0"/>
              <w:autoSpaceDN w:val="0"/>
              <w:spacing w:before="34"/>
              <w:ind w:left="163" w:right="8" w:firstLine="0"/>
              <w:rPr>
                <w:rFonts w:ascii="Calibri" w:eastAsia="Calibri" w:hAnsi="Calibri" w:cs="Times New Roman"/>
                <w:b/>
                <w:bCs/>
                <w:spacing w:val="29"/>
              </w:rPr>
            </w:pPr>
            <w:r w:rsidRPr="00E868BF">
              <w:rPr>
                <w:rFonts w:ascii="Calibri" w:eastAsia="Calibri" w:hAnsi="Calibri" w:cs="Times New Roman"/>
                <w:b/>
                <w:bCs/>
                <w:spacing w:val="1"/>
              </w:rPr>
              <w:t>L</w:t>
            </w:r>
            <w:r w:rsidRPr="00E868BF">
              <w:rPr>
                <w:rFonts w:ascii="Calibri" w:eastAsia="Calibri" w:hAnsi="Calibri" w:cs="Times New Roman"/>
                <w:b/>
                <w:bCs/>
              </w:rPr>
              <w:t>ow</w:t>
            </w:r>
            <w:r w:rsidRPr="00E868BF">
              <w:rPr>
                <w:rFonts w:ascii="Calibri" w:eastAsia="Calibri" w:hAnsi="Calibri" w:cs="Times New Roman"/>
                <w:b/>
                <w:bCs/>
                <w:spacing w:val="29"/>
              </w:rPr>
              <w:t xml:space="preserve"> </w:t>
            </w:r>
          </w:p>
          <w:p w14:paraId="32FE3993" w14:textId="77777777" w:rsidR="00780C0E" w:rsidRPr="00E868BF" w:rsidRDefault="00780C0E" w:rsidP="002C16C5">
            <w:pPr>
              <w:overflowPunct w:val="0"/>
              <w:autoSpaceDE w:val="0"/>
              <w:autoSpaceDN w:val="0"/>
              <w:spacing w:before="34"/>
              <w:ind w:left="163" w:right="8" w:firstLine="0"/>
              <w:rPr>
                <w:rFonts w:ascii="Calibri" w:eastAsia="Calibri" w:hAnsi="Calibri" w:cs="Times New Roman"/>
              </w:rPr>
            </w:pPr>
            <w:r w:rsidRPr="00E868BF">
              <w:rPr>
                <w:rFonts w:ascii="Calibri" w:eastAsia="Calibri" w:hAnsi="Calibri" w:cs="Times New Roman"/>
                <w:b/>
                <w:bCs/>
                <w:spacing w:val="1"/>
              </w:rPr>
              <w:t>Q</w:t>
            </w:r>
            <w:r w:rsidRPr="00E868BF">
              <w:rPr>
                <w:rFonts w:ascii="Calibri" w:eastAsia="Calibri" w:hAnsi="Calibri" w:cs="Times New Roman"/>
                <w:b/>
                <w:bCs/>
              </w:rPr>
              <w:t xml:space="preserve">uality </w:t>
            </w:r>
            <w:r w:rsidRPr="00E868BF">
              <w:rPr>
                <w:rFonts w:ascii="Calibri" w:eastAsia="Calibri" w:hAnsi="Calibri" w:cs="Times New Roman"/>
                <w:b/>
                <w:bCs/>
                <w:spacing w:val="1"/>
              </w:rPr>
              <w:t>E</w:t>
            </w:r>
            <w:r w:rsidRPr="00E868BF">
              <w:rPr>
                <w:rFonts w:ascii="Calibri" w:eastAsia="Calibri" w:hAnsi="Calibri" w:cs="Times New Roman"/>
                <w:b/>
                <w:bCs/>
              </w:rPr>
              <w:t>vidence</w:t>
            </w:r>
          </w:p>
        </w:tc>
        <w:tc>
          <w:tcPr>
            <w:tcW w:w="2340" w:type="dxa"/>
            <w:tcBorders>
              <w:top w:val="nil"/>
              <w:left w:val="nil"/>
              <w:bottom w:val="single" w:sz="8" w:space="0" w:color="000000"/>
              <w:right w:val="single" w:sz="8" w:space="0" w:color="000000"/>
            </w:tcBorders>
            <w:hideMark/>
          </w:tcPr>
          <w:p w14:paraId="5DF39B43" w14:textId="77777777" w:rsidR="00780C0E" w:rsidRPr="00E868BF" w:rsidRDefault="00780C0E" w:rsidP="002C16C5">
            <w:pPr>
              <w:overflowPunct w:val="0"/>
              <w:autoSpaceDE w:val="0"/>
              <w:autoSpaceDN w:val="0"/>
              <w:spacing w:before="34"/>
              <w:ind w:left="169" w:right="56" w:firstLine="0"/>
              <w:rPr>
                <w:rFonts w:ascii="Calibri" w:eastAsia="Calibri" w:hAnsi="Calibri" w:cs="Times New Roman"/>
              </w:rPr>
            </w:pPr>
            <w:r w:rsidRPr="00E868BF">
              <w:rPr>
                <w:rFonts w:ascii="Calibri" w:eastAsia="Calibri" w:hAnsi="Calibri" w:cs="Times New Roman"/>
              </w:rPr>
              <w:t>Further</w:t>
            </w:r>
            <w:r w:rsidRPr="00E868BF">
              <w:rPr>
                <w:rFonts w:ascii="Calibri" w:eastAsia="Calibri" w:hAnsi="Calibri" w:cs="Times New Roman"/>
                <w:spacing w:val="19"/>
              </w:rPr>
              <w:t xml:space="preserve"> </w:t>
            </w:r>
            <w:r w:rsidRPr="00E868BF">
              <w:rPr>
                <w:rFonts w:ascii="Calibri" w:eastAsia="Calibri" w:hAnsi="Calibri" w:cs="Times New Roman"/>
              </w:rPr>
              <w:t>research</w:t>
            </w:r>
            <w:r w:rsidRPr="00E868BF">
              <w:rPr>
                <w:rFonts w:ascii="Calibri" w:eastAsia="Calibri" w:hAnsi="Calibri" w:cs="Times New Roman"/>
                <w:spacing w:val="19"/>
              </w:rPr>
              <w:t xml:space="preserve"> </w:t>
            </w:r>
            <w:r w:rsidRPr="00E868BF">
              <w:rPr>
                <w:rFonts w:ascii="Calibri" w:eastAsia="Calibri" w:hAnsi="Calibri" w:cs="Times New Roman"/>
              </w:rPr>
              <w:t>is</w:t>
            </w:r>
            <w:r w:rsidRPr="00E868BF">
              <w:rPr>
                <w:rFonts w:ascii="Calibri" w:eastAsia="Calibri" w:hAnsi="Calibri" w:cs="Times New Roman"/>
                <w:spacing w:val="19"/>
              </w:rPr>
              <w:t xml:space="preserve"> </w:t>
            </w:r>
            <w:r w:rsidRPr="00E868BF">
              <w:rPr>
                <w:rFonts w:ascii="Calibri" w:eastAsia="Calibri" w:hAnsi="Calibri" w:cs="Times New Roman"/>
              </w:rPr>
              <w:t>very likely</w:t>
            </w:r>
            <w:r w:rsidRPr="00E868BF">
              <w:rPr>
                <w:rFonts w:ascii="Calibri" w:eastAsia="Calibri" w:hAnsi="Calibri" w:cs="Times New Roman"/>
                <w:spacing w:val="12"/>
              </w:rPr>
              <w:t xml:space="preserve"> </w:t>
            </w:r>
            <w:r w:rsidRPr="00E868BF">
              <w:rPr>
                <w:rFonts w:ascii="Calibri" w:eastAsia="Calibri" w:hAnsi="Calibri" w:cs="Times New Roman"/>
              </w:rPr>
              <w:t>to</w:t>
            </w:r>
            <w:r w:rsidRPr="00E868BF">
              <w:rPr>
                <w:rFonts w:ascii="Calibri" w:eastAsia="Calibri" w:hAnsi="Calibri" w:cs="Times New Roman"/>
                <w:spacing w:val="12"/>
              </w:rPr>
              <w:t xml:space="preserve"> </w:t>
            </w:r>
            <w:r w:rsidRPr="00E868BF">
              <w:rPr>
                <w:rFonts w:ascii="Calibri" w:eastAsia="Calibri" w:hAnsi="Calibri" w:cs="Times New Roman"/>
              </w:rPr>
              <w:t>have</w:t>
            </w:r>
            <w:r w:rsidRPr="00E868BF">
              <w:rPr>
                <w:rFonts w:ascii="Calibri" w:eastAsia="Calibri" w:hAnsi="Calibri" w:cs="Times New Roman"/>
                <w:spacing w:val="13"/>
              </w:rPr>
              <w:t xml:space="preserve"> </w:t>
            </w:r>
            <w:r w:rsidRPr="00E868BF">
              <w:rPr>
                <w:rFonts w:ascii="Calibri" w:eastAsia="Calibri" w:hAnsi="Calibri" w:cs="Times New Roman"/>
              </w:rPr>
              <w:t>an i</w:t>
            </w:r>
            <w:r w:rsidRPr="00E868BF">
              <w:rPr>
                <w:rFonts w:ascii="Calibri" w:eastAsia="Calibri" w:hAnsi="Calibri" w:cs="Times New Roman"/>
                <w:spacing w:val="1"/>
              </w:rPr>
              <w:t>m</w:t>
            </w:r>
            <w:r w:rsidRPr="00E868BF">
              <w:rPr>
                <w:rFonts w:ascii="Calibri" w:eastAsia="Calibri" w:hAnsi="Calibri" w:cs="Times New Roman"/>
              </w:rPr>
              <w:t>portant</w:t>
            </w:r>
            <w:r w:rsidRPr="00E868BF">
              <w:rPr>
                <w:rFonts w:ascii="Calibri" w:eastAsia="Calibri" w:hAnsi="Calibri" w:cs="Times New Roman"/>
                <w:spacing w:val="21"/>
              </w:rPr>
              <w:t xml:space="preserve"> </w:t>
            </w:r>
            <w:r w:rsidRPr="00E868BF">
              <w:rPr>
                <w:rFonts w:ascii="Calibri" w:eastAsia="Calibri" w:hAnsi="Calibri" w:cs="Times New Roman"/>
              </w:rPr>
              <w:t>i</w:t>
            </w:r>
            <w:r w:rsidRPr="00E868BF">
              <w:rPr>
                <w:rFonts w:ascii="Calibri" w:eastAsia="Calibri" w:hAnsi="Calibri" w:cs="Times New Roman"/>
                <w:spacing w:val="1"/>
              </w:rPr>
              <w:t>m</w:t>
            </w:r>
            <w:r w:rsidRPr="00E868BF">
              <w:rPr>
                <w:rFonts w:ascii="Calibri" w:eastAsia="Calibri" w:hAnsi="Calibri" w:cs="Times New Roman"/>
              </w:rPr>
              <w:t>pact</w:t>
            </w:r>
            <w:r w:rsidRPr="00E868BF">
              <w:rPr>
                <w:rFonts w:ascii="Calibri" w:eastAsia="Calibri" w:hAnsi="Calibri" w:cs="Times New Roman"/>
                <w:spacing w:val="22"/>
              </w:rPr>
              <w:t xml:space="preserve"> </w:t>
            </w:r>
            <w:r w:rsidRPr="00E868BF">
              <w:rPr>
                <w:rFonts w:ascii="Calibri" w:eastAsia="Calibri" w:hAnsi="Calibri" w:cs="Times New Roman"/>
              </w:rPr>
              <w:t>on our</w:t>
            </w:r>
            <w:r w:rsidRPr="00E868BF">
              <w:rPr>
                <w:rFonts w:ascii="Calibri" w:eastAsia="Calibri" w:hAnsi="Calibri" w:cs="Times New Roman"/>
                <w:spacing w:val="16"/>
              </w:rPr>
              <w:t xml:space="preserve"> </w:t>
            </w:r>
            <w:r w:rsidRPr="00E868BF">
              <w:rPr>
                <w:rFonts w:ascii="Calibri" w:eastAsia="Calibri" w:hAnsi="Calibri" w:cs="Times New Roman"/>
              </w:rPr>
              <w:t>confidence</w:t>
            </w:r>
            <w:r w:rsidRPr="00E868BF">
              <w:rPr>
                <w:rFonts w:ascii="Calibri" w:eastAsia="Calibri" w:hAnsi="Calibri" w:cs="Times New Roman"/>
                <w:spacing w:val="16"/>
              </w:rPr>
              <w:t xml:space="preserve"> </w:t>
            </w:r>
            <w:r w:rsidRPr="00E868BF">
              <w:rPr>
                <w:rFonts w:ascii="Calibri" w:eastAsia="Calibri" w:hAnsi="Calibri" w:cs="Times New Roman"/>
              </w:rPr>
              <w:t>in</w:t>
            </w:r>
            <w:r w:rsidRPr="00E868BF">
              <w:rPr>
                <w:rFonts w:ascii="Calibri" w:eastAsia="Calibri" w:hAnsi="Calibri" w:cs="Times New Roman"/>
                <w:spacing w:val="17"/>
              </w:rPr>
              <w:t xml:space="preserve"> </w:t>
            </w:r>
            <w:r w:rsidRPr="00E868BF">
              <w:rPr>
                <w:rFonts w:ascii="Calibri" w:eastAsia="Calibri" w:hAnsi="Calibri" w:cs="Times New Roman"/>
              </w:rPr>
              <w:t>the esti</w:t>
            </w:r>
            <w:r w:rsidRPr="00E868BF">
              <w:rPr>
                <w:rFonts w:ascii="Calibri" w:eastAsia="Calibri" w:hAnsi="Calibri" w:cs="Times New Roman"/>
                <w:spacing w:val="1"/>
              </w:rPr>
              <w:t>m</w:t>
            </w:r>
            <w:r w:rsidRPr="00E868BF">
              <w:rPr>
                <w:rFonts w:ascii="Calibri" w:eastAsia="Calibri" w:hAnsi="Calibri" w:cs="Times New Roman"/>
              </w:rPr>
              <w:t>ate</w:t>
            </w:r>
            <w:r w:rsidRPr="00E868BF">
              <w:rPr>
                <w:rFonts w:ascii="Calibri" w:eastAsia="Calibri" w:hAnsi="Calibri" w:cs="Times New Roman"/>
                <w:spacing w:val="14"/>
              </w:rPr>
              <w:t xml:space="preserve"> </w:t>
            </w:r>
            <w:r w:rsidRPr="00E868BF">
              <w:rPr>
                <w:rFonts w:ascii="Calibri" w:eastAsia="Calibri" w:hAnsi="Calibri" w:cs="Times New Roman"/>
              </w:rPr>
              <w:t>of</w:t>
            </w:r>
            <w:r w:rsidRPr="00E868BF">
              <w:rPr>
                <w:rFonts w:ascii="Calibri" w:eastAsia="Calibri" w:hAnsi="Calibri" w:cs="Times New Roman"/>
                <w:spacing w:val="14"/>
              </w:rPr>
              <w:t xml:space="preserve"> </w:t>
            </w:r>
            <w:r w:rsidRPr="00E868BF">
              <w:rPr>
                <w:rFonts w:ascii="Calibri" w:eastAsia="Calibri" w:hAnsi="Calibri" w:cs="Times New Roman"/>
              </w:rPr>
              <w:t>effect</w:t>
            </w:r>
            <w:r w:rsidRPr="00E868BF">
              <w:rPr>
                <w:rFonts w:ascii="Calibri" w:eastAsia="Calibri" w:hAnsi="Calibri" w:cs="Times New Roman"/>
                <w:spacing w:val="13"/>
              </w:rPr>
              <w:t xml:space="preserve"> </w:t>
            </w:r>
            <w:r w:rsidRPr="00E868BF">
              <w:rPr>
                <w:rFonts w:ascii="Calibri" w:eastAsia="Calibri" w:hAnsi="Calibri" w:cs="Times New Roman"/>
              </w:rPr>
              <w:t>and</w:t>
            </w:r>
            <w:r w:rsidRPr="00E868BF">
              <w:rPr>
                <w:rFonts w:ascii="Calibri" w:eastAsia="Calibri" w:hAnsi="Calibri" w:cs="Times New Roman"/>
                <w:spacing w:val="14"/>
              </w:rPr>
              <w:t xml:space="preserve"> </w:t>
            </w:r>
            <w:r w:rsidRPr="00E868BF">
              <w:rPr>
                <w:rFonts w:ascii="Calibri" w:eastAsia="Calibri" w:hAnsi="Calibri" w:cs="Times New Roman"/>
              </w:rPr>
              <w:t>is likely</w:t>
            </w:r>
            <w:r w:rsidRPr="00E868BF">
              <w:rPr>
                <w:rFonts w:ascii="Calibri" w:eastAsia="Calibri" w:hAnsi="Calibri" w:cs="Times New Roman"/>
                <w:spacing w:val="12"/>
              </w:rPr>
              <w:t xml:space="preserve"> </w:t>
            </w:r>
            <w:r w:rsidRPr="00E868BF">
              <w:rPr>
                <w:rFonts w:ascii="Calibri" w:eastAsia="Calibri" w:hAnsi="Calibri" w:cs="Times New Roman"/>
              </w:rPr>
              <w:t>to</w:t>
            </w:r>
            <w:r w:rsidRPr="00E868BF">
              <w:rPr>
                <w:rFonts w:ascii="Calibri" w:eastAsia="Calibri" w:hAnsi="Calibri" w:cs="Times New Roman"/>
                <w:spacing w:val="13"/>
              </w:rPr>
              <w:t xml:space="preserve"> </w:t>
            </w:r>
            <w:r w:rsidRPr="00E868BF">
              <w:rPr>
                <w:rFonts w:ascii="Calibri" w:eastAsia="Calibri" w:hAnsi="Calibri" w:cs="Times New Roman"/>
              </w:rPr>
              <w:t xml:space="preserve">change. </w:t>
            </w:r>
            <w:r w:rsidRPr="00E868BF">
              <w:rPr>
                <w:rFonts w:ascii="Calibri" w:eastAsia="Calibri" w:hAnsi="Calibri" w:cs="Times New Roman"/>
                <w:spacing w:val="1"/>
              </w:rPr>
              <w:t>T</w:t>
            </w:r>
            <w:r w:rsidRPr="00E868BF">
              <w:rPr>
                <w:rFonts w:ascii="Calibri" w:eastAsia="Calibri" w:hAnsi="Calibri" w:cs="Times New Roman"/>
              </w:rPr>
              <w:t>he esti</w:t>
            </w:r>
            <w:r w:rsidRPr="00E868BF">
              <w:rPr>
                <w:rFonts w:ascii="Calibri" w:eastAsia="Calibri" w:hAnsi="Calibri" w:cs="Times New Roman"/>
                <w:spacing w:val="1"/>
              </w:rPr>
              <w:t>m</w:t>
            </w:r>
            <w:r w:rsidRPr="00E868BF">
              <w:rPr>
                <w:rFonts w:ascii="Calibri" w:eastAsia="Calibri" w:hAnsi="Calibri" w:cs="Times New Roman"/>
              </w:rPr>
              <w:t>ate</w:t>
            </w:r>
            <w:r w:rsidRPr="00E868BF">
              <w:rPr>
                <w:rFonts w:ascii="Calibri" w:eastAsia="Calibri" w:hAnsi="Calibri" w:cs="Times New Roman"/>
                <w:spacing w:val="17"/>
              </w:rPr>
              <w:t xml:space="preserve"> </w:t>
            </w:r>
            <w:r w:rsidRPr="00E868BF">
              <w:rPr>
                <w:rFonts w:ascii="Calibri" w:eastAsia="Calibri" w:hAnsi="Calibri" w:cs="Times New Roman"/>
              </w:rPr>
              <w:t>or</w:t>
            </w:r>
            <w:r w:rsidRPr="00E868BF">
              <w:rPr>
                <w:rFonts w:ascii="Calibri" w:eastAsia="Calibri" w:hAnsi="Calibri" w:cs="Times New Roman"/>
                <w:spacing w:val="17"/>
              </w:rPr>
              <w:t xml:space="preserve"> </w:t>
            </w:r>
            <w:r w:rsidRPr="00E868BF">
              <w:rPr>
                <w:rFonts w:ascii="Calibri" w:eastAsia="Calibri" w:hAnsi="Calibri" w:cs="Times New Roman"/>
              </w:rPr>
              <w:t>any esti</w:t>
            </w:r>
            <w:r w:rsidRPr="00E868BF">
              <w:rPr>
                <w:rFonts w:ascii="Calibri" w:eastAsia="Calibri" w:hAnsi="Calibri" w:cs="Times New Roman"/>
                <w:spacing w:val="1"/>
              </w:rPr>
              <w:t>m</w:t>
            </w:r>
            <w:r w:rsidRPr="00E868BF">
              <w:rPr>
                <w:rFonts w:ascii="Calibri" w:eastAsia="Calibri" w:hAnsi="Calibri" w:cs="Times New Roman"/>
              </w:rPr>
              <w:t>ate</w:t>
            </w:r>
            <w:r w:rsidRPr="00E868BF">
              <w:rPr>
                <w:rFonts w:ascii="Calibri" w:eastAsia="Calibri" w:hAnsi="Calibri" w:cs="Times New Roman"/>
                <w:spacing w:val="15"/>
              </w:rPr>
              <w:t xml:space="preserve"> </w:t>
            </w:r>
            <w:r w:rsidRPr="00E868BF">
              <w:rPr>
                <w:rFonts w:ascii="Calibri" w:eastAsia="Calibri" w:hAnsi="Calibri" w:cs="Times New Roman"/>
              </w:rPr>
              <w:t>of</w:t>
            </w:r>
            <w:r w:rsidRPr="00E868BF">
              <w:rPr>
                <w:rFonts w:ascii="Calibri" w:eastAsia="Calibri" w:hAnsi="Calibri" w:cs="Times New Roman"/>
                <w:spacing w:val="15"/>
              </w:rPr>
              <w:t xml:space="preserve"> </w:t>
            </w:r>
            <w:r w:rsidRPr="00E868BF">
              <w:rPr>
                <w:rFonts w:ascii="Calibri" w:eastAsia="Calibri" w:hAnsi="Calibri" w:cs="Times New Roman"/>
              </w:rPr>
              <w:t>effect</w:t>
            </w:r>
            <w:r w:rsidRPr="00E868BF">
              <w:rPr>
                <w:rFonts w:ascii="Calibri" w:eastAsia="Calibri" w:hAnsi="Calibri" w:cs="Times New Roman"/>
                <w:spacing w:val="15"/>
              </w:rPr>
              <w:t xml:space="preserve"> </w:t>
            </w:r>
            <w:r w:rsidRPr="00E868BF">
              <w:rPr>
                <w:rFonts w:ascii="Calibri" w:eastAsia="Calibri" w:hAnsi="Calibri" w:cs="Times New Roman"/>
              </w:rPr>
              <w:t>is very</w:t>
            </w:r>
            <w:r w:rsidRPr="00E868BF">
              <w:rPr>
                <w:rFonts w:ascii="Calibri" w:eastAsia="Calibri" w:hAnsi="Calibri" w:cs="Times New Roman"/>
                <w:spacing w:val="34"/>
              </w:rPr>
              <w:t xml:space="preserve"> </w:t>
            </w:r>
            <w:r w:rsidRPr="00E868BF">
              <w:rPr>
                <w:rFonts w:ascii="Calibri" w:eastAsia="Calibri" w:hAnsi="Calibri" w:cs="Times New Roman"/>
              </w:rPr>
              <w:t>uncertain.</w:t>
            </w:r>
          </w:p>
        </w:tc>
        <w:tc>
          <w:tcPr>
            <w:tcW w:w="2970" w:type="dxa"/>
            <w:tcBorders>
              <w:top w:val="nil"/>
              <w:left w:val="nil"/>
              <w:bottom w:val="single" w:sz="8" w:space="0" w:color="000000"/>
              <w:right w:val="single" w:sz="8" w:space="0" w:color="000000"/>
            </w:tcBorders>
            <w:hideMark/>
          </w:tcPr>
          <w:p w14:paraId="65983187" w14:textId="77777777" w:rsidR="00780C0E" w:rsidRPr="00E868BF" w:rsidRDefault="00780C0E" w:rsidP="002C16C5">
            <w:pPr>
              <w:overflowPunct w:val="0"/>
              <w:autoSpaceDE w:val="0"/>
              <w:autoSpaceDN w:val="0"/>
              <w:spacing w:before="34"/>
              <w:ind w:left="114" w:right="120" w:firstLine="10"/>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14"/>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14"/>
              </w:rPr>
              <w:t xml:space="preserve"> </w:t>
            </w:r>
            <w:r w:rsidRPr="00E868BF">
              <w:rPr>
                <w:rFonts w:ascii="Calibri" w:eastAsia="Calibri" w:hAnsi="Calibri" w:cs="Times New Roman"/>
              </w:rPr>
              <w:t>group</w:t>
            </w:r>
            <w:r w:rsidRPr="00E868BF">
              <w:rPr>
                <w:rFonts w:ascii="Calibri" w:eastAsia="Calibri" w:hAnsi="Calibri" w:cs="Times New Roman"/>
                <w:spacing w:val="14"/>
              </w:rPr>
              <w:t xml:space="preserve"> </w:t>
            </w:r>
            <w:r w:rsidRPr="00E868BF">
              <w:rPr>
                <w:rFonts w:ascii="Calibri" w:eastAsia="Calibri" w:hAnsi="Calibri" w:cs="Times New Roman"/>
              </w:rPr>
              <w:t>feels</w:t>
            </w:r>
            <w:r w:rsidRPr="00E868BF">
              <w:rPr>
                <w:rFonts w:ascii="Calibri" w:eastAsia="Calibri" w:hAnsi="Calibri" w:cs="Times New Roman"/>
                <w:spacing w:val="14"/>
              </w:rPr>
              <w:t xml:space="preserve"> </w:t>
            </w:r>
            <w:r w:rsidRPr="00E868BF">
              <w:rPr>
                <w:rFonts w:ascii="Calibri" w:eastAsia="Calibri" w:hAnsi="Calibri" w:cs="Times New Roman"/>
              </w:rPr>
              <w:t>that</w:t>
            </w:r>
            <w:r w:rsidRPr="00E868BF">
              <w:rPr>
                <w:rFonts w:ascii="Calibri" w:eastAsia="Calibri" w:hAnsi="Calibri" w:cs="Times New Roman"/>
                <w:spacing w:val="13"/>
              </w:rPr>
              <w:t xml:space="preserve"> </w:t>
            </w:r>
            <w:r w:rsidRPr="00E868BF">
              <w:rPr>
                <w:rFonts w:ascii="Calibri" w:eastAsia="Calibri" w:hAnsi="Calibri" w:cs="Times New Roman"/>
              </w:rPr>
              <w:t>the evidence</w:t>
            </w:r>
            <w:r w:rsidRPr="00E868BF">
              <w:rPr>
                <w:rFonts w:ascii="Calibri" w:eastAsia="Calibri" w:hAnsi="Calibri" w:cs="Times New Roman"/>
                <w:spacing w:val="25"/>
              </w:rPr>
              <w:t xml:space="preserve"> </w:t>
            </w:r>
            <w:r w:rsidRPr="00E868BF">
              <w:rPr>
                <w:rFonts w:ascii="Calibri" w:eastAsia="Calibri" w:hAnsi="Calibri" w:cs="Times New Roman"/>
              </w:rPr>
              <w:t>consistently</w:t>
            </w:r>
            <w:r w:rsidRPr="00E868BF">
              <w:rPr>
                <w:rFonts w:ascii="Calibri" w:eastAsia="Calibri" w:hAnsi="Calibri" w:cs="Times New Roman"/>
                <w:spacing w:val="26"/>
              </w:rPr>
              <w:t xml:space="preserve"> </w:t>
            </w:r>
            <w:r w:rsidRPr="00E868BF">
              <w:rPr>
                <w:rFonts w:ascii="Calibri" w:eastAsia="Calibri" w:hAnsi="Calibri" w:cs="Times New Roman"/>
              </w:rPr>
              <w:t>indicates</w:t>
            </w:r>
            <w:r w:rsidRPr="00E868BF">
              <w:rPr>
                <w:rFonts w:ascii="Calibri" w:eastAsia="Calibri" w:hAnsi="Calibri" w:cs="Times New Roman"/>
                <w:spacing w:val="26"/>
              </w:rPr>
              <w:t xml:space="preserve"> </w:t>
            </w:r>
            <w:r w:rsidRPr="00E868BF">
              <w:rPr>
                <w:rFonts w:ascii="Calibri" w:eastAsia="Calibri" w:hAnsi="Calibri" w:cs="Times New Roman"/>
              </w:rPr>
              <w:t>the benefit</w:t>
            </w:r>
            <w:r w:rsidRPr="00E868BF">
              <w:rPr>
                <w:rFonts w:ascii="Calibri" w:eastAsia="Calibri" w:hAnsi="Calibri" w:cs="Times New Roman"/>
                <w:spacing w:val="16"/>
              </w:rPr>
              <w:t xml:space="preserve"> </w:t>
            </w:r>
            <w:r w:rsidRPr="00E868BF">
              <w:rPr>
                <w:rFonts w:ascii="Calibri" w:eastAsia="Calibri" w:hAnsi="Calibri" w:cs="Times New Roman"/>
              </w:rPr>
              <w:t>of</w:t>
            </w:r>
            <w:r w:rsidRPr="00E868BF">
              <w:rPr>
                <w:rFonts w:ascii="Calibri" w:eastAsia="Calibri" w:hAnsi="Calibri" w:cs="Times New Roman"/>
                <w:spacing w:val="18"/>
              </w:rPr>
              <w:t xml:space="preserve"> </w:t>
            </w:r>
            <w:r w:rsidRPr="00E868BF">
              <w:rPr>
                <w:rFonts w:ascii="Calibri" w:eastAsia="Calibri" w:hAnsi="Calibri" w:cs="Times New Roman"/>
              </w:rPr>
              <w:t>this</w:t>
            </w:r>
            <w:r w:rsidRPr="00E868BF">
              <w:rPr>
                <w:rFonts w:ascii="Calibri" w:eastAsia="Calibri" w:hAnsi="Calibri" w:cs="Times New Roman"/>
                <w:spacing w:val="19"/>
              </w:rPr>
              <w:t xml:space="preserve"> </w:t>
            </w:r>
            <w:r w:rsidRPr="00E868BF">
              <w:rPr>
                <w:rFonts w:ascii="Calibri" w:eastAsia="Calibri" w:hAnsi="Calibri" w:cs="Times New Roman"/>
              </w:rPr>
              <w:t>action</w:t>
            </w:r>
            <w:r w:rsidRPr="00E868BF">
              <w:rPr>
                <w:rFonts w:ascii="Calibri" w:eastAsia="Calibri" w:hAnsi="Calibri" w:cs="Times New Roman"/>
                <w:spacing w:val="18"/>
              </w:rPr>
              <w:t xml:space="preserve"> </w:t>
            </w:r>
            <w:r w:rsidRPr="00E868BF">
              <w:rPr>
                <w:rFonts w:ascii="Calibri" w:eastAsia="Calibri" w:hAnsi="Calibri" w:cs="Times New Roman"/>
              </w:rPr>
              <w:t>out</w:t>
            </w:r>
            <w:r w:rsidRPr="00E868BF">
              <w:rPr>
                <w:rFonts w:ascii="Calibri" w:eastAsia="Calibri" w:hAnsi="Calibri" w:cs="Times New Roman"/>
                <w:spacing w:val="1"/>
              </w:rPr>
              <w:t>w</w:t>
            </w:r>
            <w:r w:rsidRPr="00E868BF">
              <w:rPr>
                <w:rFonts w:ascii="Calibri" w:eastAsia="Calibri" w:hAnsi="Calibri" w:cs="Times New Roman"/>
              </w:rPr>
              <w:t>eighs the</w:t>
            </w:r>
            <w:r w:rsidRPr="00E868BF">
              <w:rPr>
                <w:rFonts w:ascii="Calibri" w:eastAsia="Calibri" w:hAnsi="Calibri" w:cs="Times New Roman"/>
                <w:spacing w:val="25"/>
              </w:rPr>
              <w:t xml:space="preserve"> </w:t>
            </w:r>
            <w:r w:rsidRPr="00E868BF">
              <w:rPr>
                <w:rFonts w:ascii="Calibri" w:eastAsia="Calibri" w:hAnsi="Calibri" w:cs="Times New Roman"/>
              </w:rPr>
              <w:t>har</w:t>
            </w:r>
            <w:r w:rsidRPr="00E868BF">
              <w:rPr>
                <w:rFonts w:ascii="Calibri" w:eastAsia="Calibri" w:hAnsi="Calibri" w:cs="Times New Roman"/>
                <w:spacing w:val="1"/>
              </w:rPr>
              <w:t>m</w:t>
            </w:r>
            <w:r w:rsidRPr="00E868BF">
              <w:rPr>
                <w:rFonts w:ascii="Calibri" w:eastAsia="Calibri" w:hAnsi="Calibri" w:cs="Times New Roman"/>
              </w:rPr>
              <w:t>s.</w:t>
            </w:r>
            <w:r w:rsidRPr="00E868BF">
              <w:rPr>
                <w:rFonts w:ascii="Calibri" w:eastAsia="Calibri" w:hAnsi="Calibri" w:cs="Times New Roman"/>
                <w:spacing w:val="23"/>
              </w:rPr>
              <w:t xml:space="preserve"> </w:t>
            </w:r>
            <w:r w:rsidRPr="00E868BF">
              <w:rPr>
                <w:rFonts w:ascii="Calibri" w:eastAsia="Calibri" w:hAnsi="Calibri" w:cs="Times New Roman"/>
                <w:spacing w:val="1"/>
              </w:rPr>
              <w:t>T</w:t>
            </w:r>
            <w:r w:rsidRPr="00E868BF">
              <w:rPr>
                <w:rFonts w:ascii="Calibri" w:eastAsia="Calibri" w:hAnsi="Calibri" w:cs="Times New Roman"/>
              </w:rPr>
              <w:t>his</w:t>
            </w:r>
            <w:r w:rsidRPr="00E868BF">
              <w:rPr>
                <w:rFonts w:ascii="Calibri" w:eastAsia="Calibri" w:hAnsi="Calibri" w:cs="Times New Roman"/>
                <w:spacing w:val="26"/>
              </w:rPr>
              <w:t xml:space="preserve"> </w:t>
            </w:r>
            <w:r w:rsidRPr="00E868BF">
              <w:rPr>
                <w:rFonts w:ascii="Calibri" w:eastAsia="Calibri" w:hAnsi="Calibri" w:cs="Times New Roman"/>
              </w:rPr>
              <w:t>reco</w:t>
            </w:r>
            <w:r w:rsidRPr="00E868BF">
              <w:rPr>
                <w:rFonts w:ascii="Calibri" w:eastAsia="Calibri" w:hAnsi="Calibri" w:cs="Times New Roman"/>
                <w:spacing w:val="1"/>
              </w:rPr>
              <w:t>mm</w:t>
            </w:r>
            <w:r w:rsidRPr="00E868BF">
              <w:rPr>
                <w:rFonts w:ascii="Calibri" w:eastAsia="Calibri" w:hAnsi="Calibri" w:cs="Times New Roman"/>
              </w:rPr>
              <w:t xml:space="preserve">endation </w:t>
            </w:r>
            <w:r w:rsidRPr="00E868BF">
              <w:rPr>
                <w:rFonts w:ascii="Calibri" w:eastAsia="Calibri" w:hAnsi="Calibri" w:cs="Times New Roman"/>
                <w:spacing w:val="1"/>
              </w:rPr>
              <w:t>m</w:t>
            </w:r>
            <w:r w:rsidRPr="00E868BF">
              <w:rPr>
                <w:rFonts w:ascii="Calibri" w:eastAsia="Calibri" w:hAnsi="Calibri" w:cs="Times New Roman"/>
              </w:rPr>
              <w:t>ight</w:t>
            </w:r>
            <w:r w:rsidRPr="00E868BF">
              <w:rPr>
                <w:rFonts w:ascii="Calibri" w:eastAsia="Calibri" w:hAnsi="Calibri" w:cs="Times New Roman"/>
                <w:spacing w:val="18"/>
              </w:rPr>
              <w:t xml:space="preserve"> </w:t>
            </w:r>
            <w:r w:rsidRPr="00E868BF">
              <w:rPr>
                <w:rFonts w:ascii="Calibri" w:eastAsia="Calibri" w:hAnsi="Calibri" w:cs="Times New Roman"/>
              </w:rPr>
              <w:t>change</w:t>
            </w:r>
            <w:r w:rsidRPr="00E868BF">
              <w:rPr>
                <w:rFonts w:ascii="Calibri" w:eastAsia="Calibri" w:hAnsi="Calibri" w:cs="Times New Roman"/>
                <w:spacing w:val="19"/>
              </w:rPr>
              <w:t xml:space="preserve"> </w:t>
            </w:r>
            <w:r w:rsidRPr="00E868BF">
              <w:rPr>
                <w:rFonts w:ascii="Calibri" w:eastAsia="Calibri" w:hAnsi="Calibri" w:cs="Times New Roman"/>
                <w:spacing w:val="1"/>
              </w:rPr>
              <w:t>w</w:t>
            </w:r>
            <w:r w:rsidRPr="00E868BF">
              <w:rPr>
                <w:rFonts w:ascii="Calibri" w:eastAsia="Calibri" w:hAnsi="Calibri" w:cs="Times New Roman"/>
              </w:rPr>
              <w:t>hen</w:t>
            </w:r>
            <w:r w:rsidRPr="00E868BF">
              <w:rPr>
                <w:rFonts w:ascii="Calibri" w:eastAsia="Calibri" w:hAnsi="Calibri" w:cs="Times New Roman"/>
                <w:spacing w:val="20"/>
              </w:rPr>
              <w:t xml:space="preserve"> </w:t>
            </w:r>
            <w:r w:rsidRPr="00E868BF">
              <w:rPr>
                <w:rFonts w:ascii="Calibri" w:eastAsia="Calibri" w:hAnsi="Calibri" w:cs="Times New Roman"/>
              </w:rPr>
              <w:t>higher</w:t>
            </w:r>
            <w:r w:rsidRPr="00E868BF">
              <w:rPr>
                <w:rFonts w:ascii="Calibri" w:eastAsia="Calibri" w:hAnsi="Calibri" w:cs="Times New Roman"/>
                <w:spacing w:val="20"/>
              </w:rPr>
              <w:t xml:space="preserve"> </w:t>
            </w:r>
            <w:r w:rsidRPr="00E868BF">
              <w:rPr>
                <w:rFonts w:ascii="Calibri" w:eastAsia="Calibri" w:hAnsi="Calibri" w:cs="Times New Roman"/>
              </w:rPr>
              <w:t>quality evidence</w:t>
            </w:r>
            <w:r w:rsidRPr="00E868BF">
              <w:rPr>
                <w:rFonts w:ascii="Calibri" w:eastAsia="Calibri" w:hAnsi="Calibri" w:cs="Times New Roman"/>
                <w:spacing w:val="32"/>
              </w:rPr>
              <w:t xml:space="preserve"> </w:t>
            </w:r>
            <w:r w:rsidRPr="00E868BF">
              <w:rPr>
                <w:rFonts w:ascii="Calibri" w:eastAsia="Calibri" w:hAnsi="Calibri" w:cs="Times New Roman"/>
              </w:rPr>
              <w:t>beco</w:t>
            </w:r>
            <w:r w:rsidRPr="00E868BF">
              <w:rPr>
                <w:rFonts w:ascii="Calibri" w:eastAsia="Calibri" w:hAnsi="Calibri" w:cs="Times New Roman"/>
                <w:spacing w:val="1"/>
              </w:rPr>
              <w:t>m</w:t>
            </w:r>
            <w:r w:rsidRPr="00E868BF">
              <w:rPr>
                <w:rFonts w:ascii="Calibri" w:eastAsia="Calibri" w:hAnsi="Calibri" w:cs="Times New Roman"/>
              </w:rPr>
              <w:t>es</w:t>
            </w:r>
            <w:r w:rsidRPr="00E868BF">
              <w:rPr>
                <w:rFonts w:ascii="Calibri" w:eastAsia="Calibri" w:hAnsi="Calibri" w:cs="Times New Roman"/>
                <w:spacing w:val="33"/>
              </w:rPr>
              <w:t xml:space="preserve"> </w:t>
            </w:r>
            <w:r w:rsidRPr="00E868BF">
              <w:rPr>
                <w:rFonts w:ascii="Calibri" w:eastAsia="Calibri" w:hAnsi="Calibri" w:cs="Times New Roman"/>
              </w:rPr>
              <w:t>available.</w:t>
            </w:r>
          </w:p>
        </w:tc>
        <w:tc>
          <w:tcPr>
            <w:tcW w:w="2880" w:type="dxa"/>
            <w:tcBorders>
              <w:top w:val="nil"/>
              <w:left w:val="nil"/>
              <w:bottom w:val="single" w:sz="8" w:space="0" w:color="000000"/>
              <w:right w:val="single" w:sz="8" w:space="0" w:color="000000"/>
            </w:tcBorders>
            <w:hideMark/>
          </w:tcPr>
          <w:p w14:paraId="1AB1003B" w14:textId="77777777" w:rsidR="00780C0E" w:rsidRPr="00E868BF" w:rsidRDefault="00780C0E" w:rsidP="002C16C5">
            <w:pPr>
              <w:overflowPunct w:val="0"/>
              <w:autoSpaceDE w:val="0"/>
              <w:autoSpaceDN w:val="0"/>
              <w:spacing w:before="34"/>
              <w:ind w:left="113" w:right="186" w:hanging="46"/>
              <w:rPr>
                <w:rFonts w:ascii="Calibri" w:eastAsia="Calibri" w:hAnsi="Calibri" w:cs="Times New Roman"/>
              </w:rPr>
            </w:pPr>
            <w:r w:rsidRPr="00E868BF">
              <w:rPr>
                <w:rFonts w:ascii="Calibri" w:eastAsia="Calibri" w:hAnsi="Calibri" w:cs="Times New Roman"/>
                <w:spacing w:val="1"/>
              </w:rPr>
              <w:t>T</w:t>
            </w:r>
            <w:r w:rsidRPr="00E868BF">
              <w:rPr>
                <w:rFonts w:ascii="Calibri" w:eastAsia="Calibri" w:hAnsi="Calibri" w:cs="Times New Roman"/>
              </w:rPr>
              <w:t>he</w:t>
            </w:r>
            <w:r w:rsidRPr="00E868BF">
              <w:rPr>
                <w:rFonts w:ascii="Calibri" w:eastAsia="Calibri" w:hAnsi="Calibri" w:cs="Times New Roman"/>
                <w:spacing w:val="21"/>
              </w:rPr>
              <w:t xml:space="preserve"> </w:t>
            </w:r>
            <w:r w:rsidRPr="00E868BF">
              <w:rPr>
                <w:rFonts w:ascii="Calibri" w:eastAsia="Calibri" w:hAnsi="Calibri" w:cs="Times New Roman"/>
                <w:spacing w:val="1"/>
              </w:rPr>
              <w:t>w</w:t>
            </w:r>
            <w:r w:rsidRPr="00E868BF">
              <w:rPr>
                <w:rFonts w:ascii="Calibri" w:eastAsia="Calibri" w:hAnsi="Calibri" w:cs="Times New Roman"/>
              </w:rPr>
              <w:t>ork</w:t>
            </w:r>
            <w:r w:rsidRPr="00E868BF">
              <w:rPr>
                <w:rFonts w:ascii="Calibri" w:eastAsia="Calibri" w:hAnsi="Calibri" w:cs="Times New Roman"/>
                <w:spacing w:val="22"/>
              </w:rPr>
              <w:t xml:space="preserve"> </w:t>
            </w:r>
            <w:r w:rsidRPr="00E868BF">
              <w:rPr>
                <w:rFonts w:ascii="Calibri" w:eastAsia="Calibri" w:hAnsi="Calibri" w:cs="Times New Roman"/>
              </w:rPr>
              <w:t>group</w:t>
            </w:r>
            <w:r w:rsidRPr="00E868BF">
              <w:rPr>
                <w:rFonts w:ascii="Calibri" w:eastAsia="Calibri" w:hAnsi="Calibri" w:cs="Times New Roman"/>
                <w:spacing w:val="21"/>
              </w:rPr>
              <w:t xml:space="preserve"> </w:t>
            </w:r>
            <w:r w:rsidRPr="00E868BF">
              <w:rPr>
                <w:rFonts w:ascii="Calibri" w:eastAsia="Calibri" w:hAnsi="Calibri" w:cs="Times New Roman"/>
              </w:rPr>
              <w:t>recognizes that</w:t>
            </w:r>
            <w:r w:rsidRPr="00E868BF">
              <w:rPr>
                <w:rFonts w:ascii="Calibri" w:eastAsia="Calibri" w:hAnsi="Calibri" w:cs="Times New Roman"/>
                <w:spacing w:val="16"/>
              </w:rPr>
              <w:t xml:space="preserve"> </w:t>
            </w:r>
            <w:r w:rsidRPr="00E868BF">
              <w:rPr>
                <w:rFonts w:ascii="Calibri" w:eastAsia="Calibri" w:hAnsi="Calibri" w:cs="Times New Roman"/>
              </w:rPr>
              <w:t>there</w:t>
            </w:r>
            <w:r w:rsidRPr="00E868BF">
              <w:rPr>
                <w:rFonts w:ascii="Calibri" w:eastAsia="Calibri" w:hAnsi="Calibri" w:cs="Times New Roman"/>
                <w:spacing w:val="18"/>
              </w:rPr>
              <w:t xml:space="preserve"> </w:t>
            </w:r>
            <w:r w:rsidRPr="00E868BF">
              <w:rPr>
                <w:rFonts w:ascii="Calibri" w:eastAsia="Calibri" w:hAnsi="Calibri" w:cs="Times New Roman"/>
              </w:rPr>
              <w:t>is</w:t>
            </w:r>
            <w:r w:rsidRPr="00E868BF">
              <w:rPr>
                <w:rFonts w:ascii="Calibri" w:eastAsia="Calibri" w:hAnsi="Calibri" w:cs="Times New Roman"/>
                <w:spacing w:val="17"/>
              </w:rPr>
              <w:t xml:space="preserve"> </w:t>
            </w:r>
            <w:r w:rsidRPr="00E868BF">
              <w:rPr>
                <w:rFonts w:ascii="Calibri" w:eastAsia="Calibri" w:hAnsi="Calibri" w:cs="Times New Roman"/>
              </w:rPr>
              <w:t>significant uncertainty</w:t>
            </w:r>
            <w:r w:rsidRPr="00E868BF">
              <w:rPr>
                <w:rFonts w:ascii="Calibri" w:eastAsia="Calibri" w:hAnsi="Calibri" w:cs="Times New Roman"/>
                <w:spacing w:val="19"/>
              </w:rPr>
              <w:t xml:space="preserve"> </w:t>
            </w:r>
            <w:r w:rsidRPr="00E868BF">
              <w:rPr>
                <w:rFonts w:ascii="Calibri" w:eastAsia="Calibri" w:hAnsi="Calibri" w:cs="Times New Roman"/>
              </w:rPr>
              <w:t>about</w:t>
            </w:r>
            <w:r w:rsidRPr="00E868BF">
              <w:rPr>
                <w:rFonts w:ascii="Calibri" w:eastAsia="Calibri" w:hAnsi="Calibri" w:cs="Times New Roman"/>
                <w:spacing w:val="19"/>
              </w:rPr>
              <w:t xml:space="preserve"> </w:t>
            </w:r>
            <w:r w:rsidRPr="00E868BF">
              <w:rPr>
                <w:rFonts w:ascii="Calibri" w:eastAsia="Calibri" w:hAnsi="Calibri" w:cs="Times New Roman"/>
              </w:rPr>
              <w:t>the</w:t>
            </w:r>
            <w:r w:rsidRPr="00E868BF">
              <w:rPr>
                <w:rFonts w:ascii="Calibri" w:eastAsia="Calibri" w:hAnsi="Calibri" w:cs="Times New Roman"/>
                <w:spacing w:val="20"/>
              </w:rPr>
              <w:t xml:space="preserve"> </w:t>
            </w:r>
            <w:r w:rsidRPr="00E868BF">
              <w:rPr>
                <w:rFonts w:ascii="Calibri" w:eastAsia="Calibri" w:hAnsi="Calibri" w:cs="Times New Roman"/>
              </w:rPr>
              <w:t>best esti</w:t>
            </w:r>
            <w:r w:rsidRPr="00E868BF">
              <w:rPr>
                <w:rFonts w:ascii="Calibri" w:eastAsia="Calibri" w:hAnsi="Calibri" w:cs="Times New Roman"/>
                <w:spacing w:val="1"/>
              </w:rPr>
              <w:t>m</w:t>
            </w:r>
            <w:r w:rsidRPr="00E868BF">
              <w:rPr>
                <w:rFonts w:ascii="Calibri" w:eastAsia="Calibri" w:hAnsi="Calibri" w:cs="Times New Roman"/>
              </w:rPr>
              <w:t>ates</w:t>
            </w:r>
            <w:r w:rsidRPr="00E868BF">
              <w:rPr>
                <w:rFonts w:ascii="Calibri" w:eastAsia="Calibri" w:hAnsi="Calibri" w:cs="Times New Roman"/>
                <w:spacing w:val="18"/>
              </w:rPr>
              <w:t xml:space="preserve"> </w:t>
            </w:r>
            <w:r w:rsidRPr="00E868BF">
              <w:rPr>
                <w:rFonts w:ascii="Calibri" w:eastAsia="Calibri" w:hAnsi="Calibri" w:cs="Times New Roman"/>
              </w:rPr>
              <w:t>of</w:t>
            </w:r>
            <w:r w:rsidRPr="00E868BF">
              <w:rPr>
                <w:rFonts w:ascii="Calibri" w:eastAsia="Calibri" w:hAnsi="Calibri" w:cs="Times New Roman"/>
                <w:spacing w:val="19"/>
              </w:rPr>
              <w:t xml:space="preserve"> </w:t>
            </w:r>
            <w:r w:rsidRPr="00E868BF">
              <w:rPr>
                <w:rFonts w:ascii="Calibri" w:eastAsia="Calibri" w:hAnsi="Calibri" w:cs="Times New Roman"/>
              </w:rPr>
              <w:t>benefits</w:t>
            </w:r>
            <w:r w:rsidRPr="00E868BF">
              <w:rPr>
                <w:rFonts w:ascii="Calibri" w:eastAsia="Calibri" w:hAnsi="Calibri" w:cs="Times New Roman"/>
                <w:spacing w:val="19"/>
              </w:rPr>
              <w:t xml:space="preserve"> </w:t>
            </w:r>
            <w:r w:rsidRPr="00E868BF">
              <w:rPr>
                <w:rFonts w:ascii="Calibri" w:eastAsia="Calibri" w:hAnsi="Calibri" w:cs="Times New Roman"/>
              </w:rPr>
              <w:t>and har</w:t>
            </w:r>
            <w:r w:rsidRPr="00E868BF">
              <w:rPr>
                <w:rFonts w:ascii="Calibri" w:eastAsia="Calibri" w:hAnsi="Calibri" w:cs="Times New Roman"/>
                <w:spacing w:val="1"/>
              </w:rPr>
              <w:t>m</w:t>
            </w:r>
            <w:r w:rsidRPr="00E868BF">
              <w:rPr>
                <w:rFonts w:ascii="Calibri" w:eastAsia="Calibri" w:hAnsi="Calibri" w:cs="Times New Roman"/>
              </w:rPr>
              <w:t>s.</w:t>
            </w:r>
          </w:p>
        </w:tc>
      </w:tr>
    </w:tbl>
    <w:p w14:paraId="487D470A" w14:textId="77777777" w:rsidR="00780C0E" w:rsidRPr="003B1CC5" w:rsidRDefault="00780C0E" w:rsidP="003C7351">
      <w:pPr>
        <w:ind w:left="0" w:firstLine="0"/>
        <w:rPr>
          <w:noProof/>
        </w:rPr>
      </w:pPr>
    </w:p>
    <w:p w14:paraId="091B1723" w14:textId="77777777"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78303A" w:rsidRPr="0078303A">
            <w:rPr>
              <w:rStyle w:val="Style2"/>
            </w:rPr>
            <w:t>1966-March 2011</w:t>
          </w:r>
        </w:sdtContent>
      </w:sdt>
    </w:p>
    <w:p w14:paraId="6F535EA5" w14:textId="77777777" w:rsidR="00496AF8" w:rsidRPr="003B1CC5" w:rsidRDefault="00496AF8" w:rsidP="002E2177">
      <w:pPr>
        <w:ind w:left="0" w:firstLine="0"/>
        <w:rPr>
          <w:noProof/>
        </w:rPr>
      </w:pPr>
    </w:p>
    <w:p w14:paraId="6C62E456" w14:textId="77777777" w:rsidR="0039020B" w:rsidRPr="003B1CC5" w:rsidRDefault="0039020B" w:rsidP="002E2177">
      <w:pPr>
        <w:ind w:left="0" w:firstLine="0"/>
        <w:rPr>
          <w:b/>
          <w:noProof/>
        </w:rPr>
      </w:pPr>
    </w:p>
    <w:p w14:paraId="28DEB5F3" w14:textId="77777777" w:rsidR="00496AF8" w:rsidRPr="003B1CC5" w:rsidRDefault="00C5180E" w:rsidP="002E2177">
      <w:pPr>
        <w:ind w:left="0" w:firstLine="0"/>
        <w:rPr>
          <w:b/>
        </w:rPr>
      </w:pPr>
      <w:r w:rsidRPr="003B1CC5">
        <w:rPr>
          <w:b/>
          <w:noProof/>
        </w:rPr>
        <w:t>QUANTITY AND QUALITY OF BODY OF EVIDENCE</w:t>
      </w:r>
    </w:p>
    <w:p w14:paraId="02F6E4C0" w14:textId="77777777"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4B25970" w14:textId="77777777" w:rsidR="0078303A" w:rsidRPr="003B1CC5" w:rsidRDefault="0078303A" w:rsidP="002E2177">
      <w:pPr>
        <w:ind w:left="432" w:hanging="432"/>
      </w:pPr>
    </w:p>
    <w:p w14:paraId="591E06AA" w14:textId="77777777" w:rsidR="00496AF8" w:rsidRDefault="00480B82" w:rsidP="00480B82">
      <w:pPr>
        <w:ind w:left="0" w:firstLine="0"/>
      </w:pPr>
      <w:r>
        <w:t xml:space="preserve">Using </w:t>
      </w:r>
      <w:r w:rsidR="0078303A" w:rsidRPr="0078303A">
        <w:t>Four electronic databases—PubMed (1966-March 2011), International Pharmaceutical Abstracts (1970-March 2011), EMBASE (1980-March 2011), and the Cochrane Database of Systematic Reviews (1993-March 2011)—were systematically searched for published data. Bibliographies of retrieved articles were searched individually for additional relevant studies.</w:t>
      </w:r>
      <w:r w:rsidRPr="00480B82">
        <w:t xml:space="preserve"> </w:t>
      </w:r>
      <w:r>
        <w:t>The type of studies included were prospective and retrospective studies if they provided sufficient data (number of patients who experienced an ADE as the numerator and number of patients visiting the ambulatory practice or admitted to the hospital as the denominator) to calculate the prevalence of ADEs.</w:t>
      </w:r>
    </w:p>
    <w:p w14:paraId="6FF28497" w14:textId="77777777" w:rsidR="003D0346" w:rsidRDefault="003D0346" w:rsidP="00480B82">
      <w:pPr>
        <w:ind w:left="0" w:firstLine="0"/>
      </w:pPr>
    </w:p>
    <w:p w14:paraId="45D59715" w14:textId="77777777" w:rsidR="0078303A" w:rsidRDefault="0078303A" w:rsidP="002E2177">
      <w:pPr>
        <w:ind w:left="0" w:firstLine="0"/>
      </w:pPr>
      <w:r w:rsidRPr="0078303A">
        <w:t>A standardized definition of an ADE was used to select studies in populations living in the community, with medical visits to primary care facilities, non</w:t>
      </w:r>
      <w:r w:rsidR="003D0346">
        <w:t>-</w:t>
      </w:r>
      <w:r w:rsidRPr="0078303A">
        <w:t xml:space="preserve">specialty ambulatory care facilities, and/or admissions to a hospital for medication-related adverse events. </w:t>
      </w:r>
      <w:r>
        <w:t>Forty-three studies met</w:t>
      </w:r>
      <w:r w:rsidR="00AA3EA6">
        <w:t xml:space="preserve"> inclusion criteria, 42 being observational studies and 1 randomized control trial. </w:t>
      </w:r>
    </w:p>
    <w:p w14:paraId="2E11CEC8" w14:textId="77777777" w:rsidR="0078303A" w:rsidRPr="003B1CC5" w:rsidRDefault="0078303A" w:rsidP="002E2177">
      <w:pPr>
        <w:ind w:left="0" w:firstLine="0"/>
      </w:pPr>
    </w:p>
    <w:p w14:paraId="7C369370" w14:textId="77777777"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BB4F61">
        <w:rPr>
          <w:b/>
        </w:rPr>
        <w:t>What</w:t>
      </w:r>
      <w:proofErr w:type="gramEnd"/>
      <w:r w:rsidR="00496AF8" w:rsidRPr="00BB4F61">
        <w:rPr>
          <w:b/>
        </w:rPr>
        <w:t xml:space="preserve"> is the overall quality</w:t>
      </w:r>
      <w:r w:rsidR="00496AF8" w:rsidRPr="003B1CC5">
        <w:rPr>
          <w:b/>
        </w:rPr>
        <w:t xml:space="preserve">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4C32626" w14:textId="77777777" w:rsidR="00B96241" w:rsidRPr="003B1CC5" w:rsidRDefault="00B96241" w:rsidP="002E2177">
      <w:pPr>
        <w:ind w:left="432" w:hanging="432"/>
        <w:rPr>
          <w:iCs/>
        </w:rPr>
      </w:pPr>
    </w:p>
    <w:p w14:paraId="5D9B6063" w14:textId="77777777" w:rsidR="00496AF8" w:rsidRPr="003B1CC5" w:rsidRDefault="00604BD1" w:rsidP="00B96241">
      <w:pPr>
        <w:ind w:left="0" w:firstLine="0"/>
      </w:pPr>
      <w:r>
        <w:t>The overall quality of evidence is rat</w:t>
      </w:r>
      <w:r w:rsidR="003D0346">
        <w:t>ed as high. Included are</w:t>
      </w:r>
      <w:r>
        <w:t xml:space="preserve"> </w:t>
      </w:r>
      <w:r w:rsidR="003D0346">
        <w:t>f</w:t>
      </w:r>
      <w:r w:rsidRPr="00604BD1">
        <w:t xml:space="preserve">orty-three studies </w:t>
      </w:r>
      <w:r w:rsidR="00537BB8">
        <w:t xml:space="preserve">covering </w:t>
      </w:r>
      <w:r w:rsidR="002F341D">
        <w:t xml:space="preserve">one </w:t>
      </w:r>
      <w:r w:rsidRPr="00604BD1">
        <w:t>Randomized controlled trial</w:t>
      </w:r>
      <w:r w:rsidR="002F341D">
        <w:t xml:space="preserve"> (RCT), the rest observational studies</w:t>
      </w:r>
      <w:r w:rsidR="00BD58E9">
        <w:t xml:space="preserve"> that</w:t>
      </w:r>
      <w:r w:rsidR="002F341D">
        <w:t xml:space="preserve"> </w:t>
      </w:r>
      <w:r w:rsidR="00BD58E9">
        <w:t>provide</w:t>
      </w:r>
      <w:r w:rsidRPr="00604BD1">
        <w:t xml:space="preserve"> evidence for the specific measure focus</w:t>
      </w:r>
      <w:r w:rsidR="003D0346">
        <w:t>.</w:t>
      </w:r>
      <w:r w:rsidR="003D0346" w:rsidRPr="003D0346">
        <w:t xml:space="preserve"> </w:t>
      </w:r>
      <w:r w:rsidR="003D0346">
        <w:t>The study t</w:t>
      </w:r>
      <w:r w:rsidR="003D0346" w:rsidRPr="003D0346">
        <w:t>ype</w:t>
      </w:r>
      <w:r w:rsidR="003D0346">
        <w:t xml:space="preserve"> describes the selection of the evidence included: </w:t>
      </w:r>
      <w:r w:rsidR="003D0346" w:rsidRPr="003D0346">
        <w:t xml:space="preserve"> included </w:t>
      </w:r>
      <w:r w:rsidR="003D0346">
        <w:t xml:space="preserve">were </w:t>
      </w:r>
      <w:r w:rsidR="003D0346" w:rsidRPr="003D0346">
        <w:t>prospective and retrospective studies if they provided sufficient data (number of patients who experienced an ADE as the numerator and number of patients visiting the ambulatory practice or admitted to the hospital as the denominator) to ca</w:t>
      </w:r>
      <w:r w:rsidR="00BB4F61">
        <w:t>lculate the prevalence of ADEs.</w:t>
      </w:r>
      <w:r w:rsidR="00BD58E9">
        <w:t xml:space="preserve"> Preventing a high prevalence of ADEs in the ambulatory setting in relation to medications safety is one primary goal related to the measure focus. </w:t>
      </w:r>
    </w:p>
    <w:p w14:paraId="2CCD94FA" w14:textId="77777777" w:rsidR="00D14F0B" w:rsidRPr="003B1CC5" w:rsidRDefault="00D14F0B" w:rsidP="002E2177">
      <w:pPr>
        <w:ind w:left="0" w:firstLine="0"/>
      </w:pPr>
    </w:p>
    <w:p w14:paraId="65D8FA95" w14:textId="77777777" w:rsidR="00496AF8" w:rsidRPr="003B1CC5" w:rsidRDefault="00C5180E" w:rsidP="002E2177">
      <w:pPr>
        <w:ind w:left="0" w:firstLine="0"/>
        <w:rPr>
          <w:b/>
        </w:rPr>
      </w:pPr>
      <w:r w:rsidRPr="003B1CC5">
        <w:rPr>
          <w:b/>
        </w:rPr>
        <w:t>ESTIMATES OF BENEFIT AND CONSISTENCY ACROSS STUDIES IN BODY OF EVIDENCE</w:t>
      </w:r>
    </w:p>
    <w:p w14:paraId="50121612" w14:textId="77777777"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0E5989D" w14:textId="77777777" w:rsidR="00BB4F61" w:rsidRPr="003B1CC5" w:rsidRDefault="00BB4F61" w:rsidP="002E2177">
      <w:pPr>
        <w:ind w:left="432" w:hanging="432"/>
      </w:pPr>
    </w:p>
    <w:p w14:paraId="631CA456" w14:textId="77777777" w:rsidR="00496AF8" w:rsidRDefault="00827092" w:rsidP="00B96241">
      <w:pPr>
        <w:ind w:left="0" w:firstLine="432"/>
      </w:pPr>
      <w:r>
        <w:t xml:space="preserve">Findings from this review confirm that ADEs in outpatients are very common and contribute to iatrogenic morbidity. It was found that a higher median ADE prevalence rate in prospective studies conducted in the primary- or ambulatory-care settings (20.1%) than in hospital-based studies (8.65%). </w:t>
      </w:r>
      <w:r w:rsidR="00363803" w:rsidRPr="00363803">
        <w:t>Despite a recent increase in publications on ADEs in the ambulatory care setting, most studies remain hospital based. Notable differences in prevalence rates by age groups and by responsible drug categories provide guidance on how to direct attention toward effective targets for improvement of medication safety in ambulatory care settings.</w:t>
      </w:r>
    </w:p>
    <w:p w14:paraId="5CD96742" w14:textId="77777777" w:rsidR="00BB4F61" w:rsidRPr="003B1CC5" w:rsidRDefault="00BB4F61" w:rsidP="00827092">
      <w:pPr>
        <w:ind w:left="0" w:firstLine="0"/>
      </w:pPr>
    </w:p>
    <w:p w14:paraId="1B5B3E06" w14:textId="77777777" w:rsidR="009B5BEA" w:rsidRDefault="00363803" w:rsidP="00B96241">
      <w:pPr>
        <w:ind w:left="0" w:firstLine="432"/>
      </w:pPr>
      <w:r>
        <w:t xml:space="preserve">Data results across the studies are as follows: </w:t>
      </w:r>
      <w:r w:rsidRPr="00363803">
        <w:t>The median ADE prevalence rate for retrospective studies was 3.3% (interquartile range [IQR] 2.3–7.1%) vs 9.65% (IQR 3.3–17.35%) for prospective studies. Median preventable ADE rates in ambulatory care-based studies were 16.5%, and 52.9% for hospital-based studies. Median prevalence rates by age group ranged from 2.45% for children to 5.27% for adults, 16.1% for elderly patients, and 3.45% for studies including all ages.</w:t>
      </w:r>
    </w:p>
    <w:p w14:paraId="16672700" w14:textId="77777777" w:rsidR="00BB4F61" w:rsidRDefault="00BB4F61" w:rsidP="002E2177">
      <w:pPr>
        <w:ind w:left="0" w:firstLine="0"/>
      </w:pPr>
    </w:p>
    <w:p w14:paraId="0E4FF508" w14:textId="77777777" w:rsidR="00363803" w:rsidRDefault="00827092" w:rsidP="00B96241">
      <w:pPr>
        <w:ind w:left="0" w:firstLine="432"/>
      </w:pPr>
      <w:r>
        <w:t>Twelve studies enrolled adults (aged 19-64 years). Four studies reported on drug classes causing ADEs.</w:t>
      </w:r>
      <w:r w:rsidR="00B96241">
        <w:t xml:space="preserve"> </w:t>
      </w:r>
      <w:r>
        <w:t>The main categories were cardiovascular drugs (median 27.8%; range 17.6- 40.9%), analgesics (median 16.8%; 11.6-29.4%), CNS drugs (median 13%; range 2.6-21.5%)</w:t>
      </w:r>
      <w:proofErr w:type="gramStart"/>
      <w:r>
        <w:t>,</w:t>
      </w:r>
      <w:r w:rsidR="00727D4A">
        <w:t>anti</w:t>
      </w:r>
      <w:proofErr w:type="gramEnd"/>
      <w:r w:rsidR="00727D4A">
        <w:t>-infective drugs</w:t>
      </w:r>
      <w:r>
        <w:t xml:space="preserve"> (median 11.3%; range 3.9-26.5%), and gastrointestinal drugs (median 5.9; range 1.4-6.6%).</w:t>
      </w:r>
    </w:p>
    <w:p w14:paraId="2C77F911" w14:textId="77777777" w:rsidR="00BB4F61" w:rsidRDefault="00BB4F61" w:rsidP="00827092">
      <w:pPr>
        <w:ind w:left="0" w:firstLine="0"/>
      </w:pPr>
    </w:p>
    <w:p w14:paraId="119ACDC1" w14:textId="77777777" w:rsidR="00F071C1" w:rsidRDefault="00C70AD7" w:rsidP="00B96241">
      <w:pPr>
        <w:ind w:left="0" w:firstLine="432"/>
      </w:pPr>
      <w:r>
        <w:t xml:space="preserve">This systematic review suggests that approximately 20.1% of all patients taking drugs on an outpatient basis experience an ADE, and between 16% and 41.5% of these ADEs are due to error and are thus preventable. </w:t>
      </w:r>
      <w:r w:rsidR="00F071C1">
        <w:t xml:space="preserve">The large proportion of preventable ADEs documented in our review represents important opportunities for </w:t>
      </w:r>
      <w:r w:rsidR="00727D4A">
        <w:t>improvement in quality of care.</w:t>
      </w:r>
    </w:p>
    <w:p w14:paraId="7AD43103" w14:textId="77777777" w:rsidR="00BB4F61" w:rsidRPr="003B1CC5" w:rsidRDefault="00BB4F61" w:rsidP="00C70AD7">
      <w:pPr>
        <w:ind w:left="0" w:firstLine="0"/>
      </w:pPr>
    </w:p>
    <w:p w14:paraId="3969405E"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15D72ECB" w14:textId="77777777" w:rsidR="00B96241" w:rsidRDefault="00B96241" w:rsidP="00B96241">
      <w:pPr>
        <w:ind w:left="0" w:firstLine="720"/>
      </w:pPr>
    </w:p>
    <w:p w14:paraId="7B2AD0A6" w14:textId="77777777" w:rsidR="00496AF8" w:rsidRDefault="00F071C1" w:rsidP="00B96241">
      <w:pPr>
        <w:ind w:left="0" w:firstLine="0"/>
      </w:pPr>
      <w:r>
        <w:t xml:space="preserve">Patient harm due to medication errors is essentially an adverse drug event. Thus the </w:t>
      </w:r>
      <w:r w:rsidR="00C70AD7">
        <w:t>studies</w:t>
      </w:r>
      <w:r>
        <w:t xml:space="preserve"> assessed in this systematic </w:t>
      </w:r>
      <w:r w:rsidR="00C70AD7">
        <w:t>review</w:t>
      </w:r>
      <w:r>
        <w:t xml:space="preserve"> identified ADE’s as potential patient harms. </w:t>
      </w:r>
      <w:r w:rsidR="00C70AD7">
        <w:t>As identified by the liter</w:t>
      </w:r>
      <w:r w:rsidR="00BB4F61">
        <w:t>ature</w:t>
      </w:r>
      <w:r w:rsidR="00C70AD7">
        <w:t>, c</w:t>
      </w:r>
      <w:r w:rsidR="00C70AD7" w:rsidRPr="00C70AD7">
        <w:t>ommunication breakdown has been described as one of the most frequently occurring underlying causes of active failu</w:t>
      </w:r>
      <w:r w:rsidR="00C70AD7">
        <w:t xml:space="preserve">res leading to preventable ADEs, the benefit of reviewing and updating medications in the ambulatory care setting could prevent harm to the patient. </w:t>
      </w:r>
    </w:p>
    <w:p w14:paraId="34936545" w14:textId="77777777" w:rsidR="00BB4F61" w:rsidRPr="003B1CC5" w:rsidRDefault="00BB4F61" w:rsidP="00F071C1">
      <w:pPr>
        <w:ind w:left="0" w:firstLine="0"/>
      </w:pPr>
    </w:p>
    <w:p w14:paraId="15A0D060" w14:textId="77777777" w:rsidR="00496AF8" w:rsidRPr="003B1CC5" w:rsidRDefault="00C5180E" w:rsidP="002E2177">
      <w:pPr>
        <w:ind w:left="0" w:firstLine="0"/>
        <w:rPr>
          <w:b/>
          <w:noProof/>
        </w:rPr>
      </w:pPr>
      <w:r w:rsidRPr="003B1CC5">
        <w:rPr>
          <w:b/>
          <w:noProof/>
        </w:rPr>
        <w:t>UPDATE TO THE SYSTEMATIC REVIEW(S) OF THE BODY OF EVIDENCE</w:t>
      </w:r>
    </w:p>
    <w:p w14:paraId="5566B137"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r w:rsidR="00363803">
        <w:rPr>
          <w:noProof/>
        </w:rPr>
        <w:t>N/A</w:t>
      </w:r>
    </w:p>
    <w:p w14:paraId="5FA9699D" w14:textId="77777777" w:rsidR="00837121" w:rsidRPr="003B1CC5" w:rsidRDefault="00837121" w:rsidP="002E2177">
      <w:pPr>
        <w:ind w:left="0" w:firstLine="0"/>
        <w:rPr>
          <w:b/>
          <w:color w:val="0070C0"/>
        </w:rPr>
      </w:pPr>
    </w:p>
    <w:p w14:paraId="014595B0" w14:textId="77777777" w:rsidR="0094689F" w:rsidRPr="003B1CC5" w:rsidRDefault="00925F11" w:rsidP="002E2177">
      <w:pPr>
        <w:ind w:left="0" w:firstLine="0"/>
        <w:rPr>
          <w:b/>
          <w:color w:val="0070C0"/>
        </w:rPr>
      </w:pPr>
      <w:r w:rsidRPr="003B1CC5">
        <w:rPr>
          <w:b/>
          <w:iCs/>
          <w:caps/>
        </w:rPr>
        <w:t>_________________________</w:t>
      </w:r>
    </w:p>
    <w:p w14:paraId="658C38C2"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4F6A50AE"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3CA5FF39" w14:textId="77777777" w:rsidR="00837121" w:rsidRPr="003B1CC5" w:rsidRDefault="00837121" w:rsidP="002E2177">
      <w:pPr>
        <w:ind w:left="0" w:firstLine="0"/>
      </w:pPr>
    </w:p>
    <w:p w14:paraId="473D09A5"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0BA7D3EA" w14:textId="77777777" w:rsidR="00E96851" w:rsidRPr="00495BB1" w:rsidRDefault="00E96851" w:rsidP="00E96851">
      <w:pPr>
        <w:ind w:left="0" w:firstLine="0"/>
      </w:pPr>
      <w:r w:rsidRPr="00495BB1">
        <w:t>An</w:t>
      </w:r>
      <w:r w:rsidR="00537BB8">
        <w:t xml:space="preserve"> </w:t>
      </w:r>
      <w:r w:rsidR="00B444AC">
        <w:t>annual environmental</w:t>
      </w:r>
      <w:r w:rsidR="00537BB8">
        <w:t xml:space="preserve"> scan is</w:t>
      </w:r>
      <w:r w:rsidRPr="00495BB1">
        <w:t xml:space="preserve"> conducted to </w:t>
      </w:r>
      <w:r w:rsidR="00A50872">
        <w:t>identify and summarize</w:t>
      </w:r>
      <w:r w:rsidR="00A50872" w:rsidRPr="00495BB1">
        <w:t xml:space="preserve"> </w:t>
      </w:r>
      <w:r w:rsidRPr="00495BB1">
        <w:t xml:space="preserve">relevant </w:t>
      </w:r>
      <w:r>
        <w:t>evidence supporting the</w:t>
      </w:r>
      <w:r w:rsidRPr="00495BB1">
        <w:t xml:space="preserve"> measure</w:t>
      </w:r>
      <w:r>
        <w:t xml:space="preserve"> concept</w:t>
      </w:r>
      <w:r w:rsidRPr="00495BB1">
        <w:t xml:space="preserve">.  </w:t>
      </w:r>
      <w:r w:rsidR="00B444AC">
        <w:t xml:space="preserve">The most recent literature review </w:t>
      </w:r>
      <w:r w:rsidR="00BB4F61">
        <w:t xml:space="preserve">was </w:t>
      </w:r>
      <w:r w:rsidR="00B444AC">
        <w:t xml:space="preserve">completed February 2015 </w:t>
      </w:r>
      <w:r w:rsidR="00A50872">
        <w:t>with assistance from</w:t>
      </w:r>
      <w:r w:rsidR="00B444AC">
        <w:t xml:space="preserve"> Mathematica Policy Research.</w:t>
      </w:r>
      <w:r w:rsidR="0080104D">
        <w:t xml:space="preserve"> This review used a standardized search strategy to identify relevant resources from multiple databases, including OVID/Medline, SCOPUS (which indexes both EMBASE and Medline), PubMed, and CINAHL. In addition, a Google Advance Search was used to identify relevant resources and related measures </w:t>
      </w:r>
      <w:r w:rsidR="00DC67EE">
        <w:t xml:space="preserve">on </w:t>
      </w:r>
      <w:r w:rsidR="0080104D">
        <w:t>four relevant websites</w:t>
      </w:r>
      <w:r w:rsidR="00DC67EE">
        <w:t xml:space="preserve">: (1) </w:t>
      </w:r>
      <w:r w:rsidR="0080104D">
        <w:t xml:space="preserve">the Agency for </w:t>
      </w:r>
      <w:r w:rsidR="0080104D" w:rsidRPr="0080104D">
        <w:t>Healthcare Research and Quality</w:t>
      </w:r>
      <w:r w:rsidR="0080104D">
        <w:t xml:space="preserve">’s (AHRQ’s) National Measures Clearinghouse, </w:t>
      </w:r>
      <w:r w:rsidR="00DC67EE">
        <w:t xml:space="preserve">(2) </w:t>
      </w:r>
      <w:r w:rsidR="0080104D">
        <w:t xml:space="preserve">the AHRQ PSNet, </w:t>
      </w:r>
      <w:r w:rsidR="00DC67EE">
        <w:t xml:space="preserve">(3) the </w:t>
      </w:r>
      <w:r w:rsidR="0080104D">
        <w:t>National Quality Forum</w:t>
      </w:r>
      <w:r w:rsidR="00DC67EE">
        <w:t>’s website, and (4) the Joint Commission’s website. In addition, we conducted a citation searches for new literature that cited relevant resources identified in previous environmental scans using both SCOPUS and Google Scholar. Finally, targeted Google and Google Scholar searches were conducted to identify the most recent statistics regarding the prevalence and impact of adverse drug events and medication errors.</w:t>
      </w:r>
    </w:p>
    <w:p w14:paraId="40796ABC" w14:textId="77777777" w:rsidR="00837121" w:rsidRPr="003B1CC5" w:rsidRDefault="00837121" w:rsidP="002E2177">
      <w:pPr>
        <w:ind w:left="0" w:firstLine="0"/>
      </w:pPr>
    </w:p>
    <w:p w14:paraId="0D008704"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8485A53" w14:textId="77777777" w:rsidR="00EC1310" w:rsidRPr="00427F8C" w:rsidRDefault="00EC1310" w:rsidP="002E2177">
      <w:pPr>
        <w:ind w:left="0" w:firstLine="0"/>
        <w:rPr>
          <w:rFonts w:ascii="Verdana" w:eastAsia="Times New Roman" w:hAnsi="Verdana" w:cs="Courier New"/>
          <w:color w:val="1A1A1A"/>
        </w:rPr>
      </w:pPr>
    </w:p>
    <w:p w14:paraId="08F99A21" w14:textId="19823141" w:rsidR="0040186A" w:rsidRPr="00727D4A" w:rsidRDefault="00EC1310" w:rsidP="0040186A">
      <w:pPr>
        <w:pStyle w:val="ListParagraph"/>
        <w:numPr>
          <w:ilvl w:val="0"/>
          <w:numId w:val="15"/>
        </w:numPr>
        <w:rPr>
          <w:rFonts w:eastAsia="Times New Roman" w:cs="Courier New"/>
          <w:color w:val="1A1A1A"/>
        </w:rPr>
      </w:pPr>
      <w:r w:rsidRPr="0086258D">
        <w:rPr>
          <w:rFonts w:eastAsia="Times New Roman" w:cs="Courier New"/>
          <w:color w:val="1A1A1A"/>
        </w:rPr>
        <w:t xml:space="preserve">In “The physician’s role in medication </w:t>
      </w:r>
      <w:r w:rsidR="00411C9E" w:rsidRPr="0086258D">
        <w:rPr>
          <w:rFonts w:eastAsia="Times New Roman" w:cs="Courier New"/>
          <w:color w:val="1A1A1A"/>
        </w:rPr>
        <w:t>reconciliation,”</w:t>
      </w:r>
      <w:r w:rsidR="00411C9E">
        <w:rPr>
          <w:rFonts w:eastAsia="Times New Roman" w:cs="Courier New"/>
          <w:color w:val="1A1A1A"/>
        </w:rPr>
        <w:t xml:space="preserve"> </w:t>
      </w:r>
      <w:r w:rsidR="00411C9E" w:rsidRPr="0086258D">
        <w:rPr>
          <w:rFonts w:eastAsia="Times New Roman" w:cs="Courier New"/>
          <w:color w:val="1A1A1A"/>
        </w:rPr>
        <w:t>the</w:t>
      </w:r>
      <w:r w:rsidRPr="0086258D">
        <w:rPr>
          <w:rFonts w:eastAsia="Times New Roman" w:cs="Courier New"/>
          <w:color w:val="1A1A1A"/>
        </w:rPr>
        <w:t xml:space="preserve"> </w:t>
      </w:r>
      <w:r w:rsidR="00A50872">
        <w:rPr>
          <w:rFonts w:eastAsia="Times New Roman" w:cs="Courier New"/>
          <w:color w:val="1A1A1A"/>
        </w:rPr>
        <w:t>authors</w:t>
      </w:r>
      <w:r w:rsidR="00CE75C9">
        <w:rPr>
          <w:rFonts w:eastAsia="Times New Roman" w:cs="Courier New"/>
          <w:color w:val="1A1A1A"/>
        </w:rPr>
        <w:t>’</w:t>
      </w:r>
      <w:r w:rsidR="00A50872" w:rsidRPr="0086258D">
        <w:rPr>
          <w:rFonts w:eastAsia="Times New Roman" w:cs="Courier New"/>
          <w:color w:val="1A1A1A"/>
        </w:rPr>
        <w:t xml:space="preserve"> </w:t>
      </w:r>
      <w:r w:rsidR="00CE75C9">
        <w:rPr>
          <w:rFonts w:eastAsia="Times New Roman" w:cs="Courier New"/>
          <w:color w:val="1A1A1A"/>
        </w:rPr>
        <w:t xml:space="preserve">stated </w:t>
      </w:r>
      <w:r w:rsidRPr="0086258D">
        <w:rPr>
          <w:rFonts w:eastAsia="Times New Roman" w:cs="Courier New"/>
          <w:color w:val="1A1A1A"/>
        </w:rPr>
        <w:t xml:space="preserve">aims </w:t>
      </w:r>
      <w:r w:rsidR="00CE75C9">
        <w:rPr>
          <w:rFonts w:eastAsia="Times New Roman" w:cs="Courier New"/>
          <w:color w:val="1A1A1A"/>
        </w:rPr>
        <w:t xml:space="preserve">were </w:t>
      </w:r>
      <w:r w:rsidRPr="0086258D">
        <w:rPr>
          <w:rFonts w:eastAsia="Times New Roman" w:cs="Courier New"/>
          <w:color w:val="1A1A1A"/>
        </w:rPr>
        <w:t xml:space="preserve">to </w:t>
      </w:r>
      <w:r w:rsidR="00411C9E">
        <w:rPr>
          <w:rFonts w:eastAsia="Times New Roman" w:cs="Courier New"/>
          <w:color w:val="1A1A1A"/>
        </w:rPr>
        <w:t>“</w:t>
      </w:r>
      <w:r w:rsidRPr="0086258D">
        <w:rPr>
          <w:rFonts w:eastAsia="Times New Roman" w:cs="Courier New"/>
          <w:color w:val="1A1A1A"/>
        </w:rPr>
        <w:t>heighten physician awareness of the integral role of reconciliation in the safe use of medications and to provide a framework for physicians to understand their personal roles and responsibilities in this often difficult process of care.</w:t>
      </w:r>
      <w:r w:rsidRPr="00427F8C">
        <w:t xml:space="preserve"> </w:t>
      </w:r>
      <w:r w:rsidRPr="0086258D">
        <w:rPr>
          <w:rFonts w:eastAsia="Times New Roman" w:cs="Courier New"/>
          <w:color w:val="1A1A1A"/>
        </w:rPr>
        <w:t>This monograph first provides background on medication issues, including: medication errors and adverse drug events, communication problems and medication reconciliation’s relationship to patient safety. It then presents an overview, including the steps of medication reconciliation, the underlying principles of medication reconciliation for deeper understanding of the physician’s leadership role and obligations, and guidance for effective achievement of medication reconciliation. This is followed by strategies for two particularly important areas of medication reconciliation: taking a medication history and promoting patient understanding of their medication regimen</w:t>
      </w:r>
      <w:r w:rsidR="0040186A">
        <w:rPr>
          <w:rFonts w:eastAsia="Times New Roman" w:cs="Courier New"/>
          <w:color w:val="1A1A1A"/>
        </w:rPr>
        <w:t>”</w:t>
      </w:r>
      <w:r w:rsidRPr="0086258D">
        <w:rPr>
          <w:rFonts w:eastAsia="Times New Roman" w:cs="Courier New"/>
          <w:color w:val="1A1A1A"/>
        </w:rPr>
        <w:t>.</w:t>
      </w:r>
      <w:r w:rsidR="0040186A">
        <w:rPr>
          <w:rFonts w:eastAsia="Times New Roman" w:cs="Courier New"/>
          <w:color w:val="1A1A1A"/>
        </w:rPr>
        <w:t xml:space="preserve"> (American Medical Association, 2007, p.4)</w:t>
      </w:r>
    </w:p>
    <w:p w14:paraId="28EB893E" w14:textId="77777777" w:rsidR="00537BB8" w:rsidRDefault="0075406C" w:rsidP="0086258D">
      <w:pPr>
        <w:ind w:left="720" w:firstLine="0"/>
        <w:rPr>
          <w:rStyle w:val="Hyperlink"/>
          <w:rFonts w:eastAsia="Times New Roman" w:cs="Courier New"/>
        </w:rPr>
      </w:pPr>
      <w:proofErr w:type="gramStart"/>
      <w:r w:rsidRPr="00427F8C">
        <w:rPr>
          <w:rFonts w:eastAsia="Times New Roman" w:cs="Courier New"/>
          <w:color w:val="1A1A1A"/>
        </w:rPr>
        <w:t>American Medical Association (2007).</w:t>
      </w:r>
      <w:proofErr w:type="gramEnd"/>
      <w:r w:rsidRPr="00427F8C">
        <w:rPr>
          <w:rFonts w:eastAsia="Times New Roman" w:cs="Courier New"/>
          <w:color w:val="1A1A1A"/>
        </w:rPr>
        <w:t xml:space="preserve">  The physician’s role in medication reconciliation:  Issues, strategies and safety principles.  Retrieved from </w:t>
      </w:r>
      <w:hyperlink r:id="rId18" w:history="1">
        <w:r w:rsidR="004958E4" w:rsidRPr="00427F8C">
          <w:rPr>
            <w:rStyle w:val="Hyperlink"/>
            <w:rFonts w:eastAsia="Times New Roman" w:cs="Courier New"/>
          </w:rPr>
          <w:t>http://wwwh.ama-assn.org/resources/doc/cqi/med-rec-monograph.pdf</w:t>
        </w:r>
      </w:hyperlink>
    </w:p>
    <w:p w14:paraId="6EFCE9BC" w14:textId="77777777" w:rsidR="00CE1ABB" w:rsidRDefault="00CE1ABB" w:rsidP="0086258D">
      <w:pPr>
        <w:ind w:left="720" w:firstLine="0"/>
        <w:rPr>
          <w:rStyle w:val="Hyperlink"/>
          <w:rFonts w:eastAsia="Times New Roman" w:cs="Courier New"/>
        </w:rPr>
      </w:pPr>
    </w:p>
    <w:p w14:paraId="779FC5CF" w14:textId="77777777" w:rsidR="00CE75C9" w:rsidRDefault="00CE1ABB" w:rsidP="00A17BC9">
      <w:pPr>
        <w:pStyle w:val="ListParagraph"/>
        <w:numPr>
          <w:ilvl w:val="0"/>
          <w:numId w:val="15"/>
        </w:numPr>
        <w:rPr>
          <w:rStyle w:val="Hyperlink"/>
          <w:rFonts w:eastAsia="Times New Roman" w:cs="Courier New"/>
          <w:color w:val="auto"/>
          <w:u w:val="none"/>
        </w:rPr>
      </w:pPr>
      <w:r w:rsidRPr="00627982">
        <w:rPr>
          <w:rStyle w:val="Hyperlink"/>
          <w:rFonts w:eastAsia="Times New Roman" w:cs="Courier New"/>
          <w:color w:val="auto"/>
          <w:u w:val="none"/>
        </w:rPr>
        <w:t xml:space="preserve">The Joint Commission’s 2015 Ambulatory Care </w:t>
      </w:r>
      <w:r w:rsidR="000A517D" w:rsidRPr="00627982">
        <w:rPr>
          <w:rStyle w:val="Hyperlink"/>
          <w:rFonts w:eastAsia="Times New Roman" w:cs="Courier New"/>
          <w:color w:val="auto"/>
          <w:u w:val="none"/>
        </w:rPr>
        <w:t>National Patient Safety Goals,</w:t>
      </w:r>
      <w:r w:rsidRPr="00627982">
        <w:rPr>
          <w:rStyle w:val="Hyperlink"/>
          <w:rFonts w:eastAsia="Times New Roman" w:cs="Courier New"/>
          <w:color w:val="auto"/>
          <w:u w:val="none"/>
        </w:rPr>
        <w:t xml:space="preserve"> based on evidence that medication discrepancies can affect patient outco</w:t>
      </w:r>
      <w:r w:rsidR="000A517D" w:rsidRPr="00627982">
        <w:rPr>
          <w:rStyle w:val="Hyperlink"/>
          <w:rFonts w:eastAsia="Times New Roman" w:cs="Courier New"/>
          <w:color w:val="auto"/>
          <w:u w:val="none"/>
        </w:rPr>
        <w:t>mes, specifically provides the following recommendation</w:t>
      </w:r>
      <w:r w:rsidRPr="00627982">
        <w:rPr>
          <w:rStyle w:val="Hyperlink"/>
          <w:rFonts w:eastAsia="Times New Roman" w:cs="Courier New"/>
          <w:color w:val="auto"/>
          <w:u w:val="none"/>
        </w:rPr>
        <w:t xml:space="preserve"> </w:t>
      </w:r>
    </w:p>
    <w:p w14:paraId="4774816C" w14:textId="77777777" w:rsidR="00CE1ABB" w:rsidRDefault="00CE1ABB" w:rsidP="003A7A01">
      <w:pPr>
        <w:pStyle w:val="ListParagraph"/>
        <w:ind w:left="1440" w:firstLine="0"/>
        <w:rPr>
          <w:rStyle w:val="Hyperlink"/>
          <w:rFonts w:eastAsia="Times New Roman" w:cs="Courier New"/>
          <w:color w:val="auto"/>
          <w:u w:val="none"/>
        </w:rPr>
      </w:pPr>
      <w:r w:rsidRPr="00627982">
        <w:rPr>
          <w:rStyle w:val="Hyperlink"/>
          <w:rFonts w:eastAsia="Times New Roman" w:cs="Courier New"/>
          <w:color w:val="auto"/>
          <w:u w:val="none"/>
        </w:rPr>
        <w:t>NPSG.03.06.01: "Maintain and communicate accurate patient medication information</w:t>
      </w:r>
      <w:r w:rsidR="00A17BC9" w:rsidRPr="00627982">
        <w:rPr>
          <w:rStyle w:val="Hyperlink"/>
          <w:rFonts w:eastAsia="Times New Roman" w:cs="Courier New"/>
          <w:color w:val="auto"/>
          <w:u w:val="none"/>
        </w:rPr>
        <w:t>. The types of information that clinicians use to reconcile medications include (among others) medication name, dose, frequency, route, and purpose. Organizations should identify the information that needs to be collected to reconcile current and newly ordered medications and to safely prescribe medications in the future."</w:t>
      </w:r>
      <w:r w:rsidR="00E55A7B" w:rsidRPr="00627982">
        <w:rPr>
          <w:rStyle w:val="Hyperlink"/>
          <w:rFonts w:eastAsia="Times New Roman" w:cs="Courier New"/>
          <w:color w:val="auto"/>
          <w:u w:val="none"/>
        </w:rPr>
        <w:t xml:space="preserve"> </w:t>
      </w:r>
    </w:p>
    <w:p w14:paraId="2882354A" w14:textId="77777777" w:rsidR="0040186A" w:rsidRDefault="0040186A" w:rsidP="003A7A01">
      <w:pPr>
        <w:pStyle w:val="ListParagraph"/>
        <w:ind w:left="1440" w:firstLine="0"/>
        <w:rPr>
          <w:rStyle w:val="Hyperlink"/>
          <w:rFonts w:eastAsia="Times New Roman" w:cs="Courier New"/>
          <w:color w:val="auto"/>
          <w:u w:val="none"/>
        </w:rPr>
      </w:pPr>
    </w:p>
    <w:p w14:paraId="45D0B2A1" w14:textId="26431F97" w:rsidR="0040186A" w:rsidRPr="00627982" w:rsidRDefault="0040186A" w:rsidP="0040186A">
      <w:pPr>
        <w:pStyle w:val="ListParagraph"/>
        <w:ind w:firstLine="0"/>
        <w:rPr>
          <w:rStyle w:val="Hyperlink"/>
          <w:rFonts w:eastAsia="Times New Roman" w:cs="Courier New"/>
          <w:color w:val="auto"/>
          <w:u w:val="none"/>
        </w:rPr>
      </w:pPr>
      <w:proofErr w:type="gramStart"/>
      <w:r w:rsidRPr="00627982">
        <w:rPr>
          <w:rStyle w:val="Hyperlink"/>
          <w:rFonts w:eastAsia="Times New Roman" w:cs="Courier New"/>
          <w:color w:val="auto"/>
          <w:u w:val="none"/>
        </w:rPr>
        <w:t>The Joint Commission.</w:t>
      </w:r>
      <w:proofErr w:type="gramEnd"/>
      <w:r w:rsidRPr="00627982">
        <w:rPr>
          <w:rStyle w:val="Hyperlink"/>
          <w:rFonts w:eastAsia="Times New Roman" w:cs="Courier New"/>
          <w:color w:val="auto"/>
          <w:u w:val="none"/>
        </w:rPr>
        <w:t xml:space="preserve"> National Patient Safety Goals Effective January 1, 2015,</w:t>
      </w:r>
      <w:r w:rsidRPr="00627982">
        <w:t xml:space="preserve"> </w:t>
      </w:r>
      <w:r w:rsidRPr="00627982">
        <w:rPr>
          <w:rStyle w:val="Hyperlink"/>
          <w:rFonts w:eastAsia="Times New Roman" w:cs="Courier New"/>
          <w:color w:val="auto"/>
          <w:u w:val="none"/>
        </w:rPr>
        <w:t>Ambulatory Health Care Accreditation Program</w:t>
      </w:r>
      <w:r>
        <w:rPr>
          <w:rStyle w:val="Hyperlink"/>
          <w:rFonts w:eastAsia="Times New Roman" w:cs="Courier New"/>
          <w:color w:val="auto"/>
          <w:u w:val="none"/>
        </w:rPr>
        <w:t xml:space="preserve"> (p. 4-5).</w:t>
      </w:r>
    </w:p>
    <w:p w14:paraId="5B95E360" w14:textId="77777777" w:rsidR="00727D4A" w:rsidRDefault="00727D4A" w:rsidP="00727D4A">
      <w:pPr>
        <w:pStyle w:val="ListParagraph"/>
        <w:ind w:firstLine="0"/>
        <w:rPr>
          <w:rStyle w:val="Hyperlink"/>
          <w:rFonts w:eastAsia="Times New Roman" w:cs="Courier New"/>
          <w:color w:val="auto"/>
          <w:u w:val="none"/>
        </w:rPr>
      </w:pPr>
    </w:p>
    <w:p w14:paraId="2040BD3B" w14:textId="77777777" w:rsidR="00845954" w:rsidRDefault="00B71722" w:rsidP="00727D4A">
      <w:pPr>
        <w:pStyle w:val="ListParagraph"/>
        <w:ind w:firstLine="0"/>
        <w:rPr>
          <w:rStyle w:val="Hyperlink"/>
          <w:rFonts w:eastAsia="Times New Roman" w:cs="Courier New"/>
          <w:color w:val="auto"/>
          <w:u w:val="none"/>
        </w:rPr>
      </w:pPr>
      <w:proofErr w:type="gramStart"/>
      <w:r w:rsidRPr="00627982">
        <w:rPr>
          <w:rStyle w:val="Hyperlink"/>
          <w:rFonts w:eastAsia="Times New Roman" w:cs="Courier New"/>
          <w:color w:val="auto"/>
          <w:u w:val="none"/>
        </w:rPr>
        <w:t>The Joint Commission.</w:t>
      </w:r>
      <w:proofErr w:type="gramEnd"/>
      <w:r w:rsidRPr="00627982">
        <w:rPr>
          <w:rStyle w:val="Hyperlink"/>
          <w:rFonts w:eastAsia="Times New Roman" w:cs="Courier New"/>
          <w:color w:val="auto"/>
          <w:u w:val="none"/>
        </w:rPr>
        <w:t xml:space="preserve"> </w:t>
      </w:r>
      <w:proofErr w:type="gramStart"/>
      <w:r w:rsidR="00CE1ABB" w:rsidRPr="00627982">
        <w:rPr>
          <w:rStyle w:val="Hyperlink"/>
          <w:rFonts w:eastAsia="Times New Roman" w:cs="Courier New"/>
          <w:color w:val="auto"/>
          <w:u w:val="none"/>
        </w:rPr>
        <w:t>National Patient Safety Goals Effective January 1, 2015,</w:t>
      </w:r>
      <w:r w:rsidR="00552B3D" w:rsidRPr="00627982">
        <w:t xml:space="preserve"> </w:t>
      </w:r>
      <w:r w:rsidR="00552B3D" w:rsidRPr="00627982">
        <w:rPr>
          <w:rStyle w:val="Hyperlink"/>
          <w:rFonts w:eastAsia="Times New Roman" w:cs="Courier New"/>
          <w:color w:val="auto"/>
          <w:u w:val="none"/>
        </w:rPr>
        <w:t>Ambulatory Health Care Accreditation Program</w:t>
      </w:r>
      <w:r w:rsidRPr="00627982">
        <w:rPr>
          <w:rStyle w:val="Hyperlink"/>
          <w:rFonts w:eastAsia="Times New Roman" w:cs="Courier New"/>
          <w:color w:val="auto"/>
          <w:u w:val="none"/>
        </w:rPr>
        <w:t>.</w:t>
      </w:r>
      <w:proofErr w:type="gramEnd"/>
      <w:r w:rsidRPr="00627982">
        <w:rPr>
          <w:rStyle w:val="Hyperlink"/>
          <w:rFonts w:eastAsia="Times New Roman" w:cs="Courier New"/>
          <w:color w:val="auto"/>
          <w:u w:val="none"/>
        </w:rPr>
        <w:t xml:space="preserve">  Retrieved from</w:t>
      </w:r>
      <w:r w:rsidR="00CE1ABB" w:rsidRPr="00627982">
        <w:rPr>
          <w:rStyle w:val="Hyperlink"/>
          <w:rFonts w:eastAsia="Times New Roman" w:cs="Courier New"/>
          <w:color w:val="auto"/>
          <w:u w:val="none"/>
        </w:rPr>
        <w:t xml:space="preserve"> </w:t>
      </w:r>
      <w:hyperlink r:id="rId19" w:history="1">
        <w:r w:rsidR="00845954" w:rsidRPr="009B771E">
          <w:rPr>
            <w:rStyle w:val="Hyperlink"/>
            <w:rFonts w:eastAsia="Times New Roman" w:cs="Courier New"/>
          </w:rPr>
          <w:t>http://www.jointcommission.org/assets/1/6/2015_NPSG_AHC1.PDF</w:t>
        </w:r>
      </w:hyperlink>
    </w:p>
    <w:p w14:paraId="6EA854BA" w14:textId="77777777" w:rsidR="00727D4A" w:rsidRPr="00845954" w:rsidRDefault="00CE1ABB" w:rsidP="00845954">
      <w:pPr>
        <w:pStyle w:val="ListParagraph"/>
        <w:ind w:firstLine="0"/>
        <w:rPr>
          <w:rFonts w:eastAsia="Times New Roman" w:cs="Courier New"/>
        </w:rPr>
      </w:pPr>
      <w:r w:rsidRPr="00627982">
        <w:rPr>
          <w:rStyle w:val="Hyperlink"/>
          <w:rFonts w:eastAsia="Times New Roman" w:cs="Courier New"/>
          <w:color w:val="auto"/>
          <w:u w:val="none"/>
        </w:rPr>
        <w:t xml:space="preserve"> </w:t>
      </w:r>
    </w:p>
    <w:p w14:paraId="4AC74AAC" w14:textId="3101C727" w:rsidR="00F31214" w:rsidRDefault="00F014A1" w:rsidP="00727D4A">
      <w:pPr>
        <w:pStyle w:val="ListParagraph"/>
        <w:numPr>
          <w:ilvl w:val="0"/>
          <w:numId w:val="15"/>
        </w:numPr>
      </w:pPr>
      <w:r>
        <w:t>In ”</w:t>
      </w:r>
      <w:r w:rsidRPr="004958E4">
        <w:t>Using an Electronic Prescribing System to Ensure Accurate Medication Lists in a Large Multidisciplinary Medical Group</w:t>
      </w:r>
      <w:r>
        <w:t>”</w:t>
      </w:r>
      <w:r w:rsidR="00B42D24">
        <w:t>,</w:t>
      </w:r>
      <w:r>
        <w:t xml:space="preserve"> the authors indicate</w:t>
      </w:r>
      <w:r w:rsidR="0040186A">
        <w:t>”</w:t>
      </w:r>
      <w:r>
        <w:t xml:space="preserve"> while</w:t>
      </w:r>
      <w:r w:rsidRPr="00427F8C">
        <w:t xml:space="preserve"> </w:t>
      </w:r>
      <w:r w:rsidR="00EC1310" w:rsidRPr="00427F8C">
        <w:t xml:space="preserve">medication safety has largely focused on reducing medication errors in hospitals, the scope of adverse drug events in the outpatient setting is immense. A fundamental problem occurs when a clinician lacks immediate access to an accurate list of the medications that a patient is taking. Since 2001, </w:t>
      </w:r>
      <w:r w:rsidR="00727D4A" w:rsidRPr="00427F8C">
        <w:t>Peace Health</w:t>
      </w:r>
      <w:r w:rsidR="00EC1310" w:rsidRPr="00427F8C">
        <w:t xml:space="preserve"> Medical Group (PHMG), a multispecialty physician group, has been using an electronic prescribing system that includes medication-interaction warnings and allergy checks. Yet, most practitioners recognized the remaining potential for error, especially because there was no assurance regarding the accuracy of information on the electronic medical record (EMR)-generated medication list. </w:t>
      </w:r>
      <w:r w:rsidR="00727D4A" w:rsidRPr="00427F8C">
        <w:t>Peace Health</w:t>
      </w:r>
      <w:r w:rsidR="00EC1310" w:rsidRPr="00427F8C">
        <w:t xml:space="preserve"> developed and implemented a standardized approach to (1) review and reconcile the medication list for every patient at each office visit and (2) report on the results obtained within the PHMG</w:t>
      </w:r>
      <w:r w:rsidR="00727D4A">
        <w:t xml:space="preserve"> clinics. </w:t>
      </w:r>
      <w:r w:rsidR="00EC1310">
        <w:t xml:space="preserve">The </w:t>
      </w:r>
      <w:r w:rsidR="00727D4A">
        <w:t>Peace Health</w:t>
      </w:r>
      <w:r w:rsidR="00EC1310">
        <w:t xml:space="preserve"> focus</w:t>
      </w:r>
      <w:r w:rsidR="00727D4A">
        <w:t>es</w:t>
      </w:r>
      <w:r w:rsidR="00EC1310">
        <w:t xml:space="preserve"> on patient safety, and particularly the reduction of medication errors, has involved a standardized approach for reviewing and reconciling medication lists for every patient visiting a physician office. The standardized processes can be replicated at other ambulatory clinics-whether or not electronic tools ar</w:t>
      </w:r>
      <w:r w:rsidR="0040186A">
        <w:t>e available”. (</w:t>
      </w:r>
      <w:r w:rsidR="0040186A" w:rsidRPr="004958E4">
        <w:t>Stock, R., Scott, J., &amp; Gurtel, S.</w:t>
      </w:r>
      <w:r w:rsidR="0040186A">
        <w:t xml:space="preserve"> </w:t>
      </w:r>
      <w:r w:rsidR="0040186A" w:rsidRPr="004958E4">
        <w:t>2009</w:t>
      </w:r>
      <w:r w:rsidR="0040186A">
        <w:t>, p. 271).</w:t>
      </w:r>
    </w:p>
    <w:p w14:paraId="5A887FED" w14:textId="77777777" w:rsidR="004958E4" w:rsidRDefault="004958E4" w:rsidP="0086258D">
      <w:pPr>
        <w:ind w:left="720" w:firstLine="0"/>
      </w:pPr>
      <w:r w:rsidRPr="004958E4">
        <w:t>Stock, R., Scott, J., &amp; Gurtel, S. (2009).  Using an Electronic Prescribing System to Ensure Accurate Medication Lists in a Large Multidisciplinary Medical Group.  The Joint Commission Journal on Quality and Patient Safety; 35(5), 271-277</w:t>
      </w:r>
    </w:p>
    <w:p w14:paraId="41A07FF6" w14:textId="77777777" w:rsidR="0086258D" w:rsidRDefault="0086258D" w:rsidP="002E2177">
      <w:pPr>
        <w:ind w:left="0" w:firstLine="0"/>
      </w:pPr>
    </w:p>
    <w:p w14:paraId="4559EA8A" w14:textId="3EDF654C" w:rsidR="0086258D" w:rsidRDefault="00F014A1" w:rsidP="00727D4A">
      <w:pPr>
        <w:pStyle w:val="ListParagraph"/>
        <w:numPr>
          <w:ilvl w:val="0"/>
          <w:numId w:val="15"/>
        </w:numPr>
      </w:pPr>
      <w:r>
        <w:t>In</w:t>
      </w:r>
      <w:r w:rsidR="00B42D24">
        <w:t xml:space="preserve"> “</w:t>
      </w:r>
      <w:r w:rsidRPr="004958E4">
        <w:t>Implementation of a medication reconciliation process in an ambulatory internal medicine clinic</w:t>
      </w:r>
      <w:r>
        <w:t>”</w:t>
      </w:r>
      <w:r w:rsidR="00411C9E">
        <w:t>, the</w:t>
      </w:r>
      <w:r w:rsidR="0086258D">
        <w:t xml:space="preserve"> objective is t</w:t>
      </w:r>
      <w:r w:rsidR="0075038F" w:rsidRPr="0075038F">
        <w:t xml:space="preserve">o </w:t>
      </w:r>
      <w:r w:rsidR="0040186A">
        <w:t>“</w:t>
      </w:r>
      <w:r w:rsidR="0075038F" w:rsidRPr="0075038F">
        <w:t xml:space="preserve">evaluate the causes of medication list inaccuracy, implement intervention to enhance overall accuracy of medication lists and measure the sustainability of the intervention. </w:t>
      </w:r>
      <w:r w:rsidR="00F7141B">
        <w:t>This study showed that the major causes of inaccurate medication lists are misreporting of medications by patients and the failure of clinicians to update the list, including the addition and deletions of agents. In order to</w:t>
      </w:r>
      <w:r w:rsidR="0075038F" w:rsidRPr="0075038F">
        <w:t xml:space="preserve"> improve the accuracy of medication lists, active participation of all members of the healthcare team and the patient is needed.</w:t>
      </w:r>
      <w:r w:rsidR="0040186A">
        <w:t>” (Nassaralla et al. 2007 P. 90).</w:t>
      </w:r>
    </w:p>
    <w:p w14:paraId="258798BC" w14:textId="77777777" w:rsidR="004958E4" w:rsidRDefault="004958E4" w:rsidP="00BB4F61">
      <w:pPr>
        <w:ind w:left="720" w:firstLine="0"/>
      </w:pPr>
      <w:r w:rsidRPr="004958E4">
        <w:t xml:space="preserve">Nassaralla, C.L., Naessens, J.M., Chaudhry, R., et al. (2007).  </w:t>
      </w:r>
      <w:proofErr w:type="gramStart"/>
      <w:r w:rsidRPr="004958E4">
        <w:t>Implementation of a medication reconciliation process in an ambulatory internal medicine clinic.</w:t>
      </w:r>
      <w:proofErr w:type="gramEnd"/>
      <w:r w:rsidRPr="004958E4">
        <w:t xml:space="preserve">  Quality and Safety in Health Care 2007; (16)</w:t>
      </w:r>
      <w:proofErr w:type="gramStart"/>
      <w:r w:rsidRPr="004958E4">
        <w:t>,  90</w:t>
      </w:r>
      <w:proofErr w:type="gramEnd"/>
      <w:r w:rsidRPr="004958E4">
        <w:t>-94.</w:t>
      </w:r>
      <w:hyperlink w:history="1"/>
    </w:p>
    <w:p w14:paraId="5DFB2DA6" w14:textId="77777777" w:rsidR="00BA0089" w:rsidRDefault="00BA0089" w:rsidP="002E2177">
      <w:pPr>
        <w:ind w:left="0" w:firstLine="0"/>
      </w:pPr>
    </w:p>
    <w:p w14:paraId="081332D8" w14:textId="77777777" w:rsidR="00BA0089" w:rsidRDefault="00BA0089" w:rsidP="00727D4A">
      <w:pPr>
        <w:pStyle w:val="ListParagraph"/>
        <w:numPr>
          <w:ilvl w:val="0"/>
          <w:numId w:val="15"/>
        </w:numPr>
      </w:pPr>
      <w:r w:rsidRPr="00BA0089">
        <w:t>The Agency for He</w:t>
      </w:r>
      <w:r>
        <w:t>althcare Research and Quality’s (AHRQ) National’</w:t>
      </w:r>
      <w:r w:rsidRPr="00BA0089">
        <w:t>s Healthcare Disparities Report (2011) identified the rate of adverse drug events (ADE) among Medicare beneficiaries in ambulatory settings 50 per 1,000 person-years. In 2005, AHRQ reported data on adults age 65 and over who received potentially inappropriate prescription medicines in the calendar year, by race, ethnicity, income, education, insurance status, and gender. The disparities were identified as follows: older Asians were more likely than older Whites to have inappropriate drug use (20.3% compared with 17.3%); Older Hispanics were less likely than older non-Hispanic Whites to have inappropriate drug use (13.5% compared with 17.6%); Older women were more likely than older men to have inappropriate drug use (20.2% compared with 14.3%); there were no statistically significant differences by income or education.</w:t>
      </w:r>
    </w:p>
    <w:p w14:paraId="63922D68" w14:textId="2F25C3A7" w:rsidR="004958E4" w:rsidRDefault="004958E4" w:rsidP="0086258D">
      <w:pPr>
        <w:ind w:left="720" w:firstLine="0"/>
      </w:pPr>
      <w:proofErr w:type="gramStart"/>
      <w:r w:rsidRPr="004958E4">
        <w:t>Agency for Healthcare Research and Quality (2011).</w:t>
      </w:r>
      <w:proofErr w:type="gramEnd"/>
      <w:r w:rsidRPr="004958E4">
        <w:t xml:space="preserve">  National Healthcare Disparities Report 2011.  Retrieved </w:t>
      </w:r>
      <w:r w:rsidR="00411C9E" w:rsidRPr="004958E4">
        <w:t xml:space="preserve">from </w:t>
      </w:r>
      <w:hyperlink r:id="rId20" w:history="1">
        <w:r w:rsidRPr="009A2691">
          <w:rPr>
            <w:rStyle w:val="Hyperlink"/>
          </w:rPr>
          <w:t>http://www.ahrq.gov/research/findings/nhqrdr/nhqr11/chap3.html</w:t>
        </w:r>
      </w:hyperlink>
    </w:p>
    <w:p w14:paraId="79E4DDAC" w14:textId="77777777" w:rsidR="00BA0089" w:rsidRDefault="00BA0089" w:rsidP="002E2177">
      <w:pPr>
        <w:ind w:left="0" w:firstLine="0"/>
      </w:pPr>
    </w:p>
    <w:p w14:paraId="5C190917" w14:textId="6D231B7B" w:rsidR="00427F8C" w:rsidRDefault="00155FB6" w:rsidP="00411C9E">
      <w:pPr>
        <w:pStyle w:val="ListParagraph"/>
        <w:numPr>
          <w:ilvl w:val="0"/>
          <w:numId w:val="15"/>
        </w:numPr>
      </w:pPr>
      <w:r>
        <w:t>In ”</w:t>
      </w:r>
      <w:r w:rsidRPr="004958E4">
        <w:t>Beliefs of Ambulatory Care Physicians about Accuracy of Patient Medication Records and Technology-Enhanc</w:t>
      </w:r>
      <w:r>
        <w:t>ed Solutions to Improve Accurac</w:t>
      </w:r>
      <w:r w:rsidR="00B42D24">
        <w:t>y</w:t>
      </w:r>
      <w:r>
        <w:t>”,</w:t>
      </w:r>
      <w:r w:rsidR="00B42D24">
        <w:t xml:space="preserve"> </w:t>
      </w:r>
      <w:r>
        <w:t xml:space="preserve"> the author</w:t>
      </w:r>
      <w:r w:rsidR="00B42D24">
        <w:t>s</w:t>
      </w:r>
      <w:r>
        <w:t xml:space="preserve"> indicate </w:t>
      </w:r>
      <w:r w:rsidR="00411C9E">
        <w:t>“</w:t>
      </w:r>
      <w:r>
        <w:t>t</w:t>
      </w:r>
      <w:r w:rsidR="00BA0089" w:rsidRPr="00BA0089">
        <w:t>he continuing problem of inaccurate medication records and resultant harm from medication errors has prompted the Institute of Medicine and others to encourage information technology (IT) solutions to improve medication list accuracy. Leveraging community acceptance of health IT could result in rapid implementation of universally accessible medication list platforms</w:t>
      </w:r>
      <w:r w:rsidR="00BA0089">
        <w:t>.</w:t>
      </w:r>
      <w:r w:rsidR="002220C8">
        <w:t>”</w:t>
      </w:r>
      <w:r w:rsidR="002220C8" w:rsidRPr="002220C8">
        <w:t xml:space="preserve"> </w:t>
      </w:r>
      <w:r w:rsidR="002220C8">
        <w:t>(Weeks et al. 2010 p. 12).</w:t>
      </w:r>
    </w:p>
    <w:p w14:paraId="477EB011" w14:textId="77777777" w:rsidR="004958E4" w:rsidRDefault="004958E4" w:rsidP="00376C2B">
      <w:pPr>
        <w:ind w:left="720" w:firstLine="0"/>
      </w:pPr>
      <w:proofErr w:type="gramStart"/>
      <w:r w:rsidRPr="004958E4">
        <w:t>Weeks, D.L., Corbette, C.F., Stream, G. (2010).</w:t>
      </w:r>
      <w:proofErr w:type="gramEnd"/>
      <w:r w:rsidRPr="004958E4">
        <w:t xml:space="preserve">   </w:t>
      </w:r>
      <w:proofErr w:type="gramStart"/>
      <w:r w:rsidRPr="004958E4">
        <w:t>Beliefs of Ambulatory Care Physicians about Accuracy of Patient Medication Records and Technology-Enhanced Solutions to Improve Accuracy.</w:t>
      </w:r>
      <w:proofErr w:type="gramEnd"/>
      <w:r w:rsidRPr="004958E4">
        <w:t xml:space="preserve">  Journal for Healthcare Quality; 32(5), 12-21.</w:t>
      </w:r>
    </w:p>
    <w:p w14:paraId="6235478D" w14:textId="77777777" w:rsidR="000900E2" w:rsidRDefault="000900E2" w:rsidP="002E2177">
      <w:pPr>
        <w:ind w:left="0" w:firstLine="0"/>
      </w:pPr>
    </w:p>
    <w:p w14:paraId="3106E216" w14:textId="2925C474" w:rsidR="009C6912" w:rsidRDefault="00BA0089" w:rsidP="00411C9E">
      <w:pPr>
        <w:pStyle w:val="ListParagraph"/>
        <w:numPr>
          <w:ilvl w:val="0"/>
          <w:numId w:val="15"/>
        </w:numPr>
      </w:pPr>
      <w:r>
        <w:t xml:space="preserve">The Safe Practices for Better Healthcare – 2010 Update </w:t>
      </w:r>
      <w:r w:rsidR="009C6912">
        <w:t xml:space="preserve">presents 34 practices that have </w:t>
      </w:r>
      <w:r>
        <w:t>been demonstrated to be effective in reducing the occurrence of adverse healthcare events.</w:t>
      </w:r>
      <w:r w:rsidR="00A845F6">
        <w:t xml:space="preserve"> </w:t>
      </w:r>
      <w:r>
        <w:t>The practices are organized into seven functional categori</w:t>
      </w:r>
      <w:r w:rsidR="009C6912">
        <w:t xml:space="preserve">es for improving patient safety, one of the seven including medications management, discussed in chapter 6: Improving Patient Safety </w:t>
      </w:r>
      <w:proofErr w:type="gramStart"/>
      <w:r w:rsidR="009C6912">
        <w:t>Through</w:t>
      </w:r>
      <w:proofErr w:type="gramEnd"/>
      <w:r w:rsidR="009C6912">
        <w:t xml:space="preserve"> Medication Management on p. 215 of the document. The safe practice statement includes the following in relation to medication safety: “</w:t>
      </w:r>
      <w:r w:rsidR="009C6912" w:rsidRPr="009C6912">
        <w:t>The healthcare organization must develop, reconcile, and communicate an accurate patient medication list throughout the continuum of care. [LMMHS, 2004; SHM, 2008; ASHP, 2009; IHI, 2009; JCR, 2010]</w:t>
      </w:r>
      <w:r w:rsidR="009C6912">
        <w:t>” The article explains that</w:t>
      </w:r>
      <w:r w:rsidR="009C6912" w:rsidRPr="009C6912">
        <w:t xml:space="preserve"> </w:t>
      </w:r>
      <w:r w:rsidR="009C6912">
        <w:t>“Medication-use systems are complex and inherently high-risk and error-prone, with preventable adverse drug events often occurring as a consequence of a combination of human and environmental factors. Care and some technologies that affect the prescribing,</w:t>
      </w:r>
      <w:r w:rsidR="000900E2">
        <w:t xml:space="preserve"> </w:t>
      </w:r>
      <w:r w:rsidR="009C6912">
        <w:t>dispensing, and distribution methods and systems have b</w:t>
      </w:r>
      <w:r w:rsidR="000900E2">
        <w:t xml:space="preserve">ecome increasingly complicated. </w:t>
      </w:r>
      <w:r w:rsidR="009C6912">
        <w:t>Both are factors in the increased risk of preventable patient harm.</w:t>
      </w:r>
      <w:r w:rsidR="000900E2" w:rsidRPr="000900E2">
        <w:t xml:space="preserve"> </w:t>
      </w:r>
      <w:r w:rsidR="000900E2">
        <w:t>Though medication reconciliation continues to be a challenge to implement, accurate medications are critical to the prevention of harm to patients during their healthcare encounters and when discharged from the care setting.”</w:t>
      </w:r>
      <w:r w:rsidR="002220C8">
        <w:t xml:space="preserve"> (</w:t>
      </w:r>
      <w:r w:rsidR="002220C8" w:rsidRPr="004958E4">
        <w:t xml:space="preserve">National Quality Forum (2010).  Safe Practices for Better Healthcare– 2010 </w:t>
      </w:r>
      <w:proofErr w:type="gramStart"/>
      <w:r w:rsidR="002220C8" w:rsidRPr="004958E4">
        <w:t>Update</w:t>
      </w:r>
      <w:r w:rsidR="002220C8">
        <w:t>,</w:t>
      </w:r>
      <w:proofErr w:type="gramEnd"/>
      <w:r w:rsidR="002220C8">
        <w:t xml:space="preserve"> p. 215)</w:t>
      </w:r>
      <w:r w:rsidR="002220C8" w:rsidRPr="004958E4">
        <w:t>.</w:t>
      </w:r>
    </w:p>
    <w:p w14:paraId="701C351D" w14:textId="77777777" w:rsidR="004958E4" w:rsidRDefault="004958E4" w:rsidP="00A845F6">
      <w:pPr>
        <w:ind w:left="720" w:firstLine="0"/>
        <w:rPr>
          <w:rStyle w:val="Hyperlink"/>
        </w:rPr>
      </w:pPr>
      <w:proofErr w:type="gramStart"/>
      <w:r w:rsidRPr="004958E4">
        <w:t>National Quality Forum (2010).</w:t>
      </w:r>
      <w:proofErr w:type="gramEnd"/>
      <w:r w:rsidRPr="004958E4">
        <w:t xml:space="preserve">  </w:t>
      </w:r>
      <w:proofErr w:type="gramStart"/>
      <w:r w:rsidRPr="004958E4">
        <w:t>Safe Practices for Better Healthcare– 2010 Update.</w:t>
      </w:r>
      <w:proofErr w:type="gramEnd"/>
      <w:r w:rsidRPr="004958E4">
        <w:t xml:space="preserve">  Retrieved from </w:t>
      </w:r>
      <w:hyperlink r:id="rId21" w:history="1">
        <w:r w:rsidR="00125CC8" w:rsidRPr="009A2691">
          <w:rPr>
            <w:rStyle w:val="Hyperlink"/>
          </w:rPr>
          <w:t>http://www.qualityforum.org/Projects/Safe_Practices_2010.aspx</w:t>
        </w:r>
      </w:hyperlink>
    </w:p>
    <w:p w14:paraId="052E928C" w14:textId="77777777" w:rsidR="005D10FA" w:rsidRDefault="005D10FA" w:rsidP="00A845F6">
      <w:pPr>
        <w:ind w:left="720" w:firstLine="0"/>
        <w:rPr>
          <w:rStyle w:val="Hyperlink"/>
        </w:rPr>
      </w:pPr>
    </w:p>
    <w:p w14:paraId="66B8C5D2" w14:textId="28AADD36" w:rsidR="005D10FA" w:rsidRDefault="00155FB6" w:rsidP="005D10FA">
      <w:pPr>
        <w:pStyle w:val="ListParagraph"/>
        <w:numPr>
          <w:ilvl w:val="0"/>
          <w:numId w:val="15"/>
        </w:numPr>
      </w:pPr>
      <w:r>
        <w:t>In</w:t>
      </w:r>
      <w:r w:rsidRPr="00117860">
        <w:t xml:space="preserve"> “Medication Reconciliation in Ambulator</w:t>
      </w:r>
      <w:r>
        <w:t>y Care: Attempts at Improvement,</w:t>
      </w:r>
      <w:r w:rsidRPr="00117860">
        <w:t>”</w:t>
      </w:r>
      <w:r w:rsidR="002220C8">
        <w:t xml:space="preserve"> describes the</w:t>
      </w:r>
      <w:r w:rsidR="005D10FA">
        <w:t xml:space="preserve"> objective of th</w:t>
      </w:r>
      <w:r>
        <w:t>e</w:t>
      </w:r>
      <w:r w:rsidR="005D10FA">
        <w:t xml:space="preserve"> </w:t>
      </w:r>
      <w:r w:rsidR="002220C8">
        <w:t>intervention</w:t>
      </w:r>
      <w:r w:rsidR="005D10FA">
        <w:t xml:space="preserve"> t</w:t>
      </w:r>
      <w:r w:rsidR="005D10FA" w:rsidRPr="00125CC8">
        <w:t>o</w:t>
      </w:r>
      <w:r w:rsidR="002220C8">
        <w:t xml:space="preserve"> “</w:t>
      </w:r>
      <w:r w:rsidR="005D10FA" w:rsidRPr="00125CC8">
        <w:t>enhance overall accuracy of medication lists by providing performance feedback and training to the healthcare team and increasing patient participation in the medication reconciliation process. This prospective study involved patients seen in four academic, ambulatory primary care internal medicine clinics. Before the interventions, baseline data were analyzed, assessing completeness, correctness and accuracy of medication documentation in the electronic medical record. Interventions to provide performance feedback and training to the healthcare team, increase patient awareness and participation in the medication reconciliation process were implemented. Immediately after each intervention, a data collection was undertaken to assess the effectiveness of the intervention on the accuracy of individual medication</w:t>
      </w:r>
      <w:r w:rsidR="005D10FA">
        <w:t>s and medication lists. Results are as follows:</w:t>
      </w:r>
      <w:r w:rsidR="005D10FA" w:rsidRPr="00125CC8">
        <w:t xml:space="preserve"> Completeness of medication lists improved from 20.4% to 50.4% (p&lt;0.001). The incomplete documentation of medication lists was mostly because of lack of frequency (15.4%) and route (8.9%) for individual medications within a medication list. Correctness of medication lists improved from 23.1% to 37.7% (p = 0.087). The incorrectness in a medication list was mostly because of incorrect medications dose. Patient participation in the medication reconciliation process increased from 13.9% to 33% (p&lt;0.001). The medication list accuracy improved from 11.5% to 29% (p = 0.014). Conclusion: In this setting, it was helpful to engage the active participation of all members of the healthcare team and most importantly the patient to improve the accuracy of medication lists</w:t>
      </w:r>
      <w:r w:rsidR="002220C8">
        <w:t>”</w:t>
      </w:r>
      <w:r w:rsidR="005D10FA" w:rsidRPr="00125CC8">
        <w:t>.</w:t>
      </w:r>
    </w:p>
    <w:p w14:paraId="3DF52613" w14:textId="47E99833" w:rsidR="002220C8" w:rsidRDefault="002220C8" w:rsidP="002220C8">
      <w:pPr>
        <w:pStyle w:val="ListParagraph"/>
        <w:ind w:firstLine="0"/>
      </w:pPr>
      <w:proofErr w:type="gramStart"/>
      <w:r>
        <w:t>(Nassaralla et al. 2009, p. 402).</w:t>
      </w:r>
      <w:proofErr w:type="gramEnd"/>
    </w:p>
    <w:p w14:paraId="5989F5A2" w14:textId="77777777" w:rsidR="005D10FA" w:rsidRDefault="005D10FA" w:rsidP="005D10FA">
      <w:pPr>
        <w:ind w:left="720" w:firstLine="0"/>
      </w:pPr>
      <w:r w:rsidRPr="00117860">
        <w:t>Nassaralla, C. L., J. M. Naessens, V. L. Hunt, A. Bhagra, R. Chaudhry, M. A. Hansen, and S. M. Tulledge-Scheitel. “Medication Reconciliation in Ambulatory Care: Attempts at Improvement.” Quality and Safety in Health Care, vol. 18, no. 5, 2009, pp. 402-407.</w:t>
      </w:r>
    </w:p>
    <w:p w14:paraId="1CA13AB8" w14:textId="77777777" w:rsidR="005D10FA" w:rsidRDefault="005D10FA" w:rsidP="005D10FA">
      <w:pPr>
        <w:ind w:firstLine="0"/>
      </w:pPr>
    </w:p>
    <w:p w14:paraId="23168956" w14:textId="3D263145" w:rsidR="002220C8" w:rsidRDefault="00411C9E" w:rsidP="002220C8">
      <w:pPr>
        <w:pStyle w:val="ListParagraph"/>
        <w:numPr>
          <w:ilvl w:val="0"/>
          <w:numId w:val="15"/>
        </w:numPr>
      </w:pPr>
      <w:r>
        <w:t>In “</w:t>
      </w:r>
      <w:r w:rsidR="00155FB6" w:rsidRPr="00117860">
        <w:t>Medication discrepancies despite pharmacist led medication reconciliation: the challenges of maintaining an accurate medication list in primary care</w:t>
      </w:r>
      <w:r w:rsidR="00155FB6">
        <w:t>”</w:t>
      </w:r>
      <w:r>
        <w:t>, the</w:t>
      </w:r>
      <w:r w:rsidR="00155FB6">
        <w:t xml:space="preserve"> </w:t>
      </w:r>
      <w:r>
        <w:t>authors “</w:t>
      </w:r>
      <w:r w:rsidR="005D10FA">
        <w:t>d</w:t>
      </w:r>
      <w:r w:rsidR="005D10FA" w:rsidRPr="001F695D">
        <w:t xml:space="preserve">escribe the types of medication discrepancies that persist despite pharmacist-led medication reconciliation using the primary care electronic medical record (EMR). </w:t>
      </w:r>
      <w:r w:rsidR="005D10FA">
        <w:t>The observations case series study</w:t>
      </w:r>
      <w:r w:rsidR="005D10FA" w:rsidRPr="001F695D">
        <w:t xml:space="preserve"> </w:t>
      </w:r>
      <w:r w:rsidR="005D10FA">
        <w:t xml:space="preserve">consisted </w:t>
      </w:r>
      <w:r w:rsidR="005D10FA" w:rsidRPr="001F695D">
        <w:t>of established patients from urban, indigent care clinic.</w:t>
      </w:r>
      <w:r w:rsidR="005D10FA">
        <w:t xml:space="preserve"> </w:t>
      </w:r>
      <w:r w:rsidR="005D10FA" w:rsidRPr="001F695D">
        <w:t>Medication reconciliation was conducted immediately prior to the physician visit at baseline and return visit</w:t>
      </w:r>
      <w:r w:rsidR="002220C8">
        <w:t>. Results: T</w:t>
      </w:r>
      <w:r w:rsidR="002220C8" w:rsidRPr="001F695D">
        <w:t>here was a 14.5% reduction in the number of patients with a discrepancy and the frequency of discrepancies was reduced by 7.3%. The rate of medication discrepancies in the chart was reduced by 31.3%.</w:t>
      </w:r>
      <w:r w:rsidR="002220C8">
        <w:t xml:space="preserve"> </w:t>
      </w:r>
      <w:r w:rsidR="002220C8" w:rsidRPr="00345141">
        <w:t>The most common type of discrepancy that</w:t>
      </w:r>
      <w:r w:rsidR="002220C8">
        <w:t xml:space="preserve"> </w:t>
      </w:r>
      <w:r w:rsidR="002220C8" w:rsidRPr="00345141">
        <w:t>persisted at follow up were medications listed on the chart</w:t>
      </w:r>
      <w:r w:rsidR="002220C8">
        <w:t xml:space="preserve"> </w:t>
      </w:r>
      <w:r w:rsidR="002220C8" w:rsidRPr="00345141">
        <w:t>that the patient stopped taking. Discrepancies were more</w:t>
      </w:r>
      <w:r w:rsidR="002220C8">
        <w:t xml:space="preserve"> </w:t>
      </w:r>
      <w:r w:rsidR="002220C8" w:rsidRPr="00345141">
        <w:t>likely to persist in Caucasian subjects when compared to</w:t>
      </w:r>
      <w:r w:rsidR="002220C8">
        <w:t xml:space="preserve"> </w:t>
      </w:r>
      <w:r w:rsidR="002220C8" w:rsidRPr="00B63709">
        <w:t>African Americans</w:t>
      </w:r>
      <w:r w:rsidR="002220C8">
        <w:t xml:space="preserve">. Conclusion: </w:t>
      </w:r>
      <w:r w:rsidR="002220C8" w:rsidRPr="00345141">
        <w:t>While pharmacist led medication</w:t>
      </w:r>
      <w:r w:rsidR="002220C8">
        <w:t xml:space="preserve"> </w:t>
      </w:r>
      <w:r w:rsidR="002220C8" w:rsidRPr="00345141">
        <w:t>reconciliation appears effective at reducing the likelihood</w:t>
      </w:r>
      <w:r w:rsidR="002220C8">
        <w:t xml:space="preserve"> </w:t>
      </w:r>
      <w:r w:rsidR="002220C8" w:rsidRPr="00345141">
        <w:t>of a medication discrepancy in the EMR, challenges</w:t>
      </w:r>
      <w:r w:rsidR="002220C8">
        <w:t xml:space="preserve"> </w:t>
      </w:r>
      <w:r w:rsidR="002220C8" w:rsidRPr="00345141">
        <w:t>persist in maintaining this accuracy specifically as it relates</w:t>
      </w:r>
      <w:r w:rsidR="002220C8">
        <w:t xml:space="preserve"> </w:t>
      </w:r>
      <w:r w:rsidR="002220C8" w:rsidRPr="00345141">
        <w:t>to patient driven changes to the medication regimen.</w:t>
      </w:r>
      <w:r w:rsidR="002220C8">
        <w:t>” (Stewart et al. 2014, p. 1).</w:t>
      </w:r>
    </w:p>
    <w:p w14:paraId="329F7E30" w14:textId="77777777" w:rsidR="002220C8" w:rsidRDefault="002220C8" w:rsidP="002220C8">
      <w:pPr>
        <w:pStyle w:val="ListParagraph"/>
        <w:ind w:firstLine="0"/>
      </w:pPr>
    </w:p>
    <w:p w14:paraId="3E24D554" w14:textId="4DBB3CC1" w:rsidR="005D10FA" w:rsidRDefault="005D10FA" w:rsidP="002220C8">
      <w:pPr>
        <w:pStyle w:val="ListParagraph"/>
        <w:ind w:firstLine="0"/>
      </w:pPr>
      <w:r w:rsidRPr="00117860">
        <w:t>Stewart A. L., Lynch K. J. (2014). Medication discrepancies despite pharmacist led medication reconciliation: the challenges of maintaining an accurate medication list in primary care. Pharmacy Practice, (1):360.</w:t>
      </w:r>
    </w:p>
    <w:p w14:paraId="2618CFDC" w14:textId="77777777" w:rsidR="005D10FA" w:rsidRDefault="005D10FA" w:rsidP="005D10FA">
      <w:pPr>
        <w:ind w:left="0" w:firstLine="0"/>
      </w:pPr>
    </w:p>
    <w:p w14:paraId="1DBC1B0B" w14:textId="4028E5BD" w:rsidR="002220C8" w:rsidRDefault="00155FB6" w:rsidP="009C2B63">
      <w:pPr>
        <w:pStyle w:val="ListParagraph"/>
        <w:numPr>
          <w:ilvl w:val="0"/>
          <w:numId w:val="15"/>
        </w:numPr>
      </w:pPr>
      <w:r>
        <w:t>In “</w:t>
      </w:r>
      <w:r w:rsidRPr="00117860">
        <w:t>Examining medication reconciliation from a perspective of safety</w:t>
      </w:r>
      <w:r>
        <w:t>”</w:t>
      </w:r>
      <w:r w:rsidR="00B42D24">
        <w:t xml:space="preserve">, </w:t>
      </w:r>
      <w:r>
        <w:t xml:space="preserve"> the authors note, </w:t>
      </w:r>
      <w:r w:rsidR="002220C8">
        <w:t>“</w:t>
      </w:r>
      <w:r w:rsidR="002220C8" w:rsidRPr="00345141">
        <w:t>Recently published, systematically reviewed evidence suggests that there are certain characteristics of medication reconciliation processes that correlate favorably with clinically important patient safety</w:t>
      </w:r>
      <w:r w:rsidR="002220C8">
        <w:t xml:space="preserve"> outcomes. </w:t>
      </w:r>
      <w:r w:rsidR="002220C8" w:rsidRPr="00166DCA">
        <w:t>Although there are varying descriptions of medication reconciliation, one of the most comprehensive</w:t>
      </w:r>
      <w:r w:rsidR="002220C8">
        <w:t xml:space="preserve"> </w:t>
      </w:r>
      <w:r w:rsidR="002220C8" w:rsidRPr="00166DCA">
        <w:t>definitions is the process of identifying and maintaining the most accurate and detailed list of all</w:t>
      </w:r>
      <w:r w:rsidR="002220C8">
        <w:t xml:space="preserve"> </w:t>
      </w:r>
      <w:r w:rsidR="002220C8" w:rsidRPr="00166DCA">
        <w:t>medications, both prescribed and non-prescribed, a patient is utilizing. The identification of these</w:t>
      </w:r>
      <w:r w:rsidR="002220C8">
        <w:t xml:space="preserve"> </w:t>
      </w:r>
      <w:r w:rsidR="002220C8" w:rsidRPr="00166DCA">
        <w:t>medications should include dosage and frequency, as well as documentation of any changes that have</w:t>
      </w:r>
      <w:r w:rsidR="002220C8">
        <w:t xml:space="preserve"> </w:t>
      </w:r>
      <w:r w:rsidR="002220C8" w:rsidRPr="00166DCA">
        <w:t>occurred through all healthcare encounters.</w:t>
      </w:r>
      <w:r w:rsidR="00411C9E">
        <w:t>”</w:t>
      </w:r>
      <w:r w:rsidR="002220C8" w:rsidRPr="00166DCA">
        <w:t xml:space="preserve"> </w:t>
      </w:r>
      <w:r w:rsidR="002220C8">
        <w:t>(Daly et al. 2013, p.1).</w:t>
      </w:r>
    </w:p>
    <w:p w14:paraId="72FCA425" w14:textId="77777777" w:rsidR="002220C8" w:rsidRDefault="002220C8" w:rsidP="002220C8">
      <w:pPr>
        <w:pStyle w:val="ListParagraph"/>
        <w:ind w:firstLine="0"/>
      </w:pPr>
    </w:p>
    <w:p w14:paraId="6E45D682" w14:textId="5466489D" w:rsidR="005D10FA" w:rsidRDefault="005D10FA" w:rsidP="002220C8">
      <w:pPr>
        <w:pStyle w:val="ListParagraph"/>
        <w:ind w:firstLine="0"/>
      </w:pPr>
      <w:proofErr w:type="gramStart"/>
      <w:r w:rsidRPr="00117860">
        <w:t>Daly, M., &amp; Lee, B. (2013).</w:t>
      </w:r>
      <w:proofErr w:type="gramEnd"/>
      <w:r w:rsidRPr="00117860">
        <w:t xml:space="preserve"> </w:t>
      </w:r>
      <w:proofErr w:type="gramStart"/>
      <w:r w:rsidRPr="00117860">
        <w:t>Examining medication reconciliation from a perspective of safety.</w:t>
      </w:r>
      <w:proofErr w:type="gramEnd"/>
      <w:r w:rsidRPr="00117860">
        <w:t xml:space="preserve"> Formulary, 48(8), 266-270.</w:t>
      </w:r>
    </w:p>
    <w:p w14:paraId="08432653" w14:textId="77777777" w:rsidR="005D10FA" w:rsidRDefault="005D10FA" w:rsidP="005D10FA">
      <w:pPr>
        <w:ind w:left="0" w:firstLine="0"/>
      </w:pPr>
    </w:p>
    <w:p w14:paraId="1322039D" w14:textId="6813B4E5" w:rsidR="005D10FA" w:rsidRDefault="005D10FA" w:rsidP="00411C9E">
      <w:pPr>
        <w:pStyle w:val="ListParagraph"/>
        <w:numPr>
          <w:ilvl w:val="0"/>
          <w:numId w:val="15"/>
        </w:numPr>
      </w:pPr>
      <w:r w:rsidRPr="003016A9">
        <w:t>Each year since 2003, the Agency for Healthcare Research and Quality (AHRQ) has reported on progress and opportunities for improving health care quality and reducing health care disparities</w:t>
      </w:r>
      <w:r w:rsidR="0080104D">
        <w:t xml:space="preserve"> in its </w:t>
      </w:r>
      <w:r w:rsidR="0080104D" w:rsidRPr="0080104D">
        <w:t>National Healthcare Disparities report</w:t>
      </w:r>
      <w:r w:rsidRPr="003016A9">
        <w:t>.</w:t>
      </w:r>
      <w:r>
        <w:t xml:space="preserve"> </w:t>
      </w:r>
      <w:r w:rsidR="0080104D">
        <w:t>The most recent report (2013) indicates that m</w:t>
      </w:r>
      <w:r>
        <w:t>ost medication errors</w:t>
      </w:r>
      <w:r w:rsidR="0080104D">
        <w:t xml:space="preserve"> (87%)</w:t>
      </w:r>
      <w:r>
        <w:t xml:space="preserve"> occur in those 18 years of age and older </w:t>
      </w:r>
      <w:r w:rsidR="0080104D">
        <w:t>and suggests that</w:t>
      </w:r>
      <w:r>
        <w:t xml:space="preserve">, </w:t>
      </w:r>
      <w:r w:rsidR="00155FB6">
        <w:t xml:space="preserve">more than one provider </w:t>
      </w:r>
      <w:r>
        <w:t xml:space="preserve">may prescribe medications for the same patient. </w:t>
      </w:r>
      <w:r w:rsidR="00155FB6">
        <w:t>Medication information can be confusing, especially when multiple medication regimens are prescribed</w:t>
      </w:r>
      <w:r w:rsidR="00411C9E">
        <w:t>, as</w:t>
      </w:r>
      <w:r w:rsidR="00155FB6">
        <w:t xml:space="preserve"> </w:t>
      </w:r>
      <w:r w:rsidR="00C3455F">
        <w:t>p</w:t>
      </w:r>
      <w:r>
        <w:t>atients are responsible for keeping track of all their medications</w:t>
      </w:r>
      <w:r w:rsidR="00411C9E">
        <w:t>.</w:t>
      </w:r>
      <w:r>
        <w:t xml:space="preserve"> </w:t>
      </w:r>
      <w:r w:rsidR="00B110CD">
        <w:t>Patients are at greater risk for adverse events related to drug interactions, overdosing, or underdosing</w:t>
      </w:r>
      <w:r w:rsidR="00C3455F">
        <w:t xml:space="preserve"> when there is a</w:t>
      </w:r>
      <w:r w:rsidR="00155FB6">
        <w:t xml:space="preserve"> lack of care coordination</w:t>
      </w:r>
      <w:r w:rsidR="00B110CD">
        <w:t xml:space="preserve"> across providers</w:t>
      </w:r>
      <w:r>
        <w:t xml:space="preserve">, providers need to </w:t>
      </w:r>
      <w:r w:rsidR="00411C9E">
        <w:t>regularly evaluate completely</w:t>
      </w:r>
      <w:r w:rsidR="00C3455F">
        <w:t xml:space="preserve"> a patient’s </w:t>
      </w:r>
      <w:r>
        <w:t>medications to ensure that they are taking what is needed and only what is needed.</w:t>
      </w:r>
      <w:r w:rsidR="00C3455F">
        <w:t xml:space="preserve"> Whittington and Cohen (2004) noted that medication errors and adverse drug </w:t>
      </w:r>
      <w:r w:rsidR="00411C9E">
        <w:t>events are</w:t>
      </w:r>
      <w:r w:rsidR="00C3455F">
        <w:t xml:space="preserve"> reduced when medication reconciliation occurs.</w:t>
      </w:r>
      <w:r>
        <w:t xml:space="preserve"> </w:t>
      </w:r>
      <w:r w:rsidRPr="00117860">
        <w:t>Agency for Health</w:t>
      </w:r>
      <w:r w:rsidR="00552B3D">
        <w:t>care Research and Quality (2014</w:t>
      </w:r>
      <w:r w:rsidRPr="00117860">
        <w:t>).  National Healthcare Disparities Report 2013.  Retrieved from http://www.ahrq.gov/research/findings/nhqrdr/nhdr13/2013nhdr.pdf</w:t>
      </w:r>
    </w:p>
    <w:p w14:paraId="1AF16020" w14:textId="77777777" w:rsidR="005D10FA" w:rsidRDefault="005D10FA" w:rsidP="005D10FA">
      <w:pPr>
        <w:ind w:left="0" w:firstLine="0"/>
      </w:pPr>
    </w:p>
    <w:p w14:paraId="3901670B" w14:textId="73961E4C" w:rsidR="005D10FA" w:rsidRDefault="00C3455F" w:rsidP="005D10FA">
      <w:pPr>
        <w:pStyle w:val="ListParagraph"/>
        <w:numPr>
          <w:ilvl w:val="0"/>
          <w:numId w:val="15"/>
        </w:numPr>
      </w:pPr>
      <w:r>
        <w:t>“</w:t>
      </w:r>
      <w:r w:rsidRPr="00117860">
        <w:t>Adverse Drug Events in U.S. Adult Ambulatory Medical Care</w:t>
      </w:r>
      <w:r>
        <w:t xml:space="preserve">” </w:t>
      </w:r>
      <w:r w:rsidR="00B220EA">
        <w:t>gives an estimation of</w:t>
      </w:r>
      <w:r w:rsidR="005D10FA">
        <w:t xml:space="preserve"> the incidence of ADEs associated with health care visits among US adults across all ambulatory settings.  </w:t>
      </w:r>
      <w:r w:rsidR="00411C9E">
        <w:t>“</w:t>
      </w:r>
      <w:r w:rsidR="009C2B63">
        <w:t xml:space="preserve">Principal Findings: </w:t>
      </w:r>
      <w:r w:rsidR="005D10FA">
        <w:t xml:space="preserve">An estimated 13.5 million ADE-related visits occurred </w:t>
      </w:r>
      <w:proofErr w:type="gramStart"/>
      <w:r w:rsidR="005D10FA">
        <w:t xml:space="preserve">between 2005–2007 </w:t>
      </w:r>
      <w:r w:rsidR="009C2B63" w:rsidRPr="0020764F">
        <w:rPr>
          <w:rFonts w:cs="Times New Roman"/>
        </w:rPr>
        <w:t>(0.5% of all visits)</w:t>
      </w:r>
      <w:proofErr w:type="gramEnd"/>
      <w:r w:rsidR="009C2B63" w:rsidRPr="0020764F">
        <w:rPr>
          <w:rFonts w:cs="Times New Roman"/>
        </w:rPr>
        <w:t xml:space="preserve">, the large majority (72%) occurring in outpatient practice settings, and the remaining in emergency departments. Older patients (age </w:t>
      </w:r>
      <w:r w:rsidR="009C2B63" w:rsidRPr="0020764F">
        <w:rPr>
          <w:rFonts w:eastAsia="Code2000" w:cs="Code2000"/>
        </w:rPr>
        <w:t xml:space="preserve">≥ </w:t>
      </w:r>
      <w:r w:rsidR="009C2B63" w:rsidRPr="0020764F">
        <w:rPr>
          <w:rFonts w:cs="Times New Roman"/>
        </w:rPr>
        <w:t>65 years) had the highest age-specific ADE rate, 3.8 ADEs per 10,000 persons per year. In adjusted analyses of outpatient visits, there was an increased odds of an ADE-related visit with increased medication burden (OR for 6–8 medications compared to no med</w:t>
      </w:r>
      <w:r w:rsidR="009C2B63">
        <w:rPr>
          <w:rFonts w:cs="Times New Roman"/>
        </w:rPr>
        <w:t>ications, (OR 3.83 (2.20, 6.65)</w:t>
      </w:r>
      <w:r w:rsidR="009C2B63" w:rsidRPr="0020764F">
        <w:rPr>
          <w:rFonts w:cs="Times New Roman"/>
        </w:rPr>
        <w:t xml:space="preserve">, and increased odds of ADEs associated with primary care visits compared to specialty visits (OR 2.22 (1.70, 2.89). </w:t>
      </w:r>
      <w:r w:rsidR="009C2B63" w:rsidRPr="0020764F">
        <w:rPr>
          <w:rFonts w:cs="Arial"/>
          <w:bCs/>
        </w:rPr>
        <w:t>Conclusions</w:t>
      </w:r>
      <w:r w:rsidR="009C2B63" w:rsidRPr="0020764F">
        <w:rPr>
          <w:rFonts w:cs="Arial"/>
          <w:b/>
          <w:bCs/>
        </w:rPr>
        <w:t>—</w:t>
      </w:r>
      <w:r w:rsidR="009C2B63" w:rsidRPr="0020764F">
        <w:rPr>
          <w:rFonts w:cs="Times New Roman"/>
        </w:rPr>
        <w:t>Approximately 4.5 million ambulatory visits related to adverse drug events occur each year, the majority of these in outpatient office practices. A greater focus on ADE prevention and detection is warranted among patients receiving multiple medications in primary care practices.</w:t>
      </w:r>
      <w:r w:rsidR="009C2B63">
        <w:rPr>
          <w:rFonts w:cs="Times New Roman"/>
        </w:rPr>
        <w:t>”(</w:t>
      </w:r>
      <w:r w:rsidR="00B220EA" w:rsidRPr="0020764F">
        <w:rPr>
          <w:rFonts w:cs="Times New Roman"/>
        </w:rPr>
        <w:t>Sarkar</w:t>
      </w:r>
      <w:r w:rsidR="009C2B63" w:rsidRPr="0020764F">
        <w:rPr>
          <w:rFonts w:cs="Times New Roman"/>
        </w:rPr>
        <w:t xml:space="preserve"> et al. 2011, p.1)</w:t>
      </w:r>
      <w:r w:rsidR="009C2B63">
        <w:rPr>
          <w:rFonts w:cs="Times New Roman"/>
        </w:rPr>
        <w:t>.</w:t>
      </w:r>
    </w:p>
    <w:p w14:paraId="05DAEC6A" w14:textId="77777777" w:rsidR="005D10FA" w:rsidRDefault="005D10FA" w:rsidP="005D10FA">
      <w:pPr>
        <w:ind w:left="720" w:firstLine="0"/>
      </w:pPr>
      <w:r w:rsidRPr="00117860">
        <w:t xml:space="preserve">Sarkar, U., López, A., Maselli, J.H., Gonzalez, R. (2011). </w:t>
      </w:r>
      <w:proofErr w:type="gramStart"/>
      <w:r w:rsidRPr="00117860">
        <w:t>Adverse Drug Events in U.S. Adult Ambulatory Medical Care.</w:t>
      </w:r>
      <w:proofErr w:type="gramEnd"/>
      <w:r w:rsidRPr="00117860">
        <w:t xml:space="preserve"> Health Services </w:t>
      </w:r>
      <w:r w:rsidR="00B71722" w:rsidRPr="00117860">
        <w:t>Research</w:t>
      </w:r>
      <w:r w:rsidRPr="00117860">
        <w:t>, 46(5), 1517-1533.</w:t>
      </w:r>
    </w:p>
    <w:p w14:paraId="3AAC42B3" w14:textId="77777777" w:rsidR="00B473AC" w:rsidRDefault="00B473AC" w:rsidP="005D10FA">
      <w:pPr>
        <w:ind w:left="720" w:firstLine="0"/>
      </w:pPr>
    </w:p>
    <w:p w14:paraId="7D879C99" w14:textId="548474C0" w:rsidR="00552B3D" w:rsidRPr="00552B3D" w:rsidRDefault="00C3455F" w:rsidP="00552B3D">
      <w:pPr>
        <w:pStyle w:val="ListParagraph"/>
        <w:numPr>
          <w:ilvl w:val="0"/>
          <w:numId w:val="15"/>
        </w:numPr>
      </w:pPr>
      <w:r>
        <w:t xml:space="preserve">In </w:t>
      </w:r>
      <w:r w:rsidR="00B42D24">
        <w:t>“</w:t>
      </w:r>
      <w:r w:rsidRPr="00B473AC">
        <w:t>Considerations for using the 'brown bag' strategy to reconcile medications during routine outpatient office visits</w:t>
      </w:r>
      <w:r>
        <w:t>”,</w:t>
      </w:r>
      <w:r w:rsidR="00B220EA">
        <w:t>”</w:t>
      </w:r>
      <w:r>
        <w:t xml:space="preserve"> a</w:t>
      </w:r>
      <w:r w:rsidR="00552B3D" w:rsidRPr="00552B3D">
        <w:t xml:space="preserve"> cross-sectional pilot study was conducted in a university affiliated community geriatric clinic. Forty-six cognitively intact elders who managed their own medications enrolled. Three medication lists were compared for each patient: provider-documented in patients chart (chart list); researcher-generated by post-appointment semi-structured interview (point-of-care POC] list); post-appointment semi-structured telephone interview (telephone list, reference standard). Excluding route as a variable, 35% of provider-documented chart lists were complete; only 6.5% were accurate. Some 76% of chart-documented medication lists contained inclusion, omission and/ or d</w:t>
      </w:r>
      <w:r w:rsidR="00552B3D">
        <w:t>osing instruction discrepancies.</w:t>
      </w:r>
      <w:r w:rsidR="00552B3D" w:rsidRPr="00552B3D">
        <w:t xml:space="preserve"> Overall, chart lists contained two to three times more discrepanci</w:t>
      </w:r>
      <w:r w:rsidR="00B220EA">
        <w:t>es than lists generated at POC. “(</w:t>
      </w:r>
      <w:r w:rsidR="009C2B63">
        <w:t>Sarzynski et al. 2014 p. 177).</w:t>
      </w:r>
    </w:p>
    <w:p w14:paraId="568F9609" w14:textId="77777777" w:rsidR="00552B3D" w:rsidRDefault="00552B3D" w:rsidP="00552B3D">
      <w:pPr>
        <w:pStyle w:val="ListParagraph"/>
        <w:ind w:firstLine="0"/>
      </w:pPr>
    </w:p>
    <w:p w14:paraId="5D7BCC3B" w14:textId="77777777" w:rsidR="00B473AC" w:rsidRPr="001B772D" w:rsidRDefault="00B473AC" w:rsidP="00552B3D">
      <w:pPr>
        <w:pStyle w:val="ListParagraph"/>
        <w:ind w:firstLine="0"/>
      </w:pPr>
      <w:r w:rsidRPr="00B473AC">
        <w:t xml:space="preserve">Sarzynski, E., M., Luz, C., C., Rios-Bedoya, C., &amp; Zhou, S. (2014). </w:t>
      </w:r>
      <w:proofErr w:type="gramStart"/>
      <w:r w:rsidRPr="00B473AC">
        <w:t>Considerations for using the 'brown bag' strategy to reconcile medications during routine outpatient office visits.</w:t>
      </w:r>
      <w:proofErr w:type="gramEnd"/>
      <w:r w:rsidRPr="00B473AC">
        <w:t xml:space="preserve"> Quality in Primary Care, 22(4), 177-187.</w:t>
      </w:r>
    </w:p>
    <w:p w14:paraId="7156E206" w14:textId="77777777" w:rsidR="005D10FA" w:rsidRDefault="005D10FA" w:rsidP="005D10FA">
      <w:pPr>
        <w:pStyle w:val="ListParagraph"/>
        <w:ind w:firstLine="0"/>
      </w:pPr>
    </w:p>
    <w:p w14:paraId="2D2A0448" w14:textId="77777777" w:rsidR="005D10FA" w:rsidRDefault="005D10FA" w:rsidP="005D10FA">
      <w:pPr>
        <w:pStyle w:val="ListParagraph"/>
        <w:ind w:firstLine="0"/>
      </w:pPr>
    </w:p>
    <w:p w14:paraId="3FF2FAA0" w14:textId="77777777" w:rsidR="00125CC8" w:rsidRDefault="00125CC8" w:rsidP="002E2177">
      <w:pPr>
        <w:ind w:left="0" w:firstLine="0"/>
      </w:pPr>
    </w:p>
    <w:p w14:paraId="67859601" w14:textId="77777777" w:rsidR="00125CC8" w:rsidRDefault="00125CC8" w:rsidP="002E2177">
      <w:pPr>
        <w:ind w:left="0" w:firstLine="0"/>
      </w:pPr>
    </w:p>
    <w:p w14:paraId="0AD881F4" w14:textId="77777777" w:rsidR="00190733" w:rsidRPr="001B772D" w:rsidRDefault="00190733" w:rsidP="00AC3134">
      <w:pPr>
        <w:ind w:left="0" w:firstLine="0"/>
      </w:pPr>
    </w:p>
    <w:sectPr w:rsidR="00190733" w:rsidRPr="001B772D">
      <w:headerReference w:type="default" r:id="rId22"/>
      <w:footerReference w:type="default" r:id="rId2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02CB47" w15:done="0"/>
  <w15:commentEx w15:paraId="40100C3A" w15:done="0"/>
  <w15:commentEx w15:paraId="27E3C2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3A9EC" w14:textId="77777777" w:rsidR="009C3671" w:rsidRDefault="009C3671" w:rsidP="007E37A5">
      <w:r>
        <w:separator/>
      </w:r>
    </w:p>
  </w:endnote>
  <w:endnote w:type="continuationSeparator" w:id="0">
    <w:p w14:paraId="1F0AA755" w14:textId="77777777" w:rsidR="009C3671" w:rsidRDefault="009C367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de20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DA4D" w14:textId="77777777" w:rsidR="00B33918" w:rsidRDefault="00B33918">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9520E">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AAF38" w14:textId="77777777" w:rsidR="009C3671" w:rsidRDefault="009C3671" w:rsidP="007E37A5">
      <w:r>
        <w:separator/>
      </w:r>
    </w:p>
  </w:footnote>
  <w:footnote w:type="continuationSeparator" w:id="0">
    <w:p w14:paraId="0EFB897E" w14:textId="77777777" w:rsidR="009C3671" w:rsidRDefault="009C367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9B9C3" w14:textId="77777777" w:rsidR="00B33918" w:rsidRDefault="00B33918"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BF9"/>
    <w:multiLevelType w:val="hybridMultilevel"/>
    <w:tmpl w:val="11AEC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D4161"/>
    <w:multiLevelType w:val="hybridMultilevel"/>
    <w:tmpl w:val="B780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EE5F68"/>
    <w:multiLevelType w:val="hybridMultilevel"/>
    <w:tmpl w:val="5582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DF37EC"/>
    <w:multiLevelType w:val="hybridMultilevel"/>
    <w:tmpl w:val="BD921F30"/>
    <w:lvl w:ilvl="0" w:tplc="6662491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1D533A26"/>
    <w:multiLevelType w:val="hybridMultilevel"/>
    <w:tmpl w:val="26DE8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22D7C2D"/>
    <w:multiLevelType w:val="hybridMultilevel"/>
    <w:tmpl w:val="EBE8B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E4E276B"/>
    <w:multiLevelType w:val="hybridMultilevel"/>
    <w:tmpl w:val="BB5A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8"/>
  </w:num>
  <w:num w:numId="6">
    <w:abstractNumId w:val="7"/>
  </w:num>
  <w:num w:numId="7">
    <w:abstractNumId w:val="14"/>
  </w:num>
  <w:num w:numId="8">
    <w:abstractNumId w:val="13"/>
  </w:num>
  <w:num w:numId="9">
    <w:abstractNumId w:val="3"/>
  </w:num>
  <w:num w:numId="10">
    <w:abstractNumId w:val="12"/>
  </w:num>
  <w:num w:numId="11">
    <w:abstractNumId w:val="1"/>
  </w:num>
  <w:num w:numId="12">
    <w:abstractNumId w:val="0"/>
  </w:num>
  <w:num w:numId="13">
    <w:abstractNumId w:val="4"/>
  </w:num>
  <w:num w:numId="14">
    <w:abstractNumId w:val="2"/>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yssa Crawford">
    <w15:presenceInfo w15:providerId="None" w15:userId="Alyssa Craw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43F0C"/>
    <w:rsid w:val="00052C0B"/>
    <w:rsid w:val="000540F6"/>
    <w:rsid w:val="00061CF3"/>
    <w:rsid w:val="00063601"/>
    <w:rsid w:val="00073079"/>
    <w:rsid w:val="0007593F"/>
    <w:rsid w:val="000900E2"/>
    <w:rsid w:val="00094EDB"/>
    <w:rsid w:val="00095EC9"/>
    <w:rsid w:val="00096A37"/>
    <w:rsid w:val="000A0116"/>
    <w:rsid w:val="000A0810"/>
    <w:rsid w:val="000A517D"/>
    <w:rsid w:val="000B0C6D"/>
    <w:rsid w:val="000B2E77"/>
    <w:rsid w:val="000B627F"/>
    <w:rsid w:val="000D649E"/>
    <w:rsid w:val="000D6D06"/>
    <w:rsid w:val="000E436E"/>
    <w:rsid w:val="00101493"/>
    <w:rsid w:val="00114848"/>
    <w:rsid w:val="00120934"/>
    <w:rsid w:val="00120B3E"/>
    <w:rsid w:val="00125CC8"/>
    <w:rsid w:val="00132070"/>
    <w:rsid w:val="0013595F"/>
    <w:rsid w:val="00141875"/>
    <w:rsid w:val="0014347E"/>
    <w:rsid w:val="00154438"/>
    <w:rsid w:val="001551F6"/>
    <w:rsid w:val="0015535B"/>
    <w:rsid w:val="00155FB6"/>
    <w:rsid w:val="00162036"/>
    <w:rsid w:val="00162A70"/>
    <w:rsid w:val="001632DD"/>
    <w:rsid w:val="00176E60"/>
    <w:rsid w:val="00190733"/>
    <w:rsid w:val="00194D9A"/>
    <w:rsid w:val="001A1324"/>
    <w:rsid w:val="001A196B"/>
    <w:rsid w:val="001A6D05"/>
    <w:rsid w:val="001B38BF"/>
    <w:rsid w:val="001B772D"/>
    <w:rsid w:val="001D3933"/>
    <w:rsid w:val="001D5B5D"/>
    <w:rsid w:val="001D5F40"/>
    <w:rsid w:val="001E5264"/>
    <w:rsid w:val="001E6153"/>
    <w:rsid w:val="001F695D"/>
    <w:rsid w:val="001F74B9"/>
    <w:rsid w:val="00201FF9"/>
    <w:rsid w:val="00205857"/>
    <w:rsid w:val="002220C8"/>
    <w:rsid w:val="00235ADC"/>
    <w:rsid w:val="00236F87"/>
    <w:rsid w:val="00265702"/>
    <w:rsid w:val="002662B2"/>
    <w:rsid w:val="002717C7"/>
    <w:rsid w:val="00276054"/>
    <w:rsid w:val="002875E9"/>
    <w:rsid w:val="00287EB3"/>
    <w:rsid w:val="002A47BA"/>
    <w:rsid w:val="002A6777"/>
    <w:rsid w:val="002B06BD"/>
    <w:rsid w:val="002B22CA"/>
    <w:rsid w:val="002C0E48"/>
    <w:rsid w:val="002C6F04"/>
    <w:rsid w:val="002E2177"/>
    <w:rsid w:val="002E2E41"/>
    <w:rsid w:val="002E78CD"/>
    <w:rsid w:val="002F20A7"/>
    <w:rsid w:val="002F341D"/>
    <w:rsid w:val="003008F4"/>
    <w:rsid w:val="003016A9"/>
    <w:rsid w:val="00302B1D"/>
    <w:rsid w:val="00307FA5"/>
    <w:rsid w:val="00324D64"/>
    <w:rsid w:val="00335482"/>
    <w:rsid w:val="00340609"/>
    <w:rsid w:val="003419EC"/>
    <w:rsid w:val="003434BD"/>
    <w:rsid w:val="003524DB"/>
    <w:rsid w:val="00352B52"/>
    <w:rsid w:val="0035760D"/>
    <w:rsid w:val="00363803"/>
    <w:rsid w:val="00363ECC"/>
    <w:rsid w:val="00376C2B"/>
    <w:rsid w:val="00383118"/>
    <w:rsid w:val="0038362B"/>
    <w:rsid w:val="0039020B"/>
    <w:rsid w:val="00395263"/>
    <w:rsid w:val="003956E0"/>
    <w:rsid w:val="0039609A"/>
    <w:rsid w:val="00397500"/>
    <w:rsid w:val="003A7A01"/>
    <w:rsid w:val="003B1CC5"/>
    <w:rsid w:val="003B2083"/>
    <w:rsid w:val="003B62FA"/>
    <w:rsid w:val="003B65CE"/>
    <w:rsid w:val="003C1C84"/>
    <w:rsid w:val="003C4B12"/>
    <w:rsid w:val="003C5832"/>
    <w:rsid w:val="003C7351"/>
    <w:rsid w:val="003D0346"/>
    <w:rsid w:val="003D4551"/>
    <w:rsid w:val="003E039E"/>
    <w:rsid w:val="003E1D0E"/>
    <w:rsid w:val="0040186A"/>
    <w:rsid w:val="004035E3"/>
    <w:rsid w:val="00407796"/>
    <w:rsid w:val="00411904"/>
    <w:rsid w:val="00411C9E"/>
    <w:rsid w:val="004207CC"/>
    <w:rsid w:val="00421A74"/>
    <w:rsid w:val="00422917"/>
    <w:rsid w:val="00427F8C"/>
    <w:rsid w:val="00433B0F"/>
    <w:rsid w:val="00440687"/>
    <w:rsid w:val="0044131D"/>
    <w:rsid w:val="004413A9"/>
    <w:rsid w:val="00441ADA"/>
    <w:rsid w:val="00445AFB"/>
    <w:rsid w:val="00452A76"/>
    <w:rsid w:val="0045732A"/>
    <w:rsid w:val="00457E46"/>
    <w:rsid w:val="00470FAC"/>
    <w:rsid w:val="00475218"/>
    <w:rsid w:val="00477FF9"/>
    <w:rsid w:val="00480B82"/>
    <w:rsid w:val="004958E4"/>
    <w:rsid w:val="00496AF8"/>
    <w:rsid w:val="004A575D"/>
    <w:rsid w:val="004B65C6"/>
    <w:rsid w:val="004C7F39"/>
    <w:rsid w:val="004D1DC7"/>
    <w:rsid w:val="004D432A"/>
    <w:rsid w:val="004E0027"/>
    <w:rsid w:val="004E2B76"/>
    <w:rsid w:val="004F52B6"/>
    <w:rsid w:val="004F7D7E"/>
    <w:rsid w:val="00500B0C"/>
    <w:rsid w:val="00502909"/>
    <w:rsid w:val="00510D73"/>
    <w:rsid w:val="00513A66"/>
    <w:rsid w:val="00537150"/>
    <w:rsid w:val="00537BB8"/>
    <w:rsid w:val="00540984"/>
    <w:rsid w:val="00543851"/>
    <w:rsid w:val="00544A8E"/>
    <w:rsid w:val="00552B3D"/>
    <w:rsid w:val="0055559D"/>
    <w:rsid w:val="005569AE"/>
    <w:rsid w:val="00583314"/>
    <w:rsid w:val="005857F8"/>
    <w:rsid w:val="005862E5"/>
    <w:rsid w:val="005A7C6D"/>
    <w:rsid w:val="005B0D18"/>
    <w:rsid w:val="005B12C3"/>
    <w:rsid w:val="005B409D"/>
    <w:rsid w:val="005B55DD"/>
    <w:rsid w:val="005D0FDB"/>
    <w:rsid w:val="005D10FA"/>
    <w:rsid w:val="005D25E9"/>
    <w:rsid w:val="005D6D59"/>
    <w:rsid w:val="00604638"/>
    <w:rsid w:val="00604BD1"/>
    <w:rsid w:val="00617390"/>
    <w:rsid w:val="00623420"/>
    <w:rsid w:val="00627982"/>
    <w:rsid w:val="00630048"/>
    <w:rsid w:val="006337F6"/>
    <w:rsid w:val="00634768"/>
    <w:rsid w:val="0063596F"/>
    <w:rsid w:val="006709EB"/>
    <w:rsid w:val="00672824"/>
    <w:rsid w:val="00674287"/>
    <w:rsid w:val="0068184A"/>
    <w:rsid w:val="0068666E"/>
    <w:rsid w:val="00691EC2"/>
    <w:rsid w:val="00692AE1"/>
    <w:rsid w:val="00693646"/>
    <w:rsid w:val="0069520E"/>
    <w:rsid w:val="006B06A0"/>
    <w:rsid w:val="006B5C51"/>
    <w:rsid w:val="006C4FFA"/>
    <w:rsid w:val="006C7F30"/>
    <w:rsid w:val="006D3943"/>
    <w:rsid w:val="006E6FDD"/>
    <w:rsid w:val="006F4B7F"/>
    <w:rsid w:val="006F760B"/>
    <w:rsid w:val="00701CC3"/>
    <w:rsid w:val="00724801"/>
    <w:rsid w:val="00727D4A"/>
    <w:rsid w:val="00734949"/>
    <w:rsid w:val="00736AEC"/>
    <w:rsid w:val="00736E0F"/>
    <w:rsid w:val="007434FA"/>
    <w:rsid w:val="0075038F"/>
    <w:rsid w:val="0075406C"/>
    <w:rsid w:val="007573F0"/>
    <w:rsid w:val="00762C31"/>
    <w:rsid w:val="00765156"/>
    <w:rsid w:val="00767669"/>
    <w:rsid w:val="00773485"/>
    <w:rsid w:val="00776E8F"/>
    <w:rsid w:val="00776F6D"/>
    <w:rsid w:val="00780C0E"/>
    <w:rsid w:val="0078303A"/>
    <w:rsid w:val="00793B7B"/>
    <w:rsid w:val="00794F19"/>
    <w:rsid w:val="007A1ED9"/>
    <w:rsid w:val="007A21FF"/>
    <w:rsid w:val="007C0297"/>
    <w:rsid w:val="007C1887"/>
    <w:rsid w:val="007C48C8"/>
    <w:rsid w:val="007C50DC"/>
    <w:rsid w:val="007D4775"/>
    <w:rsid w:val="007D5DC6"/>
    <w:rsid w:val="007E37A5"/>
    <w:rsid w:val="007F49D8"/>
    <w:rsid w:val="0080104D"/>
    <w:rsid w:val="00805940"/>
    <w:rsid w:val="00827092"/>
    <w:rsid w:val="0083275D"/>
    <w:rsid w:val="008357EB"/>
    <w:rsid w:val="00837121"/>
    <w:rsid w:val="00845954"/>
    <w:rsid w:val="008471E5"/>
    <w:rsid w:val="00850C35"/>
    <w:rsid w:val="00851466"/>
    <w:rsid w:val="0086258D"/>
    <w:rsid w:val="00863E43"/>
    <w:rsid w:val="008647C3"/>
    <w:rsid w:val="00864A5F"/>
    <w:rsid w:val="008659ED"/>
    <w:rsid w:val="00870987"/>
    <w:rsid w:val="0087564A"/>
    <w:rsid w:val="00881160"/>
    <w:rsid w:val="0088371C"/>
    <w:rsid w:val="008A3D87"/>
    <w:rsid w:val="008A45F3"/>
    <w:rsid w:val="008A7CED"/>
    <w:rsid w:val="008B06F3"/>
    <w:rsid w:val="008B51D9"/>
    <w:rsid w:val="008B652E"/>
    <w:rsid w:val="008B77F3"/>
    <w:rsid w:val="008C5207"/>
    <w:rsid w:val="008F1DC6"/>
    <w:rsid w:val="008F2CBA"/>
    <w:rsid w:val="008F615E"/>
    <w:rsid w:val="009027ED"/>
    <w:rsid w:val="00905C5B"/>
    <w:rsid w:val="00923295"/>
    <w:rsid w:val="00925F11"/>
    <w:rsid w:val="00933CC8"/>
    <w:rsid w:val="00935265"/>
    <w:rsid w:val="009369EC"/>
    <w:rsid w:val="0094689F"/>
    <w:rsid w:val="009477D6"/>
    <w:rsid w:val="00953ED3"/>
    <w:rsid w:val="00965FF6"/>
    <w:rsid w:val="009846D6"/>
    <w:rsid w:val="0098657F"/>
    <w:rsid w:val="00995E81"/>
    <w:rsid w:val="009A3236"/>
    <w:rsid w:val="009B5A93"/>
    <w:rsid w:val="009B5BEA"/>
    <w:rsid w:val="009C291F"/>
    <w:rsid w:val="009C2B63"/>
    <w:rsid w:val="009C3671"/>
    <w:rsid w:val="009C6912"/>
    <w:rsid w:val="009C7623"/>
    <w:rsid w:val="009E37BD"/>
    <w:rsid w:val="009E6B86"/>
    <w:rsid w:val="00A03301"/>
    <w:rsid w:val="00A12762"/>
    <w:rsid w:val="00A13867"/>
    <w:rsid w:val="00A17BC9"/>
    <w:rsid w:val="00A26FED"/>
    <w:rsid w:val="00A421D4"/>
    <w:rsid w:val="00A44FF0"/>
    <w:rsid w:val="00A50872"/>
    <w:rsid w:val="00A50E55"/>
    <w:rsid w:val="00A67EB1"/>
    <w:rsid w:val="00A845F6"/>
    <w:rsid w:val="00A912D8"/>
    <w:rsid w:val="00A91A47"/>
    <w:rsid w:val="00A9329A"/>
    <w:rsid w:val="00A95D2B"/>
    <w:rsid w:val="00AA3EA6"/>
    <w:rsid w:val="00AA5587"/>
    <w:rsid w:val="00AB4260"/>
    <w:rsid w:val="00AB4AFC"/>
    <w:rsid w:val="00AB6E6B"/>
    <w:rsid w:val="00AC1E53"/>
    <w:rsid w:val="00AC3134"/>
    <w:rsid w:val="00AD79C8"/>
    <w:rsid w:val="00AE6CE0"/>
    <w:rsid w:val="00AF3D7A"/>
    <w:rsid w:val="00B058A6"/>
    <w:rsid w:val="00B110CD"/>
    <w:rsid w:val="00B117D0"/>
    <w:rsid w:val="00B13998"/>
    <w:rsid w:val="00B15500"/>
    <w:rsid w:val="00B220EA"/>
    <w:rsid w:val="00B33918"/>
    <w:rsid w:val="00B42D24"/>
    <w:rsid w:val="00B439DD"/>
    <w:rsid w:val="00B444AC"/>
    <w:rsid w:val="00B473AC"/>
    <w:rsid w:val="00B509B2"/>
    <w:rsid w:val="00B52E0F"/>
    <w:rsid w:val="00B55AE3"/>
    <w:rsid w:val="00B71722"/>
    <w:rsid w:val="00B74629"/>
    <w:rsid w:val="00B91F58"/>
    <w:rsid w:val="00B96241"/>
    <w:rsid w:val="00B971B6"/>
    <w:rsid w:val="00BA0089"/>
    <w:rsid w:val="00BA579E"/>
    <w:rsid w:val="00BB4F61"/>
    <w:rsid w:val="00BD58E9"/>
    <w:rsid w:val="00BE2295"/>
    <w:rsid w:val="00BE6373"/>
    <w:rsid w:val="00BF227D"/>
    <w:rsid w:val="00BF533A"/>
    <w:rsid w:val="00C00871"/>
    <w:rsid w:val="00C1447B"/>
    <w:rsid w:val="00C3455F"/>
    <w:rsid w:val="00C46677"/>
    <w:rsid w:val="00C5180E"/>
    <w:rsid w:val="00C54E40"/>
    <w:rsid w:val="00C55F56"/>
    <w:rsid w:val="00C57BA4"/>
    <w:rsid w:val="00C613EB"/>
    <w:rsid w:val="00C70AD7"/>
    <w:rsid w:val="00C71458"/>
    <w:rsid w:val="00C84623"/>
    <w:rsid w:val="00CA31EE"/>
    <w:rsid w:val="00CB06C9"/>
    <w:rsid w:val="00CB1E41"/>
    <w:rsid w:val="00CB271C"/>
    <w:rsid w:val="00CC3D5E"/>
    <w:rsid w:val="00CE1ABB"/>
    <w:rsid w:val="00CE4941"/>
    <w:rsid w:val="00CE4F96"/>
    <w:rsid w:val="00CE5C83"/>
    <w:rsid w:val="00CE75C9"/>
    <w:rsid w:val="00CF0AB1"/>
    <w:rsid w:val="00CF3DF8"/>
    <w:rsid w:val="00CF4B9B"/>
    <w:rsid w:val="00CF55E6"/>
    <w:rsid w:val="00CF772F"/>
    <w:rsid w:val="00CF7C1D"/>
    <w:rsid w:val="00D048DB"/>
    <w:rsid w:val="00D14F0B"/>
    <w:rsid w:val="00D178CA"/>
    <w:rsid w:val="00D218EA"/>
    <w:rsid w:val="00D3311C"/>
    <w:rsid w:val="00D53405"/>
    <w:rsid w:val="00D5457B"/>
    <w:rsid w:val="00D72995"/>
    <w:rsid w:val="00D9690A"/>
    <w:rsid w:val="00DA7FA2"/>
    <w:rsid w:val="00DC2D8D"/>
    <w:rsid w:val="00DC67EE"/>
    <w:rsid w:val="00DD6B6F"/>
    <w:rsid w:val="00DE1F5D"/>
    <w:rsid w:val="00DE206D"/>
    <w:rsid w:val="00DE50D8"/>
    <w:rsid w:val="00DE5CF1"/>
    <w:rsid w:val="00DF278A"/>
    <w:rsid w:val="00DF53B3"/>
    <w:rsid w:val="00DF6120"/>
    <w:rsid w:val="00E00867"/>
    <w:rsid w:val="00E1664B"/>
    <w:rsid w:val="00E30D12"/>
    <w:rsid w:val="00E32437"/>
    <w:rsid w:val="00E3394E"/>
    <w:rsid w:val="00E35241"/>
    <w:rsid w:val="00E41417"/>
    <w:rsid w:val="00E536D3"/>
    <w:rsid w:val="00E55A7B"/>
    <w:rsid w:val="00E57BE2"/>
    <w:rsid w:val="00E62A95"/>
    <w:rsid w:val="00E746A2"/>
    <w:rsid w:val="00E868BF"/>
    <w:rsid w:val="00E90D06"/>
    <w:rsid w:val="00E96851"/>
    <w:rsid w:val="00E97E59"/>
    <w:rsid w:val="00EA79C9"/>
    <w:rsid w:val="00EB4325"/>
    <w:rsid w:val="00EB66AC"/>
    <w:rsid w:val="00EC1310"/>
    <w:rsid w:val="00EC2247"/>
    <w:rsid w:val="00EC29E8"/>
    <w:rsid w:val="00EE1F87"/>
    <w:rsid w:val="00EE3931"/>
    <w:rsid w:val="00EE40D7"/>
    <w:rsid w:val="00EE5AF6"/>
    <w:rsid w:val="00EF2CEF"/>
    <w:rsid w:val="00F014A1"/>
    <w:rsid w:val="00F058C5"/>
    <w:rsid w:val="00F071C1"/>
    <w:rsid w:val="00F1092D"/>
    <w:rsid w:val="00F31214"/>
    <w:rsid w:val="00F320C8"/>
    <w:rsid w:val="00F3601E"/>
    <w:rsid w:val="00F42C20"/>
    <w:rsid w:val="00F431D8"/>
    <w:rsid w:val="00F6494B"/>
    <w:rsid w:val="00F67706"/>
    <w:rsid w:val="00F7141B"/>
    <w:rsid w:val="00F731F7"/>
    <w:rsid w:val="00F84573"/>
    <w:rsid w:val="00F92D75"/>
    <w:rsid w:val="00F97327"/>
    <w:rsid w:val="00FA296F"/>
    <w:rsid w:val="00FA7323"/>
    <w:rsid w:val="00FA7F67"/>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2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TableofFigures">
    <w:name w:val="table of figures"/>
    <w:basedOn w:val="Normal"/>
    <w:next w:val="Normal"/>
    <w:uiPriority w:val="99"/>
    <w:semiHidden/>
    <w:unhideWhenUsed/>
    <w:rsid w:val="003D4551"/>
    <w:pPr>
      <w:ind w:left="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TableofFigures">
    <w:name w:val="table of figures"/>
    <w:basedOn w:val="Normal"/>
    <w:next w:val="Normal"/>
    <w:uiPriority w:val="99"/>
    <w:semiHidden/>
    <w:unhideWhenUsed/>
    <w:rsid w:val="003D4551"/>
    <w:pPr>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23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wwwh.ama-assn.org/resources/doc/cqi/med-rec-monograph.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qualityforum.org/Projects/Safe_Practices_2010.aspx" TargetMode="Externa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ahrq.gov/research/findings/nhqrdr/nhqr11/chap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jointcommission.org/assets/1/6/2015_NPSG_AHC1.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header" Target="header1.xml"/><Relationship Id="rId27"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de2000">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03208"/>
    <w:rsid w:val="000D558C"/>
    <w:rsid w:val="00160241"/>
    <w:rsid w:val="00164EAB"/>
    <w:rsid w:val="00261EF1"/>
    <w:rsid w:val="002B5F47"/>
    <w:rsid w:val="00395BEB"/>
    <w:rsid w:val="003A1E4B"/>
    <w:rsid w:val="003E19EE"/>
    <w:rsid w:val="0041379C"/>
    <w:rsid w:val="00455EB5"/>
    <w:rsid w:val="00461C1C"/>
    <w:rsid w:val="00485822"/>
    <w:rsid w:val="004E2027"/>
    <w:rsid w:val="004F654C"/>
    <w:rsid w:val="00541443"/>
    <w:rsid w:val="005F21F3"/>
    <w:rsid w:val="00605479"/>
    <w:rsid w:val="00647AC7"/>
    <w:rsid w:val="006B685C"/>
    <w:rsid w:val="00724443"/>
    <w:rsid w:val="007C629C"/>
    <w:rsid w:val="008F6A9B"/>
    <w:rsid w:val="00970A3F"/>
    <w:rsid w:val="00B11BB4"/>
    <w:rsid w:val="00BE0F2D"/>
    <w:rsid w:val="00BE3565"/>
    <w:rsid w:val="00C03643"/>
    <w:rsid w:val="00C2797F"/>
    <w:rsid w:val="00C80225"/>
    <w:rsid w:val="00C83616"/>
    <w:rsid w:val="00CB44CA"/>
    <w:rsid w:val="00D228C9"/>
    <w:rsid w:val="00DB5324"/>
    <w:rsid w:val="00E42062"/>
    <w:rsid w:val="00E97654"/>
    <w:rsid w:val="00EA555A"/>
    <w:rsid w:val="00F87EB9"/>
    <w:rsid w:val="00FC30A1"/>
    <w:rsid w:val="00FE1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12721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A7A1A-BC35-495F-A967-43C425782B89}">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2.xml><?xml version="1.0" encoding="utf-8"?>
<ds:datastoreItem xmlns:ds="http://schemas.openxmlformats.org/officeDocument/2006/customXml" ds:itemID="{0356BA9C-10EA-4937-A4B4-A8E8451E1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57F53-8524-4024-83A0-D4B1B86FA623}">
  <ds:schemaRefs>
    <ds:schemaRef ds:uri="http://schemas.microsoft.com/sharepoint/v3/contenttype/forms"/>
  </ds:schemaRefs>
</ds:datastoreItem>
</file>

<file path=customXml/itemProps4.xml><?xml version="1.0" encoding="utf-8"?>
<ds:datastoreItem xmlns:ds="http://schemas.openxmlformats.org/officeDocument/2006/customXml" ds:itemID="{472D917C-1AC6-4265-A3AB-67295F2F7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5505</Words>
  <Characters>31380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Stump, Terra</cp:lastModifiedBy>
  <cp:revision>3</cp:revision>
  <dcterms:created xsi:type="dcterms:W3CDTF">2015-04-08T15:07:00Z</dcterms:created>
  <dcterms:modified xsi:type="dcterms:W3CDTF">2015-04-09T15:04:00Z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dlc_DocIdItemGuid">
    <vt:lpwstr>1ca169cb-2bab-4d93-8bf4-226df31ed0ce</vt:lpwstr>
  </property>
</Properties>
</file>