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5810E1"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0D5810E2" w14:textId="77777777" w:rsidR="00496AF8" w:rsidRPr="00496AF8" w:rsidRDefault="00496AF8" w:rsidP="002E2177">
      <w:pPr>
        <w:ind w:left="0" w:firstLine="0"/>
        <w:rPr>
          <w:noProof/>
        </w:rPr>
      </w:pPr>
    </w:p>
    <w:p w14:paraId="0D5810E3" w14:textId="477179A7"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9C663E">
            <w:rPr>
              <w:rStyle w:val="Style1"/>
            </w:rPr>
            <w:t>0420</w:t>
          </w:r>
        </w:sdtContent>
      </w:sdt>
    </w:p>
    <w:p w14:paraId="0D5810E4" w14:textId="49B519A9"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9C663E">
            <w:rPr>
              <w:rStyle w:val="Style1"/>
            </w:rPr>
            <w:t>Pain Assessment and Follow-Up</w:t>
          </w:r>
        </w:sdtContent>
      </w:sdt>
    </w:p>
    <w:p w14:paraId="0D5810E5" w14:textId="7B7C74AC" w:rsidR="00E97E59" w:rsidRPr="003B1CC5" w:rsidRDefault="00024526" w:rsidP="002E2177">
      <w:pPr>
        <w:ind w:left="0" w:firstLine="0"/>
        <w:rPr>
          <w:b/>
          <w:noProof/>
        </w:rPr>
      </w:pPr>
      <w:r w:rsidRPr="003B1CC5">
        <w:rPr>
          <w:b/>
          <w:noProof/>
        </w:rPr>
        <w:t xml:space="preserve">IF </w:t>
      </w:r>
      <w:r w:rsidR="00176E60" w:rsidRPr="003B1CC5">
        <w:rPr>
          <w:b/>
          <w:noProof/>
        </w:rPr>
        <w:t xml:space="preserve">the measure is </w:t>
      </w:r>
      <w:r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00E97E59" w:rsidRPr="003B1CC5">
        <w:rPr>
          <w:b/>
          <w:noProof/>
        </w:rPr>
        <w:t>Compo</w:t>
      </w:r>
      <w:r w:rsidR="00736E0F" w:rsidRPr="003B1CC5">
        <w:rPr>
          <w:b/>
          <w:noProof/>
        </w:rPr>
        <w:t>site</w:t>
      </w:r>
      <w:r w:rsidR="00E97E59" w:rsidRPr="003B1CC5">
        <w:rPr>
          <w:b/>
          <w:noProof/>
        </w:rPr>
        <w:t xml:space="preserve"> Measure </w:t>
      </w:r>
      <w:r w:rsidR="00114848" w:rsidRPr="003B1CC5">
        <w:rPr>
          <w:b/>
          <w:noProof/>
        </w:rPr>
        <w:t>here</w:t>
      </w:r>
      <w:r w:rsidR="00E97E59" w:rsidRPr="003B1CC5">
        <w:rPr>
          <w:b/>
          <w:noProof/>
        </w:rPr>
        <w:t>:</w:t>
      </w:r>
      <w:r w:rsidR="00E97E59"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00E97E59"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00E97E59"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00E97E59" w:rsidRPr="003B1CC5">
            <w:rPr>
              <w:rStyle w:val="PlaceholderText"/>
              <w:rFonts w:cstheme="minorHAnsi"/>
              <w:color w:val="A6A6A6" w:themeColor="background1" w:themeShade="A6"/>
            </w:rPr>
            <w:t xml:space="preserve"> title</w:t>
          </w:r>
        </w:sdtContent>
      </w:sdt>
    </w:p>
    <w:p w14:paraId="0D5810E6" w14:textId="77777777" w:rsidR="00114848" w:rsidRPr="003B1CC5" w:rsidRDefault="00114848" w:rsidP="002E2177">
      <w:pPr>
        <w:ind w:left="0" w:firstLine="0"/>
        <w:rPr>
          <w:b/>
          <w:noProof/>
        </w:rPr>
      </w:pPr>
      <w:bookmarkStart w:id="0" w:name="_GoBack"/>
      <w:bookmarkEnd w:id="0"/>
    </w:p>
    <w:p w14:paraId="0D5810E8" w14:textId="3C50DD38" w:rsidR="00176E60" w:rsidRDefault="00496AF8" w:rsidP="00345B49">
      <w:pPr>
        <w:tabs>
          <w:tab w:val="left" w:pos="3660"/>
        </w:tabs>
        <w:ind w:left="0" w:firstLine="0"/>
        <w:rPr>
          <w:noProof/>
        </w:rPr>
      </w:pPr>
      <w:r w:rsidRPr="003B1CC5">
        <w:rPr>
          <w:b/>
          <w:noProof/>
        </w:rPr>
        <w:t>Date of Submission</w:t>
      </w:r>
      <w:r w:rsidRPr="003B1CC5">
        <w:rPr>
          <w:noProof/>
        </w:rPr>
        <w:t xml:space="preserve">:  </w:t>
      </w:r>
      <w:sdt>
        <w:sdtPr>
          <w:rPr>
            <w:rStyle w:val="Style2"/>
            <w:u w:val="none"/>
          </w:rPr>
          <w:id w:val="-1689821638"/>
          <w:placeholder>
            <w:docPart w:val="6A100845774148B09AFD987423307E3B"/>
          </w:placeholder>
          <w:date w:fullDate="2016-03-30T00:00:00Z">
            <w:dateFormat w:val="M/d/yyyy"/>
            <w:lid w:val="en-US"/>
            <w:storeMappedDataAs w:val="dateTime"/>
            <w:calendar w:val="gregorian"/>
          </w:date>
        </w:sdtPr>
        <w:sdtEndPr>
          <w:rPr>
            <w:rStyle w:val="DefaultParagraphFont"/>
            <w:noProof/>
            <w:color w:val="auto"/>
          </w:rPr>
        </w:sdtEndPr>
        <w:sdtContent>
          <w:r w:rsidR="00345B49" w:rsidRPr="00345B49">
            <w:rPr>
              <w:rStyle w:val="Style2"/>
              <w:u w:val="none"/>
            </w:rPr>
            <w:t>3/30/2016</w:t>
          </w:r>
        </w:sdtContent>
      </w:sdt>
      <w:r w:rsidR="00345B49">
        <w:rPr>
          <w:noProof/>
        </w:rPr>
        <w:tab/>
      </w:r>
    </w:p>
    <w:p w14:paraId="7C9A08CF" w14:textId="359BEE12" w:rsidR="00345B49" w:rsidRPr="00345B49" w:rsidRDefault="00345B49" w:rsidP="00345B49">
      <w:pPr>
        <w:tabs>
          <w:tab w:val="left" w:pos="3660"/>
        </w:tabs>
        <w:ind w:left="0" w:firstLine="0"/>
        <w:rPr>
          <w:rStyle w:val="Style2"/>
        </w:rPr>
      </w:pPr>
      <w:r>
        <w:rPr>
          <w:rStyle w:val="Style2"/>
          <w:color w:val="FF0000"/>
          <w:u w:val="none"/>
        </w:rPr>
        <w:t xml:space="preserve">All the information in this form is updated from last endorsement of NQF 0420 in September 2011.  This </w:t>
      </w:r>
      <w:r w:rsidR="00EA06B6">
        <w:rPr>
          <w:rStyle w:val="Style2"/>
          <w:color w:val="FF0000"/>
          <w:u w:val="none"/>
        </w:rPr>
        <w:t xml:space="preserve">NQF </w:t>
      </w:r>
      <w:r>
        <w:rPr>
          <w:rStyle w:val="Style2"/>
          <w:color w:val="FF0000"/>
          <w:u w:val="none"/>
        </w:rPr>
        <w:t>evidence form was not in existence in 2010/2011.  Evidence continues to support measure focus.</w:t>
      </w:r>
    </w:p>
    <w:tbl>
      <w:tblPr>
        <w:tblStyle w:val="TableGrid"/>
        <w:tblW w:w="5500" w:type="pct"/>
        <w:jc w:val="center"/>
        <w:tblLook w:val="04A0" w:firstRow="1" w:lastRow="0" w:firstColumn="1" w:lastColumn="0" w:noHBand="0" w:noVBand="1"/>
      </w:tblPr>
      <w:tblGrid>
        <w:gridCol w:w="10534"/>
      </w:tblGrid>
      <w:tr w:rsidR="00496AF8" w:rsidRPr="003B1CC5" w14:paraId="0D5810F1" w14:textId="77777777" w:rsidTr="00176E60">
        <w:trPr>
          <w:jc w:val="center"/>
        </w:trPr>
        <w:tc>
          <w:tcPr>
            <w:tcW w:w="9576" w:type="dxa"/>
          </w:tcPr>
          <w:p w14:paraId="0D5810E9"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0D5810EA"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0D5810EB"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0D5810EC"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0D5810ED" w14:textId="77777777"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r w:rsidR="00A13867" w:rsidRPr="003B1CC5">
              <w:rPr>
                <w:rFonts w:cstheme="minorHAnsi"/>
              </w:rPr>
              <w:t>sub</w:t>
            </w:r>
            <w:r w:rsidR="008B652E" w:rsidRPr="003B1CC5">
              <w:rPr>
                <w:rFonts w:cstheme="minorHAnsi"/>
              </w:rPr>
              <w:t>criterion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14:paraId="0D5810EE"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0D5810EF" w14:textId="77777777"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minimum font size 11 pt</w:t>
            </w:r>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14:paraId="0D5810F0"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3" w:history="1">
              <w:r w:rsidRPr="003B1CC5">
                <w:rPr>
                  <w:rStyle w:val="Hyperlink"/>
                </w:rPr>
                <w:t>Submitting Standards webpage</w:t>
              </w:r>
            </w:hyperlink>
            <w:r w:rsidRPr="003B1CC5">
              <w:t>.</w:t>
            </w:r>
          </w:p>
        </w:tc>
      </w:tr>
    </w:tbl>
    <w:p w14:paraId="0D5810F2"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14:paraId="0D581102" w14:textId="77777777" w:rsidTr="00176E60">
        <w:trPr>
          <w:jc w:val="center"/>
        </w:trPr>
        <w:tc>
          <w:tcPr>
            <w:tcW w:w="9576" w:type="dxa"/>
          </w:tcPr>
          <w:p w14:paraId="0D5810F3" w14:textId="77777777" w:rsidR="008B652E" w:rsidRPr="00CB591F" w:rsidRDefault="007573F0" w:rsidP="008B652E">
            <w:pPr>
              <w:ind w:left="0" w:firstLine="0"/>
            </w:pPr>
            <w:r w:rsidRPr="00CB591F">
              <w:rPr>
                <w:b/>
                <w:bCs/>
                <w:u w:val="single"/>
              </w:rPr>
              <w:t>Note</w:t>
            </w:r>
            <w:r w:rsidRPr="00CB591F">
              <w:rPr>
                <w:b/>
                <w:bCs/>
              </w:rPr>
              <w:t xml:space="preserve">: </w:t>
            </w:r>
            <w:r w:rsidR="008B652E" w:rsidRPr="00CB591F">
              <w:rPr>
                <w:b/>
                <w:bCs/>
              </w:rPr>
              <w:t>The information provided in this form is intended to aid the Steering Committee and other stakeholders in understanding to what degree the evidence for this measure meets NQF’s evaluation criteria.</w:t>
            </w:r>
          </w:p>
          <w:p w14:paraId="0D5810F4" w14:textId="77777777" w:rsidR="008659ED" w:rsidRPr="00CB591F" w:rsidRDefault="008659ED" w:rsidP="008659ED">
            <w:pPr>
              <w:ind w:left="90" w:hanging="90"/>
            </w:pPr>
            <w:bookmarkStart w:id="1" w:name="Note2"/>
            <w:bookmarkEnd w:id="1"/>
          </w:p>
          <w:p w14:paraId="0D5810F5" w14:textId="77777777" w:rsidR="008659ED" w:rsidRPr="00CB591F" w:rsidRDefault="008659ED" w:rsidP="008659ED">
            <w:pPr>
              <w:pStyle w:val="Heading3"/>
              <w:rPr>
                <w:rFonts w:asciiTheme="minorHAnsi" w:hAnsiTheme="minorHAnsi"/>
              </w:rPr>
            </w:pPr>
            <w:r w:rsidRPr="00CB591F">
              <w:rPr>
                <w:rFonts w:asciiTheme="minorHAnsi" w:hAnsiTheme="minorHAnsi"/>
              </w:rPr>
              <w:t xml:space="preserve">1a. Evidence to Support the Measure Focus  </w:t>
            </w:r>
          </w:p>
          <w:p w14:paraId="0D5810F6" w14:textId="77777777" w:rsidR="008659ED" w:rsidRPr="00CB591F" w:rsidRDefault="008659ED" w:rsidP="008659ED">
            <w:pPr>
              <w:rPr>
                <w:rFonts w:eastAsia="Calibri" w:cs="Calibri"/>
              </w:rPr>
            </w:pPr>
            <w:r w:rsidRPr="00CB591F">
              <w:rPr>
                <w:rFonts w:eastAsia="Calibri" w:cs="Calibri"/>
              </w:rPr>
              <w:t xml:space="preserve">The measure focus is evidence-based, demonstrated as follows: </w:t>
            </w:r>
          </w:p>
          <w:p w14:paraId="0D5810F7" w14:textId="77777777" w:rsidR="008659ED" w:rsidRPr="00CB591F" w:rsidRDefault="008659ED" w:rsidP="00927959">
            <w:pPr>
              <w:numPr>
                <w:ilvl w:val="0"/>
                <w:numId w:val="7"/>
              </w:numPr>
              <w:tabs>
                <w:tab w:val="clear" w:pos="216"/>
                <w:tab w:val="num" w:pos="569"/>
              </w:tabs>
              <w:ind w:left="569" w:hanging="360"/>
              <w:rPr>
                <w:rFonts w:eastAsia="Calibri" w:cs="Calibri"/>
              </w:rPr>
            </w:pPr>
            <w:r w:rsidRPr="00CB591F">
              <w:rPr>
                <w:rFonts w:eastAsia="Calibri" w:cs="Calibri"/>
                <w:u w:val="single"/>
              </w:rPr>
              <w:t xml:space="preserve">Health </w:t>
            </w:r>
            <w:r w:rsidRPr="00CB591F">
              <w:rPr>
                <w:rFonts w:eastAsia="Calibri" w:cs="Calibri"/>
              </w:rPr>
              <w:t>outcome</w:t>
            </w:r>
            <w:r w:rsidR="00CB1E41" w:rsidRPr="00CB591F">
              <w:rPr>
                <w:rFonts w:eastAsia="Calibri" w:cs="Calibri"/>
                <w:color w:val="0000FF"/>
              </w:rPr>
              <w:t xml:space="preserve">: </w:t>
            </w:r>
            <w:hyperlink w:anchor="Note3" w:history="1">
              <w:r w:rsidR="00CB1E41" w:rsidRPr="00CB591F">
                <w:rPr>
                  <w:rStyle w:val="Hyperlink"/>
                  <w:rFonts w:eastAsia="Calibri" w:cs="Calibri"/>
                  <w:b/>
                  <w:vertAlign w:val="superscript"/>
                </w:rPr>
                <w:t>3</w:t>
              </w:r>
            </w:hyperlink>
            <w:r w:rsidR="00CB1E41" w:rsidRPr="00CB591F">
              <w:rPr>
                <w:rFonts w:eastAsia="Calibri" w:cs="Calibri"/>
                <w:color w:val="0000FF"/>
              </w:rPr>
              <w:t xml:space="preserve"> </w:t>
            </w:r>
            <w:r w:rsidRPr="00CB591F">
              <w:rPr>
                <w:rFonts w:eastAsia="Calibri" w:cs="Calibri"/>
              </w:rPr>
              <w:t>a rationale supports the relationship of the health outcome to processes or structures of care. Applies to patient-reported outcomes (PRO), including health-related quality of life/functional status, symptom/symptom burden, experience with care, health-related behavior.</w:t>
            </w:r>
          </w:p>
          <w:p w14:paraId="0D5810F8" w14:textId="77777777" w:rsidR="008659ED" w:rsidRPr="00CB591F" w:rsidRDefault="008659ED" w:rsidP="00927959">
            <w:pPr>
              <w:numPr>
                <w:ilvl w:val="0"/>
                <w:numId w:val="7"/>
              </w:numPr>
              <w:tabs>
                <w:tab w:val="clear" w:pos="216"/>
                <w:tab w:val="num" w:pos="569"/>
              </w:tabs>
              <w:ind w:left="569" w:hanging="360"/>
              <w:rPr>
                <w:rFonts w:eastAsia="Calibri" w:cs="Calibri"/>
              </w:rPr>
            </w:pPr>
            <w:r w:rsidRPr="00CB591F">
              <w:rPr>
                <w:rFonts w:eastAsia="Calibri" w:cs="Calibri"/>
                <w:u w:val="single"/>
              </w:rPr>
              <w:t>Intermediate clinical outcome</w:t>
            </w:r>
            <w:r w:rsidRPr="00CB591F">
              <w:rPr>
                <w:rFonts w:eastAsia="Calibri" w:cs="Calibri"/>
              </w:rPr>
              <w:t xml:space="preserve">: a systematic assessment and grading of the quantity, quality, and consistency of the body of evidence </w:t>
            </w:r>
            <w:hyperlink w:anchor="Note4" w:history="1">
              <w:r w:rsidRPr="00CB591F">
                <w:rPr>
                  <w:rStyle w:val="Hyperlink"/>
                  <w:rFonts w:eastAsia="Calibri" w:cs="Calibri"/>
                  <w:b/>
                  <w:vertAlign w:val="superscript"/>
                </w:rPr>
                <w:t>4</w:t>
              </w:r>
            </w:hyperlink>
            <w:r w:rsidRPr="00CB591F">
              <w:rPr>
                <w:rFonts w:eastAsia="Calibri" w:cs="Calibri"/>
                <w:b/>
                <w:vertAlign w:val="superscript"/>
              </w:rPr>
              <w:t xml:space="preserve"> </w:t>
            </w:r>
            <w:r w:rsidRPr="00CB591F">
              <w:rPr>
                <w:rFonts w:eastAsia="Calibri" w:cs="Calibri"/>
                <w:bCs/>
              </w:rPr>
              <w:t>that the measured intermediate clinical outcome leads to a desired health outcome.</w:t>
            </w:r>
          </w:p>
          <w:p w14:paraId="0D5810F9" w14:textId="77777777" w:rsidR="008659ED" w:rsidRPr="00CB591F" w:rsidRDefault="008659ED" w:rsidP="00927959">
            <w:pPr>
              <w:numPr>
                <w:ilvl w:val="0"/>
                <w:numId w:val="7"/>
              </w:numPr>
              <w:tabs>
                <w:tab w:val="clear" w:pos="216"/>
                <w:tab w:val="num" w:pos="569"/>
              </w:tabs>
              <w:ind w:left="569" w:hanging="360"/>
              <w:rPr>
                <w:rFonts w:eastAsia="Calibri" w:cs="Calibri"/>
              </w:rPr>
            </w:pPr>
            <w:r w:rsidRPr="00CB591F">
              <w:rPr>
                <w:rFonts w:eastAsia="Calibri" w:cs="Calibri"/>
                <w:u w:val="single"/>
              </w:rPr>
              <w:t>Process</w:t>
            </w:r>
            <w:r w:rsidRPr="00CB591F">
              <w:rPr>
                <w:rFonts w:eastAsia="Calibri" w:cs="Calibri"/>
              </w:rPr>
              <w:t xml:space="preserve">: </w:t>
            </w:r>
            <w:hyperlink w:anchor="Note5" w:history="1">
              <w:r w:rsidRPr="00CB591F">
                <w:rPr>
                  <w:rStyle w:val="Hyperlink"/>
                  <w:rFonts w:eastAsia="Calibri" w:cs="Calibri"/>
                  <w:b/>
                  <w:vertAlign w:val="superscript"/>
                </w:rPr>
                <w:t>5</w:t>
              </w:r>
            </w:hyperlink>
            <w:r w:rsidRPr="00CB591F">
              <w:rPr>
                <w:rFonts w:eastAsia="Calibri" w:cs="Calibri"/>
              </w:rPr>
              <w:t xml:space="preserve"> a systematic assessment and grading of the quantity, quality, and consistency of the body of evidence </w:t>
            </w:r>
            <w:hyperlink w:anchor="Note4" w:history="1">
              <w:r w:rsidR="00CB1E41" w:rsidRPr="00CB591F">
                <w:rPr>
                  <w:rStyle w:val="Hyperlink"/>
                  <w:rFonts w:eastAsia="Calibri" w:cs="Calibri"/>
                  <w:b/>
                  <w:vertAlign w:val="superscript"/>
                </w:rPr>
                <w:t>4</w:t>
              </w:r>
            </w:hyperlink>
            <w:r w:rsidRPr="00CB591F">
              <w:rPr>
                <w:rFonts w:eastAsia="Calibri" w:cs="Calibri"/>
                <w:bCs/>
              </w:rPr>
              <w:t xml:space="preserve"> that the measured process leads to a desired health outcome.</w:t>
            </w:r>
          </w:p>
          <w:p w14:paraId="0D5810FA" w14:textId="77777777" w:rsidR="008659ED" w:rsidRPr="00CB591F" w:rsidRDefault="008659ED" w:rsidP="00927959">
            <w:pPr>
              <w:numPr>
                <w:ilvl w:val="0"/>
                <w:numId w:val="8"/>
              </w:numPr>
              <w:tabs>
                <w:tab w:val="clear" w:pos="216"/>
                <w:tab w:val="num" w:pos="569"/>
              </w:tabs>
              <w:autoSpaceDE w:val="0"/>
              <w:autoSpaceDN w:val="0"/>
              <w:adjustRightInd w:val="0"/>
              <w:ind w:left="569" w:hanging="360"/>
              <w:contextualSpacing/>
            </w:pPr>
            <w:r w:rsidRPr="00CB591F">
              <w:rPr>
                <w:rFonts w:eastAsia="Calibri" w:cs="Calibri"/>
                <w:u w:val="single"/>
              </w:rPr>
              <w:t>Structure</w:t>
            </w:r>
            <w:r w:rsidRPr="00CB591F">
              <w:rPr>
                <w:rFonts w:eastAsia="Calibri" w:cs="Calibri"/>
              </w:rPr>
              <w:t xml:space="preserve">: a systematic assessment and grading of the quantity, quality, and consistency of the body of evidence </w:t>
            </w:r>
            <w:hyperlink w:anchor="Note4" w:history="1">
              <w:r w:rsidR="00CB1E41" w:rsidRPr="00CB591F">
                <w:rPr>
                  <w:rStyle w:val="Hyperlink"/>
                  <w:rFonts w:eastAsia="Calibri" w:cs="Calibri"/>
                  <w:b/>
                  <w:vertAlign w:val="superscript"/>
                </w:rPr>
                <w:t>4</w:t>
              </w:r>
            </w:hyperlink>
            <w:r w:rsidRPr="00CB591F">
              <w:rPr>
                <w:rFonts w:eastAsia="Calibri" w:cs="Calibri"/>
                <w:b/>
                <w:vertAlign w:val="superscript"/>
              </w:rPr>
              <w:t xml:space="preserve"> </w:t>
            </w:r>
            <w:r w:rsidRPr="00CB591F">
              <w:rPr>
                <w:rFonts w:eastAsia="Calibri" w:cs="Calibri"/>
                <w:bCs/>
              </w:rPr>
              <w:t xml:space="preserve"> that the measured structure leads to a desired health outcome.</w:t>
            </w:r>
          </w:p>
          <w:p w14:paraId="0D5810FB" w14:textId="77777777" w:rsidR="008659ED" w:rsidRPr="00CB591F" w:rsidRDefault="008659ED" w:rsidP="00927959">
            <w:pPr>
              <w:numPr>
                <w:ilvl w:val="0"/>
                <w:numId w:val="8"/>
              </w:numPr>
              <w:tabs>
                <w:tab w:val="clear" w:pos="216"/>
                <w:tab w:val="num" w:pos="569"/>
              </w:tabs>
              <w:autoSpaceDE w:val="0"/>
              <w:autoSpaceDN w:val="0"/>
              <w:adjustRightInd w:val="0"/>
              <w:ind w:left="569" w:hanging="360"/>
              <w:contextualSpacing/>
            </w:pPr>
            <w:r w:rsidRPr="00CB591F">
              <w:rPr>
                <w:rFonts w:eastAsia="Calibri" w:cs="Calibri"/>
                <w:u w:val="single"/>
              </w:rPr>
              <w:t>Efficiency</w:t>
            </w:r>
            <w:r w:rsidR="00E536D3" w:rsidRPr="00CB591F">
              <w:rPr>
                <w:rFonts w:eastAsia="Calibri" w:cs="Calibri"/>
              </w:rPr>
              <w:t xml:space="preserve">: </w:t>
            </w:r>
            <w:hyperlink w:anchor="Note6" w:history="1">
              <w:r w:rsidR="00E536D3" w:rsidRPr="00CB591F">
                <w:rPr>
                  <w:rStyle w:val="Hyperlink"/>
                  <w:rFonts w:eastAsia="Calibri" w:cs="Calibri"/>
                  <w:b/>
                  <w:vertAlign w:val="superscript"/>
                </w:rPr>
                <w:t>6</w:t>
              </w:r>
            </w:hyperlink>
            <w:r w:rsidR="00E536D3" w:rsidRPr="00CB591F">
              <w:rPr>
                <w:rFonts w:eastAsia="Calibri" w:cs="Calibri"/>
              </w:rPr>
              <w:t xml:space="preserve"> </w:t>
            </w:r>
            <w:r w:rsidRPr="00CB591F">
              <w:rPr>
                <w:rFonts w:eastAsia="Calibri" w:cs="Calibri"/>
              </w:rPr>
              <w:t>evidence not required for the resource use component.</w:t>
            </w:r>
          </w:p>
          <w:p w14:paraId="0D5810FC" w14:textId="77777777" w:rsidR="00CB1E41" w:rsidRPr="00CB591F" w:rsidRDefault="00CB1E41" w:rsidP="008659ED">
            <w:pPr>
              <w:autoSpaceDE w:val="0"/>
              <w:autoSpaceDN w:val="0"/>
              <w:adjustRightInd w:val="0"/>
              <w:rPr>
                <w:rFonts w:eastAsia="Calibri" w:cs="Calibri"/>
                <w:b/>
                <w:bCs/>
                <w:iCs/>
              </w:rPr>
            </w:pPr>
          </w:p>
          <w:p w14:paraId="0D5810FD" w14:textId="77777777" w:rsidR="008659ED" w:rsidRPr="00CB591F" w:rsidRDefault="008659ED" w:rsidP="008659ED">
            <w:pPr>
              <w:autoSpaceDE w:val="0"/>
              <w:autoSpaceDN w:val="0"/>
              <w:adjustRightInd w:val="0"/>
              <w:rPr>
                <w:rFonts w:eastAsia="Calibri" w:cs="Calibri"/>
                <w:b/>
                <w:bCs/>
                <w:iCs/>
              </w:rPr>
            </w:pPr>
            <w:r w:rsidRPr="00CB591F">
              <w:rPr>
                <w:rFonts w:eastAsia="Calibri" w:cs="Calibri"/>
                <w:b/>
                <w:bCs/>
                <w:iCs/>
              </w:rPr>
              <w:t>Notes</w:t>
            </w:r>
          </w:p>
          <w:p w14:paraId="0D5810FE" w14:textId="77777777" w:rsidR="008659ED" w:rsidRPr="00CB591F" w:rsidRDefault="008659ED" w:rsidP="00CB1E41">
            <w:pPr>
              <w:ind w:left="0" w:firstLine="0"/>
              <w:rPr>
                <w:rFonts w:eastAsia="Calibri" w:cs="Calibri"/>
              </w:rPr>
            </w:pPr>
            <w:bookmarkStart w:id="2" w:name="Note3"/>
            <w:bookmarkEnd w:id="2"/>
            <w:r w:rsidRPr="00CB591F">
              <w:rPr>
                <w:rFonts w:eastAsia="Calibri" w:cs="Calibri"/>
                <w:b/>
              </w:rPr>
              <w:t>3.</w:t>
            </w:r>
            <w:r w:rsidRPr="00CB591F">
              <w:rPr>
                <w:rFonts w:eastAsia="Calibri" w:cs="Calibri"/>
              </w:rPr>
              <w:t xml:space="preserve"> Generally, rare event outcomes do not provide adequate information for improvement or discrimination; however, serious reportable events that are compared to zero are appropriate outcomes for public reporting and quality improvement.           </w:t>
            </w:r>
          </w:p>
          <w:p w14:paraId="0D5810FF" w14:textId="77777777" w:rsidR="008659ED" w:rsidRPr="00CB591F" w:rsidRDefault="008659ED" w:rsidP="00CB1E41">
            <w:pPr>
              <w:ind w:left="0" w:firstLine="0"/>
              <w:rPr>
                <w:rFonts w:eastAsia="Calibri" w:cs="Calibri"/>
              </w:rPr>
            </w:pPr>
            <w:bookmarkStart w:id="3" w:name="Note4"/>
            <w:bookmarkEnd w:id="3"/>
            <w:r w:rsidRPr="00CB591F">
              <w:rPr>
                <w:rFonts w:eastAsia="Calibri" w:cs="Calibri"/>
                <w:b/>
              </w:rPr>
              <w:t>4.</w:t>
            </w:r>
            <w:r w:rsidRPr="00CB591F">
              <w:rPr>
                <w:rFonts w:eastAsia="Calibri" w:cs="Calibri"/>
              </w:rPr>
              <w:t xml:space="preserve"> The preferred systems for grading the evidence are the U.S. Preventive Services Task Force (USPSTF) </w:t>
            </w:r>
            <w:hyperlink r:id="rId14" w:history="1">
              <w:r w:rsidRPr="00CB591F">
                <w:rPr>
                  <w:rFonts w:eastAsia="Calibri" w:cs="Calibri"/>
                  <w:color w:val="0000FF"/>
                  <w:u w:val="single"/>
                </w:rPr>
                <w:t>grading definitions</w:t>
              </w:r>
            </w:hyperlink>
            <w:r w:rsidRPr="00CB591F">
              <w:rPr>
                <w:rFonts w:eastAsia="Calibri" w:cs="Calibri"/>
              </w:rPr>
              <w:t xml:space="preserve"> and </w:t>
            </w:r>
            <w:hyperlink r:id="rId15" w:history="1">
              <w:r w:rsidRPr="00CB591F">
                <w:rPr>
                  <w:rFonts w:eastAsia="Calibri" w:cs="Calibri"/>
                  <w:color w:val="0000FF"/>
                  <w:u w:val="single"/>
                </w:rPr>
                <w:t>methods</w:t>
              </w:r>
            </w:hyperlink>
            <w:r w:rsidRPr="00CB591F">
              <w:rPr>
                <w:rFonts w:eastAsia="Calibri" w:cs="Calibri"/>
              </w:rPr>
              <w:t xml:space="preserve">, or Grading of Recommendations, Assessment, Development and Evaluation </w:t>
            </w:r>
            <w:hyperlink r:id="rId16" w:history="1">
              <w:r w:rsidRPr="00CB591F">
                <w:rPr>
                  <w:rFonts w:eastAsia="Calibri" w:cs="Calibri"/>
                  <w:color w:val="0000FF"/>
                  <w:u w:val="single"/>
                </w:rPr>
                <w:t xml:space="preserve">(GRADE) </w:t>
              </w:r>
              <w:r w:rsidRPr="00CB591F">
                <w:rPr>
                  <w:rFonts w:eastAsia="Calibri" w:cs="Calibri"/>
                  <w:color w:val="0000FF"/>
                  <w:u w:val="single"/>
                </w:rPr>
                <w:lastRenderedPageBreak/>
                <w:t>guidelines</w:t>
              </w:r>
            </w:hyperlink>
            <w:r w:rsidRPr="00CB591F">
              <w:rPr>
                <w:rFonts w:eastAsia="Calibri" w:cs="Calibri"/>
              </w:rPr>
              <w:t>.</w:t>
            </w:r>
          </w:p>
          <w:p w14:paraId="0D581100" w14:textId="77777777" w:rsidR="008659ED" w:rsidRPr="00CB591F" w:rsidRDefault="008659ED" w:rsidP="00CB1E41">
            <w:pPr>
              <w:ind w:left="0" w:firstLine="0"/>
              <w:rPr>
                <w:rFonts w:eastAsia="Calibri" w:cs="Calibri"/>
              </w:rPr>
            </w:pPr>
            <w:bookmarkStart w:id="4" w:name="Note5"/>
            <w:bookmarkEnd w:id="4"/>
            <w:r w:rsidRPr="00CB591F">
              <w:rPr>
                <w:rFonts w:eastAsia="Calibri" w:cs="Calibri"/>
                <w:b/>
              </w:rPr>
              <w:t>5.</w:t>
            </w:r>
            <w:r w:rsidRPr="00CB591F">
              <w:rPr>
                <w:rFonts w:eastAsia="Calibri" w:cs="Calibri"/>
              </w:rPr>
              <w:t xml:space="preserve"> Clinical care processes typically include multiple steps: assess </w:t>
            </w:r>
            <w:r w:rsidRPr="00CB591F">
              <w:rPr>
                <w:rFonts w:eastAsia="Calibri" w:cs="Calibri"/>
              </w:rPr>
              <w:sym w:font="Symbol" w:char="F0AE"/>
            </w:r>
            <w:r w:rsidRPr="00CB591F">
              <w:rPr>
                <w:rFonts w:eastAsia="Calibri" w:cs="Calibri"/>
              </w:rPr>
              <w:t xml:space="preserve"> identify problem/potential problem </w:t>
            </w:r>
            <w:r w:rsidRPr="00CB591F">
              <w:rPr>
                <w:rFonts w:eastAsia="Calibri" w:cs="Calibri"/>
              </w:rPr>
              <w:sym w:font="Symbol" w:char="F0AE"/>
            </w:r>
            <w:r w:rsidRPr="00CB591F">
              <w:rPr>
                <w:rFonts w:eastAsia="Calibri" w:cs="Calibri"/>
              </w:rPr>
              <w:t xml:space="preserve"> choose/plan intervention (with patient input) </w:t>
            </w:r>
            <w:r w:rsidRPr="00CB591F">
              <w:rPr>
                <w:rFonts w:eastAsia="Calibri" w:cs="Calibri"/>
              </w:rPr>
              <w:sym w:font="Symbol" w:char="F0AE"/>
            </w:r>
            <w:r w:rsidRPr="00CB591F">
              <w:rPr>
                <w:rFonts w:eastAsia="Calibri" w:cs="Calibri"/>
              </w:rPr>
              <w:t xml:space="preserve"> provide intervention </w:t>
            </w:r>
            <w:r w:rsidRPr="00CB591F">
              <w:rPr>
                <w:rFonts w:eastAsia="Calibri" w:cs="Calibri"/>
              </w:rPr>
              <w:sym w:font="Symbol" w:char="F0AE"/>
            </w:r>
            <w:r w:rsidRPr="00CB591F">
              <w:rPr>
                <w:rFonts w:eastAsia="Calibri" w:cs="Calibri"/>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0D581101" w14:textId="77777777" w:rsidR="008659ED" w:rsidRPr="003B1CC5" w:rsidRDefault="008659ED" w:rsidP="00CB1E41">
            <w:pPr>
              <w:autoSpaceDE w:val="0"/>
              <w:autoSpaceDN w:val="0"/>
              <w:adjustRightInd w:val="0"/>
              <w:ind w:left="0" w:firstLine="0"/>
              <w:contextualSpacing/>
            </w:pPr>
            <w:bookmarkStart w:id="5" w:name="Note6"/>
            <w:bookmarkEnd w:id="5"/>
            <w:r w:rsidRPr="00CB591F">
              <w:rPr>
                <w:rFonts w:eastAsia="Calibri" w:cs="Calibri"/>
                <w:b/>
              </w:rPr>
              <w:t xml:space="preserve">6. </w:t>
            </w:r>
            <w:r w:rsidRPr="00CB591F">
              <w:rPr>
                <w:rFonts w:eastAsia="Calibri" w:cs="Calibri"/>
              </w:rPr>
              <w:t xml:space="preserve">Measures of efficiency combine the concepts of resource use </w:t>
            </w:r>
            <w:r w:rsidRPr="00CB591F">
              <w:rPr>
                <w:rFonts w:eastAsia="Calibri" w:cs="Calibri"/>
                <w:u w:val="single"/>
              </w:rPr>
              <w:t>and</w:t>
            </w:r>
            <w:r w:rsidRPr="00CB591F">
              <w:rPr>
                <w:rFonts w:eastAsia="Calibri" w:cs="Calibri"/>
              </w:rPr>
              <w:t xml:space="preserve"> quality (see NQF’s </w:t>
            </w:r>
            <w:hyperlink r:id="rId17" w:history="1">
              <w:r w:rsidRPr="00CB591F">
                <w:rPr>
                  <w:rFonts w:eastAsia="Calibri" w:cs="Calibri"/>
                  <w:color w:val="0000FF"/>
                  <w:u w:val="single"/>
                </w:rPr>
                <w:t>Measurement Framework: Evaluating Efficiency Across Episodes of Care</w:t>
              </w:r>
            </w:hyperlink>
            <w:r w:rsidRPr="00CB591F">
              <w:rPr>
                <w:rFonts w:eastAsia="Calibri" w:cs="Calibri"/>
              </w:rPr>
              <w:t xml:space="preserve">; </w:t>
            </w:r>
            <w:hyperlink r:id="rId18" w:history="1">
              <w:r w:rsidRPr="00CB591F">
                <w:rPr>
                  <w:rFonts w:eastAsia="Calibri" w:cs="Calibri"/>
                  <w:color w:val="0000FF"/>
                  <w:u w:val="single"/>
                </w:rPr>
                <w:t>AQA Principles of Efficiency Measures</w:t>
              </w:r>
            </w:hyperlink>
            <w:r w:rsidRPr="00CB591F">
              <w:rPr>
                <w:rFonts w:eastAsia="Calibri" w:cs="Calibri"/>
              </w:rPr>
              <w:t>).</w:t>
            </w:r>
          </w:p>
        </w:tc>
      </w:tr>
    </w:tbl>
    <w:p w14:paraId="61355A9B" w14:textId="77777777" w:rsidR="0085183B" w:rsidRDefault="0085183B" w:rsidP="002E2177">
      <w:pPr>
        <w:ind w:left="0" w:firstLine="0"/>
        <w:rPr>
          <w:b/>
          <w:bCs/>
          <w:color w:val="0000FF"/>
        </w:rPr>
      </w:pPr>
    </w:p>
    <w:p w14:paraId="0D581103"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0D581104"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0D581105" w14:textId="77777777" w:rsidR="00496AF8" w:rsidRPr="003B1CC5" w:rsidRDefault="004128A5" w:rsidP="005857F8">
      <w:pPr>
        <w:ind w:left="720"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0D581106" w14:textId="49C183AA" w:rsidR="00236F87" w:rsidRPr="003B1CC5" w:rsidRDefault="004128A5"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85183B">
        <w:rPr>
          <w:bCs/>
          <w:color w:val="0000FF"/>
        </w:rPr>
        <w:t xml:space="preserve"> </w:t>
      </w:r>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0D581107" w14:textId="77777777"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p>
    <w:p w14:paraId="0D581108" w14:textId="77777777" w:rsidR="00496AF8" w:rsidRPr="003B1CC5" w:rsidRDefault="004128A5"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0D581109" w14:textId="5E615149" w:rsidR="00496AF8" w:rsidRPr="003B1CC5" w:rsidRDefault="004128A5"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9C663E">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process</w:t>
          </w:r>
        </w:sdtContent>
      </w:sdt>
    </w:p>
    <w:p w14:paraId="0D58110A" w14:textId="77777777" w:rsidR="00496AF8" w:rsidRPr="003B1CC5" w:rsidRDefault="004128A5"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0D58110B" w14:textId="77777777" w:rsidR="00496AF8" w:rsidRPr="003B1CC5" w:rsidRDefault="004128A5"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0D58110C" w14:textId="77777777" w:rsidR="00496AF8" w:rsidRPr="003B1CC5" w:rsidRDefault="00496AF8" w:rsidP="002E2177">
      <w:pPr>
        <w:ind w:left="0" w:firstLine="0"/>
        <w:rPr>
          <w:bCs/>
        </w:rPr>
      </w:pPr>
    </w:p>
    <w:p w14:paraId="0D58110D" w14:textId="77777777" w:rsidR="00850C35" w:rsidRPr="003B1CC5" w:rsidRDefault="00925F11" w:rsidP="002E2177">
      <w:pPr>
        <w:ind w:left="0" w:firstLine="0"/>
        <w:rPr>
          <w:b/>
          <w:bCs/>
        </w:rPr>
      </w:pPr>
      <w:r w:rsidRPr="003B1CC5">
        <w:rPr>
          <w:b/>
          <w:iCs/>
          <w:caps/>
        </w:rPr>
        <w:t>_________________________</w:t>
      </w:r>
    </w:p>
    <w:p w14:paraId="0D58110E" w14:textId="77777777"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r w:rsidRPr="003B1CC5">
        <w:rPr>
          <w:b/>
          <w:bCs/>
        </w:rPr>
        <w:t xml:space="preserve">MEASURE </w:t>
      </w:r>
      <w:r w:rsidRPr="003B1CC5">
        <w:rPr>
          <w:bCs/>
        </w:rPr>
        <w:t xml:space="preserve"> </w:t>
      </w:r>
      <w:r w:rsidRPr="003B1CC5">
        <w:rPr>
          <w:bCs/>
          <w:i/>
          <w:highlight w:val="green"/>
        </w:rPr>
        <w:t xml:space="preserve">If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14:paraId="0D58110F" w14:textId="77777777" w:rsidR="002B06BD" w:rsidRPr="003B1CC5" w:rsidRDefault="002B06BD" w:rsidP="002B06BD">
      <w:pPr>
        <w:ind w:left="432" w:hanging="432"/>
        <w:rPr>
          <w:iCs/>
        </w:rPr>
      </w:pPr>
      <w:r w:rsidRPr="003B1CC5">
        <w:rPr>
          <w:b/>
          <w:bCs/>
          <w:color w:val="0000FF"/>
        </w:rPr>
        <w:t>1a.2.</w:t>
      </w:r>
      <w:r w:rsidRPr="003B1CC5">
        <w:rPr>
          <w:bCs/>
        </w:rPr>
        <w:t xml:space="preserve"> </w:t>
      </w:r>
      <w:r w:rsidRPr="003B1CC5">
        <w:rPr>
          <w:b/>
          <w:iCs/>
        </w:rPr>
        <w:t xml:space="preserve">Briefly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14:paraId="0D581110" w14:textId="6B45F98E" w:rsidR="002B06BD" w:rsidRPr="00491663" w:rsidRDefault="00BF1A0C" w:rsidP="002E2177">
      <w:pPr>
        <w:ind w:left="432" w:hanging="432"/>
      </w:pPr>
      <w:r w:rsidRPr="00491663">
        <w:t>N/A</w:t>
      </w:r>
    </w:p>
    <w:p w14:paraId="7306E9D8" w14:textId="77777777" w:rsidR="00BF1A0C" w:rsidRPr="003B1CC5" w:rsidRDefault="00BF1A0C" w:rsidP="002E2177">
      <w:pPr>
        <w:ind w:left="432" w:hanging="432"/>
        <w:rPr>
          <w:color w:val="0000FF"/>
        </w:rPr>
      </w:pPr>
    </w:p>
    <w:p w14:paraId="0D581111" w14:textId="77777777" w:rsidR="00496AF8" w:rsidRPr="003B1CC5" w:rsidRDefault="00B058A6" w:rsidP="002E2177">
      <w:pPr>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14:paraId="148E815D" w14:textId="77777777" w:rsidR="00BF1A0C" w:rsidRPr="005460A2" w:rsidRDefault="00BF1A0C" w:rsidP="00BF1A0C">
      <w:pPr>
        <w:ind w:left="432" w:hanging="432"/>
      </w:pPr>
      <w:r w:rsidRPr="005460A2">
        <w:t>N/A</w:t>
      </w:r>
    </w:p>
    <w:p w14:paraId="0D581112" w14:textId="4C01D006" w:rsidR="00D14F0B" w:rsidRPr="00491663" w:rsidRDefault="00D14F0B" w:rsidP="00491663">
      <w:pPr>
        <w:ind w:left="432" w:hanging="432"/>
        <w:rPr>
          <w:color w:val="0000FF"/>
        </w:rPr>
      </w:pPr>
    </w:p>
    <w:p w14:paraId="0D581113" w14:textId="77777777" w:rsidR="00496AF8" w:rsidRPr="003B1CC5"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14:paraId="0D581114" w14:textId="77777777" w:rsidR="002B06BD" w:rsidRPr="003B1CC5" w:rsidRDefault="00925F11" w:rsidP="002E2177">
      <w:pPr>
        <w:ind w:left="0" w:firstLine="0"/>
        <w:rPr>
          <w:b/>
          <w:iCs/>
          <w:caps/>
        </w:rPr>
      </w:pPr>
      <w:r w:rsidRPr="003B1CC5">
        <w:rPr>
          <w:b/>
          <w:iCs/>
          <w:caps/>
        </w:rPr>
        <w:t>_________________________</w:t>
      </w:r>
    </w:p>
    <w:p w14:paraId="0D581115" w14:textId="77777777"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14:paraId="0D581116" w14:textId="77777777" w:rsidR="00496AF8" w:rsidRDefault="002B06BD" w:rsidP="002E2177">
      <w:pPr>
        <w:ind w:left="0" w:firstLine="0"/>
        <w:rPr>
          <w:i/>
          <w:iCs/>
        </w:rPr>
      </w:pPr>
      <w:bookmarkStart w:id="6" w:name="Section1a3"/>
      <w:bookmarkEnd w:id="6"/>
      <w:r w:rsidRPr="003B1CC5">
        <w:rPr>
          <w:b/>
          <w:iCs/>
          <w:color w:val="0000FF"/>
        </w:rPr>
        <w:t>1a.3.</w:t>
      </w:r>
      <w:r w:rsidRPr="003B1CC5">
        <w:rPr>
          <w:i/>
          <w:iCs/>
          <w:color w:val="0000FF"/>
        </w:rPr>
        <w:t xml:space="preserve"> </w:t>
      </w:r>
      <w:r w:rsidRPr="003B1CC5">
        <w:rPr>
          <w:b/>
          <w:iCs/>
        </w:rPr>
        <w:t xml:space="preserve">Briefly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14:paraId="38E2D5FD" w14:textId="77777777" w:rsidR="00ED629B" w:rsidRDefault="00ED629B" w:rsidP="002E2177">
      <w:pPr>
        <w:ind w:left="0" w:firstLine="0"/>
      </w:pPr>
    </w:p>
    <w:p w14:paraId="351BD77C" w14:textId="05785F9A" w:rsidR="009C663E" w:rsidRDefault="009C663E" w:rsidP="002E2177">
      <w:pPr>
        <w:ind w:left="0" w:firstLine="0"/>
      </w:pPr>
      <w:r>
        <w:t>Utilization of validated pain assessment tools facilitates the monitoring of the patient’s health status and the differentiation of treatment approaches in order to improve the patient’s pain level.</w:t>
      </w:r>
    </w:p>
    <w:p w14:paraId="0826908F" w14:textId="77777777" w:rsidR="009C663E" w:rsidRDefault="009C663E" w:rsidP="002E2177">
      <w:pPr>
        <w:ind w:left="0" w:firstLine="0"/>
      </w:pPr>
    </w:p>
    <w:p w14:paraId="3E6B2C58" w14:textId="77777777" w:rsidR="0085183B" w:rsidRDefault="0085183B" w:rsidP="0085183B">
      <w:pPr>
        <w:ind w:left="-90" w:firstLine="0"/>
      </w:pPr>
      <w:r>
        <w:object w:dxaOrig="9585" w:dyaOrig="1860" w14:anchorId="5DC111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92.25pt" o:ole="">
            <v:imagedata r:id="rId19" o:title=""/>
          </v:shape>
          <o:OLEObject Type="Embed" ProgID="Visio.Drawing.11" ShapeID="_x0000_i1025" DrawAspect="Content" ObjectID="_1520838005" r:id="rId20"/>
        </w:object>
      </w:r>
    </w:p>
    <w:p w14:paraId="47D66967" w14:textId="088F3E6D" w:rsidR="009C663E" w:rsidRDefault="009C663E" w:rsidP="0085183B">
      <w:pPr>
        <w:pStyle w:val="ListParagraph"/>
        <w:numPr>
          <w:ilvl w:val="3"/>
          <w:numId w:val="9"/>
        </w:numPr>
        <w:ind w:left="720"/>
      </w:pPr>
      <w:r>
        <w:t>Assess for the presence of pain using a standardized tool in all patients aged 18 years and older</w:t>
      </w:r>
    </w:p>
    <w:p w14:paraId="0796699D" w14:textId="700CA675" w:rsidR="009C663E" w:rsidRDefault="009C663E" w:rsidP="009C663E">
      <w:pPr>
        <w:pStyle w:val="ListParagraph"/>
        <w:numPr>
          <w:ilvl w:val="0"/>
          <w:numId w:val="9"/>
        </w:numPr>
        <w:spacing w:after="0" w:line="240" w:lineRule="auto"/>
      </w:pPr>
      <w:r>
        <w:t>Identification of pain (positive screen) results in the documentation of a follow-up plan related to the presence of pain</w:t>
      </w:r>
      <w:r w:rsidR="00946B8B">
        <w:t xml:space="preserve"> and the management of it to reduce pain intensity.</w:t>
      </w:r>
    </w:p>
    <w:p w14:paraId="305E73AB" w14:textId="68EB978F" w:rsidR="009C663E" w:rsidRDefault="0026076F" w:rsidP="009C663E">
      <w:pPr>
        <w:pStyle w:val="ListParagraph"/>
        <w:numPr>
          <w:ilvl w:val="0"/>
          <w:numId w:val="9"/>
        </w:numPr>
        <w:spacing w:after="0" w:line="240" w:lineRule="auto"/>
      </w:pPr>
      <w:r>
        <w:t xml:space="preserve">Follow-up recommendation and </w:t>
      </w:r>
      <w:r w:rsidR="009C663E">
        <w:t>intervention strategies for treating pain can lead to decreased level of pain, thus improv</w:t>
      </w:r>
      <w:r w:rsidR="00946B8B">
        <w:t xml:space="preserve">ing </w:t>
      </w:r>
      <w:r w:rsidR="009C663E">
        <w:t>the health and well-being of the patient and can help to reduce the use of healthcare resources and/or lost productiv</w:t>
      </w:r>
      <w:r w:rsidR="00946B8B">
        <w:t xml:space="preserve">ity. </w:t>
      </w:r>
    </w:p>
    <w:p w14:paraId="2760758B" w14:textId="77777777" w:rsidR="00ED629B" w:rsidRDefault="00ED629B" w:rsidP="00491663">
      <w:pPr>
        <w:pStyle w:val="ListParagraph"/>
        <w:spacing w:after="0" w:line="240" w:lineRule="auto"/>
        <w:ind w:firstLine="0"/>
      </w:pPr>
    </w:p>
    <w:p w14:paraId="0D581118" w14:textId="77777777"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r w:rsidRPr="003B1CC5">
        <w:rPr>
          <w:b/>
        </w:rPr>
        <w:t>What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14:paraId="0D581119" w14:textId="56CCB7B4" w:rsidR="00FD4D82" w:rsidRPr="003B1CC5" w:rsidRDefault="004128A5" w:rsidP="002E2177">
      <w:pPr>
        <w:ind w:left="0" w:firstLine="0"/>
      </w:pPr>
      <w:sdt>
        <w:sdtPr>
          <w:rPr>
            <w:bCs/>
            <w:color w:val="0000FF"/>
          </w:rPr>
          <w:id w:val="-468508862"/>
          <w14:checkbox>
            <w14:checked w14:val="1"/>
            <w14:checkedState w14:val="2612" w14:font="MS Gothic"/>
            <w14:uncheckedState w14:val="2610" w14:font="MS Gothic"/>
          </w14:checkbox>
        </w:sdtPr>
        <w:sdtEndPr/>
        <w:sdtContent>
          <w:r w:rsidR="009C663E">
            <w:rPr>
              <w:rFonts w:ascii="MS Gothic" w:eastAsia="MS Gothic" w:hAnsi="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14:paraId="0D58111A" w14:textId="77777777" w:rsidR="00FD4D82" w:rsidRPr="003B1CC5" w:rsidRDefault="004128A5"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14:paraId="0D58111B" w14:textId="77777777" w:rsidR="007573F0" w:rsidRPr="003B1CC5" w:rsidRDefault="004128A5"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14:paraId="0D58111C" w14:textId="119090C1" w:rsidR="00FD4D82" w:rsidRPr="003B1CC5" w:rsidRDefault="004128A5" w:rsidP="002E2177">
      <w:pPr>
        <w:ind w:left="0" w:firstLine="0"/>
      </w:pPr>
      <w:sdt>
        <w:sdtPr>
          <w:rPr>
            <w:bCs/>
            <w:color w:val="0000FF"/>
          </w:rPr>
          <w:id w:val="302275832"/>
          <w14:checkbox>
            <w14:checked w14:val="0"/>
            <w14:checkedState w14:val="2612" w14:font="MS Gothic"/>
            <w14:uncheckedState w14:val="2610" w14:font="MS Gothic"/>
          </w14:checkbox>
        </w:sdtPr>
        <w:sdtEndPr/>
        <w:sdtContent>
          <w:r w:rsidR="006D5D5F">
            <w:rPr>
              <w:rFonts w:ascii="MS Gothic" w:eastAsia="MS Gothic" w:hAnsi="MS Gothic" w:hint="eastAsia"/>
              <w:bCs/>
              <w:color w:val="0000FF"/>
            </w:rPr>
            <w:t>☐</w:t>
          </w:r>
        </w:sdtContent>
      </w:sdt>
      <w:r w:rsidR="00FD4D82" w:rsidRPr="003B1CC5">
        <w:t xml:space="preserve"> </w:t>
      </w:r>
      <w:r w:rsidR="00FD4D82" w:rsidRPr="006D5D5F">
        <w:t xml:space="preserve">Other </w:t>
      </w:r>
      <w:r w:rsidR="001B38BF" w:rsidRPr="006D5D5F">
        <w:t xml:space="preserve">– </w:t>
      </w:r>
      <w:r w:rsidR="00FD4D82" w:rsidRPr="006D5D5F">
        <w:rPr>
          <w:b/>
          <w:i/>
        </w:rPr>
        <w:t xml:space="preserve">complete section </w:t>
      </w:r>
      <w:hyperlink w:anchor="Section1a8" w:history="1">
        <w:r w:rsidR="00FD4D82" w:rsidRPr="006D5D5F">
          <w:rPr>
            <w:rStyle w:val="Hyperlink"/>
            <w:b/>
            <w:i/>
          </w:rPr>
          <w:t>1</w:t>
        </w:r>
        <w:r w:rsidR="00773485" w:rsidRPr="006D5D5F">
          <w:rPr>
            <w:rStyle w:val="Hyperlink"/>
            <w:b/>
            <w:i/>
          </w:rPr>
          <w:t>a</w:t>
        </w:r>
        <w:r w:rsidR="00FD4D82" w:rsidRPr="006D5D5F">
          <w:rPr>
            <w:rStyle w:val="Hyperlink"/>
            <w:b/>
            <w:i/>
          </w:rPr>
          <w:t>.</w:t>
        </w:r>
        <w:r w:rsidR="00773485" w:rsidRPr="006D5D5F">
          <w:rPr>
            <w:rStyle w:val="Hyperlink"/>
            <w:b/>
            <w:i/>
          </w:rPr>
          <w:t>8</w:t>
        </w:r>
      </w:hyperlink>
    </w:p>
    <w:p w14:paraId="0D58111D" w14:textId="77777777" w:rsidR="00FD4D82" w:rsidRPr="003B1CC5" w:rsidRDefault="00FD4D82" w:rsidP="002E2177">
      <w:pPr>
        <w:ind w:left="0" w:firstLine="0"/>
      </w:pPr>
    </w:p>
    <w:p w14:paraId="0D58111E" w14:textId="77777777" w:rsidR="00201FF9" w:rsidRPr="003B1CC5"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14:paraId="0D58111F" w14:textId="77777777" w:rsidR="00925F11" w:rsidRPr="003B1CC5" w:rsidRDefault="00925F11" w:rsidP="002E2177">
      <w:pPr>
        <w:ind w:left="0" w:firstLine="0"/>
        <w:rPr>
          <w:b/>
          <w:iCs/>
          <w:caps/>
        </w:rPr>
      </w:pPr>
      <w:r w:rsidRPr="003B1CC5">
        <w:rPr>
          <w:b/>
          <w:iCs/>
          <w:caps/>
        </w:rPr>
        <w:t>_________________________</w:t>
      </w:r>
      <w:bookmarkStart w:id="7" w:name="Section1a4"/>
      <w:bookmarkEnd w:id="7"/>
    </w:p>
    <w:p w14:paraId="0D581120" w14:textId="77777777"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14:paraId="0D581121" w14:textId="77777777" w:rsidR="007E37A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14:paraId="2E09226A" w14:textId="77777777" w:rsidR="00397D88" w:rsidRPr="003B1CC5" w:rsidRDefault="00397D88" w:rsidP="002E2177">
      <w:pPr>
        <w:ind w:left="0" w:firstLine="0"/>
      </w:pPr>
    </w:p>
    <w:p w14:paraId="0708FF0D" w14:textId="572A6003" w:rsidR="009C663E" w:rsidRPr="00F96FDD" w:rsidRDefault="009C663E" w:rsidP="009C663E">
      <w:pPr>
        <w:pStyle w:val="ListParagraph"/>
        <w:numPr>
          <w:ilvl w:val="0"/>
          <w:numId w:val="10"/>
        </w:numPr>
        <w:spacing w:after="0" w:line="240" w:lineRule="auto"/>
        <w:ind w:left="432" w:hanging="288"/>
      </w:pPr>
      <w:r w:rsidRPr="00F96FDD">
        <w:t xml:space="preserve">Hooten, W.M., Timming, R., Belgrade, M., Gaul, .J, Goertz, M., Haake, B., … Walker, </w:t>
      </w:r>
      <w:r w:rsidR="0026076F">
        <w:t>N.(2013). Assessment and manage</w:t>
      </w:r>
      <w:r w:rsidRPr="00F96FDD">
        <w:t xml:space="preserve">ment of chronic pain. </w:t>
      </w:r>
      <w:r w:rsidRPr="00DF67FD">
        <w:rPr>
          <w:i/>
        </w:rPr>
        <w:t>Institute for Clinical Systems Improvement</w:t>
      </w:r>
      <w:r w:rsidRPr="00B83694">
        <w:t xml:space="preserve"> (6</w:t>
      </w:r>
      <w:r w:rsidRPr="00D506F2">
        <w:rPr>
          <w:vertAlign w:val="superscript"/>
        </w:rPr>
        <w:t>th</w:t>
      </w:r>
      <w:r w:rsidRPr="006D5D5F">
        <w:t xml:space="preserve"> ed.).  Retrieved from </w:t>
      </w:r>
      <w:hyperlink r:id="rId21" w:history="1">
        <w:r w:rsidRPr="00F96FDD">
          <w:rPr>
            <w:rStyle w:val="Hyperlink"/>
          </w:rPr>
          <w:t>https://www.icsi.org/_asset/bw798b/ChronicPain.pdf</w:t>
        </w:r>
      </w:hyperlink>
    </w:p>
    <w:p w14:paraId="067AE56B" w14:textId="77777777" w:rsidR="009C663E" w:rsidRPr="00F96FDD" w:rsidRDefault="009C663E" w:rsidP="009C663E">
      <w:pPr>
        <w:ind w:left="432" w:hanging="288"/>
        <w:rPr>
          <w:rFonts w:ascii="Arial" w:hAnsi="Arial" w:cs="Arial"/>
        </w:rPr>
      </w:pPr>
    </w:p>
    <w:p w14:paraId="33BFFFA1" w14:textId="77777777" w:rsidR="009C663E" w:rsidRPr="00F96FDD" w:rsidRDefault="009C663E" w:rsidP="009C663E">
      <w:pPr>
        <w:pStyle w:val="ListParagraph"/>
        <w:numPr>
          <w:ilvl w:val="0"/>
          <w:numId w:val="10"/>
        </w:numPr>
        <w:spacing w:after="0" w:line="240" w:lineRule="auto"/>
        <w:ind w:left="432" w:hanging="288"/>
      </w:pPr>
      <w:r w:rsidRPr="00F96FDD">
        <w:t xml:space="preserve">Goertz, M., Thorson, D., Bonsell, J., Bonte, B., Campbell,.R, Haake B., …, Timming, R. (2012).  Adult Acute and Subacute Low Back Pain.  </w:t>
      </w:r>
      <w:r w:rsidRPr="00DF67FD">
        <w:rPr>
          <w:i/>
        </w:rPr>
        <w:t>Institute for Clinical Systems Improvement</w:t>
      </w:r>
      <w:r w:rsidRPr="00B83694">
        <w:t xml:space="preserve"> (15</w:t>
      </w:r>
      <w:r w:rsidRPr="00D506F2">
        <w:rPr>
          <w:vertAlign w:val="superscript"/>
        </w:rPr>
        <w:t>th</w:t>
      </w:r>
      <w:r w:rsidRPr="006D5D5F">
        <w:t xml:space="preserve"> ed).  Retrieved from </w:t>
      </w:r>
      <w:hyperlink r:id="rId22" w:history="1">
        <w:r w:rsidRPr="00F96FDD">
          <w:rPr>
            <w:rStyle w:val="Hyperlink"/>
          </w:rPr>
          <w:t>https://www.icsi.org/_asset/bjvqrj/LBP.pdf</w:t>
        </w:r>
      </w:hyperlink>
    </w:p>
    <w:p w14:paraId="17448A14" w14:textId="77777777" w:rsidR="009C663E" w:rsidRPr="00880117" w:rsidRDefault="009C663E" w:rsidP="009C663E">
      <w:pPr>
        <w:ind w:left="432" w:hanging="288"/>
      </w:pPr>
      <w:r w:rsidRPr="00880117">
        <w:tab/>
      </w:r>
    </w:p>
    <w:p w14:paraId="3B71D7D0" w14:textId="77777777" w:rsidR="009C663E" w:rsidRPr="00F96FDD" w:rsidRDefault="009C663E" w:rsidP="009C663E">
      <w:pPr>
        <w:pStyle w:val="ListParagraph"/>
        <w:numPr>
          <w:ilvl w:val="0"/>
          <w:numId w:val="10"/>
        </w:numPr>
        <w:tabs>
          <w:tab w:val="left" w:pos="270"/>
        </w:tabs>
        <w:spacing w:after="0" w:line="240" w:lineRule="auto"/>
        <w:ind w:left="432" w:hanging="288"/>
        <w:rPr>
          <w:rFonts w:cs="Times"/>
        </w:rPr>
      </w:pPr>
      <w:r w:rsidRPr="00F96FDD">
        <w:rPr>
          <w:rFonts w:cs="Times"/>
        </w:rPr>
        <w:t xml:space="preserve">Delitto, A., George, S.Z., Van Dillen, L.R., Whitman, J.M., Sowa, G., Shekelle, P., &amp; Denninger, T.R. (2012). Low back pain.  </w:t>
      </w:r>
      <w:r w:rsidRPr="00F96FDD">
        <w:rPr>
          <w:rFonts w:cs="Times"/>
          <w:iCs/>
        </w:rPr>
        <w:t>Clinical Practice Guidelines Linked to the International Classification of Functioning, Disability, and Health from the Orthopaedic Section of the American Physical Therapy Association</w:t>
      </w:r>
      <w:r w:rsidRPr="00F96FDD">
        <w:rPr>
          <w:rFonts w:cs="Times"/>
          <w:i/>
          <w:iCs/>
        </w:rPr>
        <w:t xml:space="preserve">. </w:t>
      </w:r>
      <w:r w:rsidRPr="00F96FDD">
        <w:rPr>
          <w:rFonts w:cs="Times"/>
          <w:i/>
        </w:rPr>
        <w:t>Journal of Orthopedic Sports Physical Therapy</w:t>
      </w:r>
      <w:r w:rsidRPr="00F96FDD">
        <w:rPr>
          <w:rFonts w:cs="Times"/>
        </w:rPr>
        <w:t>, 42(4), A1-A57.</w:t>
      </w:r>
    </w:p>
    <w:p w14:paraId="0D581123" w14:textId="4EE7D911" w:rsidR="006F4B7F" w:rsidRPr="003B1CC5" w:rsidRDefault="009C663E" w:rsidP="002E2177">
      <w:pPr>
        <w:ind w:left="0" w:firstLine="0"/>
        <w:rPr>
          <w:color w:val="0000FF"/>
        </w:rPr>
      </w:pPr>
      <w:r>
        <w:rPr>
          <w:rFonts w:cs="Times"/>
          <w:sz w:val="21"/>
          <w:szCs w:val="21"/>
        </w:rPr>
        <w:tab/>
      </w:r>
      <w:r>
        <w:t xml:space="preserve"> </w:t>
      </w:r>
    </w:p>
    <w:p w14:paraId="0D581124" w14:textId="77777777" w:rsidR="00D14F0B"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14:paraId="3BA0FDD6" w14:textId="77777777" w:rsidR="000B6E2B" w:rsidRDefault="000B6E2B" w:rsidP="002E2177">
      <w:pPr>
        <w:ind w:left="0" w:firstLine="0"/>
      </w:pPr>
    </w:p>
    <w:p w14:paraId="5F5899D0" w14:textId="4B5B9D22" w:rsidR="009C663E" w:rsidRDefault="009C663E" w:rsidP="009C663E">
      <w:pPr>
        <w:ind w:left="288" w:hanging="288"/>
      </w:pPr>
      <w:r>
        <w:rPr>
          <w:b/>
        </w:rPr>
        <w:t>1. ICSI G</w:t>
      </w:r>
      <w:r w:rsidR="0026076F">
        <w:rPr>
          <w:b/>
        </w:rPr>
        <w:t>uideline: Assessment and Manage</w:t>
      </w:r>
      <w:r>
        <w:rPr>
          <w:b/>
        </w:rPr>
        <w:t xml:space="preserve">ment of Chronic Pain </w:t>
      </w:r>
      <w:r w:rsidR="009F0816">
        <w:t>(Hooten et al. (2013)</w:t>
      </w:r>
      <w:r w:rsidR="0026076F">
        <w:t>)</w:t>
      </w:r>
      <w:r>
        <w:rPr>
          <w:b/>
        </w:rPr>
        <w:t xml:space="preserve"> </w:t>
      </w:r>
      <w:r>
        <w:t>– The assessment and management algorithms are found on pages 1 and 2</w:t>
      </w:r>
      <w:r w:rsidR="006733F2">
        <w:t xml:space="preserve"> of guideline</w:t>
      </w:r>
      <w:r>
        <w:t xml:space="preserve">. </w:t>
      </w:r>
    </w:p>
    <w:p w14:paraId="6511B2AD" w14:textId="0BE37266" w:rsidR="009C663E" w:rsidRPr="006733F2" w:rsidRDefault="009C663E" w:rsidP="009C663E">
      <w:pPr>
        <w:ind w:firstLine="0"/>
      </w:pPr>
      <w:r w:rsidRPr="006733F2">
        <w:t>A.</w:t>
      </w:r>
      <w:r w:rsidR="0026076F">
        <w:tab/>
      </w:r>
      <w:r w:rsidRPr="006733F2">
        <w:t xml:space="preserve">Assessment Algorithm Annotations (p.12) </w:t>
      </w:r>
    </w:p>
    <w:p w14:paraId="29C3535C" w14:textId="77777777" w:rsidR="0026076F" w:rsidRDefault="009C663E" w:rsidP="0026076F">
      <w:pPr>
        <w:ind w:firstLine="360"/>
      </w:pPr>
      <w:r w:rsidRPr="006733F2">
        <w:lastRenderedPageBreak/>
        <w:t xml:space="preserve">Critical First Step: Assessment </w:t>
      </w:r>
    </w:p>
    <w:p w14:paraId="769BD751" w14:textId="4561C9E3" w:rsidR="009C663E" w:rsidRDefault="009C663E" w:rsidP="0026076F">
      <w:pPr>
        <w:ind w:firstLine="360"/>
      </w:pPr>
      <w:r>
        <w:t>Recommendations:</w:t>
      </w:r>
    </w:p>
    <w:p w14:paraId="53A03962" w14:textId="6ADA6147" w:rsidR="009C663E" w:rsidRDefault="009C663E" w:rsidP="00BD3177">
      <w:pPr>
        <w:pStyle w:val="ListParagraph"/>
        <w:numPr>
          <w:ilvl w:val="0"/>
          <w:numId w:val="34"/>
        </w:numPr>
        <w:spacing w:after="0" w:line="240" w:lineRule="auto"/>
      </w:pPr>
      <w:r>
        <w:t>A clinician should complete an adequate pain assessment on all patients that includes documentation of pain location, intensity, quality, onset/duration/variations/rhythms, manner of expressing pain, pain relief, exacerbation triggers, effects of pain and response to previous treatments.</w:t>
      </w:r>
    </w:p>
    <w:p w14:paraId="44C6414A" w14:textId="0953AA70" w:rsidR="009C663E" w:rsidRDefault="009C663E" w:rsidP="009C663E">
      <w:pPr>
        <w:pStyle w:val="ListParagraph"/>
        <w:numPr>
          <w:ilvl w:val="0"/>
          <w:numId w:val="11"/>
        </w:numPr>
        <w:spacing w:after="0" w:line="240" w:lineRule="auto"/>
      </w:pPr>
      <w:r>
        <w:t>Musculoskeletal assessment - Rasmussen, 2004 [</w:t>
      </w:r>
      <w:r>
        <w:rPr>
          <w:i/>
        </w:rPr>
        <w:t>Low Quality Evidence</w:t>
      </w:r>
      <w:r w:rsidR="007F031D">
        <w:t>]</w:t>
      </w:r>
    </w:p>
    <w:p w14:paraId="5B57B871" w14:textId="2E472F8E" w:rsidR="009C663E" w:rsidRDefault="009C663E" w:rsidP="009C663E">
      <w:pPr>
        <w:pStyle w:val="ListParagraph"/>
        <w:numPr>
          <w:ilvl w:val="0"/>
          <w:numId w:val="11"/>
        </w:numPr>
        <w:spacing w:after="0" w:line="240" w:lineRule="auto"/>
      </w:pPr>
      <w:r>
        <w:rPr>
          <w:iCs/>
        </w:rPr>
        <w:t xml:space="preserve">Multidimensional assessment tools – Cleeland, 1994 </w:t>
      </w:r>
      <w:r>
        <w:rPr>
          <w:i/>
          <w:iCs/>
        </w:rPr>
        <w:t>[Low Quality Evidence</w:t>
      </w:r>
      <w:r>
        <w:rPr>
          <w:iCs/>
        </w:rPr>
        <w:t xml:space="preserve">], Smith, 1997 [Low Quality Evidence], Galer, 1997 </w:t>
      </w:r>
      <w:r>
        <w:rPr>
          <w:i/>
          <w:iCs/>
        </w:rPr>
        <w:t>[Low Quality Evidence],</w:t>
      </w:r>
      <w:r>
        <w:rPr>
          <w:iCs/>
        </w:rPr>
        <w:t xml:space="preserve"> Savedra, 1989 </w:t>
      </w:r>
      <w:r>
        <w:rPr>
          <w:i/>
          <w:iCs/>
        </w:rPr>
        <w:t>[Low Quality Evidence</w:t>
      </w:r>
      <w:r>
        <w:rPr>
          <w:iCs/>
        </w:rPr>
        <w:t>],  VanCleve, 1993 [</w:t>
      </w:r>
      <w:r w:rsidR="0026076F">
        <w:rPr>
          <w:i/>
          <w:iCs/>
        </w:rPr>
        <w:t>Low Quality Evidence</w:t>
      </w:r>
      <w:r>
        <w:rPr>
          <w:i/>
          <w:iCs/>
        </w:rPr>
        <w:t>)</w:t>
      </w:r>
      <w:r w:rsidR="00795D05">
        <w:rPr>
          <w:i/>
          <w:iCs/>
        </w:rPr>
        <w:t xml:space="preserve">, </w:t>
      </w:r>
      <w:r w:rsidR="00795D05">
        <w:rPr>
          <w:iCs/>
        </w:rPr>
        <w:t>Penny, 1999</w:t>
      </w:r>
      <w:r w:rsidR="00795D05">
        <w:rPr>
          <w:i/>
          <w:iCs/>
        </w:rPr>
        <w:t xml:space="preserve"> [Low Quality Evidence]</w:t>
      </w:r>
    </w:p>
    <w:p w14:paraId="2B918A6E" w14:textId="77777777" w:rsidR="0044649A" w:rsidRDefault="0044649A" w:rsidP="009C663E">
      <w:pPr>
        <w:pStyle w:val="ListParagraph"/>
        <w:spacing w:after="0" w:line="240" w:lineRule="auto"/>
        <w:ind w:left="2016" w:hanging="288"/>
      </w:pPr>
    </w:p>
    <w:p w14:paraId="083BEA3D" w14:textId="77777777" w:rsidR="00C35D49" w:rsidRDefault="009C663E" w:rsidP="009C663E">
      <w:pPr>
        <w:pStyle w:val="ListParagraph"/>
        <w:spacing w:after="0" w:line="240" w:lineRule="auto"/>
        <w:ind w:left="2016" w:hanging="288"/>
      </w:pPr>
      <w:r>
        <w:t>General approach to use of pain assessment tools in chronic pain:</w:t>
      </w:r>
      <w:r w:rsidRPr="009C663E">
        <w:t xml:space="preserve"> </w:t>
      </w:r>
    </w:p>
    <w:p w14:paraId="2A255803" w14:textId="70C4C10A" w:rsidR="009C663E" w:rsidRDefault="009C663E" w:rsidP="0026076F">
      <w:pPr>
        <w:pStyle w:val="ListParagraph"/>
        <w:numPr>
          <w:ilvl w:val="2"/>
          <w:numId w:val="34"/>
        </w:numPr>
        <w:spacing w:after="0" w:line="240" w:lineRule="auto"/>
      </w:pPr>
      <w:r>
        <w:t>On initial visit, use a multidimensional tool such as the Brief Pain Inventory to obtain a comprehensive picture of the pain experience. The patient should complete this assessment tool before the physician visit.</w:t>
      </w:r>
    </w:p>
    <w:p w14:paraId="75AE40CE" w14:textId="53B1BA90" w:rsidR="009C663E" w:rsidRDefault="009C663E" w:rsidP="0026076F">
      <w:pPr>
        <w:pStyle w:val="ListParagraph"/>
        <w:numPr>
          <w:ilvl w:val="2"/>
          <w:numId w:val="34"/>
        </w:numPr>
        <w:spacing w:after="0" w:line="240" w:lineRule="auto"/>
        <w:rPr>
          <w:rFonts w:ascii="Times" w:hAnsi="Times" w:cs="Times"/>
          <w:color w:val="000000"/>
          <w:sz w:val="21"/>
          <w:szCs w:val="21"/>
        </w:rPr>
      </w:pPr>
      <w:r>
        <w:t>With follow-up visits, continue to use a multidimensional pain assessment tool filled out by the patient before seeing the physician</w:t>
      </w:r>
      <w:r>
        <w:rPr>
          <w:rFonts w:ascii="Times" w:hAnsi="Times" w:cs="Times"/>
          <w:color w:val="000000"/>
          <w:sz w:val="21"/>
          <w:szCs w:val="21"/>
        </w:rPr>
        <w:t>.</w:t>
      </w:r>
    </w:p>
    <w:p w14:paraId="38F9173F" w14:textId="7256F09B" w:rsidR="009C663E" w:rsidRDefault="009C663E" w:rsidP="0026076F">
      <w:pPr>
        <w:pStyle w:val="ListParagraph"/>
        <w:numPr>
          <w:ilvl w:val="2"/>
          <w:numId w:val="34"/>
        </w:numPr>
        <w:spacing w:after="0" w:line="240" w:lineRule="auto"/>
      </w:pPr>
      <w:r>
        <w:t>Use specific tools such as the Neuropathic Pain Scale (NPS) when appropriate.</w:t>
      </w:r>
    </w:p>
    <w:p w14:paraId="46FDA1D4" w14:textId="780E73BC" w:rsidR="009C663E" w:rsidRDefault="009C663E" w:rsidP="0026076F">
      <w:pPr>
        <w:pStyle w:val="ListParagraph"/>
        <w:numPr>
          <w:ilvl w:val="2"/>
          <w:numId w:val="34"/>
        </w:numPr>
        <w:spacing w:after="0" w:line="240" w:lineRule="auto"/>
        <w:rPr>
          <w:rFonts w:ascii="Times" w:hAnsi="Times" w:cs="Times"/>
          <w:color w:val="000000"/>
          <w:sz w:val="21"/>
          <w:szCs w:val="21"/>
        </w:rPr>
      </w:pPr>
      <w:r>
        <w:t>Avoid the use of single-dimensional pain assessment tools in chronic pain except to rate the intensity of specific pain episodes</w:t>
      </w:r>
      <w:r>
        <w:rPr>
          <w:rFonts w:ascii="Times" w:hAnsi="Times" w:cs="Times"/>
          <w:color w:val="000000"/>
          <w:sz w:val="21"/>
          <w:szCs w:val="21"/>
        </w:rPr>
        <w:t>.</w:t>
      </w:r>
    </w:p>
    <w:p w14:paraId="7E51AEB6" w14:textId="77777777" w:rsidR="000E42CD" w:rsidRDefault="000E42CD" w:rsidP="00491663">
      <w:pPr>
        <w:pStyle w:val="ListParagraph"/>
        <w:spacing w:after="0" w:line="240" w:lineRule="auto"/>
        <w:ind w:left="1728" w:firstLine="0"/>
      </w:pPr>
    </w:p>
    <w:p w14:paraId="77FFCA0B" w14:textId="08FF196A" w:rsidR="00800426" w:rsidRDefault="009C663E" w:rsidP="00491663">
      <w:pPr>
        <w:pStyle w:val="ListParagraph"/>
        <w:spacing w:after="0" w:line="240" w:lineRule="auto"/>
        <w:ind w:left="1728" w:firstLine="0"/>
      </w:pPr>
      <w:r>
        <w:t>(American Pain Society, 2005 [</w:t>
      </w:r>
      <w:r>
        <w:rPr>
          <w:i/>
        </w:rPr>
        <w:t>Low Quality Evidence</w:t>
      </w:r>
      <w:r>
        <w:t>]; Herr, 2004 [</w:t>
      </w:r>
      <w:r>
        <w:rPr>
          <w:i/>
        </w:rPr>
        <w:t>Guideline</w:t>
      </w:r>
      <w:r>
        <w:t>]; Kaiser Permanente Medical Care Program, 2004 [</w:t>
      </w:r>
      <w:r>
        <w:rPr>
          <w:i/>
        </w:rPr>
        <w:t>Guideline</w:t>
      </w:r>
      <w:r>
        <w:t xml:space="preserve">]; McCaffery, 1999 [Guideline]; Daut, 1983 </w:t>
      </w:r>
      <w:r>
        <w:rPr>
          <w:i/>
        </w:rPr>
        <w:t>[Low Quality Evidence])</w:t>
      </w:r>
    </w:p>
    <w:p w14:paraId="5FF029E7" w14:textId="77777777" w:rsidR="004A5E2B" w:rsidRPr="004A5E2B" w:rsidRDefault="004A5E2B" w:rsidP="00491663">
      <w:pPr>
        <w:pStyle w:val="ListParagraph"/>
        <w:ind w:left="-540" w:firstLine="0"/>
        <w:rPr>
          <w:b/>
        </w:rPr>
      </w:pPr>
    </w:p>
    <w:p w14:paraId="1B845F4F" w14:textId="61D0D9D3" w:rsidR="004A5E2B" w:rsidRDefault="004A5E2B" w:rsidP="00297174">
      <w:pPr>
        <w:pStyle w:val="ListParagraph"/>
        <w:spacing w:after="0" w:line="240" w:lineRule="auto"/>
        <w:ind w:left="-540" w:firstLine="0"/>
      </w:pPr>
      <w:r w:rsidRPr="004A5E2B">
        <w:rPr>
          <w:b/>
        </w:rPr>
        <w:t xml:space="preserve">2. ICSI Guideline: Adult Acute and Subacute Low Back Pain </w:t>
      </w:r>
      <w:r>
        <w:t>(Goertz et al., 2012)</w:t>
      </w:r>
      <w:r w:rsidRPr="004A5E2B">
        <w:rPr>
          <w:b/>
        </w:rPr>
        <w:t xml:space="preserve"> – </w:t>
      </w:r>
      <w:r>
        <w:t>Algorithms for Core Treatment of Non-specific Low Back Pain, Red Flags and Radicular Pain are located on pages 1-3</w:t>
      </w:r>
      <w:r w:rsidR="001D3DBF">
        <w:t xml:space="preserve"> of guideline</w:t>
      </w:r>
    </w:p>
    <w:p w14:paraId="40490BC0" w14:textId="1E229E89" w:rsidR="004A5E2B" w:rsidRDefault="004A5E2B" w:rsidP="00297174">
      <w:pPr>
        <w:pStyle w:val="ListParagraph"/>
        <w:numPr>
          <w:ilvl w:val="0"/>
          <w:numId w:val="30"/>
        </w:numPr>
        <w:spacing w:after="0" w:line="240" w:lineRule="auto"/>
      </w:pPr>
      <w:r w:rsidRPr="006733F2">
        <w:t xml:space="preserve">Recommendations Table for the assessment and treatment of acute and subacute low back pain (p.7) </w:t>
      </w:r>
    </w:p>
    <w:p w14:paraId="0FE30CAF" w14:textId="77777777" w:rsidR="00297174" w:rsidRPr="006733F2" w:rsidRDefault="00297174" w:rsidP="00297174">
      <w:pPr>
        <w:ind w:firstLine="0"/>
      </w:pPr>
    </w:p>
    <w:tbl>
      <w:tblPr>
        <w:tblW w:w="9675" w:type="dxa"/>
        <w:tblInd w:w="-214" w:type="dxa"/>
        <w:tblLayout w:type="fixed"/>
        <w:tblCellMar>
          <w:left w:w="0" w:type="dxa"/>
          <w:right w:w="0" w:type="dxa"/>
        </w:tblCellMar>
        <w:tblLook w:val="04A0" w:firstRow="1" w:lastRow="0" w:firstColumn="1" w:lastColumn="0" w:noHBand="0" w:noVBand="1"/>
      </w:tblPr>
      <w:tblGrid>
        <w:gridCol w:w="1080"/>
        <w:gridCol w:w="1081"/>
        <w:gridCol w:w="3551"/>
        <w:gridCol w:w="1531"/>
        <w:gridCol w:w="1081"/>
        <w:gridCol w:w="1351"/>
      </w:tblGrid>
      <w:tr w:rsidR="004A5E2B" w:rsidRPr="006733F2" w14:paraId="04169DEA" w14:textId="1DBA1DE1" w:rsidTr="00491663">
        <w:trPr>
          <w:trHeight w:hRule="exact" w:val="520"/>
        </w:trPr>
        <w:tc>
          <w:tcPr>
            <w:tcW w:w="1080" w:type="dxa"/>
            <w:tcBorders>
              <w:top w:val="single" w:sz="4" w:space="0" w:color="000000"/>
              <w:left w:val="single" w:sz="4" w:space="0" w:color="000000"/>
              <w:bottom w:val="single" w:sz="4" w:space="0" w:color="000000"/>
              <w:right w:val="single" w:sz="4" w:space="0" w:color="000000"/>
            </w:tcBorders>
            <w:hideMark/>
          </w:tcPr>
          <w:p w14:paraId="14FDE50A" w14:textId="41D02628" w:rsidR="004A5E2B" w:rsidRPr="006733F2" w:rsidRDefault="004A5E2B" w:rsidP="004A5E2B">
            <w:pPr>
              <w:pStyle w:val="ListParagraph"/>
              <w:numPr>
                <w:ilvl w:val="0"/>
                <w:numId w:val="15"/>
              </w:numPr>
              <w:jc w:val="center"/>
              <w:rPr>
                <w:sz w:val="18"/>
              </w:rPr>
            </w:pPr>
            <w:r w:rsidRPr="006733F2">
              <w:rPr>
                <w:bCs/>
                <w:sz w:val="18"/>
              </w:rPr>
              <w:t>Topic</w:t>
            </w:r>
          </w:p>
        </w:tc>
        <w:tc>
          <w:tcPr>
            <w:tcW w:w="1081" w:type="dxa"/>
            <w:tcBorders>
              <w:top w:val="single" w:sz="4" w:space="0" w:color="000000"/>
              <w:left w:val="single" w:sz="4" w:space="0" w:color="000000"/>
              <w:bottom w:val="single" w:sz="4" w:space="0" w:color="000000"/>
              <w:right w:val="single" w:sz="4" w:space="0" w:color="000000"/>
            </w:tcBorders>
            <w:hideMark/>
          </w:tcPr>
          <w:p w14:paraId="6B487F15" w14:textId="70B00E79" w:rsidR="004A5E2B" w:rsidRPr="006733F2" w:rsidRDefault="004A5E2B">
            <w:pPr>
              <w:ind w:left="90" w:firstLine="0"/>
              <w:jc w:val="center"/>
              <w:rPr>
                <w:sz w:val="18"/>
              </w:rPr>
            </w:pPr>
            <w:r w:rsidRPr="006733F2">
              <w:rPr>
                <w:bCs/>
                <w:sz w:val="18"/>
              </w:rPr>
              <w:t>Quality of Evidence</w:t>
            </w:r>
          </w:p>
        </w:tc>
        <w:tc>
          <w:tcPr>
            <w:tcW w:w="3551" w:type="dxa"/>
            <w:tcBorders>
              <w:top w:val="single" w:sz="4" w:space="0" w:color="000000"/>
              <w:left w:val="single" w:sz="4" w:space="0" w:color="000000"/>
              <w:bottom w:val="single" w:sz="4" w:space="0" w:color="000000"/>
              <w:right w:val="single" w:sz="4" w:space="0" w:color="000000"/>
            </w:tcBorders>
            <w:hideMark/>
          </w:tcPr>
          <w:p w14:paraId="57402949" w14:textId="78B4E905" w:rsidR="004A5E2B" w:rsidRPr="006733F2" w:rsidRDefault="004A5E2B">
            <w:pPr>
              <w:jc w:val="center"/>
              <w:rPr>
                <w:sz w:val="18"/>
              </w:rPr>
            </w:pPr>
            <w:r w:rsidRPr="006733F2">
              <w:rPr>
                <w:bCs/>
                <w:sz w:val="18"/>
              </w:rPr>
              <w:t>Recommendation</w:t>
            </w:r>
          </w:p>
        </w:tc>
        <w:tc>
          <w:tcPr>
            <w:tcW w:w="1531" w:type="dxa"/>
            <w:tcBorders>
              <w:top w:val="single" w:sz="4" w:space="0" w:color="000000"/>
              <w:left w:val="single" w:sz="4" w:space="0" w:color="000000"/>
              <w:bottom w:val="single" w:sz="4" w:space="0" w:color="000000"/>
              <w:right w:val="single" w:sz="4" w:space="0" w:color="000000"/>
            </w:tcBorders>
            <w:hideMark/>
          </w:tcPr>
          <w:p w14:paraId="537CBB7F" w14:textId="2717DCEE" w:rsidR="004A5E2B" w:rsidRPr="006733F2" w:rsidRDefault="004A5E2B">
            <w:pPr>
              <w:ind w:left="90" w:firstLine="0"/>
              <w:jc w:val="center"/>
              <w:rPr>
                <w:sz w:val="18"/>
              </w:rPr>
            </w:pPr>
            <w:r w:rsidRPr="006733F2">
              <w:rPr>
                <w:bCs/>
                <w:sz w:val="18"/>
              </w:rPr>
              <w:t>Strength of Recommendation</w:t>
            </w:r>
          </w:p>
        </w:tc>
        <w:tc>
          <w:tcPr>
            <w:tcW w:w="1081" w:type="dxa"/>
            <w:tcBorders>
              <w:top w:val="single" w:sz="4" w:space="0" w:color="000000"/>
              <w:left w:val="single" w:sz="4" w:space="0" w:color="000000"/>
              <w:bottom w:val="single" w:sz="4" w:space="0" w:color="000000"/>
              <w:right w:val="single" w:sz="4" w:space="0" w:color="000000"/>
            </w:tcBorders>
            <w:hideMark/>
          </w:tcPr>
          <w:p w14:paraId="7331D924" w14:textId="59835819" w:rsidR="004A5E2B" w:rsidRPr="006733F2" w:rsidRDefault="004A5E2B">
            <w:pPr>
              <w:jc w:val="center"/>
              <w:rPr>
                <w:bCs/>
                <w:sz w:val="18"/>
              </w:rPr>
            </w:pPr>
            <w:r w:rsidRPr="006733F2">
              <w:rPr>
                <w:bCs/>
                <w:sz w:val="18"/>
              </w:rPr>
              <w:t>Annotation</w:t>
            </w:r>
          </w:p>
          <w:p w14:paraId="5A642A65" w14:textId="4F8BF7A5" w:rsidR="004A5E2B" w:rsidRPr="006733F2" w:rsidRDefault="004A5E2B">
            <w:pPr>
              <w:jc w:val="center"/>
              <w:rPr>
                <w:sz w:val="18"/>
              </w:rPr>
            </w:pPr>
            <w:r w:rsidRPr="006733F2">
              <w:rPr>
                <w:bCs/>
                <w:sz w:val="18"/>
              </w:rPr>
              <w:t>Number</w:t>
            </w:r>
          </w:p>
        </w:tc>
        <w:tc>
          <w:tcPr>
            <w:tcW w:w="1351" w:type="dxa"/>
            <w:tcBorders>
              <w:top w:val="single" w:sz="4" w:space="0" w:color="000000"/>
              <w:left w:val="single" w:sz="4" w:space="0" w:color="000000"/>
              <w:bottom w:val="single" w:sz="4" w:space="0" w:color="000000"/>
              <w:right w:val="single" w:sz="4" w:space="0" w:color="000000"/>
            </w:tcBorders>
            <w:hideMark/>
          </w:tcPr>
          <w:p w14:paraId="4FBB4952" w14:textId="47A8639C" w:rsidR="004A5E2B" w:rsidRPr="006733F2" w:rsidRDefault="004A5E2B">
            <w:pPr>
              <w:jc w:val="center"/>
              <w:rPr>
                <w:bCs/>
                <w:sz w:val="18"/>
              </w:rPr>
            </w:pPr>
            <w:r w:rsidRPr="006733F2">
              <w:rPr>
                <w:bCs/>
                <w:sz w:val="18"/>
              </w:rPr>
              <w:t>Relevant</w:t>
            </w:r>
          </w:p>
          <w:p w14:paraId="5EF8A674" w14:textId="04AD1754" w:rsidR="004A5E2B" w:rsidRPr="006733F2" w:rsidRDefault="004A5E2B">
            <w:pPr>
              <w:jc w:val="center"/>
              <w:rPr>
                <w:sz w:val="18"/>
              </w:rPr>
            </w:pPr>
            <w:r w:rsidRPr="006733F2">
              <w:rPr>
                <w:bCs/>
                <w:sz w:val="18"/>
              </w:rPr>
              <w:t xml:space="preserve"> References</w:t>
            </w:r>
          </w:p>
        </w:tc>
      </w:tr>
      <w:tr w:rsidR="004A5E2B" w:rsidRPr="006733F2" w14:paraId="523B01FC" w14:textId="5A8A1505" w:rsidTr="00491663">
        <w:trPr>
          <w:trHeight w:hRule="exact" w:val="811"/>
        </w:trPr>
        <w:tc>
          <w:tcPr>
            <w:tcW w:w="1080" w:type="dxa"/>
            <w:tcBorders>
              <w:top w:val="single" w:sz="4" w:space="0" w:color="000000"/>
              <w:left w:val="single" w:sz="4" w:space="0" w:color="000000"/>
              <w:bottom w:val="single" w:sz="4" w:space="0" w:color="000000"/>
              <w:right w:val="single" w:sz="4" w:space="0" w:color="000000"/>
            </w:tcBorders>
            <w:hideMark/>
          </w:tcPr>
          <w:p w14:paraId="54BD2B61" w14:textId="47D43752" w:rsidR="004A5E2B" w:rsidRPr="006733F2" w:rsidRDefault="004A5E2B">
            <w:pPr>
              <w:jc w:val="center"/>
              <w:rPr>
                <w:sz w:val="18"/>
              </w:rPr>
            </w:pPr>
            <w:r w:rsidRPr="006733F2">
              <w:rPr>
                <w:sz w:val="18"/>
              </w:rPr>
              <w:t>Education</w:t>
            </w:r>
          </w:p>
        </w:tc>
        <w:tc>
          <w:tcPr>
            <w:tcW w:w="1081" w:type="dxa"/>
            <w:tcBorders>
              <w:top w:val="single" w:sz="4" w:space="0" w:color="000000"/>
              <w:left w:val="single" w:sz="4" w:space="0" w:color="000000"/>
              <w:bottom w:val="single" w:sz="4" w:space="0" w:color="000000"/>
              <w:right w:val="single" w:sz="4" w:space="0" w:color="000000"/>
            </w:tcBorders>
            <w:hideMark/>
          </w:tcPr>
          <w:p w14:paraId="7835FAA8" w14:textId="335B200E" w:rsidR="004A5E2B" w:rsidRPr="006733F2" w:rsidRDefault="004A5E2B">
            <w:pPr>
              <w:jc w:val="center"/>
              <w:rPr>
                <w:sz w:val="18"/>
              </w:rPr>
            </w:pPr>
            <w:r w:rsidRPr="006733F2">
              <w:rPr>
                <w:sz w:val="18"/>
              </w:rPr>
              <w:t>Moderate</w:t>
            </w:r>
          </w:p>
        </w:tc>
        <w:tc>
          <w:tcPr>
            <w:tcW w:w="3551" w:type="dxa"/>
            <w:tcBorders>
              <w:top w:val="single" w:sz="4" w:space="0" w:color="000000"/>
              <w:left w:val="single" w:sz="4" w:space="0" w:color="000000"/>
              <w:bottom w:val="single" w:sz="4" w:space="0" w:color="000000"/>
              <w:right w:val="single" w:sz="4" w:space="0" w:color="000000"/>
            </w:tcBorders>
            <w:hideMark/>
          </w:tcPr>
          <w:p w14:paraId="49DDF7BE" w14:textId="1C555236" w:rsidR="004A5E2B" w:rsidRPr="006733F2" w:rsidRDefault="004A5E2B">
            <w:pPr>
              <w:ind w:left="144" w:firstLine="0"/>
              <w:rPr>
                <w:sz w:val="18"/>
              </w:rPr>
            </w:pPr>
            <w:r w:rsidRPr="006733F2">
              <w:rPr>
                <w:sz w:val="18"/>
              </w:rPr>
              <w:t>Clinicians should educate patients as an adjunct to other treatment. No standardized form of education is suggested.</w:t>
            </w:r>
          </w:p>
        </w:tc>
        <w:tc>
          <w:tcPr>
            <w:tcW w:w="1531" w:type="dxa"/>
            <w:tcBorders>
              <w:top w:val="single" w:sz="4" w:space="0" w:color="000000"/>
              <w:left w:val="single" w:sz="4" w:space="0" w:color="000000"/>
              <w:bottom w:val="single" w:sz="4" w:space="0" w:color="000000"/>
              <w:right w:val="single" w:sz="4" w:space="0" w:color="000000"/>
            </w:tcBorders>
            <w:hideMark/>
          </w:tcPr>
          <w:p w14:paraId="6375FF79" w14:textId="103F909A" w:rsidR="004A5E2B" w:rsidRPr="006733F2" w:rsidRDefault="004A5E2B">
            <w:pPr>
              <w:jc w:val="center"/>
              <w:rPr>
                <w:sz w:val="18"/>
              </w:rPr>
            </w:pPr>
            <w:r w:rsidRPr="006733F2">
              <w:rPr>
                <w:sz w:val="18"/>
              </w:rPr>
              <w:t>Strong</w:t>
            </w:r>
          </w:p>
        </w:tc>
        <w:tc>
          <w:tcPr>
            <w:tcW w:w="1081" w:type="dxa"/>
            <w:tcBorders>
              <w:top w:val="single" w:sz="4" w:space="0" w:color="000000"/>
              <w:left w:val="single" w:sz="4" w:space="0" w:color="000000"/>
              <w:bottom w:val="single" w:sz="4" w:space="0" w:color="000000"/>
              <w:right w:val="single" w:sz="4" w:space="0" w:color="000000"/>
            </w:tcBorders>
            <w:hideMark/>
          </w:tcPr>
          <w:p w14:paraId="40D6C1CA" w14:textId="719B1326" w:rsidR="004A5E2B" w:rsidRPr="006733F2" w:rsidRDefault="004A5E2B">
            <w:pPr>
              <w:jc w:val="center"/>
              <w:rPr>
                <w:sz w:val="18"/>
              </w:rPr>
            </w:pPr>
            <w:r w:rsidRPr="006733F2">
              <w:rPr>
                <w:sz w:val="18"/>
              </w:rPr>
              <w:t>11, 16, 17, 18</w:t>
            </w:r>
          </w:p>
        </w:tc>
        <w:tc>
          <w:tcPr>
            <w:tcW w:w="1351" w:type="dxa"/>
            <w:tcBorders>
              <w:top w:val="single" w:sz="4" w:space="0" w:color="000000"/>
              <w:left w:val="single" w:sz="4" w:space="0" w:color="000000"/>
              <w:bottom w:val="single" w:sz="4" w:space="0" w:color="000000"/>
              <w:right w:val="single" w:sz="4" w:space="0" w:color="000000"/>
            </w:tcBorders>
            <w:hideMark/>
          </w:tcPr>
          <w:p w14:paraId="09D52D64" w14:textId="10CB18FB" w:rsidR="004A5E2B" w:rsidRPr="006733F2" w:rsidRDefault="004A5E2B">
            <w:pPr>
              <w:ind w:left="144" w:firstLine="0"/>
              <w:rPr>
                <w:sz w:val="18"/>
              </w:rPr>
            </w:pPr>
            <w:r w:rsidRPr="006733F2">
              <w:rPr>
                <w:i/>
                <w:iCs/>
                <w:sz w:val="18"/>
              </w:rPr>
              <w:t>Engers, 2008; Heymans, 2004</w:t>
            </w:r>
          </w:p>
        </w:tc>
      </w:tr>
    </w:tbl>
    <w:p w14:paraId="3B77D845" w14:textId="77777777" w:rsidR="004A5E2B" w:rsidRPr="006733F2" w:rsidRDefault="004A5E2B" w:rsidP="004A5E2B"/>
    <w:p w14:paraId="68378DFB" w14:textId="31289EA0" w:rsidR="004A5E2B" w:rsidRPr="006733F2" w:rsidRDefault="004A5E2B" w:rsidP="00297174">
      <w:pPr>
        <w:pStyle w:val="ListParagraph"/>
        <w:numPr>
          <w:ilvl w:val="0"/>
          <w:numId w:val="30"/>
        </w:numPr>
        <w:spacing w:after="0" w:line="240" w:lineRule="auto"/>
      </w:pPr>
      <w:r w:rsidRPr="006733F2">
        <w:t xml:space="preserve">Core Treatment of Non-specific Low Back Pain Algorithm Annotations: B. Initial Evaluation and Data Set: Recommendation </w:t>
      </w:r>
      <w:r w:rsidRPr="00EE51AD">
        <w:rPr>
          <w:bCs/>
        </w:rPr>
        <w:t>(p.12)</w:t>
      </w:r>
    </w:p>
    <w:p w14:paraId="364EB38C" w14:textId="0FB267A1" w:rsidR="004A5E2B" w:rsidRPr="006733F2" w:rsidRDefault="004A5E2B" w:rsidP="00297174">
      <w:pPr>
        <w:pStyle w:val="ListParagraph"/>
        <w:numPr>
          <w:ilvl w:val="1"/>
          <w:numId w:val="30"/>
        </w:numPr>
        <w:spacing w:after="0" w:line="240" w:lineRule="auto"/>
      </w:pPr>
      <w:r w:rsidRPr="006733F2">
        <w:t xml:space="preserve">Clinicians should not recommend imaging (including computed tomography [CT], magnetic resonance imaging [MRI] and </w:t>
      </w:r>
      <w:r w:rsidR="00297174">
        <w:t>X</w:t>
      </w:r>
      <w:r w:rsidRPr="006733F2">
        <w:t xml:space="preserve">-ray) for patients with non-specific low back pain </w:t>
      </w:r>
      <w:r w:rsidRPr="00EE51AD">
        <w:rPr>
          <w:i/>
          <w:iCs/>
        </w:rPr>
        <w:t>(Strong Recommendation, Moderate Quality Evidence) (Chou 2011; French 2010; Chou 2009b).</w:t>
      </w:r>
    </w:p>
    <w:p w14:paraId="044AC1C7" w14:textId="77777777" w:rsidR="004A5E2B" w:rsidRPr="006733F2" w:rsidRDefault="004A5E2B" w:rsidP="00297174">
      <w:pPr>
        <w:ind w:left="720" w:firstLine="0"/>
        <w:rPr>
          <w:iCs/>
        </w:rPr>
      </w:pPr>
      <w:r w:rsidRPr="006733F2">
        <w:rPr>
          <w:iCs/>
        </w:rPr>
        <w:t>Note: The supportive documentation for this recommendation advises the use of pain assessment tools instead of imaging to influence medical decision-making in the first 6 weeks of onset of non-specific low back pain (p.12).</w:t>
      </w:r>
    </w:p>
    <w:p w14:paraId="41AF73EB" w14:textId="77777777" w:rsidR="0026076F" w:rsidRDefault="004A5E2B" w:rsidP="00297174">
      <w:pPr>
        <w:pStyle w:val="ListParagraph"/>
        <w:numPr>
          <w:ilvl w:val="0"/>
          <w:numId w:val="30"/>
        </w:numPr>
        <w:spacing w:after="0" w:line="240" w:lineRule="auto"/>
      </w:pPr>
      <w:r w:rsidRPr="006733F2">
        <w:t>Reevaluation (p. 16)</w:t>
      </w:r>
    </w:p>
    <w:p w14:paraId="03780FFE" w14:textId="02FED8AA" w:rsidR="004A5E2B" w:rsidRDefault="004A5E2B" w:rsidP="00297174">
      <w:pPr>
        <w:pStyle w:val="ListParagraph"/>
        <w:numPr>
          <w:ilvl w:val="1"/>
          <w:numId w:val="30"/>
        </w:numPr>
        <w:spacing w:after="0" w:line="240" w:lineRule="auto"/>
      </w:pPr>
      <w:r w:rsidRPr="006733F2">
        <w:lastRenderedPageBreak/>
        <w:t>Reevaluation of low back</w:t>
      </w:r>
      <w:r>
        <w:t xml:space="preserve"> pain should include the following:</w:t>
      </w:r>
    </w:p>
    <w:p w14:paraId="300A3421" w14:textId="716FA2BB" w:rsidR="004A5E2B" w:rsidRDefault="004A5E2B" w:rsidP="00297174">
      <w:pPr>
        <w:pStyle w:val="ListParagraph"/>
        <w:numPr>
          <w:ilvl w:val="2"/>
          <w:numId w:val="30"/>
        </w:numPr>
        <w:spacing w:after="0" w:line="240" w:lineRule="auto"/>
        <w:ind w:left="2520" w:hanging="360"/>
      </w:pPr>
      <w:r>
        <w:t>Pain reassessed with a repeat Visual Analog Scale and Oswestry Disability Questionnaire</w:t>
      </w:r>
    </w:p>
    <w:p w14:paraId="3B8F3ECC" w14:textId="7D9BC574" w:rsidR="004A5E2B" w:rsidRPr="004A5E2B" w:rsidRDefault="004A5E2B" w:rsidP="00491663">
      <w:pPr>
        <w:ind w:left="1008" w:hanging="288"/>
      </w:pPr>
    </w:p>
    <w:p w14:paraId="78AF398D" w14:textId="376E4AB4" w:rsidR="004A5E2B" w:rsidRPr="004A5E2B" w:rsidRDefault="00EA640F" w:rsidP="00491663">
      <w:pPr>
        <w:ind w:left="0" w:firstLine="0"/>
        <w:rPr>
          <w:b/>
        </w:rPr>
      </w:pPr>
      <w:r>
        <w:rPr>
          <w:b/>
        </w:rPr>
        <w:t>3. Low B</w:t>
      </w:r>
      <w:r w:rsidR="004A5E2B" w:rsidRPr="004A5E2B">
        <w:rPr>
          <w:b/>
        </w:rPr>
        <w:t xml:space="preserve">ack </w:t>
      </w:r>
      <w:r w:rsidR="006733F2">
        <w:rPr>
          <w:b/>
        </w:rPr>
        <w:t>P</w:t>
      </w:r>
      <w:r w:rsidR="004A5E2B" w:rsidRPr="004A5E2B">
        <w:rPr>
          <w:b/>
        </w:rPr>
        <w:t xml:space="preserve">ain: Clinical </w:t>
      </w:r>
      <w:r w:rsidR="006733F2">
        <w:rPr>
          <w:b/>
        </w:rPr>
        <w:t>P</w:t>
      </w:r>
      <w:r w:rsidR="004A5E2B" w:rsidRPr="004A5E2B">
        <w:rPr>
          <w:b/>
        </w:rPr>
        <w:t xml:space="preserve">ractice </w:t>
      </w:r>
      <w:r w:rsidR="006733F2">
        <w:rPr>
          <w:b/>
        </w:rPr>
        <w:t>G</w:t>
      </w:r>
      <w:r w:rsidR="004A5E2B" w:rsidRPr="004A5E2B">
        <w:rPr>
          <w:b/>
        </w:rPr>
        <w:t xml:space="preserve">uidelines </w:t>
      </w:r>
      <w:r w:rsidR="004A5E2B">
        <w:t>(Delitto et al. (2012))</w:t>
      </w:r>
    </w:p>
    <w:p w14:paraId="753FE03D" w14:textId="00333FB9" w:rsidR="004A5E2B" w:rsidRPr="006733F2" w:rsidRDefault="004A5E2B" w:rsidP="00FB4248">
      <w:pPr>
        <w:pStyle w:val="ListParagraph"/>
        <w:numPr>
          <w:ilvl w:val="0"/>
          <w:numId w:val="28"/>
        </w:numPr>
        <w:spacing w:after="0" w:line="240" w:lineRule="auto"/>
      </w:pPr>
      <w:r w:rsidRPr="00EE51AD">
        <w:rPr>
          <w:bCs/>
        </w:rPr>
        <w:t xml:space="preserve">CLINICAL COURSE (p. A2): </w:t>
      </w:r>
      <w:r w:rsidRPr="006733F2">
        <w:t>The clinical course of low back pain can be described as acute, subacute, recurrent, or chronic. Given the high prevalence of recurrent and chronic low back pain and the associated costs, cli</w:t>
      </w:r>
      <w:r w:rsidR="00FB4248">
        <w:t>nicians should place high prior</w:t>
      </w:r>
      <w:r w:rsidRPr="006733F2">
        <w:t xml:space="preserve">ity on interventions that prevent (1) recurrences and (2) the transition to chronic low back pain. (Recommendation based on theoretical/foundational evidence.)  </w:t>
      </w:r>
    </w:p>
    <w:p w14:paraId="2E8A7454" w14:textId="01BF0F8A" w:rsidR="004A5E2B" w:rsidRPr="006733F2" w:rsidRDefault="004A5E2B" w:rsidP="00FB4248">
      <w:pPr>
        <w:pStyle w:val="ListParagraph"/>
        <w:numPr>
          <w:ilvl w:val="0"/>
          <w:numId w:val="28"/>
        </w:numPr>
        <w:spacing w:after="0" w:line="240" w:lineRule="auto"/>
      </w:pPr>
      <w:r w:rsidRPr="00EE51AD">
        <w:rPr>
          <w:bCs/>
        </w:rPr>
        <w:t xml:space="preserve">EXAMINATION – OUTCOME MEASURES (p. A2): </w:t>
      </w:r>
      <w:r w:rsidRPr="006733F2">
        <w:t>Clinicians should use validated self-report questionnaires, such as the Oswestry Disability Index and the Roland-Morris Disability Ques</w:t>
      </w:r>
      <w:r w:rsidRPr="006733F2">
        <w:softHyphen/>
        <w:t xml:space="preserve">tionnaire. These tools are useful for identifying a patient’s baseline status relative to pain, function, and disability and for monitoring a change in a patient’s status throughout the course of treatment. (Recommendation based on strong evidence.) </w:t>
      </w:r>
    </w:p>
    <w:p w14:paraId="109D9136" w14:textId="4C8F94A0" w:rsidR="004A5E2B" w:rsidRPr="006733F2" w:rsidRDefault="004A5E2B" w:rsidP="00FB4248">
      <w:pPr>
        <w:pStyle w:val="ListParagraph"/>
        <w:numPr>
          <w:ilvl w:val="0"/>
          <w:numId w:val="28"/>
        </w:numPr>
        <w:spacing w:after="0" w:line="240" w:lineRule="auto"/>
      </w:pPr>
      <w:r w:rsidRPr="00EE51AD">
        <w:rPr>
          <w:bCs/>
        </w:rPr>
        <w:t xml:space="preserve">EXAMINATION – ACTIVITY LIMITATION AND PARTICIPATION RESTRICTION MEASURES (p. A2): </w:t>
      </w:r>
      <w:r w:rsidRPr="006733F2">
        <w:t>Clinicians should routinely assess activity limitation and participation restriction through validated performance-based measures. Changes in the patient’s level of activity limit</w:t>
      </w:r>
      <w:r w:rsidR="00FB4248">
        <w:t>ation and participation restric</w:t>
      </w:r>
      <w:r w:rsidRPr="006733F2">
        <w:t>tion should be monitored with these same measures over the course of treatment. (Recommendation based on expert opinion.)</w:t>
      </w:r>
    </w:p>
    <w:p w14:paraId="0D581126" w14:textId="77777777" w:rsidR="00496AF8" w:rsidRPr="003B1CC5" w:rsidRDefault="00496AF8" w:rsidP="002E2177">
      <w:pPr>
        <w:ind w:left="0" w:firstLine="0"/>
      </w:pPr>
    </w:p>
    <w:p w14:paraId="0D581127" w14:textId="77777777" w:rsidR="008A45F3"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14:paraId="7BB33940" w14:textId="77777777" w:rsidR="00576A62" w:rsidRDefault="00576A62" w:rsidP="00265702">
      <w:pPr>
        <w:ind w:left="0" w:firstLine="0"/>
      </w:pPr>
    </w:p>
    <w:p w14:paraId="4A669E2B" w14:textId="3928AE13" w:rsidR="004A5E2B" w:rsidRPr="004556B5" w:rsidRDefault="004A5E2B" w:rsidP="004A5E2B">
      <w:pPr>
        <w:pStyle w:val="ListParagraph"/>
        <w:numPr>
          <w:ilvl w:val="0"/>
          <w:numId w:val="17"/>
        </w:numPr>
        <w:spacing w:after="0" w:line="240" w:lineRule="auto"/>
        <w:ind w:left="288" w:hanging="288"/>
      </w:pPr>
      <w:r w:rsidRPr="004556B5">
        <w:t xml:space="preserve">ICSI Guideline: </w:t>
      </w:r>
      <w:r w:rsidR="00FB4248">
        <w:t>Assessment and Manage</w:t>
      </w:r>
      <w:r w:rsidRPr="004556B5">
        <w:t>ment of Chronic Pain (Hooten et al.</w:t>
      </w:r>
      <w:r w:rsidR="00D946A4" w:rsidRPr="004556B5">
        <w:t>,</w:t>
      </w:r>
      <w:r w:rsidRPr="004556B5">
        <w:t xml:space="preserve"> </w:t>
      </w:r>
      <w:r w:rsidRPr="0068514E">
        <w:t>2013</w:t>
      </w:r>
      <w:r w:rsidRPr="004556B5">
        <w:t>)</w:t>
      </w:r>
      <w:r w:rsidR="001D3DBF">
        <w:t>.</w:t>
      </w:r>
      <w:r w:rsidRPr="004556B5">
        <w:t xml:space="preserve"> </w:t>
      </w:r>
      <w:r w:rsidR="00D946A4" w:rsidRPr="004556B5">
        <w:t>See section</w:t>
      </w:r>
      <w:r w:rsidRPr="004556B5">
        <w:t xml:space="preserve"> 1a.4.2</w:t>
      </w:r>
      <w:r w:rsidR="00E33788" w:rsidRPr="004556B5">
        <w:t xml:space="preserve"> for grade</w:t>
      </w:r>
      <w:r w:rsidR="000328FD">
        <w:t xml:space="preserve"> and 1a.4.4 for definition</w:t>
      </w:r>
      <w:r w:rsidR="00E33788" w:rsidRPr="004556B5">
        <w:t>.</w:t>
      </w:r>
    </w:p>
    <w:p w14:paraId="5DCEB37B" w14:textId="61DEC677" w:rsidR="004A5E2B" w:rsidRDefault="004A5E2B" w:rsidP="004A5E2B">
      <w:pPr>
        <w:pStyle w:val="ListParagraph"/>
        <w:numPr>
          <w:ilvl w:val="0"/>
          <w:numId w:val="17"/>
        </w:numPr>
        <w:spacing w:after="0" w:line="240" w:lineRule="auto"/>
        <w:ind w:left="288" w:hanging="288"/>
      </w:pPr>
      <w:r>
        <w:t>ICSI Guideline: Adult Acute and Subacute Low Back Pain (Goertz et al.</w:t>
      </w:r>
      <w:r w:rsidR="00D946A4">
        <w:t>,</w:t>
      </w:r>
      <w:r w:rsidR="001D3DBF">
        <w:t xml:space="preserve"> 2012). </w:t>
      </w:r>
      <w:r>
        <w:t xml:space="preserve">Strong </w:t>
      </w:r>
      <w:r w:rsidR="00E33788">
        <w:t>Recommendation;</w:t>
      </w:r>
      <w:r w:rsidR="00576A62">
        <w:t xml:space="preserve"> </w:t>
      </w:r>
      <w:r>
        <w:t>Moderate Quality Evidence. Definition: see section 1a.4.</w:t>
      </w:r>
      <w:r w:rsidR="00E33788">
        <w:t>4</w:t>
      </w:r>
    </w:p>
    <w:p w14:paraId="5DC86A0C" w14:textId="1E6F2DDB" w:rsidR="004A5E2B" w:rsidRPr="009F0816" w:rsidRDefault="00B335EE" w:rsidP="004A5E2B">
      <w:pPr>
        <w:pStyle w:val="ListParagraph"/>
        <w:numPr>
          <w:ilvl w:val="0"/>
          <w:numId w:val="17"/>
        </w:numPr>
        <w:spacing w:after="0" w:line="240" w:lineRule="auto"/>
        <w:ind w:left="288" w:hanging="288"/>
      </w:pPr>
      <w:r>
        <w:t>Low B</w:t>
      </w:r>
      <w:r w:rsidR="004A5E2B">
        <w:t>ac</w:t>
      </w:r>
      <w:r w:rsidR="004A5E2B" w:rsidRPr="009F0816">
        <w:t xml:space="preserve">k </w:t>
      </w:r>
      <w:r w:rsidR="006733F2" w:rsidRPr="009F0816">
        <w:t>P</w:t>
      </w:r>
      <w:r w:rsidR="004A5E2B" w:rsidRPr="009F0816">
        <w:t xml:space="preserve">ain: Clinical </w:t>
      </w:r>
      <w:r w:rsidR="006733F2" w:rsidRPr="009F0816">
        <w:t>P</w:t>
      </w:r>
      <w:r w:rsidR="004A5E2B" w:rsidRPr="009F0816">
        <w:t xml:space="preserve">ractice </w:t>
      </w:r>
      <w:r w:rsidR="006733F2" w:rsidRPr="009F0816">
        <w:t>G</w:t>
      </w:r>
      <w:r w:rsidR="004A5E2B" w:rsidRPr="009F0816">
        <w:t>uidelines (Delitto et al. (2012))</w:t>
      </w:r>
    </w:p>
    <w:p w14:paraId="6C992B91" w14:textId="77777777" w:rsidR="004A5E2B" w:rsidRPr="009F0816" w:rsidRDefault="004A5E2B" w:rsidP="004C7B7B">
      <w:pPr>
        <w:pStyle w:val="ListParagraph"/>
        <w:numPr>
          <w:ilvl w:val="0"/>
          <w:numId w:val="18"/>
        </w:numPr>
        <w:spacing w:after="0" w:line="240" w:lineRule="auto"/>
        <w:ind w:left="720"/>
      </w:pPr>
      <w:r w:rsidRPr="009F0816">
        <w:rPr>
          <w:bCs/>
        </w:rPr>
        <w:t xml:space="preserve">CLINICAL COURSE: Recommendation E - </w:t>
      </w:r>
      <w:r w:rsidRPr="009F0816">
        <w:t>(Theoretical/foundational evidence): A preponderance of evidence from animal or cadaver studies, from conceptual models/principles, or from basic science/ bench research supports this conclusion</w:t>
      </w:r>
    </w:p>
    <w:p w14:paraId="4B295861" w14:textId="2D4EEB3E" w:rsidR="004A5E2B" w:rsidRPr="009F0816" w:rsidRDefault="004A5E2B" w:rsidP="004C7B7B">
      <w:pPr>
        <w:pStyle w:val="ListParagraph"/>
        <w:numPr>
          <w:ilvl w:val="0"/>
          <w:numId w:val="18"/>
        </w:numPr>
        <w:spacing w:after="0" w:line="240" w:lineRule="auto"/>
        <w:ind w:left="720"/>
        <w:rPr>
          <w:rFonts w:cs="Times New Roman"/>
          <w:sz w:val="24"/>
          <w:szCs w:val="24"/>
        </w:rPr>
      </w:pPr>
      <w:r w:rsidRPr="009F0816">
        <w:rPr>
          <w:bCs/>
        </w:rPr>
        <w:t>EXAMINATION – OUTCOME MEASURES</w:t>
      </w:r>
      <w:r w:rsidRPr="009F0816">
        <w:rPr>
          <w:b/>
          <w:bCs/>
        </w:rPr>
        <w:t>:</w:t>
      </w:r>
      <w:r w:rsidRPr="009F0816">
        <w:rPr>
          <w:bCs/>
        </w:rPr>
        <w:t xml:space="preserve"> Recommendation A - </w:t>
      </w:r>
      <w:r w:rsidRPr="009F0816">
        <w:t>(Strong evidence): A preponderance of level I and/or level II studies support the recommendation</w:t>
      </w:r>
      <w:r w:rsidRPr="009F0816">
        <w:rPr>
          <w:rFonts w:cs="Times New Roman"/>
          <w:sz w:val="24"/>
          <w:szCs w:val="24"/>
        </w:rPr>
        <w:t xml:space="preserve"> </w:t>
      </w:r>
    </w:p>
    <w:p w14:paraId="3FF2B312" w14:textId="15D09750" w:rsidR="004A5E2B" w:rsidRPr="003B1CC5" w:rsidRDefault="004A5E2B" w:rsidP="004C7B7B">
      <w:pPr>
        <w:pStyle w:val="ListParagraph"/>
        <w:numPr>
          <w:ilvl w:val="0"/>
          <w:numId w:val="18"/>
        </w:numPr>
        <w:tabs>
          <w:tab w:val="left" w:pos="720"/>
        </w:tabs>
        <w:spacing w:after="0" w:line="240" w:lineRule="auto"/>
        <w:ind w:left="720"/>
      </w:pPr>
      <w:r w:rsidRPr="009F0816">
        <w:rPr>
          <w:bCs/>
        </w:rPr>
        <w:t>EXAMINA</w:t>
      </w:r>
      <w:r w:rsidRPr="006733F2">
        <w:rPr>
          <w:bCs/>
        </w:rPr>
        <w:t>TION – ACTIVITY LIMITATION AND PARTICIPATION RESTRICTION MEASURES:</w:t>
      </w:r>
      <w:r w:rsidRPr="00E3614F">
        <w:rPr>
          <w:b/>
          <w:bCs/>
        </w:rPr>
        <w:t xml:space="preserve"> </w:t>
      </w:r>
      <w:r w:rsidRPr="00E3614F">
        <w:rPr>
          <w:bCs/>
        </w:rPr>
        <w:t xml:space="preserve">Recommendation F - </w:t>
      </w:r>
      <w:r>
        <w:t>(Expert opinion): Best practice based on the clinical experience of the guideline development team</w:t>
      </w:r>
    </w:p>
    <w:p w14:paraId="0D581129" w14:textId="77777777" w:rsidR="008A45F3" w:rsidRPr="003B1CC5" w:rsidRDefault="008A45F3" w:rsidP="00265702">
      <w:pPr>
        <w:ind w:left="0" w:firstLine="0"/>
      </w:pPr>
    </w:p>
    <w:p w14:paraId="0D58112A" w14:textId="77777777" w:rsidR="00265702" w:rsidRDefault="00965FF6" w:rsidP="00265702">
      <w:pPr>
        <w:ind w:left="0" w:firstLine="0"/>
      </w:pPr>
      <w:r w:rsidRPr="003B1CC5">
        <w:rPr>
          <w:b/>
          <w:color w:val="0000FF"/>
        </w:rPr>
        <w:t>1a.4.4.</w:t>
      </w:r>
      <w:r w:rsidRPr="003B1CC5">
        <w:rPr>
          <w:b/>
          <w:color w:val="17365D" w:themeColor="text2" w:themeShade="BF"/>
        </w:rPr>
        <w:t xml:space="preserve">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14:paraId="7E4991C1" w14:textId="77777777" w:rsidR="00E3614F" w:rsidRDefault="00E3614F" w:rsidP="00265702">
      <w:pPr>
        <w:ind w:left="0" w:firstLine="0"/>
      </w:pPr>
    </w:p>
    <w:p w14:paraId="282B7D34" w14:textId="0CD1C074" w:rsidR="00E3614F" w:rsidRDefault="00DC2D41" w:rsidP="00265702">
      <w:pPr>
        <w:ind w:left="0" w:firstLine="0"/>
      </w:pPr>
      <w:r>
        <w:t xml:space="preserve">1. </w:t>
      </w:r>
      <w:r w:rsidR="00E3614F">
        <w:t>&amp; 2. ICSI G</w:t>
      </w:r>
      <w:r w:rsidR="00FB4248">
        <w:t>uidelines Assessment and Manage</w:t>
      </w:r>
      <w:r w:rsidR="00E3614F">
        <w:t>ment of Chronic Pain Adult Acute and Subacute Low Back Pain use the</w:t>
      </w:r>
      <w:r w:rsidR="00E3614F">
        <w:rPr>
          <w:b/>
        </w:rPr>
        <w:t xml:space="preserve"> </w:t>
      </w:r>
      <w:r w:rsidR="00E3614F">
        <w:rPr>
          <w:sz w:val="21"/>
          <w:szCs w:val="21"/>
        </w:rPr>
        <w:t>Grading of Recommendations As</w:t>
      </w:r>
      <w:r w:rsidR="00FB4248">
        <w:rPr>
          <w:sz w:val="21"/>
          <w:szCs w:val="21"/>
        </w:rPr>
        <w:t>sessment, Development and Evalu</w:t>
      </w:r>
      <w:r w:rsidR="00E3614F">
        <w:rPr>
          <w:sz w:val="21"/>
          <w:szCs w:val="21"/>
        </w:rPr>
        <w:t>ation (GRADE) system as a method of assessing the quality of evidence and writing recommendations</w:t>
      </w:r>
      <w:r w:rsidR="00E3614F">
        <w:rPr>
          <w:b/>
        </w:rPr>
        <w:t xml:space="preserve">. </w:t>
      </w:r>
      <w:r w:rsidR="00E3614F">
        <w:t>See below for definitions</w:t>
      </w:r>
    </w:p>
    <w:p w14:paraId="16DBE44B" w14:textId="77777777" w:rsidR="00FB4248" w:rsidRPr="003B1CC5" w:rsidRDefault="00FB4248" w:rsidP="00265702">
      <w:pPr>
        <w:ind w:left="0" w:firstLine="0"/>
      </w:pPr>
    </w:p>
    <w:p w14:paraId="15B60A30" w14:textId="77777777" w:rsidR="00E3614F" w:rsidRDefault="00E3614F" w:rsidP="00E3614F">
      <w:pPr>
        <w:ind w:left="0" w:firstLine="0"/>
        <w:jc w:val="center"/>
      </w:pPr>
      <w:r>
        <w:rPr>
          <w:b/>
        </w:rPr>
        <w:t>Grading of Recommendations Assessment, Development and Evaluation (GRADE)</w:t>
      </w:r>
    </w:p>
    <w:tbl>
      <w:tblPr>
        <w:tblW w:w="0" w:type="auto"/>
        <w:tblCellSpacing w:w="7" w:type="dxa"/>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4A0" w:firstRow="1" w:lastRow="0" w:firstColumn="1" w:lastColumn="0" w:noHBand="0" w:noVBand="1"/>
      </w:tblPr>
      <w:tblGrid>
        <w:gridCol w:w="1141"/>
        <w:gridCol w:w="2263"/>
        <w:gridCol w:w="2970"/>
        <w:gridCol w:w="3134"/>
      </w:tblGrid>
      <w:tr w:rsidR="00E3614F" w14:paraId="79DFC44E" w14:textId="77777777" w:rsidTr="00E3614F">
        <w:trPr>
          <w:tblHeader/>
          <w:tblCellSpacing w:w="7" w:type="dxa"/>
        </w:trPr>
        <w:tc>
          <w:tcPr>
            <w:tcW w:w="1120" w:type="dxa"/>
            <w:tcBorders>
              <w:top w:val="outset" w:sz="6" w:space="0" w:color="auto"/>
              <w:left w:val="outset" w:sz="6" w:space="0" w:color="auto"/>
              <w:bottom w:val="outset" w:sz="6" w:space="0" w:color="auto"/>
              <w:right w:val="outset" w:sz="6" w:space="0" w:color="auto"/>
            </w:tcBorders>
            <w:hideMark/>
          </w:tcPr>
          <w:p w14:paraId="03B19980" w14:textId="77777777" w:rsidR="00E3614F" w:rsidRPr="009F0816" w:rsidRDefault="00E3614F">
            <w:pPr>
              <w:ind w:left="0" w:firstLine="0"/>
              <w:jc w:val="center"/>
              <w:rPr>
                <w:b/>
                <w:sz w:val="19"/>
                <w:szCs w:val="19"/>
              </w:rPr>
            </w:pPr>
            <w:r w:rsidRPr="009F0816">
              <w:rPr>
                <w:b/>
                <w:sz w:val="19"/>
                <w:szCs w:val="19"/>
              </w:rPr>
              <w:t>Category</w:t>
            </w:r>
          </w:p>
        </w:tc>
        <w:tc>
          <w:tcPr>
            <w:tcW w:w="2249" w:type="dxa"/>
            <w:tcBorders>
              <w:top w:val="outset" w:sz="6" w:space="0" w:color="auto"/>
              <w:left w:val="outset" w:sz="6" w:space="0" w:color="auto"/>
              <w:bottom w:val="outset" w:sz="6" w:space="0" w:color="auto"/>
              <w:right w:val="outset" w:sz="6" w:space="0" w:color="auto"/>
            </w:tcBorders>
            <w:hideMark/>
          </w:tcPr>
          <w:p w14:paraId="4F5A7C1C" w14:textId="77777777" w:rsidR="00E3614F" w:rsidRPr="009F0816" w:rsidRDefault="00E3614F">
            <w:pPr>
              <w:ind w:left="0" w:firstLine="0"/>
              <w:jc w:val="center"/>
              <w:rPr>
                <w:b/>
                <w:sz w:val="19"/>
                <w:szCs w:val="19"/>
              </w:rPr>
            </w:pPr>
            <w:r w:rsidRPr="009F0816">
              <w:rPr>
                <w:b/>
                <w:sz w:val="19"/>
                <w:szCs w:val="19"/>
              </w:rPr>
              <w:t>Quality Definitions</w:t>
            </w:r>
          </w:p>
        </w:tc>
        <w:tc>
          <w:tcPr>
            <w:tcW w:w="2956" w:type="dxa"/>
            <w:tcBorders>
              <w:top w:val="outset" w:sz="6" w:space="0" w:color="auto"/>
              <w:left w:val="outset" w:sz="6" w:space="0" w:color="auto"/>
              <w:bottom w:val="outset" w:sz="6" w:space="0" w:color="auto"/>
              <w:right w:val="outset" w:sz="6" w:space="0" w:color="auto"/>
            </w:tcBorders>
            <w:hideMark/>
          </w:tcPr>
          <w:p w14:paraId="5D580DA2" w14:textId="77777777" w:rsidR="00E3614F" w:rsidRPr="009F0816" w:rsidRDefault="00E3614F">
            <w:pPr>
              <w:ind w:left="0" w:firstLine="0"/>
              <w:jc w:val="center"/>
              <w:rPr>
                <w:b/>
                <w:sz w:val="19"/>
                <w:szCs w:val="19"/>
              </w:rPr>
            </w:pPr>
            <w:r w:rsidRPr="009F0816">
              <w:rPr>
                <w:b/>
                <w:sz w:val="19"/>
                <w:szCs w:val="19"/>
              </w:rPr>
              <w:t>Strong Recommendation</w:t>
            </w:r>
          </w:p>
        </w:tc>
        <w:tc>
          <w:tcPr>
            <w:tcW w:w="3113" w:type="dxa"/>
            <w:tcBorders>
              <w:top w:val="outset" w:sz="6" w:space="0" w:color="auto"/>
              <w:left w:val="outset" w:sz="6" w:space="0" w:color="auto"/>
              <w:bottom w:val="outset" w:sz="6" w:space="0" w:color="auto"/>
              <w:right w:val="outset" w:sz="6" w:space="0" w:color="auto"/>
            </w:tcBorders>
            <w:hideMark/>
          </w:tcPr>
          <w:p w14:paraId="160FDEB7" w14:textId="77777777" w:rsidR="00E3614F" w:rsidRPr="009F0816" w:rsidRDefault="00E3614F">
            <w:pPr>
              <w:ind w:left="0" w:firstLine="0"/>
              <w:jc w:val="center"/>
              <w:rPr>
                <w:b/>
                <w:sz w:val="19"/>
                <w:szCs w:val="19"/>
              </w:rPr>
            </w:pPr>
            <w:r w:rsidRPr="009F0816">
              <w:rPr>
                <w:b/>
                <w:sz w:val="19"/>
                <w:szCs w:val="19"/>
              </w:rPr>
              <w:t>Weak Recommendation</w:t>
            </w:r>
          </w:p>
        </w:tc>
      </w:tr>
      <w:tr w:rsidR="00E3614F" w14:paraId="0FA264E2" w14:textId="77777777" w:rsidTr="00E3614F">
        <w:trPr>
          <w:tblCellSpacing w:w="7" w:type="dxa"/>
        </w:trPr>
        <w:tc>
          <w:tcPr>
            <w:tcW w:w="1120" w:type="dxa"/>
            <w:tcBorders>
              <w:top w:val="outset" w:sz="6" w:space="0" w:color="auto"/>
              <w:left w:val="outset" w:sz="6" w:space="0" w:color="auto"/>
              <w:bottom w:val="outset" w:sz="6" w:space="0" w:color="auto"/>
              <w:right w:val="outset" w:sz="6" w:space="0" w:color="auto"/>
            </w:tcBorders>
            <w:hideMark/>
          </w:tcPr>
          <w:p w14:paraId="187ADC86" w14:textId="77777777" w:rsidR="00E3614F" w:rsidRPr="009F0816" w:rsidRDefault="00E3614F">
            <w:pPr>
              <w:ind w:left="0" w:firstLine="0"/>
              <w:rPr>
                <w:b/>
                <w:sz w:val="19"/>
                <w:szCs w:val="19"/>
              </w:rPr>
            </w:pPr>
            <w:r w:rsidRPr="009F0816">
              <w:rPr>
                <w:b/>
                <w:sz w:val="19"/>
                <w:szCs w:val="19"/>
              </w:rPr>
              <w:t xml:space="preserve">High Quality </w:t>
            </w:r>
            <w:r w:rsidRPr="009F0816">
              <w:rPr>
                <w:b/>
                <w:sz w:val="19"/>
                <w:szCs w:val="19"/>
              </w:rPr>
              <w:lastRenderedPageBreak/>
              <w:t>Evidence</w:t>
            </w:r>
          </w:p>
        </w:tc>
        <w:tc>
          <w:tcPr>
            <w:tcW w:w="2249" w:type="dxa"/>
            <w:tcBorders>
              <w:top w:val="outset" w:sz="6" w:space="0" w:color="auto"/>
              <w:left w:val="outset" w:sz="6" w:space="0" w:color="auto"/>
              <w:bottom w:val="outset" w:sz="6" w:space="0" w:color="auto"/>
              <w:right w:val="outset" w:sz="6" w:space="0" w:color="auto"/>
            </w:tcBorders>
            <w:hideMark/>
          </w:tcPr>
          <w:p w14:paraId="3C6AC1A5" w14:textId="77777777" w:rsidR="00E3614F" w:rsidRPr="009F0816" w:rsidRDefault="00E3614F">
            <w:pPr>
              <w:ind w:left="0" w:firstLine="0"/>
              <w:rPr>
                <w:sz w:val="19"/>
                <w:szCs w:val="19"/>
              </w:rPr>
            </w:pPr>
            <w:r w:rsidRPr="009F0816">
              <w:rPr>
                <w:sz w:val="19"/>
                <w:szCs w:val="19"/>
              </w:rPr>
              <w:lastRenderedPageBreak/>
              <w:t xml:space="preserve">Further research is very </w:t>
            </w:r>
            <w:r w:rsidRPr="009F0816">
              <w:rPr>
                <w:sz w:val="19"/>
                <w:szCs w:val="19"/>
              </w:rPr>
              <w:lastRenderedPageBreak/>
              <w:t xml:space="preserve">unlikely to change </w:t>
            </w:r>
            <w:r w:rsidRPr="009F0816">
              <w:rPr>
                <w:rFonts w:eastAsia="Times New Roman" w:cs="Times New Roman"/>
                <w:sz w:val="19"/>
                <w:szCs w:val="19"/>
              </w:rPr>
              <w:t>the work group's</w:t>
            </w:r>
            <w:r w:rsidRPr="009F0816">
              <w:rPr>
                <w:sz w:val="19"/>
                <w:szCs w:val="19"/>
              </w:rPr>
              <w:t xml:space="preserve"> confidence in the estimate of effect.</w:t>
            </w:r>
          </w:p>
        </w:tc>
        <w:tc>
          <w:tcPr>
            <w:tcW w:w="2956" w:type="dxa"/>
            <w:tcBorders>
              <w:top w:val="outset" w:sz="6" w:space="0" w:color="auto"/>
              <w:left w:val="outset" w:sz="6" w:space="0" w:color="auto"/>
              <w:bottom w:val="outset" w:sz="6" w:space="0" w:color="auto"/>
              <w:right w:val="outset" w:sz="6" w:space="0" w:color="auto"/>
            </w:tcBorders>
            <w:hideMark/>
          </w:tcPr>
          <w:p w14:paraId="66939CEC" w14:textId="77777777" w:rsidR="00E3614F" w:rsidRPr="009F0816" w:rsidRDefault="00E3614F">
            <w:pPr>
              <w:ind w:left="0" w:firstLine="0"/>
              <w:rPr>
                <w:sz w:val="19"/>
                <w:szCs w:val="19"/>
              </w:rPr>
            </w:pPr>
            <w:r w:rsidRPr="009F0816">
              <w:rPr>
                <w:sz w:val="19"/>
                <w:szCs w:val="19"/>
              </w:rPr>
              <w:lastRenderedPageBreak/>
              <w:t xml:space="preserve">The work group is confident that the </w:t>
            </w:r>
            <w:r w:rsidRPr="009F0816">
              <w:rPr>
                <w:sz w:val="19"/>
                <w:szCs w:val="19"/>
              </w:rPr>
              <w:lastRenderedPageBreak/>
              <w:t>desirable effects of adhering to this recommendation outweigh the undesirable effects. This is a strong recommendation for or against. This applies to most patients.</w:t>
            </w:r>
          </w:p>
        </w:tc>
        <w:tc>
          <w:tcPr>
            <w:tcW w:w="3113" w:type="dxa"/>
            <w:tcBorders>
              <w:top w:val="outset" w:sz="6" w:space="0" w:color="auto"/>
              <w:left w:val="outset" w:sz="6" w:space="0" w:color="auto"/>
              <w:bottom w:val="outset" w:sz="6" w:space="0" w:color="auto"/>
              <w:right w:val="outset" w:sz="6" w:space="0" w:color="auto"/>
            </w:tcBorders>
            <w:hideMark/>
          </w:tcPr>
          <w:p w14:paraId="47F7FC99" w14:textId="77777777" w:rsidR="00E3614F" w:rsidRPr="009F0816" w:rsidRDefault="00E3614F">
            <w:pPr>
              <w:ind w:left="0" w:firstLine="0"/>
              <w:rPr>
                <w:sz w:val="19"/>
                <w:szCs w:val="19"/>
              </w:rPr>
            </w:pPr>
            <w:r w:rsidRPr="009F0816">
              <w:rPr>
                <w:sz w:val="19"/>
                <w:szCs w:val="19"/>
              </w:rPr>
              <w:lastRenderedPageBreak/>
              <w:t xml:space="preserve">The work group recognizes that the </w:t>
            </w:r>
            <w:r w:rsidRPr="009F0816">
              <w:rPr>
                <w:sz w:val="19"/>
                <w:szCs w:val="19"/>
              </w:rPr>
              <w:lastRenderedPageBreak/>
              <w:t>evidence, though of high quality, shows a balance between estimates of harms and benefits. The best action will depend on local circumstances, patient values or preferences.</w:t>
            </w:r>
          </w:p>
        </w:tc>
      </w:tr>
      <w:tr w:rsidR="00E3614F" w14:paraId="10616531" w14:textId="77777777" w:rsidTr="00E3614F">
        <w:trPr>
          <w:tblCellSpacing w:w="7" w:type="dxa"/>
        </w:trPr>
        <w:tc>
          <w:tcPr>
            <w:tcW w:w="1120" w:type="dxa"/>
            <w:tcBorders>
              <w:top w:val="outset" w:sz="6" w:space="0" w:color="auto"/>
              <w:left w:val="outset" w:sz="6" w:space="0" w:color="auto"/>
              <w:bottom w:val="outset" w:sz="6" w:space="0" w:color="auto"/>
              <w:right w:val="outset" w:sz="6" w:space="0" w:color="auto"/>
            </w:tcBorders>
            <w:hideMark/>
          </w:tcPr>
          <w:p w14:paraId="6404E9C5" w14:textId="77777777" w:rsidR="00E3614F" w:rsidRPr="009F0816" w:rsidRDefault="00E3614F">
            <w:pPr>
              <w:ind w:left="0" w:firstLine="0"/>
              <w:rPr>
                <w:b/>
                <w:sz w:val="19"/>
                <w:szCs w:val="19"/>
              </w:rPr>
            </w:pPr>
            <w:r w:rsidRPr="009F0816">
              <w:rPr>
                <w:b/>
                <w:sz w:val="19"/>
                <w:szCs w:val="19"/>
              </w:rPr>
              <w:lastRenderedPageBreak/>
              <w:t>Moderate Quality Evidence</w:t>
            </w:r>
          </w:p>
        </w:tc>
        <w:tc>
          <w:tcPr>
            <w:tcW w:w="2249" w:type="dxa"/>
            <w:tcBorders>
              <w:top w:val="outset" w:sz="6" w:space="0" w:color="auto"/>
              <w:left w:val="outset" w:sz="6" w:space="0" w:color="auto"/>
              <w:bottom w:val="outset" w:sz="6" w:space="0" w:color="auto"/>
              <w:right w:val="outset" w:sz="6" w:space="0" w:color="auto"/>
            </w:tcBorders>
            <w:hideMark/>
          </w:tcPr>
          <w:p w14:paraId="2B892932" w14:textId="77777777" w:rsidR="00E3614F" w:rsidRPr="009F0816" w:rsidRDefault="00E3614F">
            <w:pPr>
              <w:ind w:left="0" w:firstLine="0"/>
              <w:rPr>
                <w:sz w:val="19"/>
                <w:szCs w:val="19"/>
              </w:rPr>
            </w:pPr>
            <w:r w:rsidRPr="009F0816">
              <w:rPr>
                <w:sz w:val="19"/>
                <w:szCs w:val="19"/>
              </w:rPr>
              <w:t xml:space="preserve">Further research is likely to have an important impact on </w:t>
            </w:r>
            <w:r w:rsidRPr="009F0816">
              <w:rPr>
                <w:rFonts w:eastAsia="Times New Roman" w:cs="Times New Roman"/>
                <w:sz w:val="19"/>
                <w:szCs w:val="19"/>
              </w:rPr>
              <w:t>the work group's</w:t>
            </w:r>
            <w:r w:rsidRPr="009F0816">
              <w:rPr>
                <w:sz w:val="19"/>
                <w:szCs w:val="19"/>
              </w:rPr>
              <w:t xml:space="preserve"> confidence in the estimate of effect and may change the estimate.</w:t>
            </w:r>
          </w:p>
        </w:tc>
        <w:tc>
          <w:tcPr>
            <w:tcW w:w="2956" w:type="dxa"/>
            <w:tcBorders>
              <w:top w:val="outset" w:sz="6" w:space="0" w:color="auto"/>
              <w:left w:val="outset" w:sz="6" w:space="0" w:color="auto"/>
              <w:bottom w:val="outset" w:sz="6" w:space="0" w:color="auto"/>
              <w:right w:val="outset" w:sz="6" w:space="0" w:color="auto"/>
            </w:tcBorders>
            <w:hideMark/>
          </w:tcPr>
          <w:p w14:paraId="47FE3BF4" w14:textId="77777777" w:rsidR="00E3614F" w:rsidRPr="009F0816" w:rsidRDefault="00E3614F">
            <w:pPr>
              <w:ind w:left="0" w:firstLine="0"/>
              <w:rPr>
                <w:sz w:val="19"/>
                <w:szCs w:val="19"/>
              </w:rPr>
            </w:pPr>
            <w:r w:rsidRPr="009F0816">
              <w:rPr>
                <w:sz w:val="19"/>
                <w:szCs w:val="19"/>
              </w:rPr>
              <w:t>The work group is confident that the benefits outweigh the risks, but recognizes that the evidence has limitations. Further evidence may impact this recommendation.</w:t>
            </w:r>
            <w:r w:rsidRPr="009F0816">
              <w:rPr>
                <w:rFonts w:eastAsia="Times New Roman" w:cs="Times New Roman"/>
                <w:sz w:val="19"/>
                <w:szCs w:val="19"/>
              </w:rPr>
              <w:t xml:space="preserve"> </w:t>
            </w:r>
            <w:r w:rsidRPr="009F0816">
              <w:rPr>
                <w:sz w:val="19"/>
                <w:szCs w:val="19"/>
              </w:rPr>
              <w:t>This is a recommendation that likely applies to most patients.</w:t>
            </w:r>
          </w:p>
        </w:tc>
        <w:tc>
          <w:tcPr>
            <w:tcW w:w="3113" w:type="dxa"/>
            <w:tcBorders>
              <w:top w:val="outset" w:sz="6" w:space="0" w:color="auto"/>
              <w:left w:val="outset" w:sz="6" w:space="0" w:color="auto"/>
              <w:bottom w:val="outset" w:sz="6" w:space="0" w:color="auto"/>
              <w:right w:val="outset" w:sz="6" w:space="0" w:color="auto"/>
            </w:tcBorders>
            <w:hideMark/>
          </w:tcPr>
          <w:p w14:paraId="7F4EE2D8" w14:textId="77777777" w:rsidR="00E3614F" w:rsidRPr="009F0816" w:rsidRDefault="00E3614F">
            <w:pPr>
              <w:ind w:left="0" w:firstLine="0"/>
              <w:rPr>
                <w:sz w:val="19"/>
                <w:szCs w:val="19"/>
              </w:rPr>
            </w:pPr>
            <w:r w:rsidRPr="009F0816">
              <w:rPr>
                <w:sz w:val="19"/>
                <w:szCs w:val="19"/>
              </w:rPr>
              <w:t>The work group recognizes that there is a balance between harms and benefit, based on moderate quality evidence, or that there is uncertainty about the estimates of the harms and benefits of the proposed intervention that may be affected by new evidence. Alternative approaches will likely be better for some patients under some circumstances.</w:t>
            </w:r>
            <w:r w:rsidRPr="009F0816">
              <w:rPr>
                <w:rFonts w:eastAsia="Times New Roman" w:cs="Times New Roman"/>
                <w:sz w:val="19"/>
                <w:szCs w:val="19"/>
              </w:rPr>
              <w:t xml:space="preserve"> </w:t>
            </w:r>
          </w:p>
        </w:tc>
      </w:tr>
      <w:tr w:rsidR="00E3614F" w14:paraId="4BE3DFEF" w14:textId="77777777" w:rsidTr="00E3614F">
        <w:trPr>
          <w:tblCellSpacing w:w="7" w:type="dxa"/>
        </w:trPr>
        <w:tc>
          <w:tcPr>
            <w:tcW w:w="1120" w:type="dxa"/>
            <w:tcBorders>
              <w:top w:val="outset" w:sz="6" w:space="0" w:color="auto"/>
              <w:left w:val="outset" w:sz="6" w:space="0" w:color="auto"/>
              <w:bottom w:val="outset" w:sz="6" w:space="0" w:color="auto"/>
              <w:right w:val="outset" w:sz="6" w:space="0" w:color="auto"/>
            </w:tcBorders>
            <w:hideMark/>
          </w:tcPr>
          <w:p w14:paraId="0373D1DC" w14:textId="77777777" w:rsidR="00E3614F" w:rsidRPr="009F0816" w:rsidRDefault="00E3614F">
            <w:pPr>
              <w:ind w:left="0" w:firstLine="0"/>
              <w:rPr>
                <w:b/>
                <w:sz w:val="19"/>
                <w:szCs w:val="19"/>
              </w:rPr>
            </w:pPr>
            <w:r w:rsidRPr="009F0816">
              <w:rPr>
                <w:b/>
                <w:sz w:val="19"/>
                <w:szCs w:val="19"/>
              </w:rPr>
              <w:t>Low Quality Evidence</w:t>
            </w:r>
          </w:p>
        </w:tc>
        <w:tc>
          <w:tcPr>
            <w:tcW w:w="2249" w:type="dxa"/>
            <w:tcBorders>
              <w:top w:val="outset" w:sz="6" w:space="0" w:color="auto"/>
              <w:left w:val="outset" w:sz="6" w:space="0" w:color="auto"/>
              <w:bottom w:val="outset" w:sz="6" w:space="0" w:color="auto"/>
              <w:right w:val="outset" w:sz="6" w:space="0" w:color="auto"/>
            </w:tcBorders>
            <w:hideMark/>
          </w:tcPr>
          <w:p w14:paraId="0D469C39" w14:textId="77777777" w:rsidR="00E3614F" w:rsidRPr="009F0816" w:rsidRDefault="00E3614F">
            <w:pPr>
              <w:ind w:left="0" w:firstLine="0"/>
              <w:rPr>
                <w:sz w:val="19"/>
                <w:szCs w:val="19"/>
              </w:rPr>
            </w:pPr>
            <w:r w:rsidRPr="009F0816">
              <w:rPr>
                <w:sz w:val="19"/>
                <w:szCs w:val="19"/>
              </w:rPr>
              <w:t>Further research is very likely to have an important impact on</w:t>
            </w:r>
            <w:r w:rsidRPr="009F0816">
              <w:rPr>
                <w:rFonts w:eastAsia="Times New Roman" w:cs="Times New Roman"/>
                <w:sz w:val="19"/>
                <w:szCs w:val="19"/>
              </w:rPr>
              <w:t xml:space="preserve"> the work group's</w:t>
            </w:r>
            <w:r w:rsidRPr="009F0816">
              <w:rPr>
                <w:sz w:val="19"/>
                <w:szCs w:val="19"/>
              </w:rPr>
              <w:t xml:space="preserve"> confidence in the estimate of effect and is likely to change. The estimate or any</w:t>
            </w:r>
            <w:r w:rsidRPr="009F0816">
              <w:rPr>
                <w:rFonts w:eastAsia="Times New Roman" w:cs="Times New Roman"/>
                <w:sz w:val="19"/>
                <w:szCs w:val="19"/>
              </w:rPr>
              <w:t xml:space="preserve"> </w:t>
            </w:r>
            <w:r w:rsidRPr="009F0816">
              <w:rPr>
                <w:sz w:val="19"/>
                <w:szCs w:val="19"/>
              </w:rPr>
              <w:t>estimate of effect is very uncertain.</w:t>
            </w:r>
          </w:p>
        </w:tc>
        <w:tc>
          <w:tcPr>
            <w:tcW w:w="2956" w:type="dxa"/>
            <w:tcBorders>
              <w:top w:val="outset" w:sz="6" w:space="0" w:color="auto"/>
              <w:left w:val="outset" w:sz="6" w:space="0" w:color="auto"/>
              <w:bottom w:val="outset" w:sz="6" w:space="0" w:color="auto"/>
              <w:right w:val="outset" w:sz="6" w:space="0" w:color="auto"/>
            </w:tcBorders>
            <w:hideMark/>
          </w:tcPr>
          <w:p w14:paraId="68E3EC21" w14:textId="77777777" w:rsidR="00E3614F" w:rsidRPr="009F0816" w:rsidRDefault="00E3614F">
            <w:pPr>
              <w:ind w:left="0" w:firstLine="0"/>
              <w:rPr>
                <w:sz w:val="19"/>
                <w:szCs w:val="19"/>
              </w:rPr>
            </w:pPr>
            <w:r w:rsidRPr="009F0816">
              <w:rPr>
                <w:sz w:val="19"/>
                <w:szCs w:val="19"/>
              </w:rPr>
              <w:t>The work group feels that the evidence consistently indicates the benefit of this action outweighs</w:t>
            </w:r>
            <w:r w:rsidRPr="009F0816">
              <w:rPr>
                <w:rFonts w:eastAsia="Times New Roman" w:cs="Times New Roman"/>
                <w:sz w:val="19"/>
                <w:szCs w:val="19"/>
              </w:rPr>
              <w:t xml:space="preserve"> </w:t>
            </w:r>
            <w:r w:rsidRPr="009F0816">
              <w:rPr>
                <w:sz w:val="19"/>
                <w:szCs w:val="19"/>
              </w:rPr>
              <w:t>the harms. This recommendation might change when higher quality evidence becomes available.</w:t>
            </w:r>
          </w:p>
        </w:tc>
        <w:tc>
          <w:tcPr>
            <w:tcW w:w="3113" w:type="dxa"/>
            <w:tcBorders>
              <w:top w:val="outset" w:sz="6" w:space="0" w:color="auto"/>
              <w:left w:val="outset" w:sz="6" w:space="0" w:color="auto"/>
              <w:bottom w:val="outset" w:sz="6" w:space="0" w:color="auto"/>
              <w:right w:val="outset" w:sz="6" w:space="0" w:color="auto"/>
            </w:tcBorders>
            <w:hideMark/>
          </w:tcPr>
          <w:p w14:paraId="0AE69B63" w14:textId="77777777" w:rsidR="00E3614F" w:rsidRPr="009F0816" w:rsidRDefault="00E3614F">
            <w:pPr>
              <w:ind w:left="0" w:firstLine="0"/>
              <w:rPr>
                <w:sz w:val="19"/>
                <w:szCs w:val="19"/>
              </w:rPr>
            </w:pPr>
            <w:r w:rsidRPr="009F0816">
              <w:rPr>
                <w:sz w:val="19"/>
                <w:szCs w:val="19"/>
              </w:rPr>
              <w:t>The work group recognizes that there is significant uncertainty about the best estimates of benefits and harms.</w:t>
            </w:r>
          </w:p>
        </w:tc>
      </w:tr>
    </w:tbl>
    <w:p w14:paraId="0D58112B" w14:textId="77777777" w:rsidR="00A12762" w:rsidRDefault="00A12762" w:rsidP="00265702">
      <w:pPr>
        <w:ind w:left="0" w:firstLine="0"/>
        <w:rPr>
          <w:b/>
        </w:rPr>
      </w:pPr>
    </w:p>
    <w:p w14:paraId="0012ABCB" w14:textId="77777777" w:rsidR="00E3614F" w:rsidRDefault="00E3614F" w:rsidP="00265702">
      <w:pPr>
        <w:ind w:left="0" w:firstLine="0"/>
        <w:rPr>
          <w:b/>
        </w:rPr>
      </w:pPr>
    </w:p>
    <w:p w14:paraId="40EB8599" w14:textId="16079524" w:rsidR="00E3614F" w:rsidRDefault="00D84A95" w:rsidP="00E3614F">
      <w:pPr>
        <w:ind w:left="0" w:firstLine="0"/>
      </w:pPr>
      <w:r>
        <w:t>3. Low Back Pain: Clinical Practice G</w:t>
      </w:r>
      <w:r w:rsidR="00E3614F">
        <w:t>uidelines (Delitto et al. (2012)) - uses criteria described by the Centre for Evidence-Based Medicine, Oxford for grading the recommendations.  See below for definitions.</w:t>
      </w:r>
    </w:p>
    <w:p w14:paraId="26711B0C" w14:textId="77777777" w:rsidR="00E3614F" w:rsidRDefault="00E3614F" w:rsidP="00E3614F">
      <w:pPr>
        <w:ind w:left="0" w:firstLine="0"/>
        <w:jc w:val="center"/>
        <w:rPr>
          <w:b/>
        </w:rPr>
      </w:pPr>
    </w:p>
    <w:p w14:paraId="5C275461" w14:textId="0A2D0675" w:rsidR="00E3614F" w:rsidRDefault="009C6833" w:rsidP="00E3614F">
      <w:pPr>
        <w:ind w:left="0" w:firstLine="0"/>
        <w:jc w:val="center"/>
        <w:rPr>
          <w:b/>
        </w:rPr>
      </w:pPr>
      <w:r>
        <w:rPr>
          <w:b/>
        </w:rPr>
        <w:t>Oxford Centre for Evidence-B</w:t>
      </w:r>
      <w:r w:rsidR="00E3614F">
        <w:rPr>
          <w:b/>
        </w:rPr>
        <w:t xml:space="preserve">ased Medicine </w:t>
      </w:r>
    </w:p>
    <w:p w14:paraId="6BDCEFD7" w14:textId="77777777" w:rsidR="00E3614F" w:rsidRDefault="00E3614F" w:rsidP="00E3614F">
      <w:pPr>
        <w:ind w:left="0" w:firstLine="0"/>
        <w:rPr>
          <w:u w:val="single"/>
        </w:rPr>
      </w:pPr>
      <w:r>
        <w:rPr>
          <w:u w:val="single"/>
        </w:rPr>
        <w:t>Recommendation Grades</w:t>
      </w:r>
    </w:p>
    <w:p w14:paraId="4D6492B6" w14:textId="7479D33C" w:rsidR="00584A94" w:rsidRDefault="00584A94" w:rsidP="00E3614F">
      <w:pPr>
        <w:ind w:left="0" w:firstLine="0"/>
        <w:rPr>
          <w:u w:val="single"/>
        </w:rPr>
      </w:pPr>
      <w:r w:rsidRPr="00DA2CA0">
        <w:rPr>
          <w:b/>
        </w:rPr>
        <w:t>Recommendation A</w:t>
      </w:r>
      <w:r w:rsidRPr="00DA2CA0">
        <w:t xml:space="preserve">. (Strong evidence): A preponderance of level I and/or level II studies support the recommendation.  This must include at least </w:t>
      </w:r>
      <w:r w:rsidR="007F031D">
        <w:t>one</w:t>
      </w:r>
      <w:r w:rsidRPr="00DA2CA0">
        <w:t xml:space="preserve"> level I study</w:t>
      </w:r>
    </w:p>
    <w:p w14:paraId="15EA0CCF" w14:textId="77777777" w:rsidR="00E3614F" w:rsidRDefault="00E3614F" w:rsidP="00E3614F">
      <w:pPr>
        <w:ind w:left="0" w:firstLine="0"/>
      </w:pPr>
      <w:r>
        <w:rPr>
          <w:b/>
        </w:rPr>
        <w:t xml:space="preserve">Recommendation B. </w:t>
      </w:r>
      <w:r>
        <w:t>(Moderate evidence): A single high-quality randomized controlled trial or a preponderance of level II studies support the recommendation</w:t>
      </w:r>
    </w:p>
    <w:p w14:paraId="4EFA24DC" w14:textId="77777777" w:rsidR="00E3614F" w:rsidRDefault="00E3614F" w:rsidP="00E3614F">
      <w:pPr>
        <w:ind w:left="0" w:firstLine="0"/>
      </w:pPr>
      <w:r>
        <w:rPr>
          <w:b/>
        </w:rPr>
        <w:t>Recommendation C.</w:t>
      </w:r>
      <w:r>
        <w:t xml:space="preserve"> (Weak evidence): A single level II study or a preponderance of level III and IV studies, including statements of consensus by content experts, support the recommendation</w:t>
      </w:r>
    </w:p>
    <w:p w14:paraId="6D64E695" w14:textId="77777777" w:rsidR="00E3614F" w:rsidRDefault="00E3614F" w:rsidP="00E3614F">
      <w:pPr>
        <w:ind w:left="0" w:firstLine="0"/>
      </w:pPr>
      <w:r>
        <w:rPr>
          <w:b/>
        </w:rPr>
        <w:t>Recommendation D.</w:t>
      </w:r>
      <w:r>
        <w:t xml:space="preserve"> (Conflicting evidence): Higher-quality studies conducted on this topic disagree with respect to their conclusions. The recommendation is based on these conflicting studies</w:t>
      </w:r>
    </w:p>
    <w:p w14:paraId="6D51987C" w14:textId="0775E4F4" w:rsidR="00A61DE7" w:rsidRDefault="00A61DE7" w:rsidP="00A61DE7">
      <w:pPr>
        <w:pStyle w:val="Default"/>
        <w:rPr>
          <w:rFonts w:asciiTheme="minorHAnsi" w:hAnsiTheme="minorHAnsi" w:cstheme="minorBidi"/>
          <w:color w:val="auto"/>
          <w:sz w:val="22"/>
          <w:szCs w:val="22"/>
        </w:rPr>
      </w:pPr>
      <w:r w:rsidRPr="00A61DE7">
        <w:rPr>
          <w:rFonts w:asciiTheme="minorHAnsi" w:hAnsiTheme="minorHAnsi" w:cstheme="minorBidi"/>
          <w:b/>
          <w:color w:val="auto"/>
          <w:sz w:val="22"/>
          <w:szCs w:val="22"/>
        </w:rPr>
        <w:t>Recommendation E</w:t>
      </w:r>
      <w:r>
        <w:t>. (</w:t>
      </w:r>
      <w:r w:rsidRPr="00A61DE7">
        <w:rPr>
          <w:rFonts w:asciiTheme="minorHAnsi" w:hAnsiTheme="minorHAnsi" w:cstheme="minorBidi"/>
          <w:color w:val="auto"/>
          <w:sz w:val="22"/>
          <w:szCs w:val="22"/>
        </w:rPr>
        <w:t>Theoretical/foundational evidence): A preponderance of evidence from animal or cadaver studi</w:t>
      </w:r>
      <w:r w:rsidR="00FB4248">
        <w:rPr>
          <w:rFonts w:asciiTheme="minorHAnsi" w:hAnsiTheme="minorHAnsi" w:cstheme="minorBidi"/>
          <w:color w:val="auto"/>
          <w:sz w:val="22"/>
          <w:szCs w:val="22"/>
        </w:rPr>
        <w:t>es, from conceptual models/prin</w:t>
      </w:r>
      <w:r w:rsidRPr="00A61DE7">
        <w:rPr>
          <w:rFonts w:asciiTheme="minorHAnsi" w:hAnsiTheme="minorHAnsi" w:cstheme="minorBidi"/>
          <w:color w:val="auto"/>
          <w:sz w:val="22"/>
          <w:szCs w:val="22"/>
        </w:rPr>
        <w:t>ciples, or from basic science/ bench research supports this conclusion</w:t>
      </w:r>
    </w:p>
    <w:p w14:paraId="4EE985AD" w14:textId="1D79DCEA" w:rsidR="00A61DE7" w:rsidRPr="00376020" w:rsidRDefault="00A61DE7" w:rsidP="00A61DE7">
      <w:pPr>
        <w:pStyle w:val="Default"/>
        <w:rPr>
          <w:rFonts w:asciiTheme="minorHAnsi" w:hAnsiTheme="minorHAnsi" w:cstheme="minorBidi"/>
          <w:color w:val="auto"/>
          <w:sz w:val="22"/>
          <w:szCs w:val="22"/>
        </w:rPr>
      </w:pPr>
      <w:r w:rsidRPr="00376020">
        <w:rPr>
          <w:rFonts w:asciiTheme="minorHAnsi" w:hAnsiTheme="minorHAnsi" w:cstheme="minorBidi"/>
          <w:b/>
          <w:color w:val="auto"/>
          <w:sz w:val="22"/>
          <w:szCs w:val="22"/>
        </w:rPr>
        <w:t>Recommendation F</w:t>
      </w:r>
      <w:r w:rsidRPr="00A61DE7">
        <w:t>. (</w:t>
      </w:r>
      <w:r w:rsidRPr="00376020">
        <w:rPr>
          <w:rFonts w:asciiTheme="minorHAnsi" w:hAnsiTheme="minorHAnsi" w:cstheme="minorBidi"/>
          <w:color w:val="auto"/>
          <w:sz w:val="22"/>
          <w:szCs w:val="22"/>
        </w:rPr>
        <w:t>Expert Opinion): Best practice based on the clinical experience of the guideline development team</w:t>
      </w:r>
    </w:p>
    <w:p w14:paraId="01407436" w14:textId="64C5045D" w:rsidR="00A61DE7" w:rsidRDefault="00A61DE7" w:rsidP="00E3614F">
      <w:pPr>
        <w:ind w:left="0" w:firstLine="0"/>
      </w:pPr>
    </w:p>
    <w:p w14:paraId="2436836D" w14:textId="77777777" w:rsidR="00E3614F" w:rsidRDefault="00E3614F" w:rsidP="00E3614F">
      <w:pPr>
        <w:ind w:left="0" w:firstLine="0"/>
      </w:pPr>
      <w:r>
        <w:t>Levels of Evidence:</w:t>
      </w:r>
    </w:p>
    <w:tbl>
      <w:tblPr>
        <w:tblW w:w="9168" w:type="dxa"/>
        <w:tblInd w:w="108" w:type="dxa"/>
        <w:tblCellMar>
          <w:left w:w="0" w:type="dxa"/>
          <w:right w:w="0" w:type="dxa"/>
        </w:tblCellMar>
        <w:tblLook w:val="04A0" w:firstRow="1" w:lastRow="0" w:firstColumn="1" w:lastColumn="0" w:noHBand="0" w:noVBand="1"/>
      </w:tblPr>
      <w:tblGrid>
        <w:gridCol w:w="9168"/>
      </w:tblGrid>
      <w:tr w:rsidR="00E3614F" w14:paraId="2FB4DC38" w14:textId="77777777" w:rsidTr="004C7B7B">
        <w:trPr>
          <w:trHeight w:val="198"/>
        </w:trPr>
        <w:tc>
          <w:tcPr>
            <w:tcW w:w="9168" w:type="dxa"/>
            <w:tcMar>
              <w:top w:w="0" w:type="dxa"/>
              <w:left w:w="108" w:type="dxa"/>
              <w:bottom w:w="0" w:type="dxa"/>
              <w:right w:w="108" w:type="dxa"/>
            </w:tcMar>
            <w:hideMark/>
          </w:tcPr>
          <w:p w14:paraId="5A5CA864" w14:textId="758848B6" w:rsidR="00E3614F" w:rsidRDefault="00E3614F" w:rsidP="004C7B7B">
            <w:pPr>
              <w:pStyle w:val="ListParagraph"/>
              <w:numPr>
                <w:ilvl w:val="0"/>
                <w:numId w:val="35"/>
              </w:numPr>
              <w:tabs>
                <w:tab w:val="left" w:pos="612"/>
              </w:tabs>
              <w:spacing w:after="0" w:line="240" w:lineRule="auto"/>
              <w:ind w:left="612"/>
            </w:pPr>
            <w:r>
              <w:t>Evidence obtained from high-quality diagnostic studies, prospective studies, or randomized controlled trials</w:t>
            </w:r>
          </w:p>
        </w:tc>
      </w:tr>
    </w:tbl>
    <w:p w14:paraId="48712CA8" w14:textId="0BF23514" w:rsidR="00E3614F" w:rsidRDefault="00E3614F" w:rsidP="004C7B7B">
      <w:pPr>
        <w:pStyle w:val="ListParagraph"/>
        <w:numPr>
          <w:ilvl w:val="0"/>
          <w:numId w:val="35"/>
        </w:numPr>
        <w:tabs>
          <w:tab w:val="left" w:pos="270"/>
        </w:tabs>
        <w:spacing w:after="0" w:line="240" w:lineRule="auto"/>
      </w:pPr>
      <w:r>
        <w:lastRenderedPageBreak/>
        <w:t>Evidence obtained from lesser-quality diagnostic studies, prospective studies, or randomized controlled trials (eg, weaker diagnostic criteria and reference standards, improper randomization, no blinding, &lt;80% follow-up)</w:t>
      </w:r>
    </w:p>
    <w:p w14:paraId="38CAFA7B" w14:textId="2AFD5322" w:rsidR="00E3614F" w:rsidRDefault="00E3614F" w:rsidP="004C7B7B">
      <w:pPr>
        <w:pStyle w:val="ListParagraph"/>
        <w:numPr>
          <w:ilvl w:val="0"/>
          <w:numId w:val="35"/>
        </w:numPr>
        <w:tabs>
          <w:tab w:val="left" w:pos="270"/>
        </w:tabs>
        <w:spacing w:after="0" w:line="240" w:lineRule="auto"/>
      </w:pPr>
      <w:r>
        <w:t>Case-controlled studies or retrospective studies</w:t>
      </w:r>
    </w:p>
    <w:p w14:paraId="7730294A" w14:textId="77777777" w:rsidR="004C7B7B" w:rsidRDefault="00E3614F" w:rsidP="004C7B7B">
      <w:pPr>
        <w:pStyle w:val="ListParagraph"/>
        <w:numPr>
          <w:ilvl w:val="0"/>
          <w:numId w:val="35"/>
        </w:numPr>
        <w:tabs>
          <w:tab w:val="left" w:pos="270"/>
        </w:tabs>
        <w:spacing w:after="0" w:line="240" w:lineRule="auto"/>
      </w:pPr>
      <w:r w:rsidRPr="004C7B7B">
        <w:t>Case series</w:t>
      </w:r>
    </w:p>
    <w:p w14:paraId="675547A9" w14:textId="0DACE456" w:rsidR="00E3614F" w:rsidRPr="004C7B7B" w:rsidRDefault="00E3614F" w:rsidP="004C7B7B">
      <w:pPr>
        <w:pStyle w:val="ListParagraph"/>
        <w:numPr>
          <w:ilvl w:val="0"/>
          <w:numId w:val="35"/>
        </w:numPr>
        <w:tabs>
          <w:tab w:val="left" w:pos="270"/>
        </w:tabs>
        <w:spacing w:after="0" w:line="240" w:lineRule="auto"/>
      </w:pPr>
      <w:r w:rsidRPr="004C7B7B">
        <w:t>Expert Opini</w:t>
      </w:r>
      <w:r>
        <w:t>on</w:t>
      </w:r>
    </w:p>
    <w:p w14:paraId="0D58112C" w14:textId="77777777" w:rsidR="00850C35" w:rsidRPr="003B1CC5" w:rsidRDefault="00850C35" w:rsidP="00265702">
      <w:pPr>
        <w:ind w:left="0" w:firstLine="0"/>
        <w:rPr>
          <w:b/>
        </w:rPr>
      </w:pPr>
    </w:p>
    <w:p w14:paraId="0D58112D" w14:textId="77777777" w:rsidR="00A12762" w:rsidRDefault="00776F6D" w:rsidP="002E2177">
      <w:pPr>
        <w:ind w:left="432" w:hanging="432"/>
        <w:rPr>
          <w:b/>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14:paraId="2808EA76" w14:textId="77777777" w:rsidR="00B335EE" w:rsidRDefault="00B335EE" w:rsidP="00E3614F">
      <w:pPr>
        <w:ind w:left="0" w:firstLine="0"/>
      </w:pPr>
    </w:p>
    <w:p w14:paraId="7FF0BD41" w14:textId="60F15206" w:rsidR="00F93DAE" w:rsidRDefault="003A5118" w:rsidP="00E3614F">
      <w:pPr>
        <w:ind w:left="0" w:firstLine="0"/>
      </w:pPr>
      <w:r>
        <w:t>For “Low Back Pain: Clinical Practice G</w:t>
      </w:r>
      <w:r w:rsidR="00F93DAE">
        <w:t>uidelines” (Delitto et al. (2012)) - uses criteria described by the Centre for Evidence-Based Medicine, Oxford for grading the recommendations:</w:t>
      </w:r>
    </w:p>
    <w:p w14:paraId="56861DE9" w14:textId="71C4B35E" w:rsidR="00E3614F" w:rsidRDefault="003A5118" w:rsidP="00F93DAE">
      <w:pPr>
        <w:ind w:left="432" w:firstLine="0"/>
      </w:pPr>
      <w:r>
        <w:t>Low Back Pain: Clinical Practice G</w:t>
      </w:r>
      <w:r w:rsidR="00E3614F">
        <w:t>uidelines</w:t>
      </w:r>
      <w:r w:rsidR="001A69AF">
        <w:t xml:space="preserve"> Centre for Evidence-Based Medi</w:t>
      </w:r>
      <w:r w:rsidR="00E3614F">
        <w:t>cine, Oxford, United Kingdom URL: (</w:t>
      </w:r>
      <w:hyperlink r:id="rId23" w:history="1">
        <w:r w:rsidR="00E3614F">
          <w:rPr>
            <w:rStyle w:val="Hyperlink"/>
          </w:rPr>
          <w:t>http://www.cebm.net/index.aspx?o=1025</w:t>
        </w:r>
      </w:hyperlink>
      <w:r w:rsidR="00E3614F">
        <w:t>)</w:t>
      </w:r>
    </w:p>
    <w:p w14:paraId="0D58112E" w14:textId="77777777" w:rsidR="00736AEC" w:rsidRPr="003B1CC5" w:rsidRDefault="00736AEC" w:rsidP="002E2177">
      <w:pPr>
        <w:ind w:left="432" w:hanging="432"/>
        <w:rPr>
          <w:color w:val="0000FF"/>
        </w:rPr>
      </w:pPr>
    </w:p>
    <w:p w14:paraId="0D58112F" w14:textId="77777777"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14:paraId="0D581130" w14:textId="01F0DDF3" w:rsidR="00FC32D3" w:rsidRPr="003B1CC5" w:rsidRDefault="004128A5"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371694">
            <w:rPr>
              <w:rFonts w:ascii="MS Gothic" w:eastAsia="MS Gothic" w:hAnsi="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14:paraId="0D581131" w14:textId="2B43E2DC" w:rsidR="00736AEC" w:rsidRPr="003B1CC5" w:rsidRDefault="004128A5" w:rsidP="0098657F">
      <w:pPr>
        <w:ind w:left="1008" w:hanging="720"/>
      </w:pPr>
      <w:sdt>
        <w:sdtPr>
          <w:rPr>
            <w:bCs/>
            <w:color w:val="0000FF"/>
          </w:rPr>
          <w:id w:val="777454248"/>
          <w14:checkbox>
            <w14:checked w14:val="1"/>
            <w14:checkedState w14:val="2612" w14:font="MS Gothic"/>
            <w14:uncheckedState w14:val="2610" w14:font="MS Gothic"/>
          </w14:checkbox>
        </w:sdtPr>
        <w:sdtEndPr/>
        <w:sdtContent>
          <w:r w:rsidR="00E3614F">
            <w:rPr>
              <w:rFonts w:ascii="MS Gothic" w:eastAsia="MS Gothic" w:hAnsi="MS Gothic" w:hint="eastAsia"/>
              <w:bCs/>
              <w:color w:val="0000FF"/>
            </w:rPr>
            <w:t>☒</w:t>
          </w:r>
        </w:sdtContent>
      </w:sdt>
      <w:r w:rsidR="00736AEC" w:rsidRPr="003B1CC5">
        <w:rPr>
          <w:b/>
        </w:rPr>
        <w:t xml:space="preserve"> </w:t>
      </w:r>
      <w:r w:rsidR="00736AEC" w:rsidRPr="003B1CC5">
        <w:t>No</w:t>
      </w:r>
      <w:r w:rsidR="00307FA5" w:rsidRPr="003B1CC5">
        <w:t xml:space="preserve">  </w:t>
      </w:r>
      <w:r w:rsidR="007C1887" w:rsidRPr="003B1CC5">
        <w:rPr>
          <w:rFonts w:cstheme="minorHAnsi"/>
          <w:b/>
          <w:highlight w:val="green"/>
        </w:rPr>
        <w:t>→</w:t>
      </w:r>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14:paraId="0D581132" w14:textId="77777777" w:rsidR="00736AEC" w:rsidRPr="003B1CC5" w:rsidRDefault="00736AEC" w:rsidP="00736AEC">
      <w:pPr>
        <w:rPr>
          <w:b/>
        </w:rPr>
      </w:pPr>
    </w:p>
    <w:p w14:paraId="0D581133" w14:textId="77777777" w:rsidR="00EE5AF6" w:rsidRPr="003B1CC5" w:rsidRDefault="00925F11" w:rsidP="00307FA5">
      <w:pPr>
        <w:ind w:left="0" w:firstLine="0"/>
        <w:rPr>
          <w:color w:val="0000FF"/>
        </w:rPr>
      </w:pPr>
      <w:r w:rsidRPr="003B1CC5">
        <w:rPr>
          <w:b/>
          <w:iCs/>
          <w:caps/>
        </w:rPr>
        <w:t>_________________________</w:t>
      </w:r>
    </w:p>
    <w:p w14:paraId="0D581134" w14:textId="77777777" w:rsidR="00EE5AF6" w:rsidRPr="003B1CC5" w:rsidRDefault="00EE5AF6" w:rsidP="00307FA5">
      <w:pPr>
        <w:ind w:left="0" w:firstLine="0"/>
        <w:rPr>
          <w:color w:val="0000FF"/>
        </w:rPr>
      </w:pPr>
      <w:bookmarkStart w:id="8" w:name="Section1a5"/>
      <w:bookmarkEnd w:id="8"/>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14:paraId="0D581135" w14:textId="77777777"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14:paraId="0D581136" w14:textId="6A92E3DB" w:rsidR="00307FA5" w:rsidRPr="00491663" w:rsidRDefault="0068514E" w:rsidP="00307FA5">
      <w:pPr>
        <w:ind w:left="0" w:firstLine="0"/>
        <w:rPr>
          <w:rFonts w:cs="Arial"/>
        </w:rPr>
      </w:pPr>
      <w:r w:rsidRPr="00491663">
        <w:rPr>
          <w:rFonts w:cs="Arial"/>
        </w:rPr>
        <w:t>N/A</w:t>
      </w:r>
    </w:p>
    <w:p w14:paraId="0D581137" w14:textId="77777777" w:rsidR="00307FA5" w:rsidRPr="003B1CC5" w:rsidRDefault="00307FA5" w:rsidP="00307FA5">
      <w:pPr>
        <w:ind w:left="0" w:firstLine="0"/>
      </w:pPr>
    </w:p>
    <w:p w14:paraId="0D581138" w14:textId="77777777"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14:paraId="0D581139" w14:textId="5B18623F" w:rsidR="00307FA5" w:rsidRPr="003B1CC5" w:rsidRDefault="0068514E" w:rsidP="00307FA5">
      <w:pPr>
        <w:ind w:left="0" w:firstLine="0"/>
      </w:pPr>
      <w:r>
        <w:t>N/A</w:t>
      </w:r>
    </w:p>
    <w:p w14:paraId="0D58113A" w14:textId="77777777" w:rsidR="00307FA5" w:rsidRPr="003B1CC5" w:rsidRDefault="00307FA5" w:rsidP="00307FA5">
      <w:pPr>
        <w:ind w:left="0" w:firstLine="0"/>
      </w:pPr>
    </w:p>
    <w:p w14:paraId="0D58113B" w14:textId="77777777"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14:paraId="0D58113C" w14:textId="50B1C753" w:rsidR="008A45F3" w:rsidRDefault="0068514E" w:rsidP="00307FA5">
      <w:pPr>
        <w:ind w:left="0" w:firstLine="0"/>
      </w:pPr>
      <w:r>
        <w:t>N/A</w:t>
      </w:r>
    </w:p>
    <w:p w14:paraId="37CE3A1A" w14:textId="77777777" w:rsidR="00343119" w:rsidRPr="003B1CC5" w:rsidRDefault="00343119" w:rsidP="00307FA5">
      <w:pPr>
        <w:ind w:left="0" w:firstLine="0"/>
      </w:pPr>
    </w:p>
    <w:p w14:paraId="0D58113D" w14:textId="77777777" w:rsidR="00307FA5" w:rsidRPr="003B1CC5" w:rsidRDefault="008A45F3" w:rsidP="00307FA5">
      <w:pPr>
        <w:ind w:left="0" w:firstLine="0"/>
      </w:pPr>
      <w:r w:rsidRPr="003B1CC5">
        <w:rPr>
          <w:b/>
          <w:color w:val="0000FF"/>
        </w:rPr>
        <w:t xml:space="preserve">1a.5.4.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14:paraId="0D58113E" w14:textId="3ABF92FA" w:rsidR="00307FA5" w:rsidRPr="00491663" w:rsidRDefault="0068514E" w:rsidP="00307FA5">
      <w:pPr>
        <w:ind w:left="0" w:firstLine="0"/>
      </w:pPr>
      <w:r w:rsidRPr="00491663">
        <w:t>N/A</w:t>
      </w:r>
    </w:p>
    <w:p w14:paraId="2BDA7768" w14:textId="77777777" w:rsidR="00343119" w:rsidRPr="0068514E" w:rsidRDefault="00343119" w:rsidP="00307FA5">
      <w:pPr>
        <w:ind w:left="0" w:firstLine="0"/>
        <w:rPr>
          <w:color w:val="0000FF"/>
        </w:rPr>
      </w:pPr>
    </w:p>
    <w:p w14:paraId="0D58113F" w14:textId="77777777"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14:paraId="0D581140" w14:textId="5DDDB3AE" w:rsidR="00736AEC" w:rsidRPr="00B839BA" w:rsidRDefault="00B839BA" w:rsidP="002E2177">
      <w:pPr>
        <w:ind w:left="432" w:hanging="432"/>
      </w:pPr>
      <w:r w:rsidRPr="00B839BA">
        <w:t>N/A</w:t>
      </w:r>
    </w:p>
    <w:p w14:paraId="4AF96D2A" w14:textId="77777777" w:rsidR="00B839BA" w:rsidRPr="003B1CC5" w:rsidRDefault="00B839BA" w:rsidP="002E2177">
      <w:pPr>
        <w:ind w:left="432" w:hanging="432"/>
        <w:rPr>
          <w:b/>
        </w:rPr>
      </w:pPr>
    </w:p>
    <w:p w14:paraId="0D581141" w14:textId="77777777"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14:paraId="0D581142" w14:textId="77777777" w:rsidR="00EE5AF6" w:rsidRPr="003B1CC5" w:rsidRDefault="00925F11" w:rsidP="002E2177">
      <w:pPr>
        <w:ind w:left="432" w:hanging="432"/>
        <w:rPr>
          <w:b/>
          <w:color w:val="0000FF"/>
        </w:rPr>
      </w:pPr>
      <w:r w:rsidRPr="003B1CC5">
        <w:rPr>
          <w:b/>
          <w:iCs/>
          <w:caps/>
        </w:rPr>
        <w:t>_________________________</w:t>
      </w:r>
    </w:p>
    <w:p w14:paraId="0D581143" w14:textId="77777777" w:rsidR="00EE5AF6" w:rsidRPr="003B1CC5" w:rsidRDefault="00EE5AF6" w:rsidP="002E2177">
      <w:pPr>
        <w:ind w:left="432" w:hanging="432"/>
      </w:pPr>
      <w:bookmarkStart w:id="9" w:name="Section1a6"/>
      <w:bookmarkEnd w:id="9"/>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14:paraId="0D581144" w14:textId="77777777"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14:paraId="0D581145" w14:textId="14BB9390" w:rsidR="00EE5AF6" w:rsidRPr="003B1CC5" w:rsidRDefault="00343119" w:rsidP="00EE5AF6">
      <w:pPr>
        <w:ind w:left="0" w:firstLine="0"/>
      </w:pPr>
      <w:r>
        <w:t>N/A</w:t>
      </w:r>
    </w:p>
    <w:p w14:paraId="0D581146" w14:textId="77777777" w:rsidR="00EE5AF6" w:rsidRPr="003B1CC5" w:rsidRDefault="00EE5AF6" w:rsidP="00EE5AF6">
      <w:pPr>
        <w:ind w:left="0" w:firstLine="0"/>
        <w:rPr>
          <w:rFonts w:cs="Arial"/>
          <w:sz w:val="20"/>
          <w:szCs w:val="20"/>
        </w:rPr>
      </w:pPr>
    </w:p>
    <w:p w14:paraId="0D581147" w14:textId="77777777"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14:paraId="0D581148" w14:textId="0FCEBEED" w:rsidR="005D0FDB" w:rsidRDefault="00343119" w:rsidP="00EE5AF6">
      <w:pPr>
        <w:ind w:left="0" w:firstLine="0"/>
      </w:pPr>
      <w:r>
        <w:t>N/A</w:t>
      </w:r>
    </w:p>
    <w:p w14:paraId="54CB2171" w14:textId="77777777" w:rsidR="00343119" w:rsidRPr="003B1CC5" w:rsidRDefault="00343119" w:rsidP="00EE5AF6">
      <w:pPr>
        <w:ind w:left="0" w:firstLine="0"/>
      </w:pPr>
    </w:p>
    <w:p w14:paraId="0D581149" w14:textId="77777777" w:rsidR="00C84623" w:rsidRPr="003B1CC5" w:rsidRDefault="00C84623" w:rsidP="00EE5AF6">
      <w:pPr>
        <w:ind w:left="0" w:firstLine="0"/>
      </w:pPr>
      <w:r w:rsidRPr="003B1CC5">
        <w:rPr>
          <w:b/>
          <w:i/>
          <w:highlight w:val="green"/>
        </w:rPr>
        <w:lastRenderedPageBreak/>
        <w:t xml:space="preserve">Complete section </w:t>
      </w:r>
      <w:hyperlink w:anchor="Section1a7" w:history="1">
        <w:r w:rsidRPr="003B1CC5">
          <w:rPr>
            <w:rStyle w:val="Hyperlink"/>
            <w:b/>
            <w:i/>
            <w:highlight w:val="green"/>
          </w:rPr>
          <w:t>1a.7</w:t>
        </w:r>
      </w:hyperlink>
    </w:p>
    <w:p w14:paraId="0D58114A" w14:textId="77777777" w:rsidR="00C84623" w:rsidRPr="003B1CC5" w:rsidRDefault="00925F11" w:rsidP="00EE5AF6">
      <w:pPr>
        <w:ind w:left="0" w:firstLine="0"/>
        <w:rPr>
          <w:b/>
          <w:color w:val="0000FF"/>
        </w:rPr>
      </w:pPr>
      <w:r w:rsidRPr="003B1CC5">
        <w:rPr>
          <w:b/>
          <w:iCs/>
          <w:caps/>
        </w:rPr>
        <w:t>_________________________</w:t>
      </w:r>
    </w:p>
    <w:p w14:paraId="0D58114B" w14:textId="77777777"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14:paraId="0D58114C" w14:textId="77777777"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0D58114D" w14:textId="77777777" w:rsidR="00CB1E41" w:rsidRPr="003B1CC5" w:rsidRDefault="00CB1E41" w:rsidP="00EE5AF6">
      <w:pPr>
        <w:ind w:left="0" w:firstLine="0"/>
        <w:rPr>
          <w:b/>
          <w:color w:val="0000FF"/>
        </w:rPr>
      </w:pPr>
    </w:p>
    <w:p w14:paraId="0D58114E" w14:textId="77777777" w:rsidR="00EE5AF6"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r w:rsidRPr="003B1CC5">
        <w:rPr>
          <w:b/>
        </w:rPr>
        <w:t>What was the specific structure, treatment, intervention, service, or intermediate outcome addressed in the evidence review?</w:t>
      </w:r>
      <w:r w:rsidRPr="003B1CC5">
        <w:t xml:space="preserve"> </w:t>
      </w:r>
    </w:p>
    <w:p w14:paraId="36347EF1" w14:textId="77777777" w:rsidR="00E53801" w:rsidRDefault="00E53801" w:rsidP="00EE5AF6">
      <w:pPr>
        <w:ind w:left="0" w:firstLine="0"/>
      </w:pPr>
    </w:p>
    <w:p w14:paraId="212C9CF0" w14:textId="78F8592B" w:rsidR="00E3614F" w:rsidRDefault="00E3614F" w:rsidP="00E3614F">
      <w:pPr>
        <w:pStyle w:val="ListParagraph"/>
        <w:numPr>
          <w:ilvl w:val="0"/>
          <w:numId w:val="19"/>
        </w:numPr>
        <w:spacing w:after="0" w:line="240" w:lineRule="auto"/>
        <w:ind w:left="288" w:hanging="288"/>
      </w:pPr>
      <w:r>
        <w:rPr>
          <w:b/>
        </w:rPr>
        <w:t>ICSI G</w:t>
      </w:r>
      <w:r w:rsidR="001A69AF">
        <w:rPr>
          <w:b/>
        </w:rPr>
        <w:t>uideline: Assessment and Manage</w:t>
      </w:r>
      <w:r>
        <w:rPr>
          <w:b/>
        </w:rPr>
        <w:t xml:space="preserve">ment of Chronic Pain </w:t>
      </w:r>
      <w:r>
        <w:t>(Hooten et al.</w:t>
      </w:r>
      <w:r w:rsidR="004E5E74">
        <w:t>,</w:t>
      </w:r>
      <w:r>
        <w:t xml:space="preserve"> 2013) –</w:t>
      </w:r>
      <w:r>
        <w:rPr>
          <w:b/>
        </w:rPr>
        <w:t xml:space="preserve"> “</w:t>
      </w:r>
      <w:r>
        <w:t>This guideline discusses the assessment and management of chronic pain. It is intended for primary care clinicians to help with diagnosis and management of primarily four types of biological markers for pain: neuropathic, muscle, inflammatory and mechanical/compressive. Although opioid use is discussed in this guideline, it is not a comprehensive discussion of the usage of opioids in chronic pain</w:t>
      </w:r>
      <w:r w:rsidR="005C0DEB">
        <w:t>.</w:t>
      </w:r>
      <w:r>
        <w:t>”</w:t>
      </w:r>
    </w:p>
    <w:p w14:paraId="478D6DBE" w14:textId="77777777" w:rsidR="00E3614F" w:rsidRDefault="00E3614F" w:rsidP="00E3614F">
      <w:pPr>
        <w:ind w:left="288" w:hanging="288"/>
      </w:pPr>
    </w:p>
    <w:p w14:paraId="17B7E19A" w14:textId="006D3392" w:rsidR="00E3614F" w:rsidRPr="00D477BA" w:rsidRDefault="00E3614F" w:rsidP="00E3614F">
      <w:pPr>
        <w:pStyle w:val="ListParagraph"/>
        <w:numPr>
          <w:ilvl w:val="0"/>
          <w:numId w:val="19"/>
        </w:numPr>
        <w:spacing w:after="0" w:line="240" w:lineRule="auto"/>
        <w:ind w:left="288" w:hanging="288"/>
      </w:pPr>
      <w:r>
        <w:rPr>
          <w:b/>
        </w:rPr>
        <w:t xml:space="preserve">ICSI Guideline: Adult Acute and Subacute Low Back Pain </w:t>
      </w:r>
      <w:r>
        <w:t>(Goertz et al.</w:t>
      </w:r>
      <w:r w:rsidR="004E5E74">
        <w:t>,</w:t>
      </w:r>
      <w:r>
        <w:t xml:space="preserve"> 2012) –</w:t>
      </w:r>
      <w:r>
        <w:rPr>
          <w:color w:val="221E1F"/>
          <w:sz w:val="21"/>
          <w:szCs w:val="21"/>
        </w:rPr>
        <w:t xml:space="preserve"> “</w:t>
      </w:r>
      <w:r>
        <w:t xml:space="preserve">Adult patients age 18 and over in primary care who have symptoms </w:t>
      </w:r>
      <w:r w:rsidRPr="00DD2E60">
        <w:t xml:space="preserve">of </w:t>
      </w:r>
      <w:r w:rsidRPr="00DA2CA0">
        <w:t>low back pain</w:t>
      </w:r>
      <w:r w:rsidRPr="00DD2E60">
        <w:t xml:space="preserve"> or radiculopathy. The focus is on the acute (pain for up to 7 weeks) and subacute (pain for between 7 and 12 weeks) phases of low back pain. It includ</w:t>
      </w:r>
      <w:r w:rsidRPr="00D477BA">
        <w:t>es the ongoing management, including indications for spine specialist referral within the first 12 weeks of onset</w:t>
      </w:r>
      <w:r w:rsidR="005C0DEB">
        <w:t>.</w:t>
      </w:r>
      <w:r w:rsidRPr="00D477BA">
        <w:t>”</w:t>
      </w:r>
    </w:p>
    <w:p w14:paraId="045680AE" w14:textId="77777777" w:rsidR="00E3614F" w:rsidRPr="00D477BA" w:rsidRDefault="00E3614F" w:rsidP="00E3614F">
      <w:pPr>
        <w:ind w:left="288" w:hanging="288"/>
      </w:pPr>
    </w:p>
    <w:p w14:paraId="05933B60" w14:textId="5BD8ED9A" w:rsidR="00E3614F" w:rsidRDefault="00117778" w:rsidP="00E3614F">
      <w:pPr>
        <w:pStyle w:val="ListParagraph"/>
        <w:numPr>
          <w:ilvl w:val="0"/>
          <w:numId w:val="19"/>
        </w:numPr>
        <w:spacing w:after="0" w:line="240" w:lineRule="auto"/>
        <w:ind w:left="288" w:hanging="288"/>
      </w:pPr>
      <w:r>
        <w:rPr>
          <w:b/>
        </w:rPr>
        <w:t>Low B</w:t>
      </w:r>
      <w:r w:rsidR="00E3614F" w:rsidRPr="00E53801">
        <w:rPr>
          <w:b/>
        </w:rPr>
        <w:t xml:space="preserve">ack </w:t>
      </w:r>
      <w:r>
        <w:rPr>
          <w:b/>
        </w:rPr>
        <w:t>P</w:t>
      </w:r>
      <w:r w:rsidR="00E3614F" w:rsidRPr="00E53801">
        <w:rPr>
          <w:b/>
        </w:rPr>
        <w:t xml:space="preserve">ain: Clinical Practice Guidelines </w:t>
      </w:r>
      <w:r w:rsidR="00E3614F" w:rsidRPr="00E53801">
        <w:t>(Delitto et al.</w:t>
      </w:r>
      <w:r w:rsidR="004E5E74" w:rsidRPr="00E53801">
        <w:t>,</w:t>
      </w:r>
      <w:r w:rsidR="005C0DEB">
        <w:t xml:space="preserve"> </w:t>
      </w:r>
      <w:r w:rsidR="00E3614F" w:rsidRPr="00E53801">
        <w:t>2012) “The purpose of these low back pain</w:t>
      </w:r>
      <w:r w:rsidR="00E3614F" w:rsidRPr="00DD2E60">
        <w:t xml:space="preserve"> clinical practice</w:t>
      </w:r>
      <w:r w:rsidR="001A69AF">
        <w:t xml:space="preserve"> guide</w:t>
      </w:r>
      <w:r w:rsidR="00E3614F">
        <w:t>lines, in particular, is to de</w:t>
      </w:r>
      <w:r w:rsidR="001A69AF">
        <w:t>scribe the peer-reviewed litera</w:t>
      </w:r>
      <w:r w:rsidR="00E3614F">
        <w:t>ture and make recommendations related to (1) treatment matched to low back pain subgroup responder categories, (2) treatments that have evidence to prevent recurrence of low back pain, and (3) treatments that have evidence to influence the progression from acute to chronic low back pain and disability.</w:t>
      </w:r>
      <w:r w:rsidR="00E219FB">
        <w:t>”</w:t>
      </w:r>
    </w:p>
    <w:p w14:paraId="0D58114F" w14:textId="77777777" w:rsidR="00EE5AF6" w:rsidRPr="003B1CC5" w:rsidRDefault="00EE5AF6" w:rsidP="00EE5AF6">
      <w:pPr>
        <w:ind w:left="0" w:firstLine="0"/>
      </w:pPr>
    </w:p>
    <w:p w14:paraId="0D581150" w14:textId="77777777" w:rsidR="00095EC9"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14:paraId="65483C00" w14:textId="77777777" w:rsidR="00102D20" w:rsidRDefault="00102D20" w:rsidP="00EA79C9">
      <w:pPr>
        <w:ind w:left="0" w:firstLine="0"/>
      </w:pPr>
    </w:p>
    <w:p w14:paraId="337F0BF0" w14:textId="6544FC8E" w:rsidR="00E3614F" w:rsidRDefault="00E3614F" w:rsidP="00E3614F">
      <w:pPr>
        <w:pStyle w:val="ListParagraph"/>
        <w:numPr>
          <w:ilvl w:val="1"/>
          <w:numId w:val="18"/>
        </w:numPr>
        <w:spacing w:after="0" w:line="240" w:lineRule="auto"/>
        <w:ind w:left="288" w:hanging="288"/>
      </w:pPr>
      <w:r>
        <w:rPr>
          <w:b/>
        </w:rPr>
        <w:t>ICSI G</w:t>
      </w:r>
      <w:r w:rsidR="001A69AF">
        <w:rPr>
          <w:b/>
        </w:rPr>
        <w:t>uideline: Assessment and Manage</w:t>
      </w:r>
      <w:r>
        <w:rPr>
          <w:b/>
        </w:rPr>
        <w:t xml:space="preserve">ment of Chronic Pain </w:t>
      </w:r>
      <w:r>
        <w:t>(Hooten et al.</w:t>
      </w:r>
      <w:r w:rsidR="00F71613">
        <w:t>,</w:t>
      </w:r>
      <w:r w:rsidR="005C0DEB">
        <w:t xml:space="preserve"> </w:t>
      </w:r>
      <w:r>
        <w:t>2013)</w:t>
      </w:r>
      <w:r w:rsidR="005C0DEB">
        <w:t>.</w:t>
      </w:r>
      <w:r>
        <w:t xml:space="preserve"> In the guideline, individual study evidence quality was also graded. These evidence grades, when present, are identified in section 1a.4.2 </w:t>
      </w:r>
    </w:p>
    <w:p w14:paraId="5C8B87F6" w14:textId="77777777" w:rsidR="00102D20" w:rsidRDefault="00102D20" w:rsidP="00491663">
      <w:pPr>
        <w:pStyle w:val="ListParagraph"/>
        <w:spacing w:after="0" w:line="240" w:lineRule="auto"/>
        <w:ind w:left="288" w:firstLine="0"/>
      </w:pPr>
    </w:p>
    <w:p w14:paraId="69A4ADF1" w14:textId="7C45CB20" w:rsidR="00E3614F" w:rsidRDefault="00E3614F" w:rsidP="00E3614F">
      <w:pPr>
        <w:pStyle w:val="ListParagraph"/>
        <w:numPr>
          <w:ilvl w:val="1"/>
          <w:numId w:val="18"/>
        </w:numPr>
        <w:spacing w:after="0" w:line="240" w:lineRule="auto"/>
        <w:ind w:left="288" w:hanging="288"/>
      </w:pPr>
      <w:r>
        <w:rPr>
          <w:b/>
        </w:rPr>
        <w:t xml:space="preserve">ICSI Guideline: Adult Acute and Subacute Low Back Pain </w:t>
      </w:r>
      <w:r>
        <w:t>(Goertz et al.</w:t>
      </w:r>
      <w:r w:rsidR="00F71613">
        <w:t>,</w:t>
      </w:r>
      <w:r w:rsidR="005C0DEB">
        <w:t xml:space="preserve"> 2012).</w:t>
      </w:r>
      <w:r w:rsidR="005C0DEB">
        <w:rPr>
          <w:b/>
        </w:rPr>
        <w:t xml:space="preserve"> </w:t>
      </w:r>
      <w:r>
        <w:t xml:space="preserve">In the guideline, individual study evidence quality was also graded. These evidence grades, when present, are identified in section 1a.4.2 </w:t>
      </w:r>
    </w:p>
    <w:p w14:paraId="6DB1E4EB" w14:textId="77777777" w:rsidR="00E3614F" w:rsidRDefault="00E3614F" w:rsidP="00E3614F">
      <w:pPr>
        <w:ind w:left="288" w:firstLine="0"/>
      </w:pPr>
      <w:r>
        <w:t>Definitions of GRADE:  Same as above</w:t>
      </w:r>
    </w:p>
    <w:p w14:paraId="5CA7FA90" w14:textId="77777777" w:rsidR="00E3614F" w:rsidRDefault="00E3614F" w:rsidP="00E3614F">
      <w:pPr>
        <w:ind w:left="288" w:firstLine="0"/>
      </w:pPr>
    </w:p>
    <w:p w14:paraId="39DC0CD0" w14:textId="52F8862E" w:rsidR="00A93DB5" w:rsidRDefault="00117778" w:rsidP="00A93DB5">
      <w:pPr>
        <w:pStyle w:val="ListParagraph"/>
        <w:numPr>
          <w:ilvl w:val="1"/>
          <w:numId w:val="18"/>
        </w:numPr>
        <w:spacing w:after="0" w:line="240" w:lineRule="auto"/>
        <w:ind w:left="288" w:hanging="288"/>
      </w:pPr>
      <w:r>
        <w:rPr>
          <w:b/>
        </w:rPr>
        <w:t>Low Back P</w:t>
      </w:r>
      <w:r w:rsidR="00E3614F">
        <w:rPr>
          <w:b/>
        </w:rPr>
        <w:t xml:space="preserve">ain: Clinical Practice Guidelines </w:t>
      </w:r>
      <w:r w:rsidR="00E3614F">
        <w:t>(Delitto et al.</w:t>
      </w:r>
      <w:r w:rsidR="005C0DEB">
        <w:t>,</w:t>
      </w:r>
      <w:r w:rsidR="00E3614F">
        <w:t xml:space="preserve"> 2012).</w:t>
      </w:r>
      <w:r w:rsidR="00A60BC9">
        <w:t xml:space="preserve"> Guideline uses criteria by the Centre for Evidence-Based Medicine, Oxford for grading the recommendations.  </w:t>
      </w:r>
      <w:r w:rsidR="00A93DB5">
        <w:t>In the guideline, individual study evidence quality was also graded. These evidence grades are identified in section 1a.4.2.  Refer to section 1a.4.3 for definitions.</w:t>
      </w:r>
    </w:p>
    <w:p w14:paraId="0D581151" w14:textId="52AC6B2F" w:rsidR="00095EC9" w:rsidRPr="003B1CC5" w:rsidRDefault="00095EC9" w:rsidP="00EA79C9">
      <w:pPr>
        <w:ind w:left="0" w:firstLine="0"/>
      </w:pPr>
    </w:p>
    <w:p w14:paraId="0D581152" w14:textId="77777777" w:rsidR="00EA79C9" w:rsidRDefault="00095EC9" w:rsidP="00EA79C9">
      <w:pPr>
        <w:ind w:left="0" w:firstLine="0"/>
        <w:rPr>
          <w:b/>
        </w:rPr>
      </w:pPr>
      <w:r w:rsidRPr="003B1CC5">
        <w:rPr>
          <w:b/>
          <w:noProof/>
          <w:color w:val="0000FF"/>
        </w:rPr>
        <w:t xml:space="preserve">1a.7.3. </w:t>
      </w:r>
      <w:r w:rsidR="00EA79C9" w:rsidRPr="003B1CC5">
        <w:rPr>
          <w:b/>
        </w:rPr>
        <w:t xml:space="preserve">Provide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14:paraId="5D2B2BD5" w14:textId="77777777" w:rsidR="00102D20" w:rsidRDefault="00102D20" w:rsidP="00EA79C9">
      <w:pPr>
        <w:ind w:left="0" w:firstLine="0"/>
      </w:pPr>
    </w:p>
    <w:p w14:paraId="0465B166" w14:textId="261E8AFB" w:rsidR="00CF2646" w:rsidRDefault="00CF2646" w:rsidP="00EA79C9">
      <w:pPr>
        <w:ind w:left="0" w:firstLine="0"/>
        <w:rPr>
          <w:b/>
        </w:rPr>
      </w:pPr>
      <w:r>
        <w:lastRenderedPageBreak/>
        <w:t>Refer to section 1a.4.2 and 1a.4.3 for grades and definitions.</w:t>
      </w:r>
    </w:p>
    <w:p w14:paraId="06DC1D79" w14:textId="2AC3F93F" w:rsidR="00E3614F" w:rsidRDefault="00E3614F" w:rsidP="00E3614F">
      <w:pPr>
        <w:ind w:left="0" w:firstLine="0"/>
        <w:rPr>
          <w:noProof/>
        </w:rPr>
      </w:pPr>
    </w:p>
    <w:p w14:paraId="45634F86" w14:textId="77777777" w:rsidR="00E3614F" w:rsidRDefault="00496AF8" w:rsidP="002E2177">
      <w:pPr>
        <w:ind w:left="432" w:hanging="432"/>
      </w:pPr>
      <w:bookmarkStart w:id="10" w:name="Section1a7"/>
      <w:bookmarkEnd w:id="10"/>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p>
    <w:p w14:paraId="6641D73C" w14:textId="77777777" w:rsidR="00117778" w:rsidRDefault="00117778" w:rsidP="002E2177">
      <w:pPr>
        <w:ind w:left="432" w:hanging="432"/>
      </w:pPr>
    </w:p>
    <w:p w14:paraId="66C2B112" w14:textId="210BFD21" w:rsidR="00E3614F" w:rsidRDefault="00E3614F" w:rsidP="00E3614F">
      <w:pPr>
        <w:pStyle w:val="ListParagraph"/>
        <w:numPr>
          <w:ilvl w:val="0"/>
          <w:numId w:val="23"/>
        </w:numPr>
        <w:spacing w:after="0" w:line="240" w:lineRule="auto"/>
        <w:ind w:left="288" w:hanging="288"/>
      </w:pPr>
      <w:r>
        <w:t>ICSI G</w:t>
      </w:r>
      <w:r w:rsidR="001A69AF">
        <w:t>uideline: Assessment and Manage</w:t>
      </w:r>
      <w:r>
        <w:t>ment of Chronic Pain (Hooten et al.</w:t>
      </w:r>
      <w:r w:rsidR="00A54EF8">
        <w:t>,</w:t>
      </w:r>
      <w:r>
        <w:t xml:space="preserve"> 2013) - August 2011-August 2013</w:t>
      </w:r>
    </w:p>
    <w:p w14:paraId="560FDB1A" w14:textId="021147DD" w:rsidR="00E3614F" w:rsidRDefault="00E3614F" w:rsidP="00E3614F">
      <w:pPr>
        <w:pStyle w:val="ListParagraph"/>
        <w:numPr>
          <w:ilvl w:val="0"/>
          <w:numId w:val="23"/>
        </w:numPr>
        <w:spacing w:after="0" w:line="240" w:lineRule="auto"/>
        <w:ind w:left="288" w:hanging="288"/>
      </w:pPr>
      <w:r>
        <w:t>ICSI Guideline: Adult Acute and Subacute Low Back Pain</w:t>
      </w:r>
      <w:r>
        <w:rPr>
          <w:b/>
        </w:rPr>
        <w:t xml:space="preserve"> </w:t>
      </w:r>
      <w:r>
        <w:t>(Goertz et al.</w:t>
      </w:r>
      <w:r w:rsidR="00A54EF8">
        <w:t>,</w:t>
      </w:r>
      <w:r>
        <w:t xml:space="preserve"> 2012) </w:t>
      </w:r>
      <w:r w:rsidR="0091590B">
        <w:t>-</w:t>
      </w:r>
      <w:r>
        <w:t xml:space="preserve"> May 2011- June 2012.</w:t>
      </w:r>
    </w:p>
    <w:p w14:paraId="39554CF0" w14:textId="1986449B" w:rsidR="00E3614F" w:rsidRDefault="00E3614F" w:rsidP="00E3614F">
      <w:pPr>
        <w:pStyle w:val="ListParagraph"/>
        <w:numPr>
          <w:ilvl w:val="0"/>
          <w:numId w:val="23"/>
        </w:numPr>
        <w:spacing w:after="0" w:line="240" w:lineRule="auto"/>
        <w:ind w:left="288" w:hanging="288"/>
      </w:pPr>
      <w:r>
        <w:t>Low Back Pain: Clinical Practice Guidelines (Delitto et al.</w:t>
      </w:r>
      <w:r w:rsidR="00A54EF8">
        <w:t>,</w:t>
      </w:r>
      <w:r>
        <w:t xml:space="preserve"> 2012) - 1966-2010</w:t>
      </w:r>
    </w:p>
    <w:p w14:paraId="18755A86" w14:textId="77777777" w:rsidR="00E3614F" w:rsidRDefault="00E3614F" w:rsidP="00E3614F">
      <w:pPr>
        <w:ind w:left="0" w:firstLine="0"/>
        <w:rPr>
          <w:color w:val="0000FF"/>
        </w:rPr>
      </w:pPr>
    </w:p>
    <w:p w14:paraId="0D581154" w14:textId="0DEE93BC" w:rsidR="00496AF8" w:rsidRPr="003B1CC5" w:rsidRDefault="00496AF8" w:rsidP="002E2177">
      <w:pPr>
        <w:ind w:left="432" w:hanging="432"/>
      </w:pPr>
      <w:r w:rsidRPr="003B1CC5">
        <w:t xml:space="preserve"> </w:t>
      </w:r>
      <w:sdt>
        <w:sdtPr>
          <w:rPr>
            <w:rStyle w:val="Style2"/>
          </w:rPr>
          <w:id w:val="-1666395719"/>
          <w:showingPlcHdr/>
        </w:sdtPr>
        <w:sdtEndPr>
          <w:rPr>
            <w:rStyle w:val="DefaultParagraphFont"/>
            <w:color w:val="auto"/>
            <w:u w:val="none"/>
          </w:rPr>
        </w:sdtEndPr>
        <w:sdtContent>
          <w:r w:rsidRPr="003B1CC5">
            <w:rPr>
              <w:rStyle w:val="PlaceholderText"/>
              <w:rFonts w:cstheme="minorHAnsi"/>
              <w:color w:val="A6A6A6" w:themeColor="background1" w:themeShade="A6"/>
            </w:rPr>
            <w:t>Click here to enter date range</w:t>
          </w:r>
        </w:sdtContent>
      </w:sdt>
    </w:p>
    <w:p w14:paraId="0D581155" w14:textId="77777777" w:rsidR="00496AF8" w:rsidRPr="003B1CC5" w:rsidRDefault="00496AF8" w:rsidP="002E2177">
      <w:pPr>
        <w:ind w:left="0" w:firstLine="0"/>
        <w:rPr>
          <w:noProof/>
        </w:rPr>
      </w:pPr>
    </w:p>
    <w:p w14:paraId="0D581156" w14:textId="77777777" w:rsidR="0039020B" w:rsidRPr="003B1CC5" w:rsidRDefault="0039020B" w:rsidP="002E2177">
      <w:pPr>
        <w:ind w:left="0" w:firstLine="0"/>
        <w:rPr>
          <w:b/>
          <w:noProof/>
        </w:rPr>
      </w:pPr>
    </w:p>
    <w:p w14:paraId="0D581157" w14:textId="77777777" w:rsidR="00496AF8" w:rsidRPr="003B1CC5" w:rsidRDefault="00C5180E" w:rsidP="002E2177">
      <w:pPr>
        <w:ind w:left="0" w:firstLine="0"/>
        <w:rPr>
          <w:b/>
        </w:rPr>
      </w:pPr>
      <w:r w:rsidRPr="003B1CC5">
        <w:rPr>
          <w:b/>
          <w:noProof/>
        </w:rPr>
        <w:t>QUANTITY AND QUALITY OF BODY OF EVIDENCE</w:t>
      </w:r>
    </w:p>
    <w:p w14:paraId="24D724C0" w14:textId="77777777" w:rsidR="009D0E22" w:rsidRDefault="001B772D" w:rsidP="00AD342D">
      <w:pPr>
        <w:ind w:left="0" w:firstLine="0"/>
        <w:rPr>
          <w:noProof/>
        </w:rPr>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14:paraId="7FC4B3E3" w14:textId="77777777" w:rsidR="009D0E22" w:rsidRDefault="009D0E22" w:rsidP="00AD342D">
      <w:pPr>
        <w:ind w:left="0" w:firstLine="0"/>
        <w:rPr>
          <w:noProof/>
        </w:rPr>
      </w:pPr>
    </w:p>
    <w:p w14:paraId="6B1DC533" w14:textId="521E5DE5" w:rsidR="00AD342D" w:rsidRDefault="00AD342D" w:rsidP="00AD342D">
      <w:pPr>
        <w:ind w:left="0" w:firstLine="0"/>
      </w:pPr>
      <w:r>
        <w:rPr>
          <w:iCs/>
        </w:rPr>
        <w:t>This information is not provided within the ICSI guideline</w:t>
      </w:r>
      <w:r w:rsidR="009D0E22">
        <w:rPr>
          <w:iCs/>
        </w:rPr>
        <w:t>:</w:t>
      </w:r>
      <w:r>
        <w:rPr>
          <w:iCs/>
        </w:rPr>
        <w:t xml:space="preserve"> </w:t>
      </w:r>
      <w:r w:rsidR="001A69AF">
        <w:t>Assessment and Manage</w:t>
      </w:r>
      <w:r>
        <w:t>ment of Chronic Pain,</w:t>
      </w:r>
      <w:r w:rsidR="009D0E22">
        <w:t xml:space="preserve"> ICSI guideline:</w:t>
      </w:r>
      <w:r>
        <w:t xml:space="preserve"> Adult Acute and Subacute Low Back Pain or in Low Back Pain: Clinical Practice Guidelines.</w:t>
      </w:r>
      <w:r>
        <w:rPr>
          <w:bCs/>
        </w:rPr>
        <w:tab/>
      </w:r>
    </w:p>
    <w:p w14:paraId="0D581159" w14:textId="77777777" w:rsidR="00496AF8" w:rsidRPr="003B1CC5" w:rsidRDefault="00496AF8" w:rsidP="002E2177">
      <w:pPr>
        <w:ind w:left="0" w:firstLine="0"/>
      </w:pPr>
    </w:p>
    <w:p w14:paraId="0AC5B9C2" w14:textId="08D5F43B" w:rsidR="00032A8D" w:rsidRDefault="001B772D" w:rsidP="00491663">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r w:rsidR="00496AF8" w:rsidRPr="003B1CC5">
        <w:rPr>
          <w:b/>
        </w:rPr>
        <w:t xml:space="preserve">What is the overall quality of evidence </w:t>
      </w:r>
      <w:r w:rsidR="00496AF8" w:rsidRPr="003B1CC5">
        <w:rPr>
          <w:b/>
          <w:u w:val="single"/>
        </w:rPr>
        <w:t>across studies</w:t>
      </w:r>
      <w:r w:rsidR="00496AF8" w:rsidRPr="003B1CC5">
        <w:rPr>
          <w:b/>
        </w:rPr>
        <w:t xml:space="preserve"> in the body of evidence</w:t>
      </w:r>
      <w:r w:rsidR="00496AF8" w:rsidRPr="003B1CC5">
        <w:t>? (</w:t>
      </w:r>
      <w:r w:rsidR="006709EB" w:rsidRPr="003B1CC5">
        <w:rPr>
          <w:i/>
        </w:rPr>
        <w:t xml:space="preserve">discuss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14:paraId="43BF7E00" w14:textId="77777777" w:rsidR="009D0E22" w:rsidRDefault="009D0E22" w:rsidP="00491663">
      <w:pPr>
        <w:ind w:left="432" w:hanging="432"/>
        <w:rPr>
          <w:iCs/>
        </w:rPr>
      </w:pPr>
    </w:p>
    <w:p w14:paraId="5973A806" w14:textId="1C6356C9" w:rsidR="00881BB5" w:rsidRPr="004C7B7B" w:rsidRDefault="00AD342D" w:rsidP="004C7B7B">
      <w:pPr>
        <w:pStyle w:val="ListParagraph"/>
        <w:numPr>
          <w:ilvl w:val="3"/>
          <w:numId w:val="19"/>
        </w:numPr>
        <w:spacing w:after="0" w:line="240" w:lineRule="auto"/>
        <w:ind w:left="270" w:hanging="270"/>
        <w:rPr>
          <w:iCs/>
        </w:rPr>
      </w:pPr>
      <w:r w:rsidRPr="004C7B7B">
        <w:rPr>
          <w:iCs/>
        </w:rPr>
        <w:t xml:space="preserve">This information is not provided within the ICSI </w:t>
      </w:r>
      <w:r w:rsidR="00032A8D" w:rsidRPr="004C7B7B">
        <w:rPr>
          <w:iCs/>
        </w:rPr>
        <w:t>G</w:t>
      </w:r>
      <w:r w:rsidRPr="004C7B7B">
        <w:rPr>
          <w:iCs/>
        </w:rPr>
        <w:t>uideline</w:t>
      </w:r>
      <w:r w:rsidR="006368BF" w:rsidRPr="004C7B7B">
        <w:rPr>
          <w:iCs/>
        </w:rPr>
        <w:t>:</w:t>
      </w:r>
      <w:r w:rsidRPr="004C7B7B">
        <w:rPr>
          <w:iCs/>
        </w:rPr>
        <w:t xml:space="preserve"> Assessment and Management of Chronic Pain</w:t>
      </w:r>
      <w:r w:rsidR="00881BB5" w:rsidRPr="004C7B7B">
        <w:rPr>
          <w:iCs/>
        </w:rPr>
        <w:t>.  The literature search was divided into two stages to identify systematic reviews and randomized controlled trials, meta-analysis and other literature.</w:t>
      </w:r>
    </w:p>
    <w:p w14:paraId="2CA70C24" w14:textId="28683CB0" w:rsidR="000B6B38" w:rsidRPr="004C7B7B" w:rsidRDefault="006368BF" w:rsidP="004C7B7B">
      <w:pPr>
        <w:pStyle w:val="ListParagraph"/>
        <w:numPr>
          <w:ilvl w:val="3"/>
          <w:numId w:val="19"/>
        </w:numPr>
        <w:spacing w:after="0" w:line="240" w:lineRule="auto"/>
        <w:ind w:left="270" w:hanging="270"/>
        <w:rPr>
          <w:iCs/>
        </w:rPr>
      </w:pPr>
      <w:r w:rsidRPr="004C7B7B">
        <w:rPr>
          <w:iCs/>
        </w:rPr>
        <w:t xml:space="preserve">ICSI Guideline: </w:t>
      </w:r>
      <w:r w:rsidR="00AD342D" w:rsidRPr="004C7B7B">
        <w:rPr>
          <w:iCs/>
        </w:rPr>
        <w:t>Adult Acute and</w:t>
      </w:r>
      <w:r w:rsidR="00C07501" w:rsidRPr="004C7B7B">
        <w:rPr>
          <w:iCs/>
        </w:rPr>
        <w:t xml:space="preserve"> </w:t>
      </w:r>
      <w:r w:rsidR="00AD342D" w:rsidRPr="004C7B7B">
        <w:rPr>
          <w:iCs/>
        </w:rPr>
        <w:t>Subacute Low Back Pain</w:t>
      </w:r>
      <w:r w:rsidR="00B8120E">
        <w:rPr>
          <w:iCs/>
        </w:rPr>
        <w:t>:</w:t>
      </w:r>
      <w:r w:rsidR="00264358" w:rsidRPr="004C7B7B">
        <w:rPr>
          <w:iCs/>
        </w:rPr>
        <w:t xml:space="preserve"> The literature search was limited to systematic reviews, meta-analysis and randomized control trials</w:t>
      </w:r>
      <w:r w:rsidR="006C6BA3" w:rsidRPr="004C7B7B">
        <w:rPr>
          <w:iCs/>
        </w:rPr>
        <w:t>.  No further information is provided in guideline.</w:t>
      </w:r>
    </w:p>
    <w:p w14:paraId="0B15A38E" w14:textId="0C01A280" w:rsidR="00AD342D" w:rsidRDefault="00032A8D" w:rsidP="004C7B7B">
      <w:pPr>
        <w:pStyle w:val="ListParagraph"/>
        <w:numPr>
          <w:ilvl w:val="3"/>
          <w:numId w:val="19"/>
        </w:numPr>
        <w:spacing w:after="0" w:line="240" w:lineRule="auto"/>
        <w:ind w:left="270" w:hanging="270"/>
      </w:pPr>
      <w:r w:rsidRPr="004C7B7B">
        <w:rPr>
          <w:iCs/>
        </w:rPr>
        <w:t>L</w:t>
      </w:r>
      <w:r w:rsidR="00AD342D" w:rsidRPr="004C7B7B">
        <w:rPr>
          <w:iCs/>
        </w:rPr>
        <w:t xml:space="preserve">ow Back Pain: Clinical Practice Guidelines: </w:t>
      </w:r>
      <w:r w:rsidR="00484896" w:rsidRPr="00484896">
        <w:t xml:space="preserve"> </w:t>
      </w:r>
      <w:r w:rsidR="00484896">
        <w:t>T</w:t>
      </w:r>
      <w:r w:rsidR="00484896" w:rsidRPr="00CD0FB7">
        <w:t xml:space="preserve">he </w:t>
      </w:r>
      <w:r w:rsidR="00D238BA">
        <w:t xml:space="preserve">strength of the </w:t>
      </w:r>
      <w:r w:rsidR="00484896" w:rsidRPr="00CD0FB7">
        <w:t>body of evidence varies from theoretical/foundational evidence to expert opinion to strong evidence</w:t>
      </w:r>
      <w:r w:rsidR="006C6BA3">
        <w:t>.</w:t>
      </w:r>
      <w:r w:rsidR="00D238BA">
        <w:t xml:space="preserve">  </w:t>
      </w:r>
      <w:r w:rsidR="00491663">
        <w:t>Definitions for the level of evidence include</w:t>
      </w:r>
      <w:r w:rsidR="006C6BA3">
        <w:t xml:space="preserve"> the following:</w:t>
      </w:r>
    </w:p>
    <w:tbl>
      <w:tblPr>
        <w:tblW w:w="9168" w:type="dxa"/>
        <w:tblInd w:w="288" w:type="dxa"/>
        <w:tblCellMar>
          <w:left w:w="0" w:type="dxa"/>
          <w:right w:w="0" w:type="dxa"/>
        </w:tblCellMar>
        <w:tblLook w:val="04A0" w:firstRow="1" w:lastRow="0" w:firstColumn="1" w:lastColumn="0" w:noHBand="0" w:noVBand="1"/>
      </w:tblPr>
      <w:tblGrid>
        <w:gridCol w:w="9168"/>
      </w:tblGrid>
      <w:tr w:rsidR="006C6BA3" w14:paraId="7148C4FB" w14:textId="77777777" w:rsidTr="004C7B7B">
        <w:trPr>
          <w:trHeight w:val="198"/>
        </w:trPr>
        <w:tc>
          <w:tcPr>
            <w:tcW w:w="9168" w:type="dxa"/>
            <w:tcMar>
              <w:top w:w="0" w:type="dxa"/>
              <w:left w:w="108" w:type="dxa"/>
              <w:bottom w:w="0" w:type="dxa"/>
              <w:right w:w="108" w:type="dxa"/>
            </w:tcMar>
            <w:hideMark/>
          </w:tcPr>
          <w:p w14:paraId="2CC3DED8" w14:textId="7776C460" w:rsidR="006C6BA3" w:rsidRDefault="006C6BA3" w:rsidP="004C7B7B">
            <w:pPr>
              <w:pStyle w:val="ListParagraph"/>
              <w:numPr>
                <w:ilvl w:val="0"/>
                <w:numId w:val="38"/>
              </w:numPr>
              <w:tabs>
                <w:tab w:val="left" w:pos="342"/>
              </w:tabs>
              <w:spacing w:after="0" w:line="240" w:lineRule="auto"/>
              <w:ind w:left="630"/>
            </w:pPr>
            <w:r>
              <w:t>Evidence obtained from high-quality diagnostic studies, prospective studies, or randomized controlled trials</w:t>
            </w:r>
          </w:p>
        </w:tc>
      </w:tr>
    </w:tbl>
    <w:p w14:paraId="4F4F4765" w14:textId="77777777" w:rsidR="00DF7D4C" w:rsidRDefault="006C6BA3" w:rsidP="00DF7D4C">
      <w:pPr>
        <w:pStyle w:val="ListParagraph"/>
        <w:numPr>
          <w:ilvl w:val="0"/>
          <w:numId w:val="38"/>
        </w:numPr>
        <w:tabs>
          <w:tab w:val="left" w:pos="630"/>
        </w:tabs>
        <w:spacing w:after="0" w:line="240" w:lineRule="auto"/>
        <w:ind w:left="630" w:hanging="90"/>
      </w:pPr>
      <w:r>
        <w:t>Evidence obtained from lesser-quality diagnostic studies, prospective studies, or randomized controlled trials (eg, weaker diagnostic criteria and reference standards, improper randomization, no blinding, &lt;80% follow-up)</w:t>
      </w:r>
    </w:p>
    <w:p w14:paraId="063766E2" w14:textId="77777777" w:rsidR="00DF7D4C" w:rsidRDefault="006C6BA3" w:rsidP="00DF7D4C">
      <w:pPr>
        <w:pStyle w:val="ListParagraph"/>
        <w:numPr>
          <w:ilvl w:val="0"/>
          <w:numId w:val="38"/>
        </w:numPr>
        <w:tabs>
          <w:tab w:val="left" w:pos="630"/>
        </w:tabs>
        <w:spacing w:after="0" w:line="240" w:lineRule="auto"/>
        <w:ind w:left="630" w:hanging="90"/>
      </w:pPr>
      <w:r>
        <w:t>Case-controlled studies or retrospective studies</w:t>
      </w:r>
    </w:p>
    <w:p w14:paraId="1471235A" w14:textId="1672A3DA" w:rsidR="004C7B7B" w:rsidRDefault="006C6BA3" w:rsidP="00DF7D4C">
      <w:pPr>
        <w:pStyle w:val="ListParagraph"/>
        <w:numPr>
          <w:ilvl w:val="0"/>
          <w:numId w:val="38"/>
        </w:numPr>
        <w:tabs>
          <w:tab w:val="left" w:pos="630"/>
        </w:tabs>
        <w:spacing w:after="0" w:line="240" w:lineRule="auto"/>
        <w:ind w:left="630" w:hanging="90"/>
      </w:pPr>
      <w:r>
        <w:t>Case series</w:t>
      </w:r>
    </w:p>
    <w:p w14:paraId="07473B7A" w14:textId="47049B11" w:rsidR="006C6BA3" w:rsidRPr="004C7B7B" w:rsidRDefault="006C6BA3" w:rsidP="00DF7D4C">
      <w:pPr>
        <w:pStyle w:val="ListParagraph"/>
        <w:numPr>
          <w:ilvl w:val="0"/>
          <w:numId w:val="38"/>
        </w:numPr>
        <w:tabs>
          <w:tab w:val="left" w:pos="630"/>
        </w:tabs>
        <w:spacing w:after="0" w:line="240" w:lineRule="auto"/>
        <w:ind w:left="630" w:hanging="90"/>
      </w:pPr>
      <w:r>
        <w:t>Expert Opinion</w:t>
      </w:r>
    </w:p>
    <w:p w14:paraId="41B31B69" w14:textId="52C171C3" w:rsidR="006C6BA3" w:rsidRPr="00032A8D" w:rsidRDefault="006C6BA3" w:rsidP="00491663">
      <w:pPr>
        <w:ind w:left="0" w:firstLine="0"/>
        <w:rPr>
          <w:iCs/>
        </w:rPr>
      </w:pPr>
    </w:p>
    <w:p w14:paraId="0D58115D" w14:textId="77777777" w:rsidR="00496AF8" w:rsidRPr="003B1CC5" w:rsidRDefault="00C5180E" w:rsidP="002E2177">
      <w:pPr>
        <w:ind w:left="0" w:firstLine="0"/>
        <w:rPr>
          <w:b/>
        </w:rPr>
      </w:pPr>
      <w:r w:rsidRPr="003B1CC5">
        <w:rPr>
          <w:b/>
        </w:rPr>
        <w:t>ESTIMATES OF BENEFIT AND CONSISTENCY ACROSS STUDIES IN BODY OF EVIDENCE</w:t>
      </w:r>
    </w:p>
    <w:p w14:paraId="0D58115E" w14:textId="77777777" w:rsidR="00496AF8"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r w:rsidR="00496AF8" w:rsidRPr="003B1CC5">
        <w:rPr>
          <w:b/>
        </w:rPr>
        <w:t xml:space="preserve">What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14:paraId="573CA915" w14:textId="77777777" w:rsidR="00117778" w:rsidRPr="003B1CC5" w:rsidRDefault="00117778" w:rsidP="002E2177">
      <w:pPr>
        <w:ind w:left="432" w:hanging="432"/>
      </w:pPr>
    </w:p>
    <w:p w14:paraId="7BE5BF8E" w14:textId="519E54E1" w:rsidR="00AD342D" w:rsidRDefault="00AD342D" w:rsidP="00AD342D">
      <w:pPr>
        <w:pStyle w:val="ListParagraph"/>
        <w:numPr>
          <w:ilvl w:val="0"/>
          <w:numId w:val="25"/>
        </w:numPr>
        <w:spacing w:after="0" w:line="240" w:lineRule="auto"/>
        <w:ind w:left="288" w:hanging="288"/>
      </w:pPr>
      <w:r>
        <w:lastRenderedPageBreak/>
        <w:t xml:space="preserve">ICSI Guideline: Assessment and </w:t>
      </w:r>
      <w:r w:rsidR="001A69AF">
        <w:t>Manage</w:t>
      </w:r>
      <w:r>
        <w:t>ment of Chronic Pain (Hooten et al. (2013)- Not addressed</w:t>
      </w:r>
    </w:p>
    <w:p w14:paraId="37F29596" w14:textId="77777777" w:rsidR="00AD342D" w:rsidRDefault="00AD342D" w:rsidP="00AD342D">
      <w:pPr>
        <w:pStyle w:val="ListParagraph"/>
        <w:numPr>
          <w:ilvl w:val="0"/>
          <w:numId w:val="25"/>
        </w:numPr>
        <w:spacing w:after="0" w:line="240" w:lineRule="auto"/>
        <w:ind w:left="288" w:hanging="288"/>
      </w:pPr>
      <w:r>
        <w:t>ICSI Guideline: Adult Acute and Subacute Low Back Pain (Goertz) - Not addressed</w:t>
      </w:r>
    </w:p>
    <w:p w14:paraId="70615DA7" w14:textId="77777777" w:rsidR="00AD342D" w:rsidRDefault="00AD342D" w:rsidP="00AD342D">
      <w:pPr>
        <w:pStyle w:val="ListParagraph"/>
        <w:numPr>
          <w:ilvl w:val="0"/>
          <w:numId w:val="25"/>
        </w:numPr>
        <w:spacing w:after="0" w:line="240" w:lineRule="auto"/>
        <w:ind w:left="288" w:hanging="288"/>
      </w:pPr>
      <w:r>
        <w:t xml:space="preserve">Low Back Pain: Clinical Practice Guidelines (Delitto et al. (2012)) – Not addressed </w:t>
      </w:r>
    </w:p>
    <w:p w14:paraId="0D581160" w14:textId="77777777" w:rsidR="009B5BEA" w:rsidRPr="003B1CC5" w:rsidRDefault="009B5BEA" w:rsidP="002E2177">
      <w:pPr>
        <w:ind w:left="0" w:firstLine="0"/>
      </w:pPr>
    </w:p>
    <w:p w14:paraId="0D581161" w14:textId="77777777" w:rsidR="00496AF8" w:rsidRPr="00DF7D4C"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r w:rsidR="00496AF8" w:rsidRPr="003B1CC5">
        <w:rPr>
          <w:b/>
        </w:rPr>
        <w:t>What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14:paraId="0D581162" w14:textId="77777777" w:rsidR="00496AF8" w:rsidRPr="00DF7D4C" w:rsidRDefault="00496AF8" w:rsidP="002E2177">
      <w:pPr>
        <w:ind w:left="0" w:firstLine="0"/>
      </w:pPr>
    </w:p>
    <w:p w14:paraId="43DC1896" w14:textId="5E07D408" w:rsidR="00AD342D" w:rsidRPr="00DF7D4C" w:rsidRDefault="00AD342D" w:rsidP="00DF7D4C">
      <w:pPr>
        <w:pStyle w:val="ListParagraph"/>
        <w:numPr>
          <w:ilvl w:val="3"/>
          <w:numId w:val="25"/>
        </w:numPr>
        <w:spacing w:after="0" w:line="240" w:lineRule="auto"/>
        <w:ind w:left="270" w:hanging="270"/>
      </w:pPr>
      <w:r w:rsidRPr="00DF7D4C">
        <w:t>ICSI G</w:t>
      </w:r>
      <w:r w:rsidR="00DF7D4C" w:rsidRPr="00DF7D4C">
        <w:t>uideline: Assessment and Manage</w:t>
      </w:r>
      <w:r w:rsidRPr="00DF7D4C">
        <w:t>ment of Chronic Pain (Hooten et al.</w:t>
      </w:r>
      <w:r w:rsidR="00DD56E4" w:rsidRPr="00DF7D4C">
        <w:t>,</w:t>
      </w:r>
      <w:r w:rsidRPr="00DF7D4C">
        <w:t xml:space="preserve">2013)- No </w:t>
      </w:r>
      <w:r w:rsidR="00E81791" w:rsidRPr="00DF7D4C">
        <w:t xml:space="preserve">harms </w:t>
      </w:r>
      <w:r w:rsidRPr="00DF7D4C">
        <w:t>reported</w:t>
      </w:r>
    </w:p>
    <w:p w14:paraId="6DA813F9" w14:textId="3F7DC1E9" w:rsidR="00AD342D" w:rsidRPr="00DF7D4C" w:rsidRDefault="00AD342D" w:rsidP="00DF7D4C">
      <w:pPr>
        <w:pStyle w:val="ListParagraph"/>
        <w:numPr>
          <w:ilvl w:val="3"/>
          <w:numId w:val="25"/>
        </w:numPr>
        <w:ind w:left="270" w:hanging="270"/>
      </w:pPr>
      <w:r w:rsidRPr="00DF7D4C">
        <w:t>ICSI Guideline: Adult Acute and Subacute Low Back Pain</w:t>
      </w:r>
      <w:r w:rsidRPr="00DF7D4C">
        <w:rPr>
          <w:b/>
        </w:rPr>
        <w:t xml:space="preserve"> - </w:t>
      </w:r>
      <w:r w:rsidRPr="00DF7D4C">
        <w:t>(Goertz et al.</w:t>
      </w:r>
      <w:r w:rsidR="00DD56E4" w:rsidRPr="00DF7D4C">
        <w:t>,</w:t>
      </w:r>
      <w:r w:rsidRPr="00DF7D4C">
        <w:t xml:space="preserve"> (2012)</w:t>
      </w:r>
    </w:p>
    <w:p w14:paraId="64131D5C" w14:textId="77777777" w:rsidR="00AD342D" w:rsidRDefault="00AD342D" w:rsidP="00AD342D">
      <w:pPr>
        <w:pStyle w:val="ListParagraph"/>
        <w:numPr>
          <w:ilvl w:val="1"/>
          <w:numId w:val="16"/>
        </w:numPr>
        <w:spacing w:after="0" w:line="240" w:lineRule="auto"/>
        <w:ind w:left="648" w:hanging="288"/>
        <w:rPr>
          <w:bCs/>
        </w:rPr>
      </w:pPr>
      <w:r>
        <w:rPr>
          <w:bCs/>
        </w:rPr>
        <w:t xml:space="preserve">Harm:  </w:t>
      </w:r>
    </w:p>
    <w:p w14:paraId="4C5A2D76" w14:textId="59B1A3EA" w:rsidR="00AD342D" w:rsidRDefault="00AD342D" w:rsidP="00AD342D">
      <w:pPr>
        <w:pStyle w:val="ListParagraph"/>
        <w:numPr>
          <w:ilvl w:val="0"/>
          <w:numId w:val="16"/>
        </w:numPr>
        <w:spacing w:after="0" w:line="240" w:lineRule="auto"/>
        <w:ind w:left="1368" w:hanging="288"/>
        <w:rPr>
          <w:bCs/>
        </w:rPr>
      </w:pPr>
      <w:r>
        <w:rPr>
          <w:bCs/>
        </w:rPr>
        <w:t xml:space="preserve">No Imaging First Six Weeks with Radicular Pain; Use Core Treatment Plan - Recommendation: Clinicians should not recommend imaging (including CT, MRI or </w:t>
      </w:r>
      <w:r w:rsidR="001A69AF">
        <w:rPr>
          <w:bCs/>
        </w:rPr>
        <w:t>X</w:t>
      </w:r>
      <w:r>
        <w:rPr>
          <w:bCs/>
        </w:rPr>
        <w:t xml:space="preserve">-ray) for patients in the first six weeks of radicular pain </w:t>
      </w:r>
      <w:r>
        <w:rPr>
          <w:bCs/>
          <w:i/>
          <w:iCs/>
        </w:rPr>
        <w:t>[Strong Recommendation, Moderate Quality Evidence]</w:t>
      </w:r>
      <w:r>
        <w:rPr>
          <w:bCs/>
        </w:rPr>
        <w:t xml:space="preserve">. </w:t>
      </w:r>
    </w:p>
    <w:p w14:paraId="1F2F7AF3" w14:textId="427CB112" w:rsidR="00AD342D" w:rsidRDefault="00AD342D" w:rsidP="00AD342D">
      <w:pPr>
        <w:pStyle w:val="ListParagraph"/>
        <w:numPr>
          <w:ilvl w:val="3"/>
          <w:numId w:val="16"/>
        </w:numPr>
        <w:spacing w:after="0" w:line="240" w:lineRule="auto"/>
        <w:ind w:left="1728" w:hanging="288"/>
        <w:rPr>
          <w:bCs/>
        </w:rPr>
      </w:pPr>
      <w:r>
        <w:rPr>
          <w:bCs/>
        </w:rPr>
        <w:t xml:space="preserve">“Most patients with radiculopathy supported by exam findings consistent with history will recover within several weeks of onset. The majority of disc herniations regress or reabsorb by eight weeks from onset. In the absence of red flags or progressive neurologic deficit there is no evidence that the delaying surgery worsens outcomes. The use of the core treatment plan is recommended. Refer to Annotation #11, </w:t>
      </w:r>
      <w:r w:rsidR="002250F5">
        <w:rPr>
          <w:bCs/>
        </w:rPr>
        <w:t>C</w:t>
      </w:r>
      <w:r>
        <w:rPr>
          <w:bCs/>
        </w:rPr>
        <w:t>ore Treatment Plan. With this in mind, in the face of</w:t>
      </w:r>
      <w:r>
        <w:rPr>
          <w:bCs/>
          <w:u w:val="single"/>
        </w:rPr>
        <w:t xml:space="preserve"> </w:t>
      </w:r>
      <w:r>
        <w:rPr>
          <w:bCs/>
        </w:rPr>
        <w:t>radiculopathy there is no benefit and there is possible harm in obtaining an MRI prior to six weeks. The exception to this is a progressing neurologic deficit or persistent disabling pain. If the patient has demonstrable leg weakness that is disabling or is worsening, further evaluation with imaging and consultation with a spine specialist would also be indicated” (p.29)</w:t>
      </w:r>
    </w:p>
    <w:p w14:paraId="0D581163" w14:textId="0F9C11BB" w:rsidR="00496AF8" w:rsidRDefault="00AD342D" w:rsidP="00DF7D4C">
      <w:pPr>
        <w:pStyle w:val="ListParagraph"/>
        <w:numPr>
          <w:ilvl w:val="3"/>
          <w:numId w:val="25"/>
        </w:numPr>
        <w:ind w:left="270" w:hanging="270"/>
      </w:pPr>
      <w:r>
        <w:t>Low Back Pain: Clinical Practice Guidelines (Delitto et al.</w:t>
      </w:r>
      <w:r w:rsidR="00DD56E4">
        <w:t>,</w:t>
      </w:r>
      <w:r>
        <w:t xml:space="preserve"> 2012) – </w:t>
      </w:r>
      <w:r w:rsidR="00E81791">
        <w:t>No harms reported</w:t>
      </w:r>
    </w:p>
    <w:p w14:paraId="0950CE97" w14:textId="77777777" w:rsidR="009D0E22" w:rsidRPr="003B1CC5" w:rsidRDefault="009D0E22" w:rsidP="00AD342D">
      <w:pPr>
        <w:ind w:left="0" w:firstLine="0"/>
      </w:pPr>
    </w:p>
    <w:p w14:paraId="0D581164" w14:textId="77777777" w:rsidR="00496AF8" w:rsidRPr="003B1CC5" w:rsidRDefault="00C5180E" w:rsidP="002E2177">
      <w:pPr>
        <w:ind w:left="0" w:firstLine="0"/>
        <w:rPr>
          <w:b/>
          <w:noProof/>
        </w:rPr>
      </w:pPr>
      <w:r w:rsidRPr="003B1CC5">
        <w:rPr>
          <w:b/>
          <w:noProof/>
        </w:rPr>
        <w:t>UPDATE TO THE SYSTEMATIC REVIEW(S) OF THE BODY OF EVIDENCE</w:t>
      </w:r>
    </w:p>
    <w:p w14:paraId="0D581165" w14:textId="77777777"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14:paraId="0D581166" w14:textId="6B0BF527" w:rsidR="00837121" w:rsidRPr="00491663" w:rsidRDefault="00BE79B0" w:rsidP="002E2177">
      <w:pPr>
        <w:ind w:left="0" w:firstLine="0"/>
      </w:pPr>
      <w:r w:rsidRPr="00491663">
        <w:t>N/A</w:t>
      </w:r>
    </w:p>
    <w:p w14:paraId="0D581167" w14:textId="77777777" w:rsidR="0094689F" w:rsidRPr="003B1CC5" w:rsidRDefault="00925F11" w:rsidP="002E2177">
      <w:pPr>
        <w:ind w:left="0" w:firstLine="0"/>
        <w:rPr>
          <w:b/>
          <w:color w:val="0070C0"/>
        </w:rPr>
      </w:pPr>
      <w:r w:rsidRPr="003B1CC5">
        <w:rPr>
          <w:b/>
          <w:iCs/>
          <w:caps/>
        </w:rPr>
        <w:t>_________________________</w:t>
      </w:r>
    </w:p>
    <w:p w14:paraId="0D581168" w14:textId="77777777" w:rsidR="00837121" w:rsidRPr="003B1CC5" w:rsidRDefault="00837121" w:rsidP="002E2177">
      <w:pPr>
        <w:ind w:left="0" w:firstLine="0"/>
        <w:rPr>
          <w:b/>
        </w:rPr>
      </w:pPr>
      <w:bookmarkStart w:id="11" w:name="Section1a8"/>
      <w:bookmarkEnd w:id="11"/>
      <w:r w:rsidRPr="003B1CC5">
        <w:rPr>
          <w:b/>
          <w:color w:val="0000FF"/>
        </w:rPr>
        <w:t xml:space="preserve">1a.8 </w:t>
      </w:r>
      <w:r w:rsidRPr="003B1CC5">
        <w:rPr>
          <w:b/>
        </w:rPr>
        <w:t>OTHER SOURCE OF EVIDENCE</w:t>
      </w:r>
    </w:p>
    <w:p w14:paraId="0D581169" w14:textId="77777777" w:rsidR="00837121"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6B340E46" w14:textId="35ABC31E" w:rsidR="008E338F" w:rsidRPr="008E338F" w:rsidRDefault="008E338F" w:rsidP="002E2177">
      <w:pPr>
        <w:ind w:left="0" w:firstLine="0"/>
      </w:pPr>
      <w:r w:rsidRPr="008E338F">
        <w:t>N/A</w:t>
      </w:r>
    </w:p>
    <w:p w14:paraId="0D58116A" w14:textId="77777777" w:rsidR="00837121" w:rsidRPr="003B1CC5" w:rsidRDefault="00837121" w:rsidP="002E2177">
      <w:pPr>
        <w:ind w:left="0" w:firstLine="0"/>
      </w:pPr>
    </w:p>
    <w:p w14:paraId="17DD1815" w14:textId="7651DD41" w:rsidR="00AD342D" w:rsidRDefault="00837121" w:rsidP="00AD342D">
      <w:pPr>
        <w:ind w:left="0" w:firstLine="0"/>
      </w:pPr>
      <w:r w:rsidRPr="003B1CC5">
        <w:rPr>
          <w:b/>
          <w:color w:val="0000FF"/>
        </w:rPr>
        <w:t>1a.8.1</w:t>
      </w:r>
      <w:r w:rsidRPr="003B1CC5">
        <w:rPr>
          <w:color w:val="0070C0"/>
        </w:rPr>
        <w:t xml:space="preserve"> </w:t>
      </w:r>
      <w:r w:rsidRPr="003B1CC5">
        <w:rPr>
          <w:b/>
        </w:rPr>
        <w:t>What process was used to identify the evidence?</w:t>
      </w:r>
      <w:r w:rsidR="00AD342D" w:rsidRPr="00AD342D">
        <w:t xml:space="preserve"> </w:t>
      </w:r>
    </w:p>
    <w:p w14:paraId="39143B53" w14:textId="09866F6D" w:rsidR="00484896" w:rsidRDefault="00484896" w:rsidP="00AD342D">
      <w:pPr>
        <w:ind w:left="0" w:firstLine="0"/>
      </w:pPr>
      <w:r>
        <w:t>N/A</w:t>
      </w:r>
    </w:p>
    <w:p w14:paraId="0D58116C" w14:textId="77777777" w:rsidR="00837121" w:rsidRPr="003B1CC5" w:rsidRDefault="00837121" w:rsidP="002E2177">
      <w:pPr>
        <w:ind w:left="0" w:firstLine="0"/>
      </w:pPr>
    </w:p>
    <w:p w14:paraId="0D58116D" w14:textId="77777777" w:rsidR="00837121" w:rsidRDefault="00837121" w:rsidP="002E2177">
      <w:pPr>
        <w:ind w:left="0" w:firstLine="0"/>
        <w:rPr>
          <w:b/>
        </w:rPr>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p w14:paraId="5E46D34D" w14:textId="157D4FB1" w:rsidR="009D0E22" w:rsidRPr="00491663" w:rsidRDefault="009D0E22" w:rsidP="002E2177">
      <w:pPr>
        <w:ind w:left="0" w:firstLine="0"/>
      </w:pPr>
      <w:r w:rsidRPr="00491663">
        <w:t>N/A</w:t>
      </w:r>
    </w:p>
    <w:p w14:paraId="06F5B8E8" w14:textId="77777777" w:rsidR="00AD342D" w:rsidRDefault="00AD342D" w:rsidP="00AD342D">
      <w:pPr>
        <w:ind w:left="0" w:firstLine="0"/>
      </w:pPr>
    </w:p>
    <w:p w14:paraId="2A529F3B" w14:textId="77777777" w:rsidR="00AD342D" w:rsidRPr="001B772D" w:rsidRDefault="00AD342D" w:rsidP="002E2177">
      <w:pPr>
        <w:ind w:left="0" w:firstLine="0"/>
      </w:pPr>
    </w:p>
    <w:sectPr w:rsidR="00AD342D" w:rsidRPr="001B772D">
      <w:headerReference w:type="default" r:id="rId24"/>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2B0765" w14:textId="77777777" w:rsidR="002C0B62" w:rsidRDefault="002C0B62" w:rsidP="007E37A5">
      <w:r>
        <w:separator/>
      </w:r>
    </w:p>
  </w:endnote>
  <w:endnote w:type="continuationSeparator" w:id="0">
    <w:p w14:paraId="1DC8B78B" w14:textId="77777777" w:rsidR="002C0B62" w:rsidRDefault="002C0B62"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entonGothicCond Regular">
    <w:altName w:val="BentonGothicCond Regular"/>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imes">
    <w:altName w:val="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581173" w14:textId="77777777" w:rsidR="00DD0FE2" w:rsidRDefault="00DD0FE2">
    <w:pPr>
      <w:pStyle w:val="Footer"/>
    </w:pPr>
    <w:r w:rsidRPr="00395263">
      <w:t xml:space="preserve">Version 6.5 </w:t>
    </w:r>
    <w:r>
      <w:t xml:space="preserve"> 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4128A5">
      <w:rPr>
        <w:noProof/>
      </w:rPr>
      <w:t>1</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91E87D" w14:textId="77777777" w:rsidR="002C0B62" w:rsidRDefault="002C0B62" w:rsidP="007E37A5">
      <w:r>
        <w:separator/>
      </w:r>
    </w:p>
  </w:footnote>
  <w:footnote w:type="continuationSeparator" w:id="0">
    <w:p w14:paraId="25EEE1A1" w14:textId="77777777" w:rsidR="002C0B62" w:rsidRDefault="002C0B62"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581172" w14:textId="77777777" w:rsidR="00DD0FE2" w:rsidRPr="00CB591F" w:rsidRDefault="00DD0FE2" w:rsidP="00CB591F">
    <w:pPr>
      <w:pStyle w:val="Heade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A6EEC"/>
    <w:multiLevelType w:val="hybridMultilevel"/>
    <w:tmpl w:val="52AE427A"/>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nsid w:val="037547FC"/>
    <w:multiLevelType w:val="hybridMultilevel"/>
    <w:tmpl w:val="9E6E8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5DD1356"/>
    <w:multiLevelType w:val="hybridMultilevel"/>
    <w:tmpl w:val="F1C0F5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B951401"/>
    <w:multiLevelType w:val="hybridMultilevel"/>
    <w:tmpl w:val="22300690"/>
    <w:lvl w:ilvl="0" w:tplc="8544E22C">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821015"/>
    <w:multiLevelType w:val="hybridMultilevel"/>
    <w:tmpl w:val="8BA83D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3612006"/>
    <w:multiLevelType w:val="hybridMultilevel"/>
    <w:tmpl w:val="79288D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B9C63B7"/>
    <w:multiLevelType w:val="hybridMultilevel"/>
    <w:tmpl w:val="BAF4A116"/>
    <w:lvl w:ilvl="0" w:tplc="5CE63720">
      <w:start w:val="1"/>
      <w:numFmt w:val="bullet"/>
      <w:lvlText w:val="•"/>
      <w:lvlJc w:val="left"/>
      <w:pPr>
        <w:ind w:left="1080" w:hanging="360"/>
      </w:pPr>
      <w:rPr>
        <w:rFonts w:ascii="Calibri" w:eastAsiaTheme="minorHAnsi" w:hAnsi="Calibri"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0B747DF"/>
    <w:multiLevelType w:val="hybridMultilevel"/>
    <w:tmpl w:val="ED381F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5E02E83"/>
    <w:multiLevelType w:val="hybridMultilevel"/>
    <w:tmpl w:val="0C92A1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3418B6"/>
    <w:multiLevelType w:val="hybridMultilevel"/>
    <w:tmpl w:val="8D3CBD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7405FA7"/>
    <w:multiLevelType w:val="hybridMultilevel"/>
    <w:tmpl w:val="923EBC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7EF0922"/>
    <w:multiLevelType w:val="hybridMultilevel"/>
    <w:tmpl w:val="A880D7A2"/>
    <w:lvl w:ilvl="0" w:tplc="2F5E74F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4414224"/>
    <w:multiLevelType w:val="hybridMultilevel"/>
    <w:tmpl w:val="47CCAC4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FB3585"/>
    <w:multiLevelType w:val="hybridMultilevel"/>
    <w:tmpl w:val="DE421DC2"/>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19">
    <w:nsid w:val="4A5E3534"/>
    <w:multiLevelType w:val="hybridMultilevel"/>
    <w:tmpl w:val="B13CFAC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F25837"/>
    <w:multiLevelType w:val="hybridMultilevel"/>
    <w:tmpl w:val="08FC287C"/>
    <w:lvl w:ilvl="0" w:tplc="B40A734C">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4F6763A4"/>
    <w:multiLevelType w:val="hybridMultilevel"/>
    <w:tmpl w:val="AE3247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FD67BA"/>
    <w:multiLevelType w:val="hybridMultilevel"/>
    <w:tmpl w:val="6ADE32AC"/>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3">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4656ABB"/>
    <w:multiLevelType w:val="hybridMultilevel"/>
    <w:tmpl w:val="CDB88A12"/>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5">
    <w:nsid w:val="5EC7378A"/>
    <w:multiLevelType w:val="hybridMultilevel"/>
    <w:tmpl w:val="D3946782"/>
    <w:lvl w:ilvl="0" w:tplc="04090015">
      <w:start w:val="1"/>
      <w:numFmt w:val="upperLetter"/>
      <w:lvlText w:val="%1."/>
      <w:lvlJc w:val="left"/>
      <w:pPr>
        <w:ind w:left="720" w:hanging="360"/>
      </w:pPr>
      <w:rPr>
        <w:rFonts w:hint="default"/>
      </w:rPr>
    </w:lvl>
    <w:lvl w:ilvl="1" w:tplc="C736ED34">
      <w:start w:val="3"/>
      <w:numFmt w:val="bullet"/>
      <w:lvlText w:val="•"/>
      <w:lvlJc w:val="left"/>
      <w:pPr>
        <w:ind w:left="1440" w:hanging="360"/>
      </w:pPr>
      <w:rPr>
        <w:rFonts w:ascii="Calibri" w:eastAsiaTheme="minorHAnsi" w:hAnsi="Calibri" w:cstheme="minorBidi" w:hint="default"/>
      </w:r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165248B"/>
    <w:multiLevelType w:val="hybridMultilevel"/>
    <w:tmpl w:val="D4C65692"/>
    <w:lvl w:ilvl="0" w:tplc="8B500CD0">
      <w:start w:val="1"/>
      <w:numFmt w:val="upperLetter"/>
      <w:lvlText w:val="%1."/>
      <w:lvlJc w:val="left"/>
      <w:pPr>
        <w:ind w:left="1080" w:hanging="360"/>
      </w:pPr>
      <w:rPr>
        <w:color w:val="auto"/>
      </w:rPr>
    </w:lvl>
    <w:lvl w:ilvl="1" w:tplc="4F98FC5E">
      <w:start w:val="1"/>
      <w:numFmt w:val="decimal"/>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7">
    <w:nsid w:val="64653BB1"/>
    <w:multiLevelType w:val="hybridMultilevel"/>
    <w:tmpl w:val="6E1EF0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64FE3B45"/>
    <w:multiLevelType w:val="hybridMultilevel"/>
    <w:tmpl w:val="42EA810C"/>
    <w:lvl w:ilvl="0" w:tplc="04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5">
      <w:start w:val="1"/>
      <w:numFmt w:val="bullet"/>
      <w:lvlText w:val=""/>
      <w:lvlJc w:val="left"/>
      <w:pPr>
        <w:ind w:left="3600" w:hanging="360"/>
      </w:pPr>
      <w:rPr>
        <w:rFonts w:ascii="Wingdings" w:hAnsi="Wingdings"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nsid w:val="654A0ADA"/>
    <w:multiLevelType w:val="hybridMultilevel"/>
    <w:tmpl w:val="F470343A"/>
    <w:lvl w:ilvl="0" w:tplc="04090001">
      <w:start w:val="1"/>
      <w:numFmt w:val="bullet"/>
      <w:lvlText w:val=""/>
      <w:lvlJc w:val="left"/>
      <w:pPr>
        <w:ind w:left="1890" w:hanging="360"/>
      </w:pPr>
      <w:rPr>
        <w:rFonts w:ascii="Symbol" w:hAnsi="Symbol" w:hint="default"/>
        <w:sz w:val="20"/>
        <w:szCs w:val="20"/>
      </w:rPr>
    </w:lvl>
    <w:lvl w:ilvl="1" w:tplc="04090003">
      <w:start w:val="1"/>
      <w:numFmt w:val="bullet"/>
      <w:lvlText w:val="o"/>
      <w:lvlJc w:val="left"/>
      <w:pPr>
        <w:ind w:left="2610" w:hanging="360"/>
      </w:pPr>
      <w:rPr>
        <w:rFonts w:ascii="Courier New" w:hAnsi="Courier New" w:cs="Courier New" w:hint="default"/>
      </w:rPr>
    </w:lvl>
    <w:lvl w:ilvl="2" w:tplc="04090005">
      <w:start w:val="1"/>
      <w:numFmt w:val="bullet"/>
      <w:lvlText w:val=""/>
      <w:lvlJc w:val="left"/>
      <w:pPr>
        <w:ind w:left="3330" w:hanging="360"/>
      </w:pPr>
      <w:rPr>
        <w:rFonts w:ascii="Wingdings" w:hAnsi="Wingdings" w:hint="default"/>
      </w:rPr>
    </w:lvl>
    <w:lvl w:ilvl="3" w:tplc="04090001">
      <w:start w:val="1"/>
      <w:numFmt w:val="bullet"/>
      <w:lvlText w:val=""/>
      <w:lvlJc w:val="left"/>
      <w:pPr>
        <w:ind w:left="4050" w:hanging="360"/>
      </w:pPr>
      <w:rPr>
        <w:rFonts w:ascii="Symbol" w:hAnsi="Symbol" w:hint="default"/>
      </w:rPr>
    </w:lvl>
    <w:lvl w:ilvl="4" w:tplc="04090003">
      <w:start w:val="1"/>
      <w:numFmt w:val="bullet"/>
      <w:lvlText w:val="o"/>
      <w:lvlJc w:val="left"/>
      <w:pPr>
        <w:ind w:left="4770" w:hanging="360"/>
      </w:pPr>
      <w:rPr>
        <w:rFonts w:ascii="Courier New" w:hAnsi="Courier New" w:cs="Courier New" w:hint="default"/>
      </w:rPr>
    </w:lvl>
    <w:lvl w:ilvl="5" w:tplc="04090005">
      <w:start w:val="1"/>
      <w:numFmt w:val="bullet"/>
      <w:lvlText w:val=""/>
      <w:lvlJc w:val="left"/>
      <w:pPr>
        <w:ind w:left="5490" w:hanging="360"/>
      </w:pPr>
      <w:rPr>
        <w:rFonts w:ascii="Wingdings" w:hAnsi="Wingdings" w:hint="default"/>
      </w:rPr>
    </w:lvl>
    <w:lvl w:ilvl="6" w:tplc="04090001">
      <w:start w:val="1"/>
      <w:numFmt w:val="bullet"/>
      <w:lvlText w:val=""/>
      <w:lvlJc w:val="left"/>
      <w:pPr>
        <w:ind w:left="6210" w:hanging="360"/>
      </w:pPr>
      <w:rPr>
        <w:rFonts w:ascii="Symbol" w:hAnsi="Symbol" w:hint="default"/>
      </w:rPr>
    </w:lvl>
    <w:lvl w:ilvl="7" w:tplc="04090003">
      <w:start w:val="1"/>
      <w:numFmt w:val="bullet"/>
      <w:lvlText w:val="o"/>
      <w:lvlJc w:val="left"/>
      <w:pPr>
        <w:ind w:left="6930" w:hanging="360"/>
      </w:pPr>
      <w:rPr>
        <w:rFonts w:ascii="Courier New" w:hAnsi="Courier New" w:cs="Courier New" w:hint="default"/>
      </w:rPr>
    </w:lvl>
    <w:lvl w:ilvl="8" w:tplc="04090005">
      <w:start w:val="1"/>
      <w:numFmt w:val="bullet"/>
      <w:lvlText w:val=""/>
      <w:lvlJc w:val="left"/>
      <w:pPr>
        <w:ind w:left="7650" w:hanging="360"/>
      </w:pPr>
      <w:rPr>
        <w:rFonts w:ascii="Wingdings" w:hAnsi="Wingdings" w:hint="default"/>
      </w:rPr>
    </w:lvl>
  </w:abstractNum>
  <w:abstractNum w:abstractNumId="3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C897FE3"/>
    <w:multiLevelType w:val="hybridMultilevel"/>
    <w:tmpl w:val="EDD8139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9C4B90"/>
    <w:multiLevelType w:val="hybridMultilevel"/>
    <w:tmpl w:val="C01A3C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6FAA2747"/>
    <w:multiLevelType w:val="hybridMultilevel"/>
    <w:tmpl w:val="22EAE300"/>
    <w:lvl w:ilvl="0" w:tplc="04090013">
      <w:start w:val="1"/>
      <w:numFmt w:val="upperRoman"/>
      <w:lvlText w:val="%1."/>
      <w:lvlJc w:val="righ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5">
    <w:nsid w:val="70582449"/>
    <w:multiLevelType w:val="hybridMultilevel"/>
    <w:tmpl w:val="07EC5E80"/>
    <w:lvl w:ilvl="0" w:tplc="04090003">
      <w:start w:val="1"/>
      <w:numFmt w:val="bullet"/>
      <w:lvlText w:val="o"/>
      <w:lvlJc w:val="left"/>
      <w:pPr>
        <w:ind w:left="-540" w:hanging="360"/>
      </w:pPr>
      <w:rPr>
        <w:rFonts w:ascii="Courier New" w:hAnsi="Courier New" w:cs="Courier New" w:hint="default"/>
      </w:rPr>
    </w:lvl>
    <w:lvl w:ilvl="1" w:tplc="04090005">
      <w:start w:val="1"/>
      <w:numFmt w:val="bullet"/>
      <w:lvlText w:val=""/>
      <w:lvlJc w:val="left"/>
      <w:pPr>
        <w:ind w:left="180" w:hanging="360"/>
      </w:pPr>
      <w:rPr>
        <w:rFonts w:ascii="Wingdings" w:hAnsi="Wingdings" w:hint="default"/>
      </w:rPr>
    </w:lvl>
    <w:lvl w:ilvl="2" w:tplc="04090005">
      <w:start w:val="1"/>
      <w:numFmt w:val="bullet"/>
      <w:lvlText w:val=""/>
      <w:lvlJc w:val="left"/>
      <w:pPr>
        <w:ind w:left="900" w:hanging="360"/>
      </w:pPr>
      <w:rPr>
        <w:rFonts w:ascii="Wingdings" w:hAnsi="Wingdings" w:hint="default"/>
      </w:rPr>
    </w:lvl>
    <w:lvl w:ilvl="3" w:tplc="04090001">
      <w:start w:val="1"/>
      <w:numFmt w:val="bullet"/>
      <w:lvlText w:val=""/>
      <w:lvlJc w:val="left"/>
      <w:pPr>
        <w:ind w:left="1620" w:hanging="360"/>
      </w:pPr>
      <w:rPr>
        <w:rFonts w:ascii="Symbol" w:hAnsi="Symbol" w:hint="default"/>
      </w:rPr>
    </w:lvl>
    <w:lvl w:ilvl="4" w:tplc="04090003">
      <w:start w:val="1"/>
      <w:numFmt w:val="bullet"/>
      <w:lvlText w:val="o"/>
      <w:lvlJc w:val="left"/>
      <w:pPr>
        <w:ind w:left="2340" w:hanging="360"/>
      </w:pPr>
      <w:rPr>
        <w:rFonts w:ascii="Courier New" w:hAnsi="Courier New" w:cs="Courier New" w:hint="default"/>
      </w:rPr>
    </w:lvl>
    <w:lvl w:ilvl="5" w:tplc="04090005">
      <w:start w:val="1"/>
      <w:numFmt w:val="bullet"/>
      <w:lvlText w:val=""/>
      <w:lvlJc w:val="left"/>
      <w:pPr>
        <w:ind w:left="3060" w:hanging="360"/>
      </w:pPr>
      <w:rPr>
        <w:rFonts w:ascii="Wingdings" w:hAnsi="Wingdings" w:hint="default"/>
      </w:rPr>
    </w:lvl>
    <w:lvl w:ilvl="6" w:tplc="04090001">
      <w:start w:val="1"/>
      <w:numFmt w:val="bullet"/>
      <w:lvlText w:val=""/>
      <w:lvlJc w:val="left"/>
      <w:pPr>
        <w:ind w:left="3780" w:hanging="360"/>
      </w:pPr>
      <w:rPr>
        <w:rFonts w:ascii="Symbol" w:hAnsi="Symbol" w:hint="default"/>
      </w:rPr>
    </w:lvl>
    <w:lvl w:ilvl="7" w:tplc="04090003">
      <w:start w:val="1"/>
      <w:numFmt w:val="bullet"/>
      <w:lvlText w:val="o"/>
      <w:lvlJc w:val="left"/>
      <w:pPr>
        <w:ind w:left="4500" w:hanging="360"/>
      </w:pPr>
      <w:rPr>
        <w:rFonts w:ascii="Courier New" w:hAnsi="Courier New" w:cs="Courier New" w:hint="default"/>
      </w:rPr>
    </w:lvl>
    <w:lvl w:ilvl="8" w:tplc="04090005">
      <w:start w:val="1"/>
      <w:numFmt w:val="bullet"/>
      <w:lvlText w:val=""/>
      <w:lvlJc w:val="left"/>
      <w:pPr>
        <w:ind w:left="5220" w:hanging="360"/>
      </w:pPr>
      <w:rPr>
        <w:rFonts w:ascii="Wingdings" w:hAnsi="Wingdings" w:hint="default"/>
      </w:rPr>
    </w:lvl>
  </w:abstractNum>
  <w:abstractNum w:abstractNumId="36">
    <w:nsid w:val="75232134"/>
    <w:multiLevelType w:val="hybridMultilevel"/>
    <w:tmpl w:val="BEFEC170"/>
    <w:lvl w:ilvl="0" w:tplc="994C6660">
      <w:start w:val="1"/>
      <w:numFmt w:val="decimal"/>
      <w:lvlText w:val="%1."/>
      <w:lvlJc w:val="left"/>
      <w:pPr>
        <w:ind w:left="720" w:hanging="360"/>
      </w:pPr>
      <w:rPr>
        <w:rFonts w:asciiTheme="minorHAnsi" w:eastAsiaTheme="minorHAnsi" w:hAnsiTheme="minorHAnsi" w:cstheme="minorBid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7B8144FB"/>
    <w:multiLevelType w:val="hybridMultilevel"/>
    <w:tmpl w:val="6B64493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3"/>
  </w:num>
  <w:num w:numId="3">
    <w:abstractNumId w:val="8"/>
  </w:num>
  <w:num w:numId="4">
    <w:abstractNumId w:val="10"/>
  </w:num>
  <w:num w:numId="5">
    <w:abstractNumId w:val="13"/>
  </w:num>
  <w:num w:numId="6">
    <w:abstractNumId w:val="12"/>
  </w:num>
  <w:num w:numId="7">
    <w:abstractNumId w:val="31"/>
  </w:num>
  <w:num w:numId="8">
    <w:abstractNumId w:val="30"/>
  </w:num>
  <w:num w:numId="9">
    <w:abstractNumId w:val="4"/>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29"/>
  </w:num>
  <w:num w:numId="13">
    <w:abstractNumId w:val="24"/>
  </w:num>
  <w:num w:numId="14">
    <w:abstractNumId w:val="1"/>
  </w:num>
  <w:num w:numId="15">
    <w:abstractNumId w:val="35"/>
  </w:num>
  <w:num w:numId="16">
    <w:abstractNumId w:val="28"/>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15"/>
  </w:num>
  <w:num w:numId="28">
    <w:abstractNumId w:val="17"/>
  </w:num>
  <w:num w:numId="29">
    <w:abstractNumId w:val="32"/>
  </w:num>
  <w:num w:numId="30">
    <w:abstractNumId w:val="25"/>
  </w:num>
  <w:num w:numId="31">
    <w:abstractNumId w:val="11"/>
  </w:num>
  <w:num w:numId="32">
    <w:abstractNumId w:val="9"/>
  </w:num>
  <w:num w:numId="33">
    <w:abstractNumId w:val="26"/>
  </w:num>
  <w:num w:numId="34">
    <w:abstractNumId w:val="6"/>
  </w:num>
  <w:num w:numId="35">
    <w:abstractNumId w:val="21"/>
  </w:num>
  <w:num w:numId="36">
    <w:abstractNumId w:val="19"/>
  </w:num>
  <w:num w:numId="37">
    <w:abstractNumId w:val="34"/>
  </w:num>
  <w:num w:numId="38">
    <w:abstractNumId w:val="37"/>
  </w:num>
  <w:num w:numId="39">
    <w:abstractNumId w:val="3"/>
  </w:num>
  <w:num w:numId="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003F0"/>
    <w:rsid w:val="00001999"/>
    <w:rsid w:val="00015918"/>
    <w:rsid w:val="00015986"/>
    <w:rsid w:val="000160E6"/>
    <w:rsid w:val="00024526"/>
    <w:rsid w:val="00027899"/>
    <w:rsid w:val="00030F43"/>
    <w:rsid w:val="000310ED"/>
    <w:rsid w:val="000328FD"/>
    <w:rsid w:val="00032A8D"/>
    <w:rsid w:val="00040DCF"/>
    <w:rsid w:val="00052C0B"/>
    <w:rsid w:val="00061CF3"/>
    <w:rsid w:val="00063601"/>
    <w:rsid w:val="00064748"/>
    <w:rsid w:val="000706A8"/>
    <w:rsid w:val="00073079"/>
    <w:rsid w:val="0007593F"/>
    <w:rsid w:val="000932E6"/>
    <w:rsid w:val="00095EC9"/>
    <w:rsid w:val="00096A37"/>
    <w:rsid w:val="000A0810"/>
    <w:rsid w:val="000B627F"/>
    <w:rsid w:val="000B6B38"/>
    <w:rsid w:val="000B6E2B"/>
    <w:rsid w:val="000D649E"/>
    <w:rsid w:val="000D6D06"/>
    <w:rsid w:val="000E42CD"/>
    <w:rsid w:val="00102D20"/>
    <w:rsid w:val="00114848"/>
    <w:rsid w:val="00117778"/>
    <w:rsid w:val="00120934"/>
    <w:rsid w:val="00132070"/>
    <w:rsid w:val="00135474"/>
    <w:rsid w:val="00141875"/>
    <w:rsid w:val="0014347E"/>
    <w:rsid w:val="00151BA5"/>
    <w:rsid w:val="00154438"/>
    <w:rsid w:val="001551F6"/>
    <w:rsid w:val="0015535B"/>
    <w:rsid w:val="00162036"/>
    <w:rsid w:val="001632DD"/>
    <w:rsid w:val="00176E60"/>
    <w:rsid w:val="00190E61"/>
    <w:rsid w:val="00194D9A"/>
    <w:rsid w:val="00197011"/>
    <w:rsid w:val="001A196B"/>
    <w:rsid w:val="001A69AF"/>
    <w:rsid w:val="001A6D05"/>
    <w:rsid w:val="001B3744"/>
    <w:rsid w:val="001B38BF"/>
    <w:rsid w:val="001B772D"/>
    <w:rsid w:val="001C4FB9"/>
    <w:rsid w:val="001D3DBF"/>
    <w:rsid w:val="001D5B5D"/>
    <w:rsid w:val="001E3F6D"/>
    <w:rsid w:val="001E6153"/>
    <w:rsid w:val="00201FF9"/>
    <w:rsid w:val="00205857"/>
    <w:rsid w:val="002174F7"/>
    <w:rsid w:val="00222DDE"/>
    <w:rsid w:val="002250F5"/>
    <w:rsid w:val="002266A7"/>
    <w:rsid w:val="002348A6"/>
    <w:rsid w:val="00235ADC"/>
    <w:rsid w:val="00235EC2"/>
    <w:rsid w:val="00236F87"/>
    <w:rsid w:val="00237600"/>
    <w:rsid w:val="002577F4"/>
    <w:rsid w:val="0026076F"/>
    <w:rsid w:val="00260FC3"/>
    <w:rsid w:val="00264358"/>
    <w:rsid w:val="00265702"/>
    <w:rsid w:val="002662B2"/>
    <w:rsid w:val="002717C7"/>
    <w:rsid w:val="00281366"/>
    <w:rsid w:val="002875E9"/>
    <w:rsid w:val="00287EB3"/>
    <w:rsid w:val="00297174"/>
    <w:rsid w:val="002A1881"/>
    <w:rsid w:val="002A47BA"/>
    <w:rsid w:val="002A6777"/>
    <w:rsid w:val="002B06BD"/>
    <w:rsid w:val="002C0B62"/>
    <w:rsid w:val="002C0E48"/>
    <w:rsid w:val="002C5C29"/>
    <w:rsid w:val="002C6F04"/>
    <w:rsid w:val="002D218F"/>
    <w:rsid w:val="002E2177"/>
    <w:rsid w:val="002E2E41"/>
    <w:rsid w:val="002E78CD"/>
    <w:rsid w:val="002E7B9F"/>
    <w:rsid w:val="002F20A7"/>
    <w:rsid w:val="002F27E7"/>
    <w:rsid w:val="003008F4"/>
    <w:rsid w:val="00302B1D"/>
    <w:rsid w:val="00307FA5"/>
    <w:rsid w:val="00324ABC"/>
    <w:rsid w:val="00324D64"/>
    <w:rsid w:val="00332953"/>
    <w:rsid w:val="00334FF2"/>
    <w:rsid w:val="00341E24"/>
    <w:rsid w:val="00343119"/>
    <w:rsid w:val="00345B49"/>
    <w:rsid w:val="003460D3"/>
    <w:rsid w:val="00352049"/>
    <w:rsid w:val="00352B52"/>
    <w:rsid w:val="0035317F"/>
    <w:rsid w:val="0035760D"/>
    <w:rsid w:val="00363ECC"/>
    <w:rsid w:val="003644F2"/>
    <w:rsid w:val="00366CCD"/>
    <w:rsid w:val="00371694"/>
    <w:rsid w:val="003721D4"/>
    <w:rsid w:val="00376020"/>
    <w:rsid w:val="00377B26"/>
    <w:rsid w:val="003807D4"/>
    <w:rsid w:val="00387036"/>
    <w:rsid w:val="0039020B"/>
    <w:rsid w:val="00395263"/>
    <w:rsid w:val="003956E0"/>
    <w:rsid w:val="0039609A"/>
    <w:rsid w:val="00397500"/>
    <w:rsid w:val="00397D88"/>
    <w:rsid w:val="003A5118"/>
    <w:rsid w:val="003B1CC5"/>
    <w:rsid w:val="003B65CE"/>
    <w:rsid w:val="003D3E2F"/>
    <w:rsid w:val="003E039E"/>
    <w:rsid w:val="004128A5"/>
    <w:rsid w:val="004171F6"/>
    <w:rsid w:val="004209A4"/>
    <w:rsid w:val="004217E4"/>
    <w:rsid w:val="00422917"/>
    <w:rsid w:val="004351B7"/>
    <w:rsid w:val="00440687"/>
    <w:rsid w:val="0044131D"/>
    <w:rsid w:val="00441ADA"/>
    <w:rsid w:val="0044649A"/>
    <w:rsid w:val="004556B5"/>
    <w:rsid w:val="00457E46"/>
    <w:rsid w:val="004669CA"/>
    <w:rsid w:val="00471633"/>
    <w:rsid w:val="00481619"/>
    <w:rsid w:val="00484896"/>
    <w:rsid w:val="0049022E"/>
    <w:rsid w:val="00491663"/>
    <w:rsid w:val="00496AF8"/>
    <w:rsid w:val="004A0DBD"/>
    <w:rsid w:val="004A575D"/>
    <w:rsid w:val="004A5E2B"/>
    <w:rsid w:val="004B343A"/>
    <w:rsid w:val="004B65C6"/>
    <w:rsid w:val="004C7B7B"/>
    <w:rsid w:val="004D1DC7"/>
    <w:rsid w:val="004D7EEE"/>
    <w:rsid w:val="004E167E"/>
    <w:rsid w:val="004E185E"/>
    <w:rsid w:val="004E5E74"/>
    <w:rsid w:val="004E70CA"/>
    <w:rsid w:val="004F7D7E"/>
    <w:rsid w:val="00500B0C"/>
    <w:rsid w:val="005106C5"/>
    <w:rsid w:val="0051460F"/>
    <w:rsid w:val="00524DE3"/>
    <w:rsid w:val="00537150"/>
    <w:rsid w:val="00540984"/>
    <w:rsid w:val="00543851"/>
    <w:rsid w:val="0055559D"/>
    <w:rsid w:val="005569AE"/>
    <w:rsid w:val="00576A62"/>
    <w:rsid w:val="00584A94"/>
    <w:rsid w:val="005857F8"/>
    <w:rsid w:val="0059137E"/>
    <w:rsid w:val="005A2920"/>
    <w:rsid w:val="005B0D18"/>
    <w:rsid w:val="005B12C3"/>
    <w:rsid w:val="005B3BC3"/>
    <w:rsid w:val="005B409D"/>
    <w:rsid w:val="005C0DEB"/>
    <w:rsid w:val="005C7DDF"/>
    <w:rsid w:val="005D0FDB"/>
    <w:rsid w:val="005D25E9"/>
    <w:rsid w:val="005D6D59"/>
    <w:rsid w:val="00617390"/>
    <w:rsid w:val="00623420"/>
    <w:rsid w:val="006328B3"/>
    <w:rsid w:val="00634768"/>
    <w:rsid w:val="0063596F"/>
    <w:rsid w:val="006368BF"/>
    <w:rsid w:val="00640BDA"/>
    <w:rsid w:val="006709EB"/>
    <w:rsid w:val="00672824"/>
    <w:rsid w:val="006733F2"/>
    <w:rsid w:val="0068184A"/>
    <w:rsid w:val="0068514E"/>
    <w:rsid w:val="006A5B74"/>
    <w:rsid w:val="006B5A90"/>
    <w:rsid w:val="006B5C51"/>
    <w:rsid w:val="006B6492"/>
    <w:rsid w:val="006C6BA3"/>
    <w:rsid w:val="006C7F30"/>
    <w:rsid w:val="006D1A0F"/>
    <w:rsid w:val="006D4290"/>
    <w:rsid w:val="006D5D5F"/>
    <w:rsid w:val="006E6FDD"/>
    <w:rsid w:val="006F4B7F"/>
    <w:rsid w:val="006F760B"/>
    <w:rsid w:val="00701CC3"/>
    <w:rsid w:val="00724801"/>
    <w:rsid w:val="00734949"/>
    <w:rsid w:val="00736AEC"/>
    <w:rsid w:val="00736E0F"/>
    <w:rsid w:val="0074117E"/>
    <w:rsid w:val="007434FA"/>
    <w:rsid w:val="007462DC"/>
    <w:rsid w:val="007573F0"/>
    <w:rsid w:val="00765156"/>
    <w:rsid w:val="00767669"/>
    <w:rsid w:val="007728BF"/>
    <w:rsid w:val="00773485"/>
    <w:rsid w:val="00776E8F"/>
    <w:rsid w:val="00776F6D"/>
    <w:rsid w:val="00777761"/>
    <w:rsid w:val="007810EE"/>
    <w:rsid w:val="0078272B"/>
    <w:rsid w:val="007903B5"/>
    <w:rsid w:val="00795CBC"/>
    <w:rsid w:val="00795D05"/>
    <w:rsid w:val="007C0297"/>
    <w:rsid w:val="007C1887"/>
    <w:rsid w:val="007C22E0"/>
    <w:rsid w:val="007D4775"/>
    <w:rsid w:val="007D5DC6"/>
    <w:rsid w:val="007E37A5"/>
    <w:rsid w:val="007F031D"/>
    <w:rsid w:val="007F49D8"/>
    <w:rsid w:val="00800426"/>
    <w:rsid w:val="00804ABA"/>
    <w:rsid w:val="00805940"/>
    <w:rsid w:val="008100B6"/>
    <w:rsid w:val="00821BDC"/>
    <w:rsid w:val="00825E43"/>
    <w:rsid w:val="00830E30"/>
    <w:rsid w:val="00837121"/>
    <w:rsid w:val="008471E5"/>
    <w:rsid w:val="00850C35"/>
    <w:rsid w:val="00851466"/>
    <w:rsid w:val="0085183B"/>
    <w:rsid w:val="00863E43"/>
    <w:rsid w:val="00863E47"/>
    <w:rsid w:val="008647C3"/>
    <w:rsid w:val="008659ED"/>
    <w:rsid w:val="00870987"/>
    <w:rsid w:val="00870A24"/>
    <w:rsid w:val="0087564A"/>
    <w:rsid w:val="00877E5D"/>
    <w:rsid w:val="00880117"/>
    <w:rsid w:val="00881160"/>
    <w:rsid w:val="008812E0"/>
    <w:rsid w:val="00881BB5"/>
    <w:rsid w:val="00882215"/>
    <w:rsid w:val="0088371C"/>
    <w:rsid w:val="008908C6"/>
    <w:rsid w:val="0089734F"/>
    <w:rsid w:val="008A00D2"/>
    <w:rsid w:val="008A45F3"/>
    <w:rsid w:val="008A5E78"/>
    <w:rsid w:val="008B51D9"/>
    <w:rsid w:val="008B652E"/>
    <w:rsid w:val="008D7E45"/>
    <w:rsid w:val="008E1399"/>
    <w:rsid w:val="008E338F"/>
    <w:rsid w:val="008F1DC6"/>
    <w:rsid w:val="00905C5B"/>
    <w:rsid w:val="00914F6A"/>
    <w:rsid w:val="0091590B"/>
    <w:rsid w:val="00923295"/>
    <w:rsid w:val="00925F11"/>
    <w:rsid w:val="00927959"/>
    <w:rsid w:val="00935265"/>
    <w:rsid w:val="00940A4E"/>
    <w:rsid w:val="009448A9"/>
    <w:rsid w:val="009463C0"/>
    <w:rsid w:val="0094689F"/>
    <w:rsid w:val="00946B8B"/>
    <w:rsid w:val="009477D6"/>
    <w:rsid w:val="00953ED3"/>
    <w:rsid w:val="00954F92"/>
    <w:rsid w:val="009621F8"/>
    <w:rsid w:val="00965FF6"/>
    <w:rsid w:val="009728C6"/>
    <w:rsid w:val="00973C44"/>
    <w:rsid w:val="009846D6"/>
    <w:rsid w:val="0098657F"/>
    <w:rsid w:val="00986F6C"/>
    <w:rsid w:val="009A0AE6"/>
    <w:rsid w:val="009A3236"/>
    <w:rsid w:val="009B36B6"/>
    <w:rsid w:val="009B5A93"/>
    <w:rsid w:val="009B5BEA"/>
    <w:rsid w:val="009C291F"/>
    <w:rsid w:val="009C663E"/>
    <w:rsid w:val="009C6833"/>
    <w:rsid w:val="009D0E22"/>
    <w:rsid w:val="009E12B1"/>
    <w:rsid w:val="009E37BD"/>
    <w:rsid w:val="009E6B86"/>
    <w:rsid w:val="009F0816"/>
    <w:rsid w:val="009F4257"/>
    <w:rsid w:val="00A03301"/>
    <w:rsid w:val="00A12762"/>
    <w:rsid w:val="00A13867"/>
    <w:rsid w:val="00A26FED"/>
    <w:rsid w:val="00A421D4"/>
    <w:rsid w:val="00A44FF0"/>
    <w:rsid w:val="00A50E55"/>
    <w:rsid w:val="00A54EF8"/>
    <w:rsid w:val="00A605DD"/>
    <w:rsid w:val="00A60BC9"/>
    <w:rsid w:val="00A61DE7"/>
    <w:rsid w:val="00A63A9D"/>
    <w:rsid w:val="00A679AF"/>
    <w:rsid w:val="00A67EB1"/>
    <w:rsid w:val="00A7735A"/>
    <w:rsid w:val="00A83529"/>
    <w:rsid w:val="00A91A47"/>
    <w:rsid w:val="00A93DB5"/>
    <w:rsid w:val="00A95D2B"/>
    <w:rsid w:val="00AA5587"/>
    <w:rsid w:val="00AA7208"/>
    <w:rsid w:val="00AB18FF"/>
    <w:rsid w:val="00AB1C26"/>
    <w:rsid w:val="00AC1E53"/>
    <w:rsid w:val="00AD342D"/>
    <w:rsid w:val="00AD79C8"/>
    <w:rsid w:val="00AE6CE0"/>
    <w:rsid w:val="00B058A6"/>
    <w:rsid w:val="00B117D0"/>
    <w:rsid w:val="00B13998"/>
    <w:rsid w:val="00B23D03"/>
    <w:rsid w:val="00B31AEE"/>
    <w:rsid w:val="00B335EE"/>
    <w:rsid w:val="00B439DD"/>
    <w:rsid w:val="00B4494C"/>
    <w:rsid w:val="00B52E0F"/>
    <w:rsid w:val="00B566CC"/>
    <w:rsid w:val="00B74629"/>
    <w:rsid w:val="00B8120E"/>
    <w:rsid w:val="00B83694"/>
    <w:rsid w:val="00B839BA"/>
    <w:rsid w:val="00B91F58"/>
    <w:rsid w:val="00B959CA"/>
    <w:rsid w:val="00BA579E"/>
    <w:rsid w:val="00BA6D81"/>
    <w:rsid w:val="00BB5F99"/>
    <w:rsid w:val="00BC6D5F"/>
    <w:rsid w:val="00BD0AF9"/>
    <w:rsid w:val="00BD3177"/>
    <w:rsid w:val="00BE10D2"/>
    <w:rsid w:val="00BE2295"/>
    <w:rsid w:val="00BE6373"/>
    <w:rsid w:val="00BE79B0"/>
    <w:rsid w:val="00BE7C3A"/>
    <w:rsid w:val="00BF1A0C"/>
    <w:rsid w:val="00BF4135"/>
    <w:rsid w:val="00BF4ECF"/>
    <w:rsid w:val="00BF533A"/>
    <w:rsid w:val="00C04406"/>
    <w:rsid w:val="00C063D4"/>
    <w:rsid w:val="00C071A3"/>
    <w:rsid w:val="00C07501"/>
    <w:rsid w:val="00C10443"/>
    <w:rsid w:val="00C158D0"/>
    <w:rsid w:val="00C165D8"/>
    <w:rsid w:val="00C17CAC"/>
    <w:rsid w:val="00C21552"/>
    <w:rsid w:val="00C21EF4"/>
    <w:rsid w:val="00C25B73"/>
    <w:rsid w:val="00C27960"/>
    <w:rsid w:val="00C35D49"/>
    <w:rsid w:val="00C37E9A"/>
    <w:rsid w:val="00C46677"/>
    <w:rsid w:val="00C50C81"/>
    <w:rsid w:val="00C5180E"/>
    <w:rsid w:val="00C54E40"/>
    <w:rsid w:val="00C55F56"/>
    <w:rsid w:val="00C57BA4"/>
    <w:rsid w:val="00C613EB"/>
    <w:rsid w:val="00C65900"/>
    <w:rsid w:val="00C84623"/>
    <w:rsid w:val="00C912ED"/>
    <w:rsid w:val="00CA13CC"/>
    <w:rsid w:val="00CB06C9"/>
    <w:rsid w:val="00CB1E41"/>
    <w:rsid w:val="00CB271C"/>
    <w:rsid w:val="00CB591F"/>
    <w:rsid w:val="00CD0FB7"/>
    <w:rsid w:val="00CD2D38"/>
    <w:rsid w:val="00CD3161"/>
    <w:rsid w:val="00CE4F96"/>
    <w:rsid w:val="00CE5611"/>
    <w:rsid w:val="00CE60AF"/>
    <w:rsid w:val="00CE7857"/>
    <w:rsid w:val="00CF0AB1"/>
    <w:rsid w:val="00CF2646"/>
    <w:rsid w:val="00CF4B9B"/>
    <w:rsid w:val="00CF55E6"/>
    <w:rsid w:val="00CF772F"/>
    <w:rsid w:val="00D048DB"/>
    <w:rsid w:val="00D04CE5"/>
    <w:rsid w:val="00D14F0B"/>
    <w:rsid w:val="00D178CA"/>
    <w:rsid w:val="00D238BA"/>
    <w:rsid w:val="00D31673"/>
    <w:rsid w:val="00D3311C"/>
    <w:rsid w:val="00D36897"/>
    <w:rsid w:val="00D40453"/>
    <w:rsid w:val="00D477BA"/>
    <w:rsid w:val="00D506F2"/>
    <w:rsid w:val="00D53405"/>
    <w:rsid w:val="00D5457B"/>
    <w:rsid w:val="00D56E05"/>
    <w:rsid w:val="00D66E0F"/>
    <w:rsid w:val="00D72995"/>
    <w:rsid w:val="00D84A95"/>
    <w:rsid w:val="00D946A4"/>
    <w:rsid w:val="00D951DB"/>
    <w:rsid w:val="00DA2CA0"/>
    <w:rsid w:val="00DA7FA2"/>
    <w:rsid w:val="00DC2D41"/>
    <w:rsid w:val="00DC2D8D"/>
    <w:rsid w:val="00DD0FE2"/>
    <w:rsid w:val="00DD2E60"/>
    <w:rsid w:val="00DD56E4"/>
    <w:rsid w:val="00DE1F5D"/>
    <w:rsid w:val="00DE50D8"/>
    <w:rsid w:val="00DF084A"/>
    <w:rsid w:val="00DF278A"/>
    <w:rsid w:val="00DF67FD"/>
    <w:rsid w:val="00DF7D4C"/>
    <w:rsid w:val="00E165A4"/>
    <w:rsid w:val="00E1664B"/>
    <w:rsid w:val="00E219FB"/>
    <w:rsid w:val="00E30D12"/>
    <w:rsid w:val="00E31D96"/>
    <w:rsid w:val="00E33788"/>
    <w:rsid w:val="00E3394E"/>
    <w:rsid w:val="00E35241"/>
    <w:rsid w:val="00E3614F"/>
    <w:rsid w:val="00E41417"/>
    <w:rsid w:val="00E536D3"/>
    <w:rsid w:val="00E53801"/>
    <w:rsid w:val="00E57BE2"/>
    <w:rsid w:val="00E62A95"/>
    <w:rsid w:val="00E728FE"/>
    <w:rsid w:val="00E746A2"/>
    <w:rsid w:val="00E7717E"/>
    <w:rsid w:val="00E77AA2"/>
    <w:rsid w:val="00E81791"/>
    <w:rsid w:val="00E8204F"/>
    <w:rsid w:val="00E90D06"/>
    <w:rsid w:val="00E97E59"/>
    <w:rsid w:val="00EA06B6"/>
    <w:rsid w:val="00EA640F"/>
    <w:rsid w:val="00EA6657"/>
    <w:rsid w:val="00EA79C9"/>
    <w:rsid w:val="00EB66AC"/>
    <w:rsid w:val="00EC11E6"/>
    <w:rsid w:val="00EC2247"/>
    <w:rsid w:val="00ED5180"/>
    <w:rsid w:val="00ED629B"/>
    <w:rsid w:val="00EE020B"/>
    <w:rsid w:val="00EE1F87"/>
    <w:rsid w:val="00EE3931"/>
    <w:rsid w:val="00EE51AD"/>
    <w:rsid w:val="00EE5AF6"/>
    <w:rsid w:val="00EF2CEF"/>
    <w:rsid w:val="00EF63E5"/>
    <w:rsid w:val="00F1092D"/>
    <w:rsid w:val="00F127AA"/>
    <w:rsid w:val="00F152B1"/>
    <w:rsid w:val="00F15E01"/>
    <w:rsid w:val="00F4281A"/>
    <w:rsid w:val="00F42C20"/>
    <w:rsid w:val="00F431D8"/>
    <w:rsid w:val="00F6478C"/>
    <w:rsid w:val="00F67706"/>
    <w:rsid w:val="00F71613"/>
    <w:rsid w:val="00F72257"/>
    <w:rsid w:val="00F80525"/>
    <w:rsid w:val="00F84E74"/>
    <w:rsid w:val="00F92D75"/>
    <w:rsid w:val="00F93DAE"/>
    <w:rsid w:val="00F94A9C"/>
    <w:rsid w:val="00F96FDD"/>
    <w:rsid w:val="00F97327"/>
    <w:rsid w:val="00FA2820"/>
    <w:rsid w:val="00FA296F"/>
    <w:rsid w:val="00FA7323"/>
    <w:rsid w:val="00FB4248"/>
    <w:rsid w:val="00FB431B"/>
    <w:rsid w:val="00FC296B"/>
    <w:rsid w:val="00FC32D3"/>
    <w:rsid w:val="00FD4D82"/>
    <w:rsid w:val="00FD5996"/>
    <w:rsid w:val="00FE4257"/>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D581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Default">
    <w:name w:val="Default"/>
    <w:rsid w:val="00A61DE7"/>
    <w:pPr>
      <w:autoSpaceDE w:val="0"/>
      <w:autoSpaceDN w:val="0"/>
      <w:adjustRightInd w:val="0"/>
      <w:ind w:left="0" w:firstLine="0"/>
    </w:pPr>
    <w:rPr>
      <w:rFonts w:ascii="BentonGothicCond Regular" w:hAnsi="BentonGothicCond Regular" w:cs="BentonGothicCond Regular"/>
      <w:color w:val="000000"/>
      <w:sz w:val="24"/>
      <w:szCs w:val="24"/>
    </w:rPr>
  </w:style>
  <w:style w:type="paragraph" w:customStyle="1" w:styleId="Pa51">
    <w:name w:val="Pa5+1"/>
    <w:basedOn w:val="Default"/>
    <w:next w:val="Default"/>
    <w:uiPriority w:val="99"/>
    <w:rsid w:val="00A61DE7"/>
    <w:pPr>
      <w:spacing w:line="181" w:lineRule="atLeast"/>
    </w:pPr>
    <w:rPr>
      <w:rFonts w:cstheme="minorBidi"/>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Default">
    <w:name w:val="Default"/>
    <w:rsid w:val="00A61DE7"/>
    <w:pPr>
      <w:autoSpaceDE w:val="0"/>
      <w:autoSpaceDN w:val="0"/>
      <w:adjustRightInd w:val="0"/>
      <w:ind w:left="0" w:firstLine="0"/>
    </w:pPr>
    <w:rPr>
      <w:rFonts w:ascii="BentonGothicCond Regular" w:hAnsi="BentonGothicCond Regular" w:cs="BentonGothicCond Regular"/>
      <w:color w:val="000000"/>
      <w:sz w:val="24"/>
      <w:szCs w:val="24"/>
    </w:rPr>
  </w:style>
  <w:style w:type="paragraph" w:customStyle="1" w:styleId="Pa51">
    <w:name w:val="Pa5+1"/>
    <w:basedOn w:val="Default"/>
    <w:next w:val="Default"/>
    <w:uiPriority w:val="99"/>
    <w:rsid w:val="00A61DE7"/>
    <w:pPr>
      <w:spacing w:line="18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648">
      <w:bodyDiv w:val="1"/>
      <w:marLeft w:val="0"/>
      <w:marRight w:val="0"/>
      <w:marTop w:val="0"/>
      <w:marBottom w:val="0"/>
      <w:divBdr>
        <w:top w:val="none" w:sz="0" w:space="0" w:color="auto"/>
        <w:left w:val="none" w:sz="0" w:space="0" w:color="auto"/>
        <w:bottom w:val="none" w:sz="0" w:space="0" w:color="auto"/>
        <w:right w:val="none" w:sz="0" w:space="0" w:color="auto"/>
      </w:divBdr>
    </w:div>
    <w:div w:id="116338927">
      <w:bodyDiv w:val="1"/>
      <w:marLeft w:val="0"/>
      <w:marRight w:val="0"/>
      <w:marTop w:val="0"/>
      <w:marBottom w:val="0"/>
      <w:divBdr>
        <w:top w:val="none" w:sz="0" w:space="0" w:color="auto"/>
        <w:left w:val="none" w:sz="0" w:space="0" w:color="auto"/>
        <w:bottom w:val="none" w:sz="0" w:space="0" w:color="auto"/>
        <w:right w:val="none" w:sz="0" w:space="0" w:color="auto"/>
      </w:divBdr>
    </w:div>
    <w:div w:id="145975543">
      <w:bodyDiv w:val="1"/>
      <w:marLeft w:val="0"/>
      <w:marRight w:val="0"/>
      <w:marTop w:val="0"/>
      <w:marBottom w:val="0"/>
      <w:divBdr>
        <w:top w:val="none" w:sz="0" w:space="0" w:color="auto"/>
        <w:left w:val="none" w:sz="0" w:space="0" w:color="auto"/>
        <w:bottom w:val="none" w:sz="0" w:space="0" w:color="auto"/>
        <w:right w:val="none" w:sz="0" w:space="0" w:color="auto"/>
      </w:divBdr>
    </w:div>
    <w:div w:id="168373710">
      <w:bodyDiv w:val="1"/>
      <w:marLeft w:val="0"/>
      <w:marRight w:val="0"/>
      <w:marTop w:val="0"/>
      <w:marBottom w:val="0"/>
      <w:divBdr>
        <w:top w:val="none" w:sz="0" w:space="0" w:color="auto"/>
        <w:left w:val="none" w:sz="0" w:space="0" w:color="auto"/>
        <w:bottom w:val="none" w:sz="0" w:space="0" w:color="auto"/>
        <w:right w:val="none" w:sz="0" w:space="0" w:color="auto"/>
      </w:divBdr>
    </w:div>
    <w:div w:id="187909538">
      <w:bodyDiv w:val="1"/>
      <w:marLeft w:val="0"/>
      <w:marRight w:val="0"/>
      <w:marTop w:val="0"/>
      <w:marBottom w:val="0"/>
      <w:divBdr>
        <w:top w:val="none" w:sz="0" w:space="0" w:color="auto"/>
        <w:left w:val="none" w:sz="0" w:space="0" w:color="auto"/>
        <w:bottom w:val="none" w:sz="0" w:space="0" w:color="auto"/>
        <w:right w:val="none" w:sz="0" w:space="0" w:color="auto"/>
      </w:divBdr>
    </w:div>
    <w:div w:id="213271122">
      <w:bodyDiv w:val="1"/>
      <w:marLeft w:val="0"/>
      <w:marRight w:val="0"/>
      <w:marTop w:val="0"/>
      <w:marBottom w:val="0"/>
      <w:divBdr>
        <w:top w:val="none" w:sz="0" w:space="0" w:color="auto"/>
        <w:left w:val="none" w:sz="0" w:space="0" w:color="auto"/>
        <w:bottom w:val="none" w:sz="0" w:space="0" w:color="auto"/>
        <w:right w:val="none" w:sz="0" w:space="0" w:color="auto"/>
      </w:divBdr>
    </w:div>
    <w:div w:id="271979841">
      <w:bodyDiv w:val="1"/>
      <w:marLeft w:val="0"/>
      <w:marRight w:val="0"/>
      <w:marTop w:val="0"/>
      <w:marBottom w:val="0"/>
      <w:divBdr>
        <w:top w:val="none" w:sz="0" w:space="0" w:color="auto"/>
        <w:left w:val="none" w:sz="0" w:space="0" w:color="auto"/>
        <w:bottom w:val="none" w:sz="0" w:space="0" w:color="auto"/>
        <w:right w:val="none" w:sz="0" w:space="0" w:color="auto"/>
      </w:divBdr>
    </w:div>
    <w:div w:id="375348399">
      <w:bodyDiv w:val="1"/>
      <w:marLeft w:val="0"/>
      <w:marRight w:val="0"/>
      <w:marTop w:val="0"/>
      <w:marBottom w:val="0"/>
      <w:divBdr>
        <w:top w:val="none" w:sz="0" w:space="0" w:color="auto"/>
        <w:left w:val="none" w:sz="0" w:space="0" w:color="auto"/>
        <w:bottom w:val="none" w:sz="0" w:space="0" w:color="auto"/>
        <w:right w:val="none" w:sz="0" w:space="0" w:color="auto"/>
      </w:divBdr>
    </w:div>
    <w:div w:id="390546849">
      <w:bodyDiv w:val="1"/>
      <w:marLeft w:val="0"/>
      <w:marRight w:val="0"/>
      <w:marTop w:val="0"/>
      <w:marBottom w:val="0"/>
      <w:divBdr>
        <w:top w:val="none" w:sz="0" w:space="0" w:color="auto"/>
        <w:left w:val="none" w:sz="0" w:space="0" w:color="auto"/>
        <w:bottom w:val="none" w:sz="0" w:space="0" w:color="auto"/>
        <w:right w:val="none" w:sz="0" w:space="0" w:color="auto"/>
      </w:divBdr>
    </w:div>
    <w:div w:id="434254027">
      <w:bodyDiv w:val="1"/>
      <w:marLeft w:val="0"/>
      <w:marRight w:val="0"/>
      <w:marTop w:val="0"/>
      <w:marBottom w:val="0"/>
      <w:divBdr>
        <w:top w:val="none" w:sz="0" w:space="0" w:color="auto"/>
        <w:left w:val="none" w:sz="0" w:space="0" w:color="auto"/>
        <w:bottom w:val="none" w:sz="0" w:space="0" w:color="auto"/>
        <w:right w:val="none" w:sz="0" w:space="0" w:color="auto"/>
      </w:divBdr>
    </w:div>
    <w:div w:id="496697746">
      <w:bodyDiv w:val="1"/>
      <w:marLeft w:val="0"/>
      <w:marRight w:val="0"/>
      <w:marTop w:val="0"/>
      <w:marBottom w:val="0"/>
      <w:divBdr>
        <w:top w:val="none" w:sz="0" w:space="0" w:color="auto"/>
        <w:left w:val="none" w:sz="0" w:space="0" w:color="auto"/>
        <w:bottom w:val="none" w:sz="0" w:space="0" w:color="auto"/>
        <w:right w:val="none" w:sz="0" w:space="0" w:color="auto"/>
      </w:divBdr>
    </w:div>
    <w:div w:id="557058491">
      <w:bodyDiv w:val="1"/>
      <w:marLeft w:val="0"/>
      <w:marRight w:val="0"/>
      <w:marTop w:val="0"/>
      <w:marBottom w:val="0"/>
      <w:divBdr>
        <w:top w:val="none" w:sz="0" w:space="0" w:color="auto"/>
        <w:left w:val="none" w:sz="0" w:space="0" w:color="auto"/>
        <w:bottom w:val="none" w:sz="0" w:space="0" w:color="auto"/>
        <w:right w:val="none" w:sz="0" w:space="0" w:color="auto"/>
      </w:divBdr>
    </w:div>
    <w:div w:id="598561183">
      <w:bodyDiv w:val="1"/>
      <w:marLeft w:val="0"/>
      <w:marRight w:val="0"/>
      <w:marTop w:val="0"/>
      <w:marBottom w:val="0"/>
      <w:divBdr>
        <w:top w:val="none" w:sz="0" w:space="0" w:color="auto"/>
        <w:left w:val="none" w:sz="0" w:space="0" w:color="auto"/>
        <w:bottom w:val="none" w:sz="0" w:space="0" w:color="auto"/>
        <w:right w:val="none" w:sz="0" w:space="0" w:color="auto"/>
      </w:divBdr>
    </w:div>
    <w:div w:id="667951741">
      <w:bodyDiv w:val="1"/>
      <w:marLeft w:val="0"/>
      <w:marRight w:val="0"/>
      <w:marTop w:val="0"/>
      <w:marBottom w:val="0"/>
      <w:divBdr>
        <w:top w:val="none" w:sz="0" w:space="0" w:color="auto"/>
        <w:left w:val="none" w:sz="0" w:space="0" w:color="auto"/>
        <w:bottom w:val="none" w:sz="0" w:space="0" w:color="auto"/>
        <w:right w:val="none" w:sz="0" w:space="0" w:color="auto"/>
      </w:divBdr>
    </w:div>
    <w:div w:id="676736757">
      <w:bodyDiv w:val="1"/>
      <w:marLeft w:val="0"/>
      <w:marRight w:val="0"/>
      <w:marTop w:val="0"/>
      <w:marBottom w:val="0"/>
      <w:divBdr>
        <w:top w:val="none" w:sz="0" w:space="0" w:color="auto"/>
        <w:left w:val="none" w:sz="0" w:space="0" w:color="auto"/>
        <w:bottom w:val="none" w:sz="0" w:space="0" w:color="auto"/>
        <w:right w:val="none" w:sz="0" w:space="0" w:color="auto"/>
      </w:divBdr>
    </w:div>
    <w:div w:id="698553391">
      <w:bodyDiv w:val="1"/>
      <w:marLeft w:val="0"/>
      <w:marRight w:val="0"/>
      <w:marTop w:val="0"/>
      <w:marBottom w:val="0"/>
      <w:divBdr>
        <w:top w:val="none" w:sz="0" w:space="0" w:color="auto"/>
        <w:left w:val="none" w:sz="0" w:space="0" w:color="auto"/>
        <w:bottom w:val="none" w:sz="0" w:space="0" w:color="auto"/>
        <w:right w:val="none" w:sz="0" w:space="0" w:color="auto"/>
      </w:divBdr>
    </w:div>
    <w:div w:id="738678276">
      <w:bodyDiv w:val="1"/>
      <w:marLeft w:val="0"/>
      <w:marRight w:val="0"/>
      <w:marTop w:val="0"/>
      <w:marBottom w:val="0"/>
      <w:divBdr>
        <w:top w:val="none" w:sz="0" w:space="0" w:color="auto"/>
        <w:left w:val="none" w:sz="0" w:space="0" w:color="auto"/>
        <w:bottom w:val="none" w:sz="0" w:space="0" w:color="auto"/>
        <w:right w:val="none" w:sz="0" w:space="0" w:color="auto"/>
      </w:divBdr>
    </w:div>
    <w:div w:id="1040865235">
      <w:bodyDiv w:val="1"/>
      <w:marLeft w:val="0"/>
      <w:marRight w:val="0"/>
      <w:marTop w:val="0"/>
      <w:marBottom w:val="0"/>
      <w:divBdr>
        <w:top w:val="none" w:sz="0" w:space="0" w:color="auto"/>
        <w:left w:val="none" w:sz="0" w:space="0" w:color="auto"/>
        <w:bottom w:val="none" w:sz="0" w:space="0" w:color="auto"/>
        <w:right w:val="none" w:sz="0" w:space="0" w:color="auto"/>
      </w:divBdr>
    </w:div>
    <w:div w:id="1113011045">
      <w:bodyDiv w:val="1"/>
      <w:marLeft w:val="0"/>
      <w:marRight w:val="0"/>
      <w:marTop w:val="0"/>
      <w:marBottom w:val="0"/>
      <w:divBdr>
        <w:top w:val="none" w:sz="0" w:space="0" w:color="auto"/>
        <w:left w:val="none" w:sz="0" w:space="0" w:color="auto"/>
        <w:bottom w:val="none" w:sz="0" w:space="0" w:color="auto"/>
        <w:right w:val="none" w:sz="0" w:space="0" w:color="auto"/>
      </w:divBdr>
    </w:div>
    <w:div w:id="1119447350">
      <w:bodyDiv w:val="1"/>
      <w:marLeft w:val="0"/>
      <w:marRight w:val="0"/>
      <w:marTop w:val="0"/>
      <w:marBottom w:val="0"/>
      <w:divBdr>
        <w:top w:val="none" w:sz="0" w:space="0" w:color="auto"/>
        <w:left w:val="none" w:sz="0" w:space="0" w:color="auto"/>
        <w:bottom w:val="none" w:sz="0" w:space="0" w:color="auto"/>
        <w:right w:val="none" w:sz="0" w:space="0" w:color="auto"/>
      </w:divBdr>
    </w:div>
    <w:div w:id="1154561661">
      <w:bodyDiv w:val="1"/>
      <w:marLeft w:val="0"/>
      <w:marRight w:val="0"/>
      <w:marTop w:val="0"/>
      <w:marBottom w:val="0"/>
      <w:divBdr>
        <w:top w:val="none" w:sz="0" w:space="0" w:color="auto"/>
        <w:left w:val="none" w:sz="0" w:space="0" w:color="auto"/>
        <w:bottom w:val="none" w:sz="0" w:space="0" w:color="auto"/>
        <w:right w:val="none" w:sz="0" w:space="0" w:color="auto"/>
      </w:divBdr>
    </w:div>
    <w:div w:id="1161391998">
      <w:bodyDiv w:val="1"/>
      <w:marLeft w:val="0"/>
      <w:marRight w:val="0"/>
      <w:marTop w:val="0"/>
      <w:marBottom w:val="0"/>
      <w:divBdr>
        <w:top w:val="none" w:sz="0" w:space="0" w:color="auto"/>
        <w:left w:val="none" w:sz="0" w:space="0" w:color="auto"/>
        <w:bottom w:val="none" w:sz="0" w:space="0" w:color="auto"/>
        <w:right w:val="none" w:sz="0" w:space="0" w:color="auto"/>
      </w:divBdr>
    </w:div>
    <w:div w:id="1227758756">
      <w:bodyDiv w:val="1"/>
      <w:marLeft w:val="0"/>
      <w:marRight w:val="0"/>
      <w:marTop w:val="0"/>
      <w:marBottom w:val="0"/>
      <w:divBdr>
        <w:top w:val="none" w:sz="0" w:space="0" w:color="auto"/>
        <w:left w:val="none" w:sz="0" w:space="0" w:color="auto"/>
        <w:bottom w:val="none" w:sz="0" w:space="0" w:color="auto"/>
        <w:right w:val="none" w:sz="0" w:space="0" w:color="auto"/>
      </w:divBdr>
    </w:div>
    <w:div w:id="1396932349">
      <w:bodyDiv w:val="1"/>
      <w:marLeft w:val="0"/>
      <w:marRight w:val="0"/>
      <w:marTop w:val="0"/>
      <w:marBottom w:val="0"/>
      <w:divBdr>
        <w:top w:val="none" w:sz="0" w:space="0" w:color="auto"/>
        <w:left w:val="none" w:sz="0" w:space="0" w:color="auto"/>
        <w:bottom w:val="none" w:sz="0" w:space="0" w:color="auto"/>
        <w:right w:val="none" w:sz="0" w:space="0" w:color="auto"/>
      </w:divBdr>
    </w:div>
    <w:div w:id="1467352234">
      <w:bodyDiv w:val="1"/>
      <w:marLeft w:val="0"/>
      <w:marRight w:val="0"/>
      <w:marTop w:val="0"/>
      <w:marBottom w:val="0"/>
      <w:divBdr>
        <w:top w:val="none" w:sz="0" w:space="0" w:color="auto"/>
        <w:left w:val="none" w:sz="0" w:space="0" w:color="auto"/>
        <w:bottom w:val="none" w:sz="0" w:space="0" w:color="auto"/>
        <w:right w:val="none" w:sz="0" w:space="0" w:color="auto"/>
      </w:divBdr>
    </w:div>
    <w:div w:id="1483158466">
      <w:bodyDiv w:val="1"/>
      <w:marLeft w:val="0"/>
      <w:marRight w:val="0"/>
      <w:marTop w:val="0"/>
      <w:marBottom w:val="0"/>
      <w:divBdr>
        <w:top w:val="none" w:sz="0" w:space="0" w:color="auto"/>
        <w:left w:val="none" w:sz="0" w:space="0" w:color="auto"/>
        <w:bottom w:val="none" w:sz="0" w:space="0" w:color="auto"/>
        <w:right w:val="none" w:sz="0" w:space="0" w:color="auto"/>
      </w:divBdr>
    </w:div>
    <w:div w:id="1617255589">
      <w:bodyDiv w:val="1"/>
      <w:marLeft w:val="0"/>
      <w:marRight w:val="0"/>
      <w:marTop w:val="0"/>
      <w:marBottom w:val="0"/>
      <w:divBdr>
        <w:top w:val="none" w:sz="0" w:space="0" w:color="auto"/>
        <w:left w:val="none" w:sz="0" w:space="0" w:color="auto"/>
        <w:bottom w:val="none" w:sz="0" w:space="0" w:color="auto"/>
        <w:right w:val="none" w:sz="0" w:space="0" w:color="auto"/>
      </w:divBdr>
    </w:div>
    <w:div w:id="1643583014">
      <w:bodyDiv w:val="1"/>
      <w:marLeft w:val="0"/>
      <w:marRight w:val="0"/>
      <w:marTop w:val="0"/>
      <w:marBottom w:val="0"/>
      <w:divBdr>
        <w:top w:val="none" w:sz="0" w:space="0" w:color="auto"/>
        <w:left w:val="none" w:sz="0" w:space="0" w:color="auto"/>
        <w:bottom w:val="none" w:sz="0" w:space="0" w:color="auto"/>
        <w:right w:val="none" w:sz="0" w:space="0" w:color="auto"/>
      </w:divBdr>
    </w:div>
    <w:div w:id="1649556596">
      <w:bodyDiv w:val="1"/>
      <w:marLeft w:val="0"/>
      <w:marRight w:val="0"/>
      <w:marTop w:val="0"/>
      <w:marBottom w:val="0"/>
      <w:divBdr>
        <w:top w:val="none" w:sz="0" w:space="0" w:color="auto"/>
        <w:left w:val="none" w:sz="0" w:space="0" w:color="auto"/>
        <w:bottom w:val="none" w:sz="0" w:space="0" w:color="auto"/>
        <w:right w:val="none" w:sz="0" w:space="0" w:color="auto"/>
      </w:divBdr>
    </w:div>
    <w:div w:id="1702784571">
      <w:bodyDiv w:val="1"/>
      <w:marLeft w:val="0"/>
      <w:marRight w:val="0"/>
      <w:marTop w:val="0"/>
      <w:marBottom w:val="0"/>
      <w:divBdr>
        <w:top w:val="none" w:sz="0" w:space="0" w:color="auto"/>
        <w:left w:val="none" w:sz="0" w:space="0" w:color="auto"/>
        <w:bottom w:val="none" w:sz="0" w:space="0" w:color="auto"/>
        <w:right w:val="none" w:sz="0" w:space="0" w:color="auto"/>
      </w:divBdr>
    </w:div>
    <w:div w:id="1706786778">
      <w:bodyDiv w:val="1"/>
      <w:marLeft w:val="0"/>
      <w:marRight w:val="0"/>
      <w:marTop w:val="0"/>
      <w:marBottom w:val="0"/>
      <w:divBdr>
        <w:top w:val="none" w:sz="0" w:space="0" w:color="auto"/>
        <w:left w:val="none" w:sz="0" w:space="0" w:color="auto"/>
        <w:bottom w:val="none" w:sz="0" w:space="0" w:color="auto"/>
        <w:right w:val="none" w:sz="0" w:space="0" w:color="auto"/>
      </w:divBdr>
    </w:div>
    <w:div w:id="1718040988">
      <w:bodyDiv w:val="1"/>
      <w:marLeft w:val="0"/>
      <w:marRight w:val="0"/>
      <w:marTop w:val="0"/>
      <w:marBottom w:val="0"/>
      <w:divBdr>
        <w:top w:val="none" w:sz="0" w:space="0" w:color="auto"/>
        <w:left w:val="none" w:sz="0" w:space="0" w:color="auto"/>
        <w:bottom w:val="none" w:sz="0" w:space="0" w:color="auto"/>
        <w:right w:val="none" w:sz="0" w:space="0" w:color="auto"/>
      </w:divBdr>
    </w:div>
    <w:div w:id="1766076291">
      <w:bodyDiv w:val="1"/>
      <w:marLeft w:val="0"/>
      <w:marRight w:val="0"/>
      <w:marTop w:val="0"/>
      <w:marBottom w:val="0"/>
      <w:divBdr>
        <w:top w:val="none" w:sz="0" w:space="0" w:color="auto"/>
        <w:left w:val="none" w:sz="0" w:space="0" w:color="auto"/>
        <w:bottom w:val="none" w:sz="0" w:space="0" w:color="auto"/>
        <w:right w:val="none" w:sz="0" w:space="0" w:color="auto"/>
      </w:divBdr>
    </w:div>
    <w:div w:id="1797720084">
      <w:bodyDiv w:val="1"/>
      <w:marLeft w:val="0"/>
      <w:marRight w:val="0"/>
      <w:marTop w:val="0"/>
      <w:marBottom w:val="0"/>
      <w:divBdr>
        <w:top w:val="none" w:sz="0" w:space="0" w:color="auto"/>
        <w:left w:val="none" w:sz="0" w:space="0" w:color="auto"/>
        <w:bottom w:val="none" w:sz="0" w:space="0" w:color="auto"/>
        <w:right w:val="none" w:sz="0" w:space="0" w:color="auto"/>
      </w:divBdr>
    </w:div>
    <w:div w:id="1839617555">
      <w:bodyDiv w:val="1"/>
      <w:marLeft w:val="0"/>
      <w:marRight w:val="0"/>
      <w:marTop w:val="0"/>
      <w:marBottom w:val="0"/>
      <w:divBdr>
        <w:top w:val="none" w:sz="0" w:space="0" w:color="auto"/>
        <w:left w:val="none" w:sz="0" w:space="0" w:color="auto"/>
        <w:bottom w:val="none" w:sz="0" w:space="0" w:color="auto"/>
        <w:right w:val="none" w:sz="0" w:space="0" w:color="auto"/>
      </w:divBdr>
    </w:div>
    <w:div w:id="1840804349">
      <w:bodyDiv w:val="1"/>
      <w:marLeft w:val="0"/>
      <w:marRight w:val="0"/>
      <w:marTop w:val="0"/>
      <w:marBottom w:val="0"/>
      <w:divBdr>
        <w:top w:val="none" w:sz="0" w:space="0" w:color="auto"/>
        <w:left w:val="none" w:sz="0" w:space="0" w:color="auto"/>
        <w:bottom w:val="none" w:sz="0" w:space="0" w:color="auto"/>
        <w:right w:val="none" w:sz="0" w:space="0" w:color="auto"/>
      </w:divBdr>
    </w:div>
    <w:div w:id="2063409274">
      <w:bodyDiv w:val="1"/>
      <w:marLeft w:val="0"/>
      <w:marRight w:val="0"/>
      <w:marTop w:val="0"/>
      <w:marBottom w:val="0"/>
      <w:divBdr>
        <w:top w:val="none" w:sz="0" w:space="0" w:color="auto"/>
        <w:left w:val="none" w:sz="0" w:space="0" w:color="auto"/>
        <w:bottom w:val="none" w:sz="0" w:space="0" w:color="auto"/>
        <w:right w:val="none" w:sz="0" w:space="0" w:color="auto"/>
      </w:divBdr>
    </w:div>
    <w:div w:id="212992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qualityforum.org/Measuring_Performance/Submitting_Standards.aspx" TargetMode="External"/><Relationship Id="rId18" Type="http://schemas.openxmlformats.org/officeDocument/2006/relationships/hyperlink" Target="http://www.aqaalliance.org/files/PrinciplesofEfficiencyMeasurementApril2006.doc"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icsi.org/_asset/bw798b/ChronicPain.pdf"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www.qualityforum.org/Publications/2010/01/Measurement_Framework__Evaluating_Efficiency_Across_Patient-Focused_Episodes_of_Care.aspx"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gradeworkinggroup.org/publications/index.htm" TargetMode="Externa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uspreventiveservicestaskforce.org/methods.htm" TargetMode="External"/><Relationship Id="rId23" Type="http://schemas.openxmlformats.org/officeDocument/2006/relationships/hyperlink" Target="http://www.cebm.net/index.aspx?o=1025"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uspreventiveservicestaskforce.org/uspstf/grades.htm" TargetMode="External"/><Relationship Id="rId22" Type="http://schemas.openxmlformats.org/officeDocument/2006/relationships/hyperlink" Target="https://www.icsi.org/_asset/bjvqrj/LBP.pdf"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14:paraId="7E410884" w14:textId="77777777"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14:paraId="7E410885" w14:textId="77777777"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14:paraId="7E410886" w14:textId="77777777"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14:paraId="7E410887" w14:textId="77777777"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entonGothicCond Regular">
    <w:altName w:val="BentonGothicCond Regular"/>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imes">
    <w:altName w:val="Times"/>
    <w:panose1 w:val="02020603050405020304"/>
    <w:charset w:val="00"/>
    <w:family w:val="roman"/>
    <w:pitch w:val="variable"/>
    <w:sig w:usb0="E0002AFF" w:usb1="C0007841"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57E71"/>
    <w:rsid w:val="00160241"/>
    <w:rsid w:val="00161419"/>
    <w:rsid w:val="001D50CD"/>
    <w:rsid w:val="002710DD"/>
    <w:rsid w:val="00281A55"/>
    <w:rsid w:val="002B5F47"/>
    <w:rsid w:val="003A1E4B"/>
    <w:rsid w:val="00455EB5"/>
    <w:rsid w:val="00461C1C"/>
    <w:rsid w:val="004E2027"/>
    <w:rsid w:val="004F1A76"/>
    <w:rsid w:val="005720B3"/>
    <w:rsid w:val="005910C4"/>
    <w:rsid w:val="005B40C5"/>
    <w:rsid w:val="005F21F3"/>
    <w:rsid w:val="00695B69"/>
    <w:rsid w:val="008F6A9B"/>
    <w:rsid w:val="009B4A82"/>
    <w:rsid w:val="00A7156C"/>
    <w:rsid w:val="00A85AC0"/>
    <w:rsid w:val="00BE0F2D"/>
    <w:rsid w:val="00C03643"/>
    <w:rsid w:val="00C2797F"/>
    <w:rsid w:val="00C80225"/>
    <w:rsid w:val="00D228C9"/>
    <w:rsid w:val="00DB5324"/>
    <w:rsid w:val="00DE1AFC"/>
    <w:rsid w:val="00E13358"/>
    <w:rsid w:val="00E37B14"/>
    <w:rsid w:val="00E45557"/>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E4108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e971fbd-848f-43d6-ba46-e1dc74f1ee5d">YTHJMCQMW44X-365-3208</_dlc_DocId>
    <_dlc_DocIdUrl xmlns="7e971fbd-848f-43d6-ba46-e1dc74f1ee5d">
      <Url>http://wvminet/workspaces/MIDS-PQRS/_layouts/DocIdRedir.aspx?ID=YTHJMCQMW44X-365-3208</Url>
      <Description>YTHJMCQMW44X-365-3208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ADAB41EA34A5C45883EA2208BEAFF50" ma:contentTypeVersion="0" ma:contentTypeDescription="Create a new document." ma:contentTypeScope="" ma:versionID="d6af449f87e67e05fb000e44d8137541">
  <xsd:schema xmlns:xsd="http://www.w3.org/2001/XMLSchema" xmlns:xs="http://www.w3.org/2001/XMLSchema" xmlns:p="http://schemas.microsoft.com/office/2006/metadata/properties" xmlns:ns2="7e971fbd-848f-43d6-ba46-e1dc74f1ee5d" targetNamespace="http://schemas.microsoft.com/office/2006/metadata/properties" ma:root="true" ma:fieldsID="ba70b97bc93485380dca10b192c7671d" ns2:_="">
    <xsd:import namespace="7e971fbd-848f-43d6-ba46-e1dc74f1ee5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971fbd-848f-43d6-ba46-e1dc74f1ee5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68EBC-5D8C-4E1F-BAE8-3CC1A591DF65}"/>
</file>

<file path=customXml/itemProps2.xml><?xml version="1.0" encoding="utf-8"?>
<ds:datastoreItem xmlns:ds="http://schemas.openxmlformats.org/officeDocument/2006/customXml" ds:itemID="{C0ECA1FC-6386-497B-8CC9-56DE8DD96C65}"/>
</file>

<file path=customXml/itemProps3.xml><?xml version="1.0" encoding="utf-8"?>
<ds:datastoreItem xmlns:ds="http://schemas.openxmlformats.org/officeDocument/2006/customXml" ds:itemID="{FB8840D5-A673-4922-8A5A-FF5CD430E7FE}"/>
</file>

<file path=customXml/itemProps4.xml><?xml version="1.0" encoding="utf-8"?>
<ds:datastoreItem xmlns:ds="http://schemas.openxmlformats.org/officeDocument/2006/customXml" ds:itemID="{3E9D57D9-EFD3-4F6F-8CC2-9AAE8FBFAAC5}"/>
</file>

<file path=customXml/itemProps5.xml><?xml version="1.0" encoding="utf-8"?>
<ds:datastoreItem xmlns:ds="http://schemas.openxmlformats.org/officeDocument/2006/customXml" ds:itemID="{92EEF53F-6DCE-486D-BA2B-C871CF1A7D88}"/>
</file>

<file path=docProps/app.xml><?xml version="1.0" encoding="utf-8"?>
<Properties xmlns="http://schemas.openxmlformats.org/officeDocument/2006/extended-properties" xmlns:vt="http://schemas.openxmlformats.org/officeDocument/2006/docPropsVTypes">
  <Template>Normal</Template>
  <TotalTime>20</TotalTime>
  <Pages>10</Pages>
  <Words>4301</Words>
  <Characters>24521</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28765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Dudhwala, Hiral</cp:lastModifiedBy>
  <cp:revision>6</cp:revision>
  <dcterms:created xsi:type="dcterms:W3CDTF">2016-03-07T17:09:00Z</dcterms:created>
  <dcterms:modified xsi:type="dcterms:W3CDTF">2016-03-30T14:14:00Z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d00ecb08-f634-4fb6-8b9a-3b6fcf02107d</vt:lpwstr>
  </property>
  <property fmtid="{D5CDD505-2E9C-101B-9397-08002B2CF9AE}" pid="3" name="ContentTypeId">
    <vt:lpwstr>0x0101004ADAB41EA34A5C45883EA2208BEAFF50</vt:lpwstr>
  </property>
</Properties>
</file>