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6F3C" w14:textId="77777777" w:rsidR="004E1EA7" w:rsidRDefault="004E1EA7" w:rsidP="004E1EA7">
      <w:pPr>
        <w:jc w:val="center"/>
        <w:rPr>
          <w:rFonts w:ascii="Arial" w:hAnsi="Arial" w:cs="Arial"/>
          <w:b/>
          <w:sz w:val="22"/>
          <w:szCs w:val="22"/>
        </w:rPr>
      </w:pPr>
      <w:r>
        <w:rPr>
          <w:rFonts w:ascii="Arial" w:hAnsi="Arial" w:cs="Arial"/>
          <w:b/>
          <w:sz w:val="22"/>
          <w:szCs w:val="22"/>
        </w:rPr>
        <w:t>NQF Measure Feasibility Assessment Report</w:t>
      </w:r>
    </w:p>
    <w:p w14:paraId="7CCE19EC" w14:textId="77777777" w:rsidR="004E1EA7" w:rsidRDefault="004E1EA7" w:rsidP="004E1EA7">
      <w:pPr>
        <w:rPr>
          <w:rFonts w:ascii="Arial" w:hAnsi="Arial" w:cs="Arial"/>
          <w:b/>
          <w:sz w:val="22"/>
          <w:szCs w:val="22"/>
        </w:rPr>
      </w:pPr>
    </w:p>
    <w:p w14:paraId="09C57DBB" w14:textId="53CAD5AB" w:rsidR="004E1EA7" w:rsidRDefault="004E1EA7" w:rsidP="004E1EA7">
      <w:pPr>
        <w:rPr>
          <w:rFonts w:ascii="Arial" w:hAnsi="Arial" w:cs="Arial"/>
          <w:sz w:val="22"/>
          <w:szCs w:val="22"/>
        </w:rPr>
      </w:pPr>
      <w:r>
        <w:rPr>
          <w:rFonts w:ascii="Arial" w:hAnsi="Arial" w:cs="Arial"/>
          <w:sz w:val="22"/>
          <w:szCs w:val="22"/>
        </w:rPr>
        <w:t xml:space="preserve">Measure Number: </w:t>
      </w:r>
      <w:r w:rsidR="00095197">
        <w:rPr>
          <w:rFonts w:ascii="Arial" w:hAnsi="Arial" w:cs="Arial"/>
          <w:sz w:val="22"/>
          <w:szCs w:val="22"/>
        </w:rPr>
        <w:t>2833</w:t>
      </w:r>
    </w:p>
    <w:p w14:paraId="7875204F" w14:textId="2607F9FC" w:rsidR="004E1EA7" w:rsidRDefault="004E1EA7" w:rsidP="004E1EA7">
      <w:pPr>
        <w:rPr>
          <w:rFonts w:ascii="Arial" w:hAnsi="Arial" w:cs="Arial"/>
          <w:sz w:val="22"/>
          <w:szCs w:val="22"/>
        </w:rPr>
      </w:pPr>
      <w:r>
        <w:rPr>
          <w:rFonts w:ascii="Arial" w:hAnsi="Arial" w:cs="Arial"/>
          <w:sz w:val="22"/>
          <w:szCs w:val="22"/>
        </w:rPr>
        <w:t xml:space="preserve">Measure Title: </w:t>
      </w:r>
      <w:r w:rsidR="00095197">
        <w:rPr>
          <w:rFonts w:ascii="Arial" w:hAnsi="Arial" w:cs="Arial"/>
          <w:sz w:val="22"/>
          <w:szCs w:val="22"/>
        </w:rPr>
        <w:t>STK</w:t>
      </w:r>
      <w:r w:rsidR="00CE1D88">
        <w:rPr>
          <w:rFonts w:ascii="Arial" w:hAnsi="Arial" w:cs="Arial"/>
          <w:sz w:val="22"/>
          <w:szCs w:val="22"/>
        </w:rPr>
        <w:t>0</w:t>
      </w:r>
      <w:r w:rsidR="00095197">
        <w:rPr>
          <w:rFonts w:ascii="Arial" w:hAnsi="Arial" w:cs="Arial"/>
          <w:sz w:val="22"/>
          <w:szCs w:val="22"/>
        </w:rPr>
        <w:t>3</w:t>
      </w:r>
      <w:r>
        <w:rPr>
          <w:rFonts w:ascii="Arial" w:hAnsi="Arial" w:cs="Arial"/>
          <w:sz w:val="22"/>
          <w:szCs w:val="22"/>
        </w:rPr>
        <w:t xml:space="preserve">: </w:t>
      </w:r>
      <w:r w:rsidR="00095197">
        <w:rPr>
          <w:rFonts w:ascii="Arial" w:hAnsi="Arial" w:cs="Arial"/>
          <w:sz w:val="22"/>
          <w:szCs w:val="22"/>
        </w:rPr>
        <w:t>Anticoagulation Therapy for Atrial Fibrillation/Flutter</w:t>
      </w:r>
    </w:p>
    <w:p w14:paraId="40656B70" w14:textId="77777777" w:rsidR="00F04641" w:rsidRDefault="00F04641" w:rsidP="00F04641">
      <w:pPr>
        <w:rPr>
          <w:rFonts w:ascii="Arial" w:hAnsi="Arial" w:cs="Arial"/>
          <w:sz w:val="22"/>
          <w:szCs w:val="22"/>
          <w:u w:val="single"/>
        </w:rPr>
      </w:pPr>
      <w:r>
        <w:rPr>
          <w:rFonts w:ascii="Arial" w:hAnsi="Arial" w:cs="Arial"/>
          <w:sz w:val="22"/>
          <w:szCs w:val="22"/>
          <w:u w:val="single"/>
        </w:rPr>
        <w:t xml:space="preserve">Measure Background and Overall Assessment of Measure Logic and Feasibility </w:t>
      </w:r>
    </w:p>
    <w:p w14:paraId="0DD78188" w14:textId="11CAE14D" w:rsidR="00722D76" w:rsidRDefault="00722D76" w:rsidP="00722D76">
      <w:pPr>
        <w:rPr>
          <w:rFonts w:ascii="Arial" w:hAnsi="Arial" w:cs="Arial"/>
          <w:sz w:val="22"/>
          <w:szCs w:val="22"/>
        </w:rPr>
      </w:pPr>
      <w:r>
        <w:rPr>
          <w:rFonts w:ascii="Arial" w:hAnsi="Arial" w:cs="Arial"/>
          <w:sz w:val="22"/>
          <w:szCs w:val="22"/>
        </w:rPr>
        <w:t>The following assessment is conducted solely by the measure developer, The Joint Commission, based on</w:t>
      </w:r>
      <w:r w:rsidR="00F4365F">
        <w:rPr>
          <w:rFonts w:ascii="Arial" w:hAnsi="Arial" w:cs="Arial"/>
          <w:sz w:val="22"/>
          <w:szCs w:val="22"/>
        </w:rPr>
        <w:t xml:space="preserve"> </w:t>
      </w:r>
      <w:r>
        <w:rPr>
          <w:rFonts w:ascii="Arial" w:hAnsi="Arial" w:cs="Arial"/>
          <w:sz w:val="22"/>
          <w:szCs w:val="22"/>
        </w:rPr>
        <w:t xml:space="preserve">our </w:t>
      </w:r>
      <w:r w:rsidR="00385B9C">
        <w:rPr>
          <w:rFonts w:ascii="Arial" w:hAnsi="Arial" w:cs="Arial"/>
          <w:sz w:val="22"/>
          <w:szCs w:val="22"/>
        </w:rPr>
        <w:t xml:space="preserve">extensive </w:t>
      </w:r>
      <w:r>
        <w:rPr>
          <w:rFonts w:ascii="Arial" w:hAnsi="Arial" w:cs="Arial"/>
          <w:sz w:val="22"/>
          <w:szCs w:val="22"/>
        </w:rPr>
        <w:t>experience working with hospitals, EHR systems, and eCQM submission vendors (ORYX vendors) on projects that involve the specification of eCQMs and receipt of the structured clinical data used in this measure.</w:t>
      </w:r>
      <w:r w:rsidR="00B66013" w:rsidDel="00B66013">
        <w:rPr>
          <w:rFonts w:ascii="Arial" w:hAnsi="Arial" w:cs="Arial"/>
          <w:sz w:val="22"/>
          <w:szCs w:val="22"/>
        </w:rPr>
        <w:t xml:space="preserve"> </w:t>
      </w:r>
      <w:r>
        <w:rPr>
          <w:rFonts w:ascii="Arial" w:hAnsi="Arial" w:cs="Arial"/>
          <w:sz w:val="22"/>
          <w:szCs w:val="22"/>
        </w:rPr>
        <w:t xml:space="preserve"> </w:t>
      </w:r>
      <w:r w:rsidR="00385B9C">
        <w:rPr>
          <w:rFonts w:ascii="Arial" w:hAnsi="Arial" w:cs="Arial"/>
          <w:sz w:val="22"/>
          <w:szCs w:val="22"/>
        </w:rPr>
        <w:t>Meaningful use a</w:t>
      </w:r>
      <w:r w:rsidRPr="00D7448E">
        <w:rPr>
          <w:rFonts w:ascii="Arial" w:hAnsi="Arial" w:cs="Arial"/>
          <w:sz w:val="22"/>
          <w:szCs w:val="22"/>
        </w:rPr>
        <w:t>ttestation, eCQM reporting, and harmonization during development all support feasibility</w:t>
      </w:r>
      <w:r w:rsidR="00385B9C">
        <w:rPr>
          <w:rFonts w:ascii="Arial" w:hAnsi="Arial" w:cs="Arial"/>
          <w:sz w:val="22"/>
          <w:szCs w:val="22"/>
        </w:rPr>
        <w:t xml:space="preserve"> as noted below.</w:t>
      </w:r>
    </w:p>
    <w:p w14:paraId="1F90E9B8" w14:textId="2E811CF9" w:rsidR="005D2F31" w:rsidRPr="005D2F31" w:rsidRDefault="005D2F31" w:rsidP="005D2F31">
      <w:pPr>
        <w:rPr>
          <w:rFonts w:ascii="Arial" w:hAnsi="Arial" w:cs="Arial"/>
          <w:sz w:val="22"/>
          <w:szCs w:val="22"/>
        </w:rPr>
      </w:pPr>
      <w:r w:rsidRPr="005D2F31">
        <w:rPr>
          <w:rFonts w:ascii="Arial" w:hAnsi="Arial" w:cs="Arial"/>
          <w:sz w:val="22"/>
          <w:szCs w:val="22"/>
        </w:rPr>
        <w:t>This measure has been adopted by the EHR Incentive Program and the Hospital Inpatient Quality Reporting Program as an electronic clinical quality measure (</w:t>
      </w:r>
      <w:r w:rsidR="00095197" w:rsidRPr="005D2F31">
        <w:rPr>
          <w:rFonts w:ascii="Arial" w:hAnsi="Arial" w:cs="Arial"/>
          <w:sz w:val="22"/>
          <w:szCs w:val="22"/>
        </w:rPr>
        <w:t>CMS</w:t>
      </w:r>
      <w:r w:rsidR="00095197">
        <w:rPr>
          <w:rFonts w:ascii="Arial" w:hAnsi="Arial" w:cs="Arial"/>
          <w:sz w:val="22"/>
          <w:szCs w:val="22"/>
        </w:rPr>
        <w:t>71</w:t>
      </w:r>
      <w:r w:rsidRPr="005D2F31">
        <w:rPr>
          <w:rFonts w:ascii="Arial" w:hAnsi="Arial" w:cs="Arial"/>
          <w:sz w:val="22"/>
          <w:szCs w:val="22"/>
        </w:rPr>
        <w:t>). The current format of NQF</w:t>
      </w:r>
      <w:r w:rsidR="00385B9C">
        <w:rPr>
          <w:rFonts w:ascii="Arial" w:hAnsi="Arial" w:cs="Arial"/>
          <w:sz w:val="22"/>
          <w:szCs w:val="22"/>
        </w:rPr>
        <w:t xml:space="preserve"> </w:t>
      </w:r>
      <w:r w:rsidRPr="005D2F31">
        <w:rPr>
          <w:rFonts w:ascii="Arial" w:hAnsi="Arial" w:cs="Arial"/>
          <w:sz w:val="22"/>
          <w:szCs w:val="22"/>
        </w:rPr>
        <w:t>#</w:t>
      </w:r>
      <w:r w:rsidR="00095197">
        <w:rPr>
          <w:rFonts w:ascii="Arial" w:hAnsi="Arial" w:cs="Arial"/>
          <w:sz w:val="22"/>
          <w:szCs w:val="22"/>
        </w:rPr>
        <w:t>2833</w:t>
      </w:r>
      <w:r w:rsidRPr="005D2F31">
        <w:rPr>
          <w:rFonts w:ascii="Arial" w:hAnsi="Arial" w:cs="Arial"/>
          <w:sz w:val="22"/>
          <w:szCs w:val="22"/>
        </w:rPr>
        <w:t xml:space="preserve"> was first specified in December of 2012, and has been used by hospitals attesting to Meaningful Use</w:t>
      </w:r>
      <w:r w:rsidR="00B66013">
        <w:rPr>
          <w:rFonts w:ascii="Arial" w:hAnsi="Arial" w:cs="Arial"/>
          <w:sz w:val="22"/>
          <w:szCs w:val="22"/>
        </w:rPr>
        <w:t xml:space="preserve"> (MU)</w:t>
      </w:r>
      <w:r w:rsidRPr="005D2F31">
        <w:rPr>
          <w:rFonts w:ascii="Arial" w:hAnsi="Arial" w:cs="Arial"/>
          <w:sz w:val="22"/>
          <w:szCs w:val="22"/>
        </w:rPr>
        <w:t>.  When reporting NQF #</w:t>
      </w:r>
      <w:r w:rsidR="00095197">
        <w:rPr>
          <w:rFonts w:ascii="Arial" w:hAnsi="Arial" w:cs="Arial"/>
          <w:sz w:val="22"/>
          <w:szCs w:val="22"/>
        </w:rPr>
        <w:t>2833</w:t>
      </w:r>
      <w:r w:rsidRPr="005D2F31">
        <w:rPr>
          <w:rFonts w:ascii="Arial" w:hAnsi="Arial" w:cs="Arial"/>
          <w:sz w:val="22"/>
          <w:szCs w:val="22"/>
        </w:rPr>
        <w:t>, hospitals attested to the eCQM specifications approved by CMS for use at the time of the reporting period</w:t>
      </w:r>
      <w:r w:rsidR="00385B9C">
        <w:rPr>
          <w:rFonts w:ascii="Arial" w:hAnsi="Arial" w:cs="Arial"/>
          <w:sz w:val="22"/>
          <w:szCs w:val="22"/>
        </w:rPr>
        <w:t>, thus indicating feasibility of the measure</w:t>
      </w:r>
      <w:r w:rsidRPr="005D2F31">
        <w:rPr>
          <w:rFonts w:ascii="Arial" w:hAnsi="Arial" w:cs="Arial"/>
          <w:sz w:val="22"/>
          <w:szCs w:val="22"/>
        </w:rPr>
        <w:t>.</w:t>
      </w:r>
    </w:p>
    <w:p w14:paraId="1562EADF" w14:textId="6EA5E3CE" w:rsidR="005D2F31" w:rsidRPr="005D2F31" w:rsidRDefault="00B66013" w:rsidP="005D2F31">
      <w:pPr>
        <w:rPr>
          <w:rFonts w:ascii="Arial" w:hAnsi="Arial" w:cs="Arial"/>
          <w:color w:val="1F497D"/>
          <w:sz w:val="22"/>
          <w:szCs w:val="22"/>
        </w:rPr>
      </w:pPr>
      <w:r>
        <w:rPr>
          <w:rFonts w:ascii="Arial" w:hAnsi="Arial" w:cs="Arial"/>
          <w:sz w:val="22"/>
          <w:szCs w:val="22"/>
        </w:rPr>
        <w:t xml:space="preserve">In addition to the MU program, </w:t>
      </w:r>
      <w:r w:rsidR="00385B9C">
        <w:rPr>
          <w:rFonts w:ascii="Arial" w:hAnsi="Arial" w:cs="Arial"/>
          <w:sz w:val="22"/>
          <w:szCs w:val="22"/>
        </w:rPr>
        <w:t xml:space="preserve">measure feasibility is supported by the fact that </w:t>
      </w:r>
      <w:r>
        <w:rPr>
          <w:rFonts w:ascii="Arial" w:hAnsi="Arial" w:cs="Arial"/>
          <w:sz w:val="22"/>
          <w:szCs w:val="22"/>
        </w:rPr>
        <w:t xml:space="preserve">this measure was used </w:t>
      </w:r>
      <w:r w:rsidR="005D2F31" w:rsidRPr="005D2F31">
        <w:rPr>
          <w:rFonts w:ascii="Arial" w:hAnsi="Arial" w:cs="Arial"/>
          <w:sz w:val="22"/>
          <w:szCs w:val="22"/>
        </w:rPr>
        <w:t>by hospitals voluntarily submitting eCQMs to the Hospital Inpatient Quality Reporting Program (HIQR)</w:t>
      </w:r>
      <w:r>
        <w:rPr>
          <w:rFonts w:ascii="Arial" w:hAnsi="Arial" w:cs="Arial"/>
          <w:sz w:val="22"/>
          <w:szCs w:val="22"/>
        </w:rPr>
        <w:t xml:space="preserve"> in 2015</w:t>
      </w:r>
      <w:r w:rsidR="005D2F31" w:rsidRPr="005D2F31">
        <w:rPr>
          <w:rFonts w:ascii="Arial" w:hAnsi="Arial" w:cs="Arial"/>
          <w:sz w:val="22"/>
          <w:szCs w:val="22"/>
        </w:rPr>
        <w:t>.  In CY2016, CMS is requiring organizations participating in HIQR to electronically submit 1 quarter of data on 4 of 28 available eCQMs, of which this measure is one.</w:t>
      </w:r>
    </w:p>
    <w:p w14:paraId="0ED93B3D" w14:textId="28915273" w:rsidR="00F04641" w:rsidRDefault="00385B9C" w:rsidP="00F04641">
      <w:pPr>
        <w:rPr>
          <w:rFonts w:ascii="Arial" w:hAnsi="Arial" w:cs="Arial"/>
          <w:sz w:val="22"/>
          <w:szCs w:val="22"/>
        </w:rPr>
      </w:pPr>
      <w:r>
        <w:rPr>
          <w:rFonts w:ascii="Arial" w:hAnsi="Arial" w:cs="Arial"/>
          <w:sz w:val="22"/>
          <w:szCs w:val="22"/>
        </w:rPr>
        <w:t xml:space="preserve">Feasibility is also supported by the fact that </w:t>
      </w:r>
      <w:r w:rsidR="00F04641">
        <w:rPr>
          <w:rFonts w:ascii="Arial" w:hAnsi="Arial" w:cs="Arial"/>
          <w:sz w:val="22"/>
          <w:szCs w:val="22"/>
        </w:rPr>
        <w:t xml:space="preserve">NQF </w:t>
      </w:r>
      <w:r w:rsidR="006B5D02">
        <w:rPr>
          <w:rFonts w:ascii="Arial" w:hAnsi="Arial" w:cs="Arial"/>
          <w:sz w:val="22"/>
          <w:szCs w:val="22"/>
        </w:rPr>
        <w:t>#</w:t>
      </w:r>
      <w:r w:rsidR="00095197">
        <w:rPr>
          <w:rFonts w:ascii="Arial" w:hAnsi="Arial" w:cs="Arial"/>
          <w:sz w:val="22"/>
          <w:szCs w:val="22"/>
        </w:rPr>
        <w:t>2833</w:t>
      </w:r>
      <w:r w:rsidR="00F04641">
        <w:rPr>
          <w:rFonts w:ascii="Arial" w:hAnsi="Arial" w:cs="Arial"/>
          <w:sz w:val="22"/>
          <w:szCs w:val="22"/>
        </w:rPr>
        <w:t xml:space="preserve"> is harmonized with chart-based measure NQF </w:t>
      </w:r>
      <w:r w:rsidR="006B5D02">
        <w:rPr>
          <w:rFonts w:ascii="Arial" w:hAnsi="Arial" w:cs="Arial"/>
          <w:sz w:val="22"/>
          <w:szCs w:val="22"/>
        </w:rPr>
        <w:t>#</w:t>
      </w:r>
      <w:r w:rsidR="00095197">
        <w:rPr>
          <w:rFonts w:ascii="Arial" w:hAnsi="Arial" w:cs="Arial"/>
          <w:sz w:val="22"/>
          <w:szCs w:val="22"/>
        </w:rPr>
        <w:t>0436</w:t>
      </w:r>
      <w:r w:rsidR="00F04641">
        <w:rPr>
          <w:rFonts w:ascii="Arial" w:hAnsi="Arial" w:cs="Arial"/>
          <w:sz w:val="22"/>
          <w:szCs w:val="22"/>
        </w:rPr>
        <w:t xml:space="preserve">, </w:t>
      </w:r>
      <w:r w:rsidR="00095197">
        <w:rPr>
          <w:rFonts w:ascii="Arial" w:hAnsi="Arial" w:cs="Arial"/>
          <w:sz w:val="22"/>
          <w:szCs w:val="22"/>
        </w:rPr>
        <w:t>STK3</w:t>
      </w:r>
      <w:r w:rsidR="00F04641">
        <w:rPr>
          <w:rFonts w:ascii="Arial" w:hAnsi="Arial" w:cs="Arial"/>
          <w:sz w:val="22"/>
          <w:szCs w:val="22"/>
        </w:rPr>
        <w:t xml:space="preserve">, </w:t>
      </w:r>
      <w:r w:rsidR="00095197">
        <w:rPr>
          <w:rFonts w:ascii="Arial" w:hAnsi="Arial" w:cs="Arial"/>
          <w:sz w:val="22"/>
          <w:szCs w:val="22"/>
        </w:rPr>
        <w:t>Anticoagulation Therapy for Atrial Fibrillation/Flutter</w:t>
      </w:r>
      <w:r w:rsidR="00F04641">
        <w:rPr>
          <w:rFonts w:ascii="Arial" w:hAnsi="Arial" w:cs="Arial"/>
          <w:sz w:val="22"/>
          <w:szCs w:val="22"/>
        </w:rPr>
        <w:t xml:space="preserve">. NQF </w:t>
      </w:r>
      <w:r w:rsidR="006B5D02">
        <w:rPr>
          <w:rFonts w:ascii="Arial" w:hAnsi="Arial" w:cs="Arial"/>
          <w:sz w:val="22"/>
          <w:szCs w:val="22"/>
        </w:rPr>
        <w:t>#</w:t>
      </w:r>
      <w:r w:rsidR="00095197">
        <w:rPr>
          <w:rFonts w:ascii="Arial" w:hAnsi="Arial" w:cs="Arial"/>
          <w:sz w:val="22"/>
          <w:szCs w:val="22"/>
        </w:rPr>
        <w:t>0436</w:t>
      </w:r>
      <w:r w:rsidR="00F04641">
        <w:rPr>
          <w:rFonts w:ascii="Arial" w:hAnsi="Arial" w:cs="Arial"/>
          <w:sz w:val="22"/>
          <w:szCs w:val="22"/>
        </w:rPr>
        <w:t xml:space="preserve"> was first approved as a core measure for use in the Joint Commission’s ORYX program in 2009.  Subsequently, both NQF </w:t>
      </w:r>
      <w:r w:rsidR="006B5D02">
        <w:rPr>
          <w:rFonts w:ascii="Arial" w:hAnsi="Arial" w:cs="Arial"/>
          <w:sz w:val="22"/>
          <w:szCs w:val="22"/>
        </w:rPr>
        <w:t>#</w:t>
      </w:r>
      <w:r w:rsidR="00095197">
        <w:rPr>
          <w:rFonts w:ascii="Arial" w:hAnsi="Arial" w:cs="Arial"/>
          <w:sz w:val="22"/>
          <w:szCs w:val="22"/>
        </w:rPr>
        <w:t>0436</w:t>
      </w:r>
      <w:r w:rsidR="00F04641">
        <w:rPr>
          <w:rFonts w:ascii="Arial" w:hAnsi="Arial" w:cs="Arial"/>
          <w:sz w:val="22"/>
          <w:szCs w:val="22"/>
        </w:rPr>
        <w:t xml:space="preserve"> and NQF </w:t>
      </w:r>
      <w:r w:rsidR="006B5D02">
        <w:rPr>
          <w:rFonts w:ascii="Arial" w:hAnsi="Arial" w:cs="Arial"/>
          <w:sz w:val="22"/>
          <w:szCs w:val="22"/>
        </w:rPr>
        <w:t>#</w:t>
      </w:r>
      <w:r w:rsidR="00095197">
        <w:rPr>
          <w:rFonts w:ascii="Arial" w:hAnsi="Arial" w:cs="Arial"/>
          <w:sz w:val="22"/>
          <w:szCs w:val="22"/>
        </w:rPr>
        <w:t>2833</w:t>
      </w:r>
      <w:r w:rsidR="00F04641">
        <w:rPr>
          <w:rFonts w:ascii="Arial" w:hAnsi="Arial" w:cs="Arial"/>
          <w:sz w:val="22"/>
          <w:szCs w:val="22"/>
        </w:rPr>
        <w:t xml:space="preserve"> have been adopted by CMS for use in HIQR.  </w:t>
      </w:r>
    </w:p>
    <w:p w14:paraId="3EC25EEA" w14:textId="684FED7F" w:rsidR="00F04641" w:rsidRPr="0084673A" w:rsidRDefault="00F04641" w:rsidP="00F04641">
      <w:pPr>
        <w:rPr>
          <w:rFonts w:ascii="Arial" w:hAnsi="Arial" w:cs="Arial"/>
          <w:sz w:val="22"/>
          <w:szCs w:val="22"/>
        </w:rPr>
      </w:pPr>
      <w:r>
        <w:rPr>
          <w:rFonts w:ascii="Arial" w:hAnsi="Arial" w:cs="Arial"/>
          <w:sz w:val="22"/>
          <w:szCs w:val="22"/>
        </w:rPr>
        <w:t xml:space="preserve">The Joint Commission serves </w:t>
      </w:r>
      <w:r w:rsidR="00705FB5">
        <w:rPr>
          <w:rFonts w:ascii="Arial" w:hAnsi="Arial" w:cs="Arial"/>
          <w:sz w:val="22"/>
          <w:szCs w:val="22"/>
        </w:rPr>
        <w:t xml:space="preserve">as </w:t>
      </w:r>
      <w:r>
        <w:rPr>
          <w:rFonts w:ascii="Arial" w:hAnsi="Arial" w:cs="Arial"/>
          <w:sz w:val="22"/>
          <w:szCs w:val="22"/>
        </w:rPr>
        <w:t xml:space="preserve">steward and developer for both NQF </w:t>
      </w:r>
      <w:r w:rsidR="006B5D02">
        <w:rPr>
          <w:rFonts w:ascii="Arial" w:hAnsi="Arial" w:cs="Arial"/>
          <w:sz w:val="22"/>
          <w:szCs w:val="22"/>
        </w:rPr>
        <w:t>#</w:t>
      </w:r>
      <w:r w:rsidR="00095197">
        <w:rPr>
          <w:rFonts w:ascii="Arial" w:hAnsi="Arial" w:cs="Arial"/>
          <w:sz w:val="22"/>
          <w:szCs w:val="22"/>
        </w:rPr>
        <w:t>0436</w:t>
      </w:r>
      <w:r>
        <w:rPr>
          <w:rFonts w:ascii="Arial" w:hAnsi="Arial" w:cs="Arial"/>
          <w:sz w:val="22"/>
          <w:szCs w:val="22"/>
        </w:rPr>
        <w:t xml:space="preserve"> and NQF </w:t>
      </w:r>
      <w:r w:rsidR="006B5D02">
        <w:rPr>
          <w:rFonts w:ascii="Arial" w:hAnsi="Arial" w:cs="Arial"/>
          <w:sz w:val="22"/>
          <w:szCs w:val="22"/>
        </w:rPr>
        <w:t>#</w:t>
      </w:r>
      <w:r w:rsidR="00095197">
        <w:rPr>
          <w:rFonts w:ascii="Arial" w:hAnsi="Arial" w:cs="Arial"/>
          <w:sz w:val="22"/>
          <w:szCs w:val="22"/>
        </w:rPr>
        <w:t>2833</w:t>
      </w:r>
      <w:r>
        <w:rPr>
          <w:rFonts w:ascii="Arial" w:hAnsi="Arial" w:cs="Arial"/>
          <w:sz w:val="22"/>
          <w:szCs w:val="22"/>
        </w:rPr>
        <w:t xml:space="preserve">, and has worked closely with other eCQM developers to align use of common data elements for eCQM reporting. As noted above, </w:t>
      </w:r>
      <w:r w:rsidR="00A61AE6">
        <w:rPr>
          <w:rFonts w:ascii="Arial" w:hAnsi="Arial" w:cs="Arial"/>
          <w:sz w:val="22"/>
          <w:szCs w:val="22"/>
        </w:rPr>
        <w:t>many</w:t>
      </w:r>
      <w:r w:rsidR="00A61AE6">
        <w:rPr>
          <w:rFonts w:ascii="Arial" w:hAnsi="Arial" w:cs="Arial"/>
          <w:sz w:val="22"/>
          <w:szCs w:val="22"/>
        </w:rPr>
        <w:t xml:space="preserve"> </w:t>
      </w:r>
      <w:r>
        <w:rPr>
          <w:rFonts w:ascii="Arial" w:hAnsi="Arial" w:cs="Arial"/>
          <w:sz w:val="22"/>
          <w:szCs w:val="22"/>
        </w:rPr>
        <w:t xml:space="preserve">data elements used in this measure are standardized across the 28 eCQMs available in HIQR. </w:t>
      </w:r>
    </w:p>
    <w:p w14:paraId="7E3F5E6D" w14:textId="77777777" w:rsidR="004E1EA7" w:rsidRDefault="004E1EA7" w:rsidP="004E1EA7">
      <w:pPr>
        <w:rPr>
          <w:rFonts w:ascii="Arial" w:hAnsi="Arial" w:cs="Arial"/>
          <w:sz w:val="22"/>
          <w:szCs w:val="22"/>
        </w:rPr>
      </w:pPr>
    </w:p>
    <w:p w14:paraId="5CA309B5" w14:textId="77777777" w:rsidR="00A61AE6" w:rsidRPr="00B776D6" w:rsidRDefault="00A61AE6" w:rsidP="00A61AE6">
      <w:pPr>
        <w:rPr>
          <w:rFonts w:ascii="Arial" w:hAnsi="Arial" w:cs="Arial"/>
          <w:sz w:val="22"/>
          <w:szCs w:val="22"/>
          <w:u w:val="single"/>
        </w:rPr>
      </w:pPr>
      <w:r>
        <w:rPr>
          <w:rFonts w:ascii="Arial" w:hAnsi="Arial" w:cs="Arial"/>
          <w:sz w:val="22"/>
          <w:szCs w:val="22"/>
          <w:u w:val="single"/>
        </w:rPr>
        <w:t>I</w:t>
      </w:r>
      <w:r w:rsidRPr="00B776D6">
        <w:rPr>
          <w:rFonts w:ascii="Arial" w:hAnsi="Arial" w:cs="Arial"/>
          <w:sz w:val="22"/>
          <w:szCs w:val="22"/>
          <w:u w:val="single"/>
        </w:rPr>
        <w:t xml:space="preserve">ndividual </w:t>
      </w:r>
      <w:r>
        <w:rPr>
          <w:rFonts w:ascii="Arial" w:hAnsi="Arial" w:cs="Arial"/>
          <w:sz w:val="22"/>
          <w:szCs w:val="22"/>
          <w:u w:val="single"/>
        </w:rPr>
        <w:t>D</w:t>
      </w:r>
      <w:r w:rsidRPr="00B776D6">
        <w:rPr>
          <w:rFonts w:ascii="Arial" w:hAnsi="Arial" w:cs="Arial"/>
          <w:sz w:val="22"/>
          <w:szCs w:val="22"/>
          <w:u w:val="single"/>
        </w:rPr>
        <w:t xml:space="preserve">ata </w:t>
      </w:r>
      <w:r>
        <w:rPr>
          <w:rFonts w:ascii="Arial" w:hAnsi="Arial" w:cs="Arial"/>
          <w:sz w:val="22"/>
          <w:szCs w:val="22"/>
          <w:u w:val="single"/>
        </w:rPr>
        <w:t>E</w:t>
      </w:r>
      <w:r w:rsidRPr="00B776D6">
        <w:rPr>
          <w:rFonts w:ascii="Arial" w:hAnsi="Arial" w:cs="Arial"/>
          <w:sz w:val="22"/>
          <w:szCs w:val="22"/>
          <w:u w:val="single"/>
        </w:rPr>
        <w:t xml:space="preserve">lements </w:t>
      </w:r>
      <w:r>
        <w:rPr>
          <w:rFonts w:ascii="Arial" w:hAnsi="Arial" w:cs="Arial"/>
          <w:sz w:val="22"/>
          <w:szCs w:val="22"/>
          <w:u w:val="single"/>
        </w:rPr>
        <w:t>U</w:t>
      </w:r>
      <w:r w:rsidRPr="00B776D6">
        <w:rPr>
          <w:rFonts w:ascii="Arial" w:hAnsi="Arial" w:cs="Arial"/>
          <w:sz w:val="22"/>
          <w:szCs w:val="22"/>
          <w:u w:val="single"/>
        </w:rPr>
        <w:t xml:space="preserve">sed in </w:t>
      </w:r>
      <w:r>
        <w:rPr>
          <w:rFonts w:ascii="Arial" w:hAnsi="Arial" w:cs="Arial"/>
          <w:sz w:val="22"/>
          <w:szCs w:val="22"/>
          <w:u w:val="single"/>
        </w:rPr>
        <w:t>the</w:t>
      </w:r>
      <w:r w:rsidRPr="00B776D6">
        <w:rPr>
          <w:rFonts w:ascii="Arial" w:hAnsi="Arial" w:cs="Arial"/>
          <w:sz w:val="22"/>
          <w:szCs w:val="22"/>
          <w:u w:val="single"/>
        </w:rPr>
        <w:t xml:space="preserve"> </w:t>
      </w:r>
      <w:r>
        <w:rPr>
          <w:rFonts w:ascii="Arial" w:hAnsi="Arial" w:cs="Arial"/>
          <w:sz w:val="22"/>
          <w:szCs w:val="22"/>
          <w:u w:val="single"/>
        </w:rPr>
        <w:t>M</w:t>
      </w:r>
      <w:r w:rsidRPr="00B776D6">
        <w:rPr>
          <w:rFonts w:ascii="Arial" w:hAnsi="Arial" w:cs="Arial"/>
          <w:sz w:val="22"/>
          <w:szCs w:val="22"/>
          <w:u w:val="single"/>
        </w:rPr>
        <w:t xml:space="preserve">easure (in QDM format): </w:t>
      </w:r>
    </w:p>
    <w:p w14:paraId="1DE18007"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bookmarkStart w:id="0" w:name="_GoBack"/>
      <w:bookmarkEnd w:id="0"/>
      <w:r w:rsidRPr="00A71D02">
        <w:rPr>
          <w:rFonts w:ascii="Arial" w:eastAsia="Times New Roman" w:hAnsi="Arial" w:cs="Arial"/>
          <w:color w:val="1A1A1A"/>
          <w:sz w:val="22"/>
          <w:szCs w:val="22"/>
        </w:rPr>
        <w:t>"Diagnosis, Active: Atrial Fibrillation/Flutter" using "Atrial Fibrillation/Flutter Grouping Value Set (2.16.840.1.113883.3.117.1.7.1.202)"</w:t>
      </w:r>
    </w:p>
    <w:p w14:paraId="6EF93D18"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"Diagnosis, Active: Hemorrhagic Stroke" using "Hemorrhagic Stroke Grouping Value Set (2.16.840.1.113883.3.117.1.7.1.212)"</w:t>
      </w:r>
    </w:p>
    <w:p w14:paraId="6AA9B688"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"Diagnosis, Active: Ischemic Stroke" using "Ischemic Stroke Grouping Value Set (2.16.840.1.113883.3.117.1.7.1.247)"</w:t>
      </w:r>
    </w:p>
    <w:p w14:paraId="0BCC6024"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"Diagnosis, Inactive: Atrial Fibrillation/Flutter" using "Atrial Fibrillation/Flutter Grouping Value Set (2.16.840.1.113883.3.117.1.7.1.202)"</w:t>
      </w:r>
    </w:p>
    <w:p w14:paraId="3A910BA9"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lastRenderedPageBreak/>
        <w:t>"Encounter, Performed: Emergency Department Visit" using "Emergency Department Visit SNOMEDCT Value Set (2.16.840.1.113883.3.117.1.7.1.292)"</w:t>
      </w:r>
    </w:p>
    <w:p w14:paraId="69793047"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"Encounter, Performed: Non-Elective Inpatient Encounter" using "Non-Elective Inpatient Encounter SNOMEDCT Value Set (2.16.840.1.113883.3.117.1.7.1.424)"</w:t>
      </w:r>
    </w:p>
    <w:p w14:paraId="693E047C"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"Intervention, Order: Comfort Measures " using "Comfort Measures SNOMEDCT Value Set (1.3.6.1.4.1.33895.1.3.0.45)"</w:t>
      </w:r>
    </w:p>
    <w:p w14:paraId="0B3EEA15"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"Intervention, Performed: Comfort Measures " using "Comfort Measures SNOMEDCT Value Set (1.3.6.1.4.1.33895.1.3.0.45)"</w:t>
      </w:r>
    </w:p>
    <w:p w14:paraId="07A6E3BA"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"Medication, Discharge: Anticoagulant ingredient specific" using "Anticoagulant ingredient specific RXNORM Value Set (2.16.840.1.113762.1.4.1021.9)"</w:t>
      </w:r>
    </w:p>
    <w:p w14:paraId="287AFD9C"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"Medication, Discharge: Anticoagulant Therapy" using "Anticoagulant Therapy RXNORM Value Set (2.16.840.1.113883.3.117.1.7.1.200)"</w:t>
      </w:r>
    </w:p>
    <w:p w14:paraId="11601581"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"Medication, Discharge not done: Medical Reason" using "Medical Reason SNOMEDCT Value Set (2.16.840.1.113883.3.117.1.7.1.473)"</w:t>
      </w:r>
    </w:p>
    <w:p w14:paraId="2E25A272"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"Medication, Discharge not done: Patient Refusal" using "Patient Refusal SNOMEDCT Value Set (2.16.840.1.113883.3.117.1.7.1.93)"</w:t>
      </w:r>
    </w:p>
    <w:p w14:paraId="74D5CC2C"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"Procedure, Performed: Atrial Ablation" using "Atrial Ablation Grouping Value Set (2.16.840.1.113883.3.117.1.7.1.203)"</w:t>
      </w:r>
    </w:p>
    <w:p w14:paraId="4906AF3E"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Attribute: "Discharge status: Left Against Medical Advice" using "Left Against Medical Advice SNOMEDCT Value Set (2.16.840.1.113883.3.117.1.7.1.308)"</w:t>
      </w:r>
    </w:p>
    <w:p w14:paraId="207DAFB9"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Attribute: "Discharge status: Patient Expired" using "Patient Expired SNOMEDCT Value Set (2.16.840.1.113883.3.117.1.7.1.309)"</w:t>
      </w:r>
    </w:p>
    <w:p w14:paraId="10CB09A7"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Attribute: "Discharge status: Discharge To Acute Care Facility" using "Discharge To Acute Care Facility SNOMEDCT Value Set (2.16.840.1.113883.3.117.1.7.1.87)"</w:t>
      </w:r>
    </w:p>
    <w:p w14:paraId="583DFD0B"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Attribute: "Discharge status: Discharged to Home for Hospice Care" using "Discharged to Home for Hospice Care SNOMEDCT Value Set (2.16.840.1.113883.3.117.1.7.1.209)"</w:t>
      </w:r>
    </w:p>
    <w:p w14:paraId="5D2183BC"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Attribute: "Discharge status: Discharged to Health Care Facility for Hospice Care" using "Discharged to Health Care Facility for Hospice Care SNOMEDCT Value Set (2.16.840.1.113883.3.117.1.7.1.207)"</w:t>
      </w:r>
    </w:p>
    <w:p w14:paraId="69C79CFC" w14:textId="77777777" w:rsidR="00C81E48" w:rsidRPr="00A71D02" w:rsidRDefault="00C81E48" w:rsidP="00A71D02">
      <w:pPr>
        <w:pStyle w:val="ListParagraph"/>
        <w:numPr>
          <w:ilvl w:val="0"/>
          <w:numId w:val="8"/>
        </w:numPr>
        <w:spacing w:before="100" w:beforeAutospacing="1" w:after="100" w:afterAutospacing="1" w:line="240" w:lineRule="auto"/>
        <w:ind w:left="360"/>
        <w:rPr>
          <w:rFonts w:ascii="Arial" w:eastAsia="Times New Roman" w:hAnsi="Arial" w:cs="Arial"/>
          <w:color w:val="1A1A1A"/>
          <w:sz w:val="22"/>
          <w:szCs w:val="22"/>
        </w:rPr>
      </w:pPr>
      <w:r w:rsidRPr="00A71D02">
        <w:rPr>
          <w:rFonts w:ascii="Arial" w:eastAsia="Times New Roman" w:hAnsi="Arial" w:cs="Arial"/>
          <w:color w:val="1A1A1A"/>
          <w:sz w:val="22"/>
          <w:szCs w:val="22"/>
        </w:rPr>
        <w:t>Attribute: "Ordinality: Principal" using "Principal SNOMEDCT Value Set (2.16.840.1.113883.3.117.1.7.1.14)"</w:t>
      </w:r>
    </w:p>
    <w:p w14:paraId="01D14042" w14:textId="77777777" w:rsidR="004562DE" w:rsidRPr="004562DE" w:rsidRDefault="004562DE" w:rsidP="00B776D6">
      <w:pPr>
        <w:rPr>
          <w:rFonts w:ascii="Arial" w:hAnsi="Arial" w:cs="Arial"/>
          <w:sz w:val="22"/>
          <w:szCs w:val="22"/>
          <w:u w:val="single"/>
        </w:rPr>
      </w:pPr>
      <w:r>
        <w:rPr>
          <w:rFonts w:ascii="Arial" w:hAnsi="Arial" w:cs="Arial"/>
          <w:sz w:val="22"/>
          <w:szCs w:val="22"/>
          <w:u w:val="single"/>
        </w:rPr>
        <w:t>Denominator Data Elements</w:t>
      </w:r>
    </w:p>
    <w:p w14:paraId="539AD282" w14:textId="66A0CC34" w:rsidR="004E1EA7" w:rsidRDefault="00DD2CD9" w:rsidP="00B776D6">
      <w:pPr>
        <w:rPr>
          <w:rFonts w:ascii="Arial" w:hAnsi="Arial" w:cs="Arial"/>
          <w:sz w:val="22"/>
          <w:szCs w:val="22"/>
        </w:rPr>
      </w:pPr>
      <w:r>
        <w:rPr>
          <w:rFonts w:ascii="Arial" w:hAnsi="Arial" w:cs="Arial"/>
          <w:sz w:val="22"/>
          <w:szCs w:val="22"/>
        </w:rPr>
        <w:t xml:space="preserve">Data elements </w:t>
      </w:r>
      <w:r w:rsidR="00C81E48">
        <w:rPr>
          <w:rFonts w:ascii="Arial" w:hAnsi="Arial" w:cs="Arial"/>
          <w:sz w:val="22"/>
          <w:szCs w:val="22"/>
        </w:rPr>
        <w:t>2</w:t>
      </w:r>
      <w:r>
        <w:rPr>
          <w:rFonts w:ascii="Arial" w:hAnsi="Arial" w:cs="Arial"/>
          <w:sz w:val="22"/>
          <w:szCs w:val="22"/>
        </w:rPr>
        <w:t xml:space="preserve">, </w:t>
      </w:r>
      <w:r w:rsidR="00C81E48">
        <w:rPr>
          <w:rFonts w:ascii="Arial" w:hAnsi="Arial" w:cs="Arial"/>
          <w:sz w:val="22"/>
          <w:szCs w:val="22"/>
        </w:rPr>
        <w:t>3</w:t>
      </w:r>
      <w:r>
        <w:rPr>
          <w:rFonts w:ascii="Arial" w:hAnsi="Arial" w:cs="Arial"/>
          <w:sz w:val="22"/>
          <w:szCs w:val="22"/>
        </w:rPr>
        <w:t xml:space="preserve">, </w:t>
      </w:r>
      <w:r w:rsidR="00C81E48">
        <w:rPr>
          <w:rFonts w:ascii="Arial" w:hAnsi="Arial" w:cs="Arial"/>
          <w:sz w:val="22"/>
          <w:szCs w:val="22"/>
        </w:rPr>
        <w:t>6</w:t>
      </w:r>
      <w:r>
        <w:rPr>
          <w:rFonts w:ascii="Arial" w:hAnsi="Arial" w:cs="Arial"/>
          <w:sz w:val="22"/>
          <w:szCs w:val="22"/>
        </w:rPr>
        <w:t xml:space="preserve"> </w:t>
      </w:r>
      <w:r w:rsidR="00B776D6">
        <w:rPr>
          <w:rFonts w:ascii="Arial" w:hAnsi="Arial" w:cs="Arial"/>
          <w:sz w:val="22"/>
          <w:szCs w:val="22"/>
        </w:rPr>
        <w:t>and 1</w:t>
      </w:r>
      <w:r w:rsidR="00C81E48">
        <w:rPr>
          <w:rFonts w:ascii="Arial" w:hAnsi="Arial" w:cs="Arial"/>
          <w:sz w:val="22"/>
          <w:szCs w:val="22"/>
        </w:rPr>
        <w:t>9</w:t>
      </w:r>
      <w:r w:rsidR="00B776D6">
        <w:rPr>
          <w:rFonts w:ascii="Arial" w:hAnsi="Arial" w:cs="Arial"/>
          <w:sz w:val="22"/>
          <w:szCs w:val="22"/>
        </w:rPr>
        <w:t xml:space="preserve"> provide information about the stroke diagnosis and the related </w:t>
      </w:r>
      <w:r>
        <w:rPr>
          <w:rFonts w:ascii="Arial" w:hAnsi="Arial" w:cs="Arial"/>
          <w:sz w:val="22"/>
          <w:szCs w:val="22"/>
        </w:rPr>
        <w:t>inpatient encounter</w:t>
      </w:r>
      <w:r w:rsidR="00B776D6">
        <w:rPr>
          <w:rFonts w:ascii="Arial" w:hAnsi="Arial" w:cs="Arial"/>
          <w:sz w:val="22"/>
          <w:szCs w:val="22"/>
        </w:rPr>
        <w:t xml:space="preserve">. </w:t>
      </w:r>
      <w:r w:rsidR="006E33EA">
        <w:rPr>
          <w:rFonts w:ascii="Arial" w:hAnsi="Arial" w:cs="Arial"/>
          <w:sz w:val="22"/>
          <w:szCs w:val="22"/>
        </w:rPr>
        <w:t>Data elements 1, 4, 13 provide information about a history of atrial ablation or a current or historical diagnosis of atrial fibrillation/flutter</w:t>
      </w:r>
      <w:r w:rsidR="00CE1D88">
        <w:rPr>
          <w:rFonts w:ascii="Arial" w:hAnsi="Arial" w:cs="Arial"/>
          <w:sz w:val="22"/>
          <w:szCs w:val="22"/>
        </w:rPr>
        <w:t>.</w:t>
      </w:r>
      <w:r w:rsidR="006E33EA">
        <w:rPr>
          <w:rFonts w:ascii="Arial" w:hAnsi="Arial" w:cs="Arial"/>
          <w:sz w:val="22"/>
          <w:szCs w:val="22"/>
        </w:rPr>
        <w:t xml:space="preserve"> </w:t>
      </w:r>
      <w:r w:rsidR="00B776D6">
        <w:rPr>
          <w:rFonts w:ascii="Arial" w:hAnsi="Arial" w:cs="Arial"/>
          <w:sz w:val="22"/>
          <w:szCs w:val="22"/>
        </w:rPr>
        <w:t xml:space="preserve">These data elements are used to establish the initial patient population and measure denominator. </w:t>
      </w:r>
    </w:p>
    <w:p w14:paraId="758A9759" w14:textId="77777777" w:rsidR="0084673A" w:rsidRPr="00A71D02" w:rsidRDefault="0084673A" w:rsidP="00A71D02">
      <w:pPr>
        <w:pStyle w:val="ListParagraph"/>
        <w:numPr>
          <w:ilvl w:val="0"/>
          <w:numId w:val="6"/>
        </w:numPr>
        <w:rPr>
          <w:rFonts w:ascii="Arial" w:hAnsi="Arial" w:cs="Arial"/>
          <w:sz w:val="22"/>
          <w:szCs w:val="22"/>
        </w:rPr>
      </w:pPr>
      <w:r w:rsidRPr="00A71D02">
        <w:rPr>
          <w:rFonts w:ascii="Arial" w:hAnsi="Arial" w:cs="Arial"/>
          <w:sz w:val="22"/>
          <w:szCs w:val="22"/>
        </w:rPr>
        <w:t>Data Availability and Workflow</w:t>
      </w:r>
      <w:r w:rsidR="004562DE" w:rsidRPr="00A71D02">
        <w:rPr>
          <w:rFonts w:ascii="Arial" w:hAnsi="Arial" w:cs="Arial"/>
          <w:sz w:val="22"/>
          <w:szCs w:val="22"/>
        </w:rPr>
        <w:t xml:space="preserve">: </w:t>
      </w:r>
      <w:r w:rsidRPr="00A71D02">
        <w:rPr>
          <w:rFonts w:ascii="Arial" w:hAnsi="Arial" w:cs="Arial"/>
          <w:sz w:val="22"/>
          <w:szCs w:val="22"/>
        </w:rPr>
        <w:t xml:space="preserve">The data elements exist in a structured format in EHR systems. Data collection is through the routine adult patient admission, assessment, and discharge workflow and no additional input is required solely for the purpose of the measure. </w:t>
      </w:r>
    </w:p>
    <w:p w14:paraId="60DD252B" w14:textId="25D6C5ED" w:rsidR="004562DE" w:rsidRDefault="004562DE" w:rsidP="0084673A">
      <w:pPr>
        <w:pStyle w:val="ListParagraph"/>
        <w:numPr>
          <w:ilvl w:val="0"/>
          <w:numId w:val="6"/>
        </w:numPr>
        <w:rPr>
          <w:rFonts w:ascii="Arial" w:hAnsi="Arial" w:cs="Arial"/>
          <w:sz w:val="22"/>
          <w:szCs w:val="22"/>
        </w:rPr>
      </w:pPr>
      <w:r>
        <w:rPr>
          <w:rFonts w:ascii="Arial" w:hAnsi="Arial" w:cs="Arial"/>
          <w:sz w:val="22"/>
          <w:szCs w:val="22"/>
        </w:rPr>
        <w:t>Data Standards: Both ICD</w:t>
      </w:r>
      <w:r w:rsidR="00F3724A">
        <w:rPr>
          <w:rFonts w:ascii="Arial" w:hAnsi="Arial" w:cs="Arial"/>
          <w:sz w:val="22"/>
          <w:szCs w:val="22"/>
        </w:rPr>
        <w:t>10</w:t>
      </w:r>
      <w:r>
        <w:rPr>
          <w:rFonts w:ascii="Arial" w:hAnsi="Arial" w:cs="Arial"/>
          <w:sz w:val="22"/>
          <w:szCs w:val="22"/>
        </w:rPr>
        <w:t xml:space="preserve"> and SNOMEDCT value sets have been </w:t>
      </w:r>
      <w:r w:rsidR="005A7667">
        <w:rPr>
          <w:rFonts w:ascii="Arial" w:hAnsi="Arial" w:cs="Arial"/>
          <w:sz w:val="22"/>
          <w:szCs w:val="22"/>
        </w:rPr>
        <w:t>established</w:t>
      </w:r>
      <w:r>
        <w:rPr>
          <w:rFonts w:ascii="Arial" w:hAnsi="Arial" w:cs="Arial"/>
          <w:sz w:val="22"/>
          <w:szCs w:val="22"/>
        </w:rPr>
        <w:t xml:space="preserve"> as a national standard for these data elements. In addition, data elements </w:t>
      </w:r>
      <w:r w:rsidR="001D70A1">
        <w:rPr>
          <w:rFonts w:ascii="Arial" w:hAnsi="Arial" w:cs="Arial"/>
          <w:sz w:val="22"/>
          <w:szCs w:val="22"/>
        </w:rPr>
        <w:t xml:space="preserve">2 and 3 </w:t>
      </w:r>
      <w:r>
        <w:rPr>
          <w:rFonts w:ascii="Arial" w:hAnsi="Arial" w:cs="Arial"/>
          <w:sz w:val="22"/>
          <w:szCs w:val="22"/>
        </w:rPr>
        <w:t>are derived from the ICD10 diagnosis tables used in the chart-abstracted version of this measure.</w:t>
      </w:r>
      <w:r w:rsidR="004C6141">
        <w:rPr>
          <w:rFonts w:ascii="Arial" w:hAnsi="Arial" w:cs="Arial"/>
          <w:sz w:val="22"/>
          <w:szCs w:val="22"/>
        </w:rPr>
        <w:t xml:space="preserve"> The use of</w:t>
      </w:r>
      <w:r>
        <w:rPr>
          <w:rFonts w:ascii="Arial" w:hAnsi="Arial" w:cs="Arial"/>
          <w:sz w:val="22"/>
          <w:szCs w:val="22"/>
        </w:rPr>
        <w:t xml:space="preserve"> </w:t>
      </w:r>
      <w:r w:rsidR="004C6141">
        <w:rPr>
          <w:rFonts w:ascii="Arial" w:hAnsi="Arial" w:cs="Arial"/>
          <w:sz w:val="22"/>
          <w:szCs w:val="22"/>
        </w:rPr>
        <w:t>d</w:t>
      </w:r>
      <w:r>
        <w:rPr>
          <w:rFonts w:ascii="Arial" w:hAnsi="Arial" w:cs="Arial"/>
          <w:sz w:val="22"/>
          <w:szCs w:val="22"/>
        </w:rPr>
        <w:t xml:space="preserve">ata elements </w:t>
      </w:r>
      <w:r w:rsidR="00C81E48">
        <w:rPr>
          <w:rFonts w:ascii="Arial" w:hAnsi="Arial" w:cs="Arial"/>
          <w:sz w:val="22"/>
          <w:szCs w:val="22"/>
        </w:rPr>
        <w:t>6</w:t>
      </w:r>
      <w:r>
        <w:rPr>
          <w:rFonts w:ascii="Arial" w:hAnsi="Arial" w:cs="Arial"/>
          <w:sz w:val="22"/>
          <w:szCs w:val="22"/>
        </w:rPr>
        <w:t xml:space="preserve"> and 1</w:t>
      </w:r>
      <w:r w:rsidR="00C81E48">
        <w:rPr>
          <w:rFonts w:ascii="Arial" w:hAnsi="Arial" w:cs="Arial"/>
          <w:sz w:val="22"/>
          <w:szCs w:val="22"/>
        </w:rPr>
        <w:t>9</w:t>
      </w:r>
      <w:r>
        <w:rPr>
          <w:rFonts w:ascii="Arial" w:hAnsi="Arial" w:cs="Arial"/>
          <w:sz w:val="22"/>
          <w:szCs w:val="22"/>
        </w:rPr>
        <w:t xml:space="preserve"> </w:t>
      </w:r>
      <w:r w:rsidR="004C6141">
        <w:rPr>
          <w:rFonts w:ascii="Arial" w:hAnsi="Arial" w:cs="Arial"/>
          <w:sz w:val="22"/>
          <w:szCs w:val="22"/>
        </w:rPr>
        <w:t>is standardized</w:t>
      </w:r>
      <w:r>
        <w:rPr>
          <w:rFonts w:ascii="Arial" w:hAnsi="Arial" w:cs="Arial"/>
          <w:sz w:val="22"/>
          <w:szCs w:val="22"/>
        </w:rPr>
        <w:t xml:space="preserve"> across multiple eCQMs</w:t>
      </w:r>
      <w:r w:rsidR="004C6141">
        <w:rPr>
          <w:rFonts w:ascii="Arial" w:hAnsi="Arial" w:cs="Arial"/>
          <w:sz w:val="22"/>
          <w:szCs w:val="22"/>
        </w:rPr>
        <w:t>.</w:t>
      </w:r>
    </w:p>
    <w:p w14:paraId="1EE7DBEF" w14:textId="77777777" w:rsidR="004562DE" w:rsidRDefault="004562DE" w:rsidP="0084673A">
      <w:pPr>
        <w:pStyle w:val="ListParagraph"/>
        <w:numPr>
          <w:ilvl w:val="0"/>
          <w:numId w:val="6"/>
        </w:numPr>
        <w:rPr>
          <w:rFonts w:ascii="Arial" w:hAnsi="Arial" w:cs="Arial"/>
          <w:sz w:val="22"/>
          <w:szCs w:val="22"/>
        </w:rPr>
      </w:pPr>
      <w:r>
        <w:rPr>
          <w:rFonts w:ascii="Arial" w:hAnsi="Arial" w:cs="Arial"/>
          <w:sz w:val="22"/>
          <w:szCs w:val="22"/>
        </w:rPr>
        <w:t xml:space="preserve">Data Accuracy: At this time we are unable to directly assess the accuracy of these elements in an EHR system. However, because these data elements are used </w:t>
      </w:r>
      <w:r>
        <w:rPr>
          <w:rFonts w:ascii="Arial" w:hAnsi="Arial" w:cs="Arial"/>
          <w:sz w:val="22"/>
          <w:szCs w:val="22"/>
        </w:rPr>
        <w:lastRenderedPageBreak/>
        <w:t>across multiple measures and are harmonized with the chart-abstracted version of the measure</w:t>
      </w:r>
      <w:r w:rsidR="00B66013">
        <w:rPr>
          <w:rFonts w:ascii="Arial" w:hAnsi="Arial" w:cs="Arial"/>
          <w:sz w:val="22"/>
          <w:szCs w:val="22"/>
        </w:rPr>
        <w:t xml:space="preserve"> with which hospitals are already familiar</w:t>
      </w:r>
      <w:r>
        <w:rPr>
          <w:rFonts w:ascii="Arial" w:hAnsi="Arial" w:cs="Arial"/>
          <w:sz w:val="22"/>
          <w:szCs w:val="22"/>
        </w:rPr>
        <w:t>, they are likely to be monitored closely for correctness.</w:t>
      </w:r>
    </w:p>
    <w:p w14:paraId="3FED1639" w14:textId="77777777" w:rsidR="004562DE" w:rsidRPr="004562DE" w:rsidRDefault="004562DE" w:rsidP="004562DE">
      <w:pPr>
        <w:rPr>
          <w:rFonts w:ascii="Arial" w:hAnsi="Arial" w:cs="Arial"/>
          <w:sz w:val="22"/>
          <w:szCs w:val="22"/>
          <w:u w:val="single"/>
        </w:rPr>
      </w:pPr>
      <w:r>
        <w:rPr>
          <w:rFonts w:ascii="Arial" w:hAnsi="Arial" w:cs="Arial"/>
          <w:sz w:val="22"/>
          <w:szCs w:val="22"/>
          <w:u w:val="single"/>
        </w:rPr>
        <w:t>Numerator Data Elements</w:t>
      </w:r>
    </w:p>
    <w:p w14:paraId="057A5D9B" w14:textId="648D0A81" w:rsidR="00B776D6" w:rsidRDefault="00B776D6" w:rsidP="00B776D6">
      <w:pPr>
        <w:rPr>
          <w:rFonts w:ascii="Arial" w:hAnsi="Arial" w:cs="Arial"/>
          <w:sz w:val="22"/>
          <w:szCs w:val="22"/>
        </w:rPr>
      </w:pPr>
      <w:r>
        <w:rPr>
          <w:rFonts w:ascii="Arial" w:hAnsi="Arial" w:cs="Arial"/>
          <w:sz w:val="22"/>
          <w:szCs w:val="22"/>
        </w:rPr>
        <w:t>Data element</w:t>
      </w:r>
      <w:r w:rsidR="00BC3E92">
        <w:rPr>
          <w:rFonts w:ascii="Arial" w:hAnsi="Arial" w:cs="Arial"/>
          <w:sz w:val="22"/>
          <w:szCs w:val="22"/>
        </w:rPr>
        <w:t xml:space="preserve"> 10 </w:t>
      </w:r>
      <w:r>
        <w:rPr>
          <w:rFonts w:ascii="Arial" w:hAnsi="Arial" w:cs="Arial"/>
          <w:sz w:val="22"/>
          <w:szCs w:val="22"/>
        </w:rPr>
        <w:t>provide</w:t>
      </w:r>
      <w:r w:rsidR="00BC3E92">
        <w:rPr>
          <w:rFonts w:ascii="Arial" w:hAnsi="Arial" w:cs="Arial"/>
          <w:sz w:val="22"/>
          <w:szCs w:val="22"/>
        </w:rPr>
        <w:t>s</w:t>
      </w:r>
      <w:r>
        <w:rPr>
          <w:rFonts w:ascii="Arial" w:hAnsi="Arial" w:cs="Arial"/>
          <w:sz w:val="22"/>
          <w:szCs w:val="22"/>
        </w:rPr>
        <w:t xml:space="preserve"> information about </w:t>
      </w:r>
      <w:r w:rsidR="00BC3E92">
        <w:rPr>
          <w:rFonts w:ascii="Arial" w:hAnsi="Arial" w:cs="Arial"/>
          <w:sz w:val="22"/>
          <w:szCs w:val="22"/>
        </w:rPr>
        <w:t xml:space="preserve">anticoagulation therapy </w:t>
      </w:r>
      <w:r w:rsidR="00626DF2">
        <w:rPr>
          <w:rFonts w:ascii="Arial" w:hAnsi="Arial" w:cs="Arial"/>
          <w:sz w:val="22"/>
          <w:szCs w:val="22"/>
        </w:rPr>
        <w:t>prescribed at hospital discharge</w:t>
      </w:r>
      <w:r>
        <w:rPr>
          <w:rFonts w:ascii="Arial" w:hAnsi="Arial" w:cs="Arial"/>
          <w:sz w:val="22"/>
          <w:szCs w:val="22"/>
        </w:rPr>
        <w:t>. Th</w:t>
      </w:r>
      <w:r w:rsidR="00626DF2">
        <w:rPr>
          <w:rFonts w:ascii="Arial" w:hAnsi="Arial" w:cs="Arial"/>
          <w:sz w:val="22"/>
          <w:szCs w:val="22"/>
        </w:rPr>
        <w:t>is</w:t>
      </w:r>
      <w:r>
        <w:rPr>
          <w:rFonts w:ascii="Arial" w:hAnsi="Arial" w:cs="Arial"/>
          <w:sz w:val="22"/>
          <w:szCs w:val="22"/>
        </w:rPr>
        <w:t xml:space="preserve"> data element </w:t>
      </w:r>
      <w:r w:rsidR="00626DF2">
        <w:rPr>
          <w:rFonts w:ascii="Arial" w:hAnsi="Arial" w:cs="Arial"/>
          <w:sz w:val="22"/>
          <w:szCs w:val="22"/>
        </w:rPr>
        <w:t xml:space="preserve">is </w:t>
      </w:r>
      <w:r>
        <w:rPr>
          <w:rFonts w:ascii="Arial" w:hAnsi="Arial" w:cs="Arial"/>
          <w:sz w:val="22"/>
          <w:szCs w:val="22"/>
        </w:rPr>
        <w:t xml:space="preserve">used to establish the numerator. </w:t>
      </w:r>
    </w:p>
    <w:p w14:paraId="4265AF11" w14:textId="0A04CF2F" w:rsidR="004562DE" w:rsidRDefault="004562DE" w:rsidP="004562DE">
      <w:pPr>
        <w:pStyle w:val="ListParagraph"/>
        <w:numPr>
          <w:ilvl w:val="0"/>
          <w:numId w:val="6"/>
        </w:numPr>
        <w:rPr>
          <w:rFonts w:ascii="Arial" w:hAnsi="Arial" w:cs="Arial"/>
          <w:sz w:val="22"/>
          <w:szCs w:val="22"/>
        </w:rPr>
      </w:pPr>
      <w:r w:rsidRPr="004562DE">
        <w:rPr>
          <w:rFonts w:ascii="Arial" w:hAnsi="Arial" w:cs="Arial"/>
          <w:sz w:val="22"/>
          <w:szCs w:val="22"/>
        </w:rPr>
        <w:t>Data Availability and Workflow</w:t>
      </w:r>
      <w:r>
        <w:rPr>
          <w:rFonts w:ascii="Arial" w:hAnsi="Arial" w:cs="Arial"/>
          <w:sz w:val="22"/>
          <w:szCs w:val="22"/>
        </w:rPr>
        <w:t xml:space="preserve">: </w:t>
      </w:r>
      <w:r w:rsidRPr="004562DE">
        <w:rPr>
          <w:rFonts w:ascii="Arial" w:hAnsi="Arial" w:cs="Arial"/>
          <w:sz w:val="22"/>
          <w:szCs w:val="22"/>
        </w:rPr>
        <w:t>The data element exist</w:t>
      </w:r>
      <w:r w:rsidR="00626DF2">
        <w:rPr>
          <w:rFonts w:ascii="Arial" w:hAnsi="Arial" w:cs="Arial"/>
          <w:sz w:val="22"/>
          <w:szCs w:val="22"/>
        </w:rPr>
        <w:t>s</w:t>
      </w:r>
      <w:r w:rsidRPr="004562DE">
        <w:rPr>
          <w:rFonts w:ascii="Arial" w:hAnsi="Arial" w:cs="Arial"/>
          <w:sz w:val="22"/>
          <w:szCs w:val="22"/>
        </w:rPr>
        <w:t xml:space="preserve"> in a structured format in EHR systems. Data collection is through the routine </w:t>
      </w:r>
      <w:r>
        <w:rPr>
          <w:rFonts w:ascii="Arial" w:hAnsi="Arial" w:cs="Arial"/>
          <w:sz w:val="22"/>
          <w:szCs w:val="22"/>
        </w:rPr>
        <w:t>documentation in</w:t>
      </w:r>
      <w:r w:rsidR="00AE365B">
        <w:rPr>
          <w:rFonts w:ascii="Arial" w:hAnsi="Arial" w:cs="Arial"/>
          <w:sz w:val="22"/>
          <w:szCs w:val="22"/>
        </w:rPr>
        <w:t xml:space="preserve"> the discharge process</w:t>
      </w:r>
      <w:r>
        <w:rPr>
          <w:rFonts w:ascii="Arial" w:hAnsi="Arial" w:cs="Arial"/>
          <w:sz w:val="22"/>
          <w:szCs w:val="22"/>
        </w:rPr>
        <w:t xml:space="preserve"> for stroke patients. No additional input is required solely for the purpose of the measure. </w:t>
      </w:r>
    </w:p>
    <w:p w14:paraId="51F9FC03" w14:textId="4EA6EAFB" w:rsidR="004C6141" w:rsidRDefault="004562DE" w:rsidP="004562DE">
      <w:pPr>
        <w:pStyle w:val="ListParagraph"/>
        <w:numPr>
          <w:ilvl w:val="0"/>
          <w:numId w:val="6"/>
        </w:numPr>
        <w:rPr>
          <w:rFonts w:ascii="Arial" w:hAnsi="Arial" w:cs="Arial"/>
          <w:sz w:val="22"/>
          <w:szCs w:val="22"/>
        </w:rPr>
      </w:pPr>
      <w:r>
        <w:rPr>
          <w:rFonts w:ascii="Arial" w:hAnsi="Arial" w:cs="Arial"/>
          <w:sz w:val="22"/>
          <w:szCs w:val="22"/>
        </w:rPr>
        <w:t xml:space="preserve">Data Standards: </w:t>
      </w:r>
      <w:r w:rsidR="00626DF2">
        <w:rPr>
          <w:rFonts w:ascii="Arial" w:hAnsi="Arial" w:cs="Arial"/>
          <w:sz w:val="22"/>
          <w:szCs w:val="22"/>
        </w:rPr>
        <w:t xml:space="preserve">RXNORM </w:t>
      </w:r>
      <w:r>
        <w:rPr>
          <w:rFonts w:ascii="Arial" w:hAnsi="Arial" w:cs="Arial"/>
          <w:sz w:val="22"/>
          <w:szCs w:val="22"/>
        </w:rPr>
        <w:t>is used to represent</w:t>
      </w:r>
      <w:r w:rsidR="00626DF2">
        <w:rPr>
          <w:rFonts w:ascii="Arial" w:hAnsi="Arial" w:cs="Arial"/>
          <w:sz w:val="22"/>
          <w:szCs w:val="22"/>
        </w:rPr>
        <w:t xml:space="preserve"> anticoagulant therapy</w:t>
      </w:r>
      <w:r w:rsidR="004C6141">
        <w:rPr>
          <w:rFonts w:ascii="Arial" w:hAnsi="Arial" w:cs="Arial"/>
          <w:sz w:val="22"/>
          <w:szCs w:val="22"/>
        </w:rPr>
        <w:t xml:space="preserve">. </w:t>
      </w:r>
      <w:r w:rsidR="001D70A1">
        <w:rPr>
          <w:rFonts w:ascii="Arial" w:hAnsi="Arial" w:cs="Arial"/>
          <w:sz w:val="22"/>
          <w:szCs w:val="22"/>
        </w:rPr>
        <w:t>As RXNORM updates codes to represent anticoagulant medications, we update the value sets on an annual basis to reflect these changes.</w:t>
      </w:r>
    </w:p>
    <w:p w14:paraId="7E45DAF3" w14:textId="3FE148F4" w:rsidR="004C6141" w:rsidRPr="00F04641" w:rsidRDefault="004C6141" w:rsidP="004562DE">
      <w:pPr>
        <w:pStyle w:val="ListParagraph"/>
        <w:numPr>
          <w:ilvl w:val="0"/>
          <w:numId w:val="6"/>
        </w:numPr>
        <w:rPr>
          <w:rFonts w:ascii="Arial" w:hAnsi="Arial" w:cs="Arial"/>
          <w:sz w:val="22"/>
          <w:szCs w:val="22"/>
        </w:rPr>
      </w:pPr>
      <w:r>
        <w:rPr>
          <w:rFonts w:ascii="Arial" w:hAnsi="Arial" w:cs="Arial"/>
          <w:sz w:val="22"/>
          <w:szCs w:val="22"/>
        </w:rPr>
        <w:t xml:space="preserve">Data Accuracy: At this time we are unable to directly assess the accuracy of these elements in an EHR system. </w:t>
      </w:r>
      <w:r w:rsidR="00BB4640">
        <w:rPr>
          <w:rFonts w:ascii="Arial" w:hAnsi="Arial" w:cs="Arial"/>
          <w:sz w:val="22"/>
          <w:szCs w:val="22"/>
        </w:rPr>
        <w:t>However, because these data elements are used across multiple measures and are harmonized with the chart-abstracted version of the measure</w:t>
      </w:r>
      <w:r w:rsidR="00B66013">
        <w:rPr>
          <w:rFonts w:ascii="Arial" w:hAnsi="Arial" w:cs="Arial"/>
          <w:sz w:val="22"/>
          <w:szCs w:val="22"/>
        </w:rPr>
        <w:t xml:space="preserve"> with which hospitals are already familiar</w:t>
      </w:r>
      <w:r w:rsidR="00BB4640">
        <w:rPr>
          <w:rFonts w:ascii="Arial" w:hAnsi="Arial" w:cs="Arial"/>
          <w:sz w:val="22"/>
          <w:szCs w:val="22"/>
        </w:rPr>
        <w:t>, they are likely to be monitored closely for correctness.</w:t>
      </w:r>
    </w:p>
    <w:p w14:paraId="58ED90A4" w14:textId="77777777" w:rsidR="004562DE" w:rsidRPr="004C6141" w:rsidRDefault="004C6141" w:rsidP="004562DE">
      <w:pPr>
        <w:rPr>
          <w:rFonts w:ascii="Arial" w:hAnsi="Arial" w:cs="Arial"/>
          <w:sz w:val="22"/>
          <w:szCs w:val="22"/>
          <w:u w:val="single"/>
        </w:rPr>
      </w:pPr>
      <w:r>
        <w:rPr>
          <w:rFonts w:ascii="Arial" w:hAnsi="Arial" w:cs="Arial"/>
          <w:sz w:val="22"/>
          <w:szCs w:val="22"/>
          <w:u w:val="single"/>
        </w:rPr>
        <w:t>Denominator Exclusions</w:t>
      </w:r>
    </w:p>
    <w:p w14:paraId="2CD2C0DE" w14:textId="2DA84690" w:rsidR="00B776D6" w:rsidRDefault="00973C3C" w:rsidP="00B776D6">
      <w:pPr>
        <w:rPr>
          <w:rFonts w:ascii="Arial" w:hAnsi="Arial" w:cs="Arial"/>
          <w:sz w:val="22"/>
          <w:szCs w:val="22"/>
        </w:rPr>
      </w:pPr>
      <w:r>
        <w:rPr>
          <w:rFonts w:ascii="Arial" w:hAnsi="Arial" w:cs="Arial"/>
          <w:sz w:val="22"/>
          <w:szCs w:val="22"/>
        </w:rPr>
        <w:t>D</w:t>
      </w:r>
      <w:r w:rsidR="00B776D6">
        <w:rPr>
          <w:rFonts w:ascii="Arial" w:hAnsi="Arial" w:cs="Arial"/>
          <w:sz w:val="22"/>
          <w:szCs w:val="22"/>
        </w:rPr>
        <w:t xml:space="preserve">ata elements </w:t>
      </w:r>
      <w:r w:rsidR="001948B8">
        <w:rPr>
          <w:rFonts w:ascii="Arial" w:hAnsi="Arial" w:cs="Arial"/>
          <w:sz w:val="22"/>
          <w:szCs w:val="22"/>
        </w:rPr>
        <w:t>5</w:t>
      </w:r>
      <w:r w:rsidR="00DD2CD9">
        <w:rPr>
          <w:rFonts w:ascii="Arial" w:hAnsi="Arial" w:cs="Arial"/>
          <w:sz w:val="22"/>
          <w:szCs w:val="22"/>
        </w:rPr>
        <w:t xml:space="preserve">, </w:t>
      </w:r>
      <w:r>
        <w:rPr>
          <w:rFonts w:ascii="Arial" w:hAnsi="Arial" w:cs="Arial"/>
          <w:sz w:val="22"/>
          <w:szCs w:val="22"/>
        </w:rPr>
        <w:t>7</w:t>
      </w:r>
      <w:r w:rsidR="004C6141">
        <w:rPr>
          <w:rFonts w:ascii="Arial" w:hAnsi="Arial" w:cs="Arial"/>
          <w:sz w:val="22"/>
          <w:szCs w:val="22"/>
        </w:rPr>
        <w:t xml:space="preserve">, </w:t>
      </w:r>
      <w:r>
        <w:rPr>
          <w:rFonts w:ascii="Arial" w:hAnsi="Arial" w:cs="Arial"/>
          <w:sz w:val="22"/>
          <w:szCs w:val="22"/>
        </w:rPr>
        <w:t>8</w:t>
      </w:r>
      <w:r w:rsidR="004C6141">
        <w:rPr>
          <w:rFonts w:ascii="Arial" w:hAnsi="Arial" w:cs="Arial"/>
          <w:sz w:val="22"/>
          <w:szCs w:val="22"/>
        </w:rPr>
        <w:t xml:space="preserve">, </w:t>
      </w:r>
      <w:r>
        <w:rPr>
          <w:rFonts w:ascii="Arial" w:hAnsi="Arial" w:cs="Arial"/>
          <w:sz w:val="22"/>
          <w:szCs w:val="22"/>
        </w:rPr>
        <w:t>14</w:t>
      </w:r>
      <w:r w:rsidR="004C6141">
        <w:rPr>
          <w:rFonts w:ascii="Arial" w:hAnsi="Arial" w:cs="Arial"/>
          <w:sz w:val="22"/>
          <w:szCs w:val="22"/>
        </w:rPr>
        <w:t>, 1</w:t>
      </w:r>
      <w:r>
        <w:rPr>
          <w:rFonts w:ascii="Arial" w:hAnsi="Arial" w:cs="Arial"/>
          <w:sz w:val="22"/>
          <w:szCs w:val="22"/>
        </w:rPr>
        <w:t>5</w:t>
      </w:r>
      <w:r w:rsidR="004C6141">
        <w:rPr>
          <w:rFonts w:ascii="Arial" w:hAnsi="Arial" w:cs="Arial"/>
          <w:sz w:val="22"/>
          <w:szCs w:val="22"/>
        </w:rPr>
        <w:t>, 1</w:t>
      </w:r>
      <w:r>
        <w:rPr>
          <w:rFonts w:ascii="Arial" w:hAnsi="Arial" w:cs="Arial"/>
          <w:sz w:val="22"/>
          <w:szCs w:val="22"/>
        </w:rPr>
        <w:t>6</w:t>
      </w:r>
      <w:r w:rsidR="004C6141">
        <w:rPr>
          <w:rFonts w:ascii="Arial" w:hAnsi="Arial" w:cs="Arial"/>
          <w:sz w:val="22"/>
          <w:szCs w:val="22"/>
        </w:rPr>
        <w:t>, 1</w:t>
      </w:r>
      <w:r>
        <w:rPr>
          <w:rFonts w:ascii="Arial" w:hAnsi="Arial" w:cs="Arial"/>
          <w:sz w:val="22"/>
          <w:szCs w:val="22"/>
        </w:rPr>
        <w:t>7</w:t>
      </w:r>
      <w:r w:rsidR="004C6141">
        <w:rPr>
          <w:rFonts w:ascii="Arial" w:hAnsi="Arial" w:cs="Arial"/>
          <w:sz w:val="22"/>
          <w:szCs w:val="22"/>
        </w:rPr>
        <w:t>, and 1</w:t>
      </w:r>
      <w:r>
        <w:rPr>
          <w:rFonts w:ascii="Arial" w:hAnsi="Arial" w:cs="Arial"/>
          <w:sz w:val="22"/>
          <w:szCs w:val="22"/>
        </w:rPr>
        <w:t>8</w:t>
      </w:r>
      <w:r w:rsidR="004C6141">
        <w:rPr>
          <w:rFonts w:ascii="Arial" w:hAnsi="Arial" w:cs="Arial"/>
          <w:sz w:val="22"/>
          <w:szCs w:val="22"/>
        </w:rPr>
        <w:t xml:space="preserve"> </w:t>
      </w:r>
      <w:r w:rsidR="00B776D6">
        <w:rPr>
          <w:rFonts w:ascii="Arial" w:hAnsi="Arial" w:cs="Arial"/>
          <w:sz w:val="22"/>
          <w:szCs w:val="22"/>
        </w:rPr>
        <w:t>are used to estab</w:t>
      </w:r>
      <w:r w:rsidR="004C6141">
        <w:rPr>
          <w:rFonts w:ascii="Arial" w:hAnsi="Arial" w:cs="Arial"/>
          <w:sz w:val="22"/>
          <w:szCs w:val="22"/>
        </w:rPr>
        <w:t>lish the denominator exclusions. These data elements</w:t>
      </w:r>
      <w:r w:rsidR="00B776D6">
        <w:rPr>
          <w:rFonts w:ascii="Arial" w:hAnsi="Arial" w:cs="Arial"/>
          <w:sz w:val="22"/>
          <w:szCs w:val="22"/>
        </w:rPr>
        <w:t xml:space="preserve"> provide information about discharge statuses and comfort measures documentation. </w:t>
      </w:r>
    </w:p>
    <w:p w14:paraId="2C3DBD98" w14:textId="35993A18" w:rsidR="004C6141" w:rsidRDefault="004C6141" w:rsidP="004C6141">
      <w:pPr>
        <w:pStyle w:val="ListParagraph"/>
        <w:numPr>
          <w:ilvl w:val="0"/>
          <w:numId w:val="6"/>
        </w:numPr>
        <w:rPr>
          <w:rFonts w:ascii="Arial" w:hAnsi="Arial" w:cs="Arial"/>
          <w:sz w:val="22"/>
          <w:szCs w:val="22"/>
        </w:rPr>
      </w:pPr>
      <w:r w:rsidRPr="004562DE">
        <w:rPr>
          <w:rFonts w:ascii="Arial" w:hAnsi="Arial" w:cs="Arial"/>
          <w:sz w:val="22"/>
          <w:szCs w:val="22"/>
        </w:rPr>
        <w:t>Data Availability and Workflow</w:t>
      </w:r>
      <w:r>
        <w:rPr>
          <w:rFonts w:ascii="Arial" w:hAnsi="Arial" w:cs="Arial"/>
          <w:sz w:val="22"/>
          <w:szCs w:val="22"/>
        </w:rPr>
        <w:t xml:space="preserve">: </w:t>
      </w:r>
      <w:r w:rsidRPr="004562DE">
        <w:rPr>
          <w:rFonts w:ascii="Arial" w:hAnsi="Arial" w:cs="Arial"/>
          <w:sz w:val="22"/>
          <w:szCs w:val="22"/>
        </w:rPr>
        <w:t>The data elements exist in a structured format</w:t>
      </w:r>
      <w:r>
        <w:rPr>
          <w:rFonts w:ascii="Arial" w:hAnsi="Arial" w:cs="Arial"/>
          <w:sz w:val="22"/>
          <w:szCs w:val="22"/>
        </w:rPr>
        <w:t xml:space="preserve"> in EHR systems. </w:t>
      </w:r>
      <w:r w:rsidR="001948B8">
        <w:rPr>
          <w:rFonts w:ascii="Arial" w:hAnsi="Arial" w:cs="Arial"/>
          <w:sz w:val="22"/>
          <w:szCs w:val="22"/>
        </w:rPr>
        <w:t>Data elements 5, 7, and 8 are routinely captured in the inpatient assessment process</w:t>
      </w:r>
      <w:r w:rsidR="00083EA9">
        <w:rPr>
          <w:rFonts w:ascii="Arial" w:hAnsi="Arial" w:cs="Arial"/>
          <w:sz w:val="22"/>
          <w:szCs w:val="22"/>
        </w:rPr>
        <w:t xml:space="preserve">. </w:t>
      </w:r>
      <w:r w:rsidR="001948B8">
        <w:rPr>
          <w:rFonts w:ascii="Arial" w:hAnsi="Arial" w:cs="Arial"/>
          <w:sz w:val="22"/>
          <w:szCs w:val="22"/>
        </w:rPr>
        <w:t>The rest of the data elements</w:t>
      </w:r>
      <w:r>
        <w:rPr>
          <w:rFonts w:ascii="Arial" w:hAnsi="Arial" w:cs="Arial"/>
          <w:sz w:val="22"/>
          <w:szCs w:val="22"/>
        </w:rPr>
        <w:t xml:space="preserve"> occur in the routine patient discharge process</w:t>
      </w:r>
      <w:r w:rsidR="00083EA9">
        <w:rPr>
          <w:rFonts w:ascii="Arial" w:hAnsi="Arial" w:cs="Arial"/>
          <w:sz w:val="22"/>
          <w:szCs w:val="22"/>
        </w:rPr>
        <w:t xml:space="preserve">. </w:t>
      </w:r>
      <w:r>
        <w:rPr>
          <w:rFonts w:ascii="Arial" w:hAnsi="Arial" w:cs="Arial"/>
          <w:sz w:val="22"/>
          <w:szCs w:val="22"/>
        </w:rPr>
        <w:t>No additional input is required solely for the purpose of the measure.</w:t>
      </w:r>
    </w:p>
    <w:p w14:paraId="579F4BDB" w14:textId="77777777" w:rsidR="004C6141" w:rsidRDefault="004C6141" w:rsidP="004C6141">
      <w:pPr>
        <w:pStyle w:val="ListParagraph"/>
        <w:numPr>
          <w:ilvl w:val="0"/>
          <w:numId w:val="6"/>
        </w:numPr>
        <w:rPr>
          <w:rFonts w:ascii="Arial" w:hAnsi="Arial" w:cs="Arial"/>
          <w:sz w:val="22"/>
          <w:szCs w:val="22"/>
        </w:rPr>
      </w:pPr>
      <w:r>
        <w:rPr>
          <w:rFonts w:ascii="Arial" w:hAnsi="Arial" w:cs="Arial"/>
          <w:sz w:val="22"/>
          <w:szCs w:val="22"/>
        </w:rPr>
        <w:t>Data Standards: SNOMEDCT is used to represent all denominator exclusion data elements. In addition, the use of these data elements is standardized across multiple eCQMs.</w:t>
      </w:r>
    </w:p>
    <w:p w14:paraId="152DF005" w14:textId="77777777" w:rsidR="004C6141" w:rsidRDefault="004C6141" w:rsidP="00083EA9">
      <w:pPr>
        <w:pStyle w:val="ListParagraph"/>
        <w:numPr>
          <w:ilvl w:val="0"/>
          <w:numId w:val="6"/>
        </w:numPr>
        <w:rPr>
          <w:rFonts w:ascii="Arial" w:hAnsi="Arial" w:cs="Arial"/>
          <w:sz w:val="22"/>
          <w:szCs w:val="22"/>
        </w:rPr>
      </w:pPr>
      <w:r>
        <w:rPr>
          <w:rFonts w:ascii="Arial" w:hAnsi="Arial" w:cs="Arial"/>
          <w:sz w:val="22"/>
          <w:szCs w:val="22"/>
        </w:rPr>
        <w:t xml:space="preserve">Data Accuracy: At this time we are unable to directly assess the accuracy of these elements in an EHR system. </w:t>
      </w:r>
      <w:r w:rsidR="00BB4640">
        <w:rPr>
          <w:rFonts w:ascii="Arial" w:hAnsi="Arial" w:cs="Arial"/>
          <w:sz w:val="22"/>
          <w:szCs w:val="22"/>
        </w:rPr>
        <w:t>However, because these data elements are used across multiple measures and are harmonized with the chart-abstracted version of the measure</w:t>
      </w:r>
      <w:r w:rsidR="00B66013" w:rsidRPr="00B66013">
        <w:rPr>
          <w:rFonts w:ascii="Arial" w:hAnsi="Arial" w:cs="Arial"/>
          <w:sz w:val="22"/>
          <w:szCs w:val="22"/>
        </w:rPr>
        <w:t xml:space="preserve"> </w:t>
      </w:r>
      <w:r w:rsidR="00B66013">
        <w:rPr>
          <w:rFonts w:ascii="Arial" w:hAnsi="Arial" w:cs="Arial"/>
          <w:sz w:val="22"/>
          <w:szCs w:val="22"/>
        </w:rPr>
        <w:t>with which hospitals are already familiar</w:t>
      </w:r>
      <w:r w:rsidR="00BB4640">
        <w:rPr>
          <w:rFonts w:ascii="Arial" w:hAnsi="Arial" w:cs="Arial"/>
          <w:sz w:val="22"/>
          <w:szCs w:val="22"/>
        </w:rPr>
        <w:t>, they are likely to be monitored closely for correctness.</w:t>
      </w:r>
    </w:p>
    <w:p w14:paraId="7E3A1D82" w14:textId="77736DA4" w:rsidR="00973C3C" w:rsidRPr="00A71D02" w:rsidRDefault="00973C3C" w:rsidP="00A71D02">
      <w:pPr>
        <w:rPr>
          <w:rFonts w:ascii="Arial" w:hAnsi="Arial" w:cs="Arial"/>
          <w:sz w:val="22"/>
          <w:szCs w:val="22"/>
          <w:u w:val="single"/>
        </w:rPr>
      </w:pPr>
      <w:r w:rsidRPr="00A71D02">
        <w:rPr>
          <w:rFonts w:ascii="Arial" w:hAnsi="Arial" w:cs="Arial"/>
          <w:sz w:val="22"/>
          <w:szCs w:val="22"/>
          <w:u w:val="single"/>
        </w:rPr>
        <w:t>Denominator Exceptions</w:t>
      </w:r>
    </w:p>
    <w:p w14:paraId="1E5DB308" w14:textId="501E7125" w:rsidR="004C6141" w:rsidRDefault="00973C3C" w:rsidP="00B776D6">
      <w:pPr>
        <w:rPr>
          <w:rFonts w:ascii="Arial" w:hAnsi="Arial" w:cs="Arial"/>
          <w:sz w:val="22"/>
          <w:szCs w:val="22"/>
        </w:rPr>
      </w:pPr>
      <w:r>
        <w:rPr>
          <w:rFonts w:ascii="Arial" w:hAnsi="Arial" w:cs="Arial"/>
          <w:sz w:val="22"/>
          <w:szCs w:val="22"/>
        </w:rPr>
        <w:t xml:space="preserve">Data elements 9, 11, and 12 are used to establish the denominator exceptions.  These </w:t>
      </w:r>
      <w:r w:rsidR="00CF763B">
        <w:rPr>
          <w:rFonts w:ascii="Arial" w:hAnsi="Arial" w:cs="Arial"/>
          <w:sz w:val="22"/>
          <w:szCs w:val="22"/>
        </w:rPr>
        <w:t>data elements provide information about the reasons for not prescribing anticoagulation therapy.</w:t>
      </w:r>
    </w:p>
    <w:p w14:paraId="756C2042" w14:textId="4FC2F532" w:rsidR="00CF763B" w:rsidRDefault="00CF763B" w:rsidP="00083EA9">
      <w:pPr>
        <w:pStyle w:val="ListParagraph"/>
        <w:numPr>
          <w:ilvl w:val="0"/>
          <w:numId w:val="9"/>
        </w:numPr>
        <w:ind w:left="1080"/>
        <w:rPr>
          <w:rFonts w:ascii="Arial" w:hAnsi="Arial" w:cs="Arial"/>
          <w:sz w:val="22"/>
          <w:szCs w:val="22"/>
        </w:rPr>
      </w:pPr>
      <w:r>
        <w:rPr>
          <w:rFonts w:ascii="Arial" w:hAnsi="Arial" w:cs="Arial"/>
          <w:sz w:val="22"/>
          <w:szCs w:val="22"/>
        </w:rPr>
        <w:t>Data Availability and Workflow: The data elements exist in a structured format in EHR systems.  Data collection occurs in the routine patient discharge process. No additional input is required solely for the purpose of the measure.</w:t>
      </w:r>
      <w:r w:rsidR="001948B8">
        <w:rPr>
          <w:rFonts w:ascii="Arial" w:hAnsi="Arial" w:cs="Arial"/>
          <w:sz w:val="22"/>
          <w:szCs w:val="22"/>
        </w:rPr>
        <w:t xml:space="preserve">  Data element 9, ingredient specific value sets, was created based on implementer feedback, so it is believed to be available in routine workflow.  The use of data elements 11 and 12</w:t>
      </w:r>
      <w:r w:rsidR="007441E2">
        <w:rPr>
          <w:rFonts w:ascii="Arial" w:hAnsi="Arial" w:cs="Arial"/>
          <w:sz w:val="22"/>
          <w:szCs w:val="22"/>
        </w:rPr>
        <w:t>, medical reason and patient refusal, are standardized across multiple eCQMs.</w:t>
      </w:r>
    </w:p>
    <w:p w14:paraId="6F7F9488" w14:textId="1A0B0191" w:rsidR="00CF763B" w:rsidRDefault="00CF763B" w:rsidP="00083EA9">
      <w:pPr>
        <w:pStyle w:val="ListParagraph"/>
        <w:numPr>
          <w:ilvl w:val="0"/>
          <w:numId w:val="9"/>
        </w:numPr>
        <w:ind w:left="1080"/>
        <w:rPr>
          <w:rFonts w:ascii="Arial" w:hAnsi="Arial" w:cs="Arial"/>
          <w:sz w:val="22"/>
          <w:szCs w:val="22"/>
        </w:rPr>
      </w:pPr>
      <w:r>
        <w:rPr>
          <w:rFonts w:ascii="Arial" w:hAnsi="Arial" w:cs="Arial"/>
          <w:sz w:val="22"/>
          <w:szCs w:val="22"/>
        </w:rPr>
        <w:t>Data Standards: RXNORM is used to represent data element 9, while SNOMEDCT is used to represent data elements 11 and 12 as denominator exceptions.  In addition, the use of these data elements is standardized across multiple eCQMs.</w:t>
      </w:r>
    </w:p>
    <w:p w14:paraId="00CBBFA9" w14:textId="054554F6" w:rsidR="00CF763B" w:rsidRDefault="00CF763B" w:rsidP="00083EA9">
      <w:pPr>
        <w:pStyle w:val="ListParagraph"/>
        <w:numPr>
          <w:ilvl w:val="0"/>
          <w:numId w:val="9"/>
        </w:numPr>
        <w:ind w:left="1080"/>
        <w:rPr>
          <w:rFonts w:ascii="Arial" w:hAnsi="Arial" w:cs="Arial"/>
          <w:sz w:val="22"/>
          <w:szCs w:val="22"/>
        </w:rPr>
      </w:pPr>
      <w:r>
        <w:rPr>
          <w:rFonts w:ascii="Arial" w:hAnsi="Arial" w:cs="Arial"/>
          <w:sz w:val="22"/>
          <w:szCs w:val="22"/>
        </w:rPr>
        <w:t>Data Accuracy: At this time we are unable to directly assess the accuracy of these elements in an EHR system. However, because these data elements are used across multiple measures and are harmonized with the chart-abstracted version of the measure</w:t>
      </w:r>
      <w:r w:rsidRPr="00B66013">
        <w:rPr>
          <w:rFonts w:ascii="Arial" w:hAnsi="Arial" w:cs="Arial"/>
          <w:sz w:val="22"/>
          <w:szCs w:val="22"/>
        </w:rPr>
        <w:t xml:space="preserve"> </w:t>
      </w:r>
      <w:r>
        <w:rPr>
          <w:rFonts w:ascii="Arial" w:hAnsi="Arial" w:cs="Arial"/>
          <w:sz w:val="22"/>
          <w:szCs w:val="22"/>
        </w:rPr>
        <w:t>with which hospitals are already familiar, they are likely to be monitored closely for correctness.</w:t>
      </w:r>
      <w:r w:rsidR="007441E2">
        <w:rPr>
          <w:rFonts w:ascii="Arial" w:hAnsi="Arial" w:cs="Arial"/>
          <w:sz w:val="22"/>
          <w:szCs w:val="22"/>
        </w:rPr>
        <w:t xml:space="preserve"> In addition, data element 9 was created based on feedback at the request of implementers to improve feasibility, and is believed to be highly feasible.</w:t>
      </w:r>
    </w:p>
    <w:p w14:paraId="0BA9EAC3" w14:textId="77777777" w:rsidR="009C10DE" w:rsidRPr="0084673A" w:rsidRDefault="009C10DE">
      <w:pPr>
        <w:rPr>
          <w:rFonts w:ascii="Arial" w:hAnsi="Arial" w:cs="Arial"/>
          <w:sz w:val="22"/>
          <w:szCs w:val="22"/>
        </w:rPr>
      </w:pPr>
    </w:p>
    <w:sectPr w:rsidR="009C10DE" w:rsidRPr="0084673A" w:rsidSect="008D4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5552C"/>
    <w:multiLevelType w:val="hybridMultilevel"/>
    <w:tmpl w:val="63D0AD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DE5221"/>
    <w:multiLevelType w:val="hybridMultilevel"/>
    <w:tmpl w:val="F62C7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15237"/>
    <w:multiLevelType w:val="multilevel"/>
    <w:tmpl w:val="C1A0A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351400"/>
    <w:multiLevelType w:val="hybridMultilevel"/>
    <w:tmpl w:val="2A6CF3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1102447"/>
    <w:multiLevelType w:val="hybridMultilevel"/>
    <w:tmpl w:val="AEAEC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6A1D7B"/>
    <w:multiLevelType w:val="hybridMultilevel"/>
    <w:tmpl w:val="A6569C7E"/>
    <w:lvl w:ilvl="0" w:tplc="1D9A0F9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70082"/>
    <w:multiLevelType w:val="hybridMultilevel"/>
    <w:tmpl w:val="59C65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BE45DD5"/>
    <w:multiLevelType w:val="hybridMultilevel"/>
    <w:tmpl w:val="E3A014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48C713C"/>
    <w:multiLevelType w:val="hybridMultilevel"/>
    <w:tmpl w:val="017C6132"/>
    <w:lvl w:ilvl="0" w:tplc="3AFEAF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2"/>
  </w:num>
  <w:num w:numId="5">
    <w:abstractNumId w:val="0"/>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EA7"/>
    <w:rsid w:val="0006693A"/>
    <w:rsid w:val="00083EA9"/>
    <w:rsid w:val="00095197"/>
    <w:rsid w:val="001567CF"/>
    <w:rsid w:val="001948B8"/>
    <w:rsid w:val="001C07E5"/>
    <w:rsid w:val="001D70A1"/>
    <w:rsid w:val="002B5A7C"/>
    <w:rsid w:val="00385B9C"/>
    <w:rsid w:val="004562DE"/>
    <w:rsid w:val="0046693F"/>
    <w:rsid w:val="004C6141"/>
    <w:rsid w:val="004E1EA7"/>
    <w:rsid w:val="005342D2"/>
    <w:rsid w:val="005A7667"/>
    <w:rsid w:val="005D2F31"/>
    <w:rsid w:val="00626DF2"/>
    <w:rsid w:val="006B5D02"/>
    <w:rsid w:val="006E33EA"/>
    <w:rsid w:val="00705FB5"/>
    <w:rsid w:val="00722D76"/>
    <w:rsid w:val="007441E2"/>
    <w:rsid w:val="008279C4"/>
    <w:rsid w:val="0084673A"/>
    <w:rsid w:val="008767C7"/>
    <w:rsid w:val="008A1334"/>
    <w:rsid w:val="008D4CAE"/>
    <w:rsid w:val="0092713C"/>
    <w:rsid w:val="00973C3C"/>
    <w:rsid w:val="009C10DE"/>
    <w:rsid w:val="009E0C09"/>
    <w:rsid w:val="00A61AE6"/>
    <w:rsid w:val="00A71D02"/>
    <w:rsid w:val="00AE365B"/>
    <w:rsid w:val="00B434C4"/>
    <w:rsid w:val="00B4421D"/>
    <w:rsid w:val="00B521CB"/>
    <w:rsid w:val="00B66013"/>
    <w:rsid w:val="00B776D6"/>
    <w:rsid w:val="00BB4640"/>
    <w:rsid w:val="00BC3E92"/>
    <w:rsid w:val="00C14434"/>
    <w:rsid w:val="00C81E48"/>
    <w:rsid w:val="00CC4935"/>
    <w:rsid w:val="00CE1D88"/>
    <w:rsid w:val="00CF763B"/>
    <w:rsid w:val="00DD2CD9"/>
    <w:rsid w:val="00E17CA9"/>
    <w:rsid w:val="00EA153B"/>
    <w:rsid w:val="00F04641"/>
    <w:rsid w:val="00F3724A"/>
    <w:rsid w:val="00F43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D55C"/>
  <w15:docId w15:val="{CFAF9216-4660-4229-812B-B8BFD4ADD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3B"/>
  </w:style>
  <w:style w:type="paragraph" w:styleId="Heading1">
    <w:name w:val="heading 1"/>
    <w:basedOn w:val="Normal"/>
    <w:next w:val="Normal"/>
    <w:link w:val="Heading1Char"/>
    <w:uiPriority w:val="9"/>
    <w:qFormat/>
    <w:rsid w:val="00EA153B"/>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Heading2">
    <w:name w:val="heading 2"/>
    <w:basedOn w:val="Normal"/>
    <w:next w:val="Normal"/>
    <w:link w:val="Heading2Char"/>
    <w:uiPriority w:val="9"/>
    <w:semiHidden/>
    <w:unhideWhenUsed/>
    <w:qFormat/>
    <w:rsid w:val="00EA153B"/>
    <w:pPr>
      <w:keepNext/>
      <w:keepLines/>
      <w:spacing w:before="160" w:after="0" w:line="240" w:lineRule="auto"/>
      <w:outlineLvl w:val="1"/>
    </w:pPr>
    <w:rPr>
      <w:rFonts w:ascii="Calibri Light" w:eastAsia="SimSun" w:hAnsi="Calibri Light"/>
      <w:color w:val="2E74B5"/>
      <w:sz w:val="28"/>
      <w:szCs w:val="28"/>
    </w:rPr>
  </w:style>
  <w:style w:type="paragraph" w:styleId="Heading3">
    <w:name w:val="heading 3"/>
    <w:basedOn w:val="Normal"/>
    <w:next w:val="Normal"/>
    <w:link w:val="Heading3Char"/>
    <w:uiPriority w:val="9"/>
    <w:semiHidden/>
    <w:unhideWhenUsed/>
    <w:qFormat/>
    <w:rsid w:val="00EA153B"/>
    <w:pPr>
      <w:keepNext/>
      <w:keepLines/>
      <w:spacing w:before="80" w:after="0" w:line="240" w:lineRule="auto"/>
      <w:outlineLvl w:val="2"/>
    </w:pPr>
    <w:rPr>
      <w:rFonts w:ascii="Calibri Light" w:eastAsia="SimSun" w:hAnsi="Calibri Light"/>
      <w:color w:val="404040"/>
      <w:sz w:val="26"/>
      <w:szCs w:val="26"/>
    </w:rPr>
  </w:style>
  <w:style w:type="paragraph" w:styleId="Heading4">
    <w:name w:val="heading 4"/>
    <w:basedOn w:val="Normal"/>
    <w:next w:val="Normal"/>
    <w:link w:val="Heading4Char"/>
    <w:uiPriority w:val="9"/>
    <w:semiHidden/>
    <w:unhideWhenUsed/>
    <w:qFormat/>
    <w:rsid w:val="00EA153B"/>
    <w:pPr>
      <w:keepNext/>
      <w:keepLines/>
      <w:spacing w:before="80" w:after="0"/>
      <w:outlineLvl w:val="3"/>
    </w:pPr>
    <w:rPr>
      <w:rFonts w:ascii="Calibri Light" w:eastAsia="SimSun" w:hAnsi="Calibri Light"/>
      <w:sz w:val="24"/>
      <w:szCs w:val="24"/>
    </w:rPr>
  </w:style>
  <w:style w:type="paragraph" w:styleId="Heading5">
    <w:name w:val="heading 5"/>
    <w:basedOn w:val="Normal"/>
    <w:next w:val="Normal"/>
    <w:link w:val="Heading5Char"/>
    <w:uiPriority w:val="9"/>
    <w:semiHidden/>
    <w:unhideWhenUsed/>
    <w:qFormat/>
    <w:rsid w:val="00EA153B"/>
    <w:pPr>
      <w:keepNext/>
      <w:keepLines/>
      <w:spacing w:before="80" w:after="0"/>
      <w:outlineLvl w:val="4"/>
    </w:pPr>
    <w:rPr>
      <w:rFonts w:ascii="Calibri Light" w:eastAsia="SimSun" w:hAnsi="Calibri Light"/>
      <w:i/>
      <w:iCs/>
      <w:sz w:val="22"/>
      <w:szCs w:val="22"/>
    </w:rPr>
  </w:style>
  <w:style w:type="paragraph" w:styleId="Heading6">
    <w:name w:val="heading 6"/>
    <w:basedOn w:val="Normal"/>
    <w:next w:val="Normal"/>
    <w:link w:val="Heading6Char"/>
    <w:uiPriority w:val="9"/>
    <w:semiHidden/>
    <w:unhideWhenUsed/>
    <w:qFormat/>
    <w:rsid w:val="00EA153B"/>
    <w:pPr>
      <w:keepNext/>
      <w:keepLines/>
      <w:spacing w:before="80" w:after="0"/>
      <w:outlineLvl w:val="5"/>
    </w:pPr>
    <w:rPr>
      <w:rFonts w:ascii="Calibri Light" w:eastAsia="SimSun" w:hAnsi="Calibri Light"/>
      <w:color w:val="595959"/>
    </w:rPr>
  </w:style>
  <w:style w:type="paragraph" w:styleId="Heading7">
    <w:name w:val="heading 7"/>
    <w:basedOn w:val="Normal"/>
    <w:next w:val="Normal"/>
    <w:link w:val="Heading7Char"/>
    <w:uiPriority w:val="9"/>
    <w:semiHidden/>
    <w:unhideWhenUsed/>
    <w:qFormat/>
    <w:rsid w:val="00EA153B"/>
    <w:pPr>
      <w:keepNext/>
      <w:keepLines/>
      <w:spacing w:before="80" w:after="0"/>
      <w:outlineLvl w:val="6"/>
    </w:pPr>
    <w:rPr>
      <w:rFonts w:ascii="Calibri Light" w:eastAsia="SimSun" w:hAnsi="Calibri Light"/>
      <w:i/>
      <w:iCs/>
      <w:color w:val="595959"/>
    </w:rPr>
  </w:style>
  <w:style w:type="paragraph" w:styleId="Heading8">
    <w:name w:val="heading 8"/>
    <w:basedOn w:val="Normal"/>
    <w:next w:val="Normal"/>
    <w:link w:val="Heading8Char"/>
    <w:uiPriority w:val="9"/>
    <w:semiHidden/>
    <w:unhideWhenUsed/>
    <w:qFormat/>
    <w:rsid w:val="00EA153B"/>
    <w:pPr>
      <w:keepNext/>
      <w:keepLines/>
      <w:spacing w:before="80" w:after="0"/>
      <w:outlineLvl w:val="7"/>
    </w:pPr>
    <w:rPr>
      <w:rFonts w:ascii="Calibri Light" w:eastAsia="SimSun" w:hAnsi="Calibri Light"/>
      <w:smallCaps/>
      <w:color w:val="595959"/>
    </w:rPr>
  </w:style>
  <w:style w:type="paragraph" w:styleId="Heading9">
    <w:name w:val="heading 9"/>
    <w:basedOn w:val="Normal"/>
    <w:next w:val="Normal"/>
    <w:link w:val="Heading9Char"/>
    <w:uiPriority w:val="9"/>
    <w:semiHidden/>
    <w:unhideWhenUsed/>
    <w:qFormat/>
    <w:rsid w:val="00EA153B"/>
    <w:pPr>
      <w:keepNext/>
      <w:keepLines/>
      <w:spacing w:before="80" w:after="0"/>
      <w:outlineLvl w:val="8"/>
    </w:pPr>
    <w:rPr>
      <w:rFonts w:ascii="Calibri Light" w:eastAsia="SimSun" w:hAnsi="Calibri Light"/>
      <w:i/>
      <w:iCs/>
      <w:smallCap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A153B"/>
    <w:rPr>
      <w:rFonts w:ascii="Calibri Light" w:eastAsia="SimSun" w:hAnsi="Calibri Light"/>
      <w:color w:val="2E74B5"/>
      <w:sz w:val="36"/>
      <w:szCs w:val="36"/>
    </w:rPr>
  </w:style>
  <w:style w:type="character" w:customStyle="1" w:styleId="Heading2Char">
    <w:name w:val="Heading 2 Char"/>
    <w:link w:val="Heading2"/>
    <w:uiPriority w:val="9"/>
    <w:semiHidden/>
    <w:rsid w:val="00EA153B"/>
    <w:rPr>
      <w:rFonts w:ascii="Calibri Light" w:eastAsia="SimSun" w:hAnsi="Calibri Light"/>
      <w:color w:val="2E74B5"/>
      <w:sz w:val="28"/>
      <w:szCs w:val="28"/>
    </w:rPr>
  </w:style>
  <w:style w:type="character" w:customStyle="1" w:styleId="Heading3Char">
    <w:name w:val="Heading 3 Char"/>
    <w:link w:val="Heading3"/>
    <w:uiPriority w:val="9"/>
    <w:semiHidden/>
    <w:rsid w:val="00EA153B"/>
    <w:rPr>
      <w:rFonts w:ascii="Calibri Light" w:eastAsia="SimSun" w:hAnsi="Calibri Light"/>
      <w:color w:val="404040"/>
      <w:sz w:val="26"/>
      <w:szCs w:val="26"/>
    </w:rPr>
  </w:style>
  <w:style w:type="character" w:customStyle="1" w:styleId="Heading4Char">
    <w:name w:val="Heading 4 Char"/>
    <w:link w:val="Heading4"/>
    <w:uiPriority w:val="9"/>
    <w:semiHidden/>
    <w:rsid w:val="00EA153B"/>
    <w:rPr>
      <w:rFonts w:ascii="Calibri Light" w:eastAsia="SimSun" w:hAnsi="Calibri Light"/>
      <w:sz w:val="24"/>
      <w:szCs w:val="24"/>
    </w:rPr>
  </w:style>
  <w:style w:type="character" w:customStyle="1" w:styleId="Heading5Char">
    <w:name w:val="Heading 5 Char"/>
    <w:link w:val="Heading5"/>
    <w:uiPriority w:val="9"/>
    <w:semiHidden/>
    <w:rsid w:val="00EA153B"/>
    <w:rPr>
      <w:rFonts w:ascii="Calibri Light" w:eastAsia="SimSun" w:hAnsi="Calibri Light"/>
      <w:i/>
      <w:iCs/>
      <w:sz w:val="22"/>
      <w:szCs w:val="22"/>
    </w:rPr>
  </w:style>
  <w:style w:type="character" w:customStyle="1" w:styleId="Heading6Char">
    <w:name w:val="Heading 6 Char"/>
    <w:link w:val="Heading6"/>
    <w:uiPriority w:val="9"/>
    <w:semiHidden/>
    <w:rsid w:val="00EA153B"/>
    <w:rPr>
      <w:rFonts w:ascii="Calibri Light" w:eastAsia="SimSun" w:hAnsi="Calibri Light"/>
      <w:color w:val="595959"/>
    </w:rPr>
  </w:style>
  <w:style w:type="character" w:customStyle="1" w:styleId="Heading7Char">
    <w:name w:val="Heading 7 Char"/>
    <w:link w:val="Heading7"/>
    <w:uiPriority w:val="9"/>
    <w:semiHidden/>
    <w:rsid w:val="00EA153B"/>
    <w:rPr>
      <w:rFonts w:ascii="Calibri Light" w:eastAsia="SimSun" w:hAnsi="Calibri Light"/>
      <w:i/>
      <w:iCs/>
      <w:color w:val="595959"/>
    </w:rPr>
  </w:style>
  <w:style w:type="character" w:customStyle="1" w:styleId="Heading8Char">
    <w:name w:val="Heading 8 Char"/>
    <w:link w:val="Heading8"/>
    <w:uiPriority w:val="9"/>
    <w:semiHidden/>
    <w:rsid w:val="00EA153B"/>
    <w:rPr>
      <w:rFonts w:ascii="Calibri Light" w:eastAsia="SimSun" w:hAnsi="Calibri Light"/>
      <w:smallCaps/>
      <w:color w:val="595959"/>
    </w:rPr>
  </w:style>
  <w:style w:type="character" w:customStyle="1" w:styleId="Heading9Char">
    <w:name w:val="Heading 9 Char"/>
    <w:link w:val="Heading9"/>
    <w:uiPriority w:val="9"/>
    <w:semiHidden/>
    <w:rsid w:val="00EA153B"/>
    <w:rPr>
      <w:rFonts w:ascii="Calibri Light" w:eastAsia="SimSun" w:hAnsi="Calibri Light"/>
      <w:i/>
      <w:iCs/>
      <w:smallCaps/>
      <w:color w:val="595959"/>
    </w:rPr>
  </w:style>
  <w:style w:type="paragraph" w:styleId="Title">
    <w:name w:val="Title"/>
    <w:basedOn w:val="Normal"/>
    <w:next w:val="Normal"/>
    <w:link w:val="TitleChar"/>
    <w:uiPriority w:val="10"/>
    <w:qFormat/>
    <w:rsid w:val="00EA153B"/>
    <w:pPr>
      <w:spacing w:after="0" w:line="240" w:lineRule="auto"/>
      <w:contextualSpacing/>
    </w:pPr>
    <w:rPr>
      <w:rFonts w:ascii="Calibri Light" w:eastAsia="SimSun" w:hAnsi="Calibri Light"/>
      <w:color w:val="2E74B5"/>
      <w:spacing w:val="-7"/>
      <w:sz w:val="80"/>
      <w:szCs w:val="80"/>
    </w:rPr>
  </w:style>
  <w:style w:type="character" w:customStyle="1" w:styleId="TitleChar">
    <w:name w:val="Title Char"/>
    <w:link w:val="Title"/>
    <w:uiPriority w:val="10"/>
    <w:rsid w:val="00EA153B"/>
    <w:rPr>
      <w:rFonts w:ascii="Calibri Light" w:eastAsia="SimSun" w:hAnsi="Calibri Light"/>
      <w:color w:val="2E74B5"/>
      <w:spacing w:val="-7"/>
      <w:sz w:val="80"/>
      <w:szCs w:val="80"/>
    </w:rPr>
  </w:style>
  <w:style w:type="paragraph" w:styleId="Subtitle">
    <w:name w:val="Subtitle"/>
    <w:basedOn w:val="Normal"/>
    <w:next w:val="Normal"/>
    <w:link w:val="SubtitleChar"/>
    <w:uiPriority w:val="11"/>
    <w:qFormat/>
    <w:rsid w:val="00EA153B"/>
    <w:pPr>
      <w:numPr>
        <w:ilvl w:val="1"/>
      </w:numPr>
      <w:spacing w:after="240" w:line="240" w:lineRule="auto"/>
    </w:pPr>
    <w:rPr>
      <w:rFonts w:ascii="Calibri Light" w:eastAsia="SimSun" w:hAnsi="Calibri Light"/>
      <w:color w:val="404040"/>
      <w:sz w:val="30"/>
      <w:szCs w:val="30"/>
    </w:rPr>
  </w:style>
  <w:style w:type="character" w:customStyle="1" w:styleId="SubtitleChar">
    <w:name w:val="Subtitle Char"/>
    <w:link w:val="Subtitle"/>
    <w:uiPriority w:val="11"/>
    <w:rsid w:val="00EA153B"/>
    <w:rPr>
      <w:rFonts w:ascii="Calibri Light" w:eastAsia="SimSun" w:hAnsi="Calibri Light"/>
      <w:color w:val="404040"/>
      <w:sz w:val="30"/>
      <w:szCs w:val="30"/>
    </w:rPr>
  </w:style>
  <w:style w:type="character" w:styleId="Strong">
    <w:name w:val="Strong"/>
    <w:uiPriority w:val="22"/>
    <w:qFormat/>
    <w:rsid w:val="00EA153B"/>
    <w:rPr>
      <w:b/>
      <w:bCs/>
    </w:rPr>
  </w:style>
  <w:style w:type="character" w:styleId="Emphasis">
    <w:name w:val="Emphasis"/>
    <w:uiPriority w:val="20"/>
    <w:qFormat/>
    <w:rsid w:val="00EA153B"/>
    <w:rPr>
      <w:i/>
      <w:iCs/>
    </w:rPr>
  </w:style>
  <w:style w:type="paragraph" w:styleId="NoSpacing">
    <w:name w:val="No Spacing"/>
    <w:link w:val="NoSpacingChar"/>
    <w:uiPriority w:val="1"/>
    <w:qFormat/>
    <w:rsid w:val="00EA153B"/>
    <w:pPr>
      <w:spacing w:after="0" w:line="240" w:lineRule="auto"/>
    </w:pPr>
  </w:style>
  <w:style w:type="paragraph" w:styleId="ListParagraph">
    <w:name w:val="List Paragraph"/>
    <w:basedOn w:val="Normal"/>
    <w:uiPriority w:val="34"/>
    <w:qFormat/>
    <w:rsid w:val="00EA153B"/>
    <w:pPr>
      <w:ind w:left="720"/>
      <w:contextualSpacing/>
    </w:pPr>
  </w:style>
  <w:style w:type="paragraph" w:styleId="Quote">
    <w:name w:val="Quote"/>
    <w:basedOn w:val="Normal"/>
    <w:next w:val="Normal"/>
    <w:link w:val="QuoteChar"/>
    <w:uiPriority w:val="29"/>
    <w:qFormat/>
    <w:rsid w:val="00EA153B"/>
    <w:pPr>
      <w:spacing w:before="240" w:after="240" w:line="252" w:lineRule="auto"/>
      <w:ind w:left="864" w:right="864"/>
      <w:jc w:val="center"/>
    </w:pPr>
    <w:rPr>
      <w:i/>
      <w:iCs/>
    </w:rPr>
  </w:style>
  <w:style w:type="character" w:customStyle="1" w:styleId="QuoteChar">
    <w:name w:val="Quote Char"/>
    <w:link w:val="Quote"/>
    <w:uiPriority w:val="29"/>
    <w:rsid w:val="00EA153B"/>
    <w:rPr>
      <w:i/>
      <w:iCs/>
    </w:rPr>
  </w:style>
  <w:style w:type="paragraph" w:styleId="IntenseQuote">
    <w:name w:val="Intense Quote"/>
    <w:basedOn w:val="Normal"/>
    <w:next w:val="Normal"/>
    <w:link w:val="IntenseQuoteChar"/>
    <w:uiPriority w:val="30"/>
    <w:qFormat/>
    <w:rsid w:val="00EA153B"/>
    <w:pPr>
      <w:spacing w:before="100" w:beforeAutospacing="1" w:after="240"/>
      <w:ind w:left="864" w:right="864"/>
      <w:jc w:val="center"/>
    </w:pPr>
    <w:rPr>
      <w:rFonts w:ascii="Calibri Light" w:eastAsia="SimSun" w:hAnsi="Calibri Light"/>
      <w:color w:val="5B9BD5"/>
      <w:sz w:val="28"/>
      <w:szCs w:val="28"/>
    </w:rPr>
  </w:style>
  <w:style w:type="character" w:customStyle="1" w:styleId="IntenseQuoteChar">
    <w:name w:val="Intense Quote Char"/>
    <w:link w:val="IntenseQuote"/>
    <w:uiPriority w:val="30"/>
    <w:rsid w:val="00EA153B"/>
    <w:rPr>
      <w:rFonts w:ascii="Calibri Light" w:eastAsia="SimSun" w:hAnsi="Calibri Light"/>
      <w:color w:val="5B9BD5"/>
      <w:sz w:val="28"/>
      <w:szCs w:val="28"/>
    </w:rPr>
  </w:style>
  <w:style w:type="character" w:styleId="SubtleEmphasis">
    <w:name w:val="Subtle Emphasis"/>
    <w:uiPriority w:val="19"/>
    <w:qFormat/>
    <w:rsid w:val="00EA153B"/>
    <w:rPr>
      <w:i/>
      <w:iCs/>
      <w:color w:val="595959"/>
    </w:rPr>
  </w:style>
  <w:style w:type="character" w:styleId="IntenseEmphasis">
    <w:name w:val="Intense Emphasis"/>
    <w:uiPriority w:val="21"/>
    <w:qFormat/>
    <w:rsid w:val="00EA153B"/>
    <w:rPr>
      <w:b/>
      <w:bCs/>
      <w:i/>
      <w:iCs/>
    </w:rPr>
  </w:style>
  <w:style w:type="character" w:styleId="SubtleReference">
    <w:name w:val="Subtle Reference"/>
    <w:uiPriority w:val="31"/>
    <w:qFormat/>
    <w:rsid w:val="00EA153B"/>
    <w:rPr>
      <w:smallCaps/>
      <w:color w:val="404040"/>
    </w:rPr>
  </w:style>
  <w:style w:type="character" w:styleId="IntenseReference">
    <w:name w:val="Intense Reference"/>
    <w:uiPriority w:val="32"/>
    <w:qFormat/>
    <w:rsid w:val="00EA153B"/>
    <w:rPr>
      <w:b/>
      <w:bCs/>
      <w:smallCaps/>
      <w:u w:val="single"/>
    </w:rPr>
  </w:style>
  <w:style w:type="character" w:styleId="BookTitle">
    <w:name w:val="Book Title"/>
    <w:uiPriority w:val="33"/>
    <w:qFormat/>
    <w:rsid w:val="00EA153B"/>
    <w:rPr>
      <w:b/>
      <w:bCs/>
      <w:smallCaps/>
    </w:rPr>
  </w:style>
  <w:style w:type="paragraph" w:styleId="TOCHeading">
    <w:name w:val="TOC Heading"/>
    <w:basedOn w:val="Heading1"/>
    <w:next w:val="Normal"/>
    <w:uiPriority w:val="39"/>
    <w:semiHidden/>
    <w:unhideWhenUsed/>
    <w:qFormat/>
    <w:rsid w:val="00EA153B"/>
    <w:pPr>
      <w:outlineLvl w:val="9"/>
    </w:pPr>
  </w:style>
  <w:style w:type="paragraph" w:styleId="Caption">
    <w:name w:val="caption"/>
    <w:basedOn w:val="Normal"/>
    <w:next w:val="Normal"/>
    <w:uiPriority w:val="35"/>
    <w:semiHidden/>
    <w:unhideWhenUsed/>
    <w:qFormat/>
    <w:rsid w:val="00EA153B"/>
    <w:pPr>
      <w:spacing w:line="240" w:lineRule="auto"/>
    </w:pPr>
    <w:rPr>
      <w:b/>
      <w:bCs/>
      <w:color w:val="404040"/>
      <w:sz w:val="20"/>
      <w:szCs w:val="20"/>
    </w:rPr>
  </w:style>
  <w:style w:type="character" w:customStyle="1" w:styleId="NoSpacingChar">
    <w:name w:val="No Spacing Char"/>
    <w:link w:val="NoSpacing"/>
    <w:uiPriority w:val="1"/>
    <w:rsid w:val="00EA153B"/>
  </w:style>
  <w:style w:type="character" w:styleId="CommentReference">
    <w:name w:val="annotation reference"/>
    <w:basedOn w:val="DefaultParagraphFont"/>
    <w:uiPriority w:val="99"/>
    <w:semiHidden/>
    <w:unhideWhenUsed/>
    <w:rsid w:val="009E0C09"/>
    <w:rPr>
      <w:sz w:val="16"/>
      <w:szCs w:val="16"/>
    </w:rPr>
  </w:style>
  <w:style w:type="paragraph" w:styleId="CommentText">
    <w:name w:val="annotation text"/>
    <w:basedOn w:val="Normal"/>
    <w:link w:val="CommentTextChar"/>
    <w:uiPriority w:val="99"/>
    <w:semiHidden/>
    <w:unhideWhenUsed/>
    <w:rsid w:val="009E0C09"/>
    <w:pPr>
      <w:spacing w:line="240" w:lineRule="auto"/>
    </w:pPr>
    <w:rPr>
      <w:sz w:val="20"/>
      <w:szCs w:val="20"/>
    </w:rPr>
  </w:style>
  <w:style w:type="character" w:customStyle="1" w:styleId="CommentTextChar">
    <w:name w:val="Comment Text Char"/>
    <w:basedOn w:val="DefaultParagraphFont"/>
    <w:link w:val="CommentText"/>
    <w:uiPriority w:val="99"/>
    <w:semiHidden/>
    <w:rsid w:val="009E0C09"/>
    <w:rPr>
      <w:sz w:val="20"/>
      <w:szCs w:val="20"/>
    </w:rPr>
  </w:style>
  <w:style w:type="paragraph" w:styleId="CommentSubject">
    <w:name w:val="annotation subject"/>
    <w:basedOn w:val="CommentText"/>
    <w:next w:val="CommentText"/>
    <w:link w:val="CommentSubjectChar"/>
    <w:uiPriority w:val="99"/>
    <w:semiHidden/>
    <w:unhideWhenUsed/>
    <w:rsid w:val="009E0C09"/>
    <w:rPr>
      <w:b/>
      <w:bCs/>
    </w:rPr>
  </w:style>
  <w:style w:type="character" w:customStyle="1" w:styleId="CommentSubjectChar">
    <w:name w:val="Comment Subject Char"/>
    <w:basedOn w:val="CommentTextChar"/>
    <w:link w:val="CommentSubject"/>
    <w:uiPriority w:val="99"/>
    <w:semiHidden/>
    <w:rsid w:val="009E0C09"/>
    <w:rPr>
      <w:b/>
      <w:bCs/>
      <w:sz w:val="20"/>
      <w:szCs w:val="20"/>
    </w:rPr>
  </w:style>
  <w:style w:type="paragraph" w:styleId="BalloonText">
    <w:name w:val="Balloon Text"/>
    <w:basedOn w:val="Normal"/>
    <w:link w:val="BalloonTextChar"/>
    <w:uiPriority w:val="99"/>
    <w:semiHidden/>
    <w:unhideWhenUsed/>
    <w:rsid w:val="009E0C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C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550011">
      <w:bodyDiv w:val="1"/>
      <w:marLeft w:val="0"/>
      <w:marRight w:val="0"/>
      <w:marTop w:val="0"/>
      <w:marBottom w:val="0"/>
      <w:divBdr>
        <w:top w:val="none" w:sz="0" w:space="0" w:color="auto"/>
        <w:left w:val="none" w:sz="0" w:space="0" w:color="auto"/>
        <w:bottom w:val="none" w:sz="0" w:space="0" w:color="auto"/>
        <w:right w:val="none" w:sz="0" w:space="0" w:color="auto"/>
      </w:divBdr>
    </w:div>
    <w:div w:id="931201071">
      <w:bodyDiv w:val="1"/>
      <w:marLeft w:val="0"/>
      <w:marRight w:val="0"/>
      <w:marTop w:val="0"/>
      <w:marBottom w:val="0"/>
      <w:divBdr>
        <w:top w:val="none" w:sz="0" w:space="0" w:color="auto"/>
        <w:left w:val="none" w:sz="0" w:space="0" w:color="auto"/>
        <w:bottom w:val="none" w:sz="0" w:space="0" w:color="auto"/>
        <w:right w:val="none" w:sz="0" w:space="0" w:color="auto"/>
      </w:divBdr>
    </w:div>
    <w:div w:id="214403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1445</Words>
  <Characters>8242</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Dardis, Michelle</dc:creator>
  <cp:keywords/>
  <dc:description/>
  <cp:lastModifiedBy>Anderson, Lisa</cp:lastModifiedBy>
  <cp:revision>2</cp:revision>
  <dcterms:created xsi:type="dcterms:W3CDTF">2016-02-08T14:25:00Z</dcterms:created>
  <dcterms:modified xsi:type="dcterms:W3CDTF">2016-02-08T14:25:00Z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