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2b2-2b6)</w:t>
      </w:r>
    </w:p>
    <w:p w:rsidR="00927027" w:rsidRDefault="00927027" w:rsidP="00105D8B">
      <w:pPr>
        <w:contextualSpacing/>
        <w:rPr>
          <w:rFonts w:cstheme="minorHAnsi"/>
          <w:b/>
          <w:noProof/>
        </w:rPr>
      </w:pPr>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42121C">
            <w:rPr>
              <w:rStyle w:val="Style1"/>
              <w:rFonts w:cstheme="minorHAnsi"/>
            </w:rPr>
            <w:t>Perioperative Temperature Management</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4-03-17T00:00:00Z">
            <w:dateFormat w:val="M/d/yyyy"/>
            <w:lid w:val="en-US"/>
            <w:storeMappedDataAs w:val="dateTime"/>
            <w:calendar w:val="gregorian"/>
          </w:date>
        </w:sdtPr>
        <w:sdtEndPr>
          <w:rPr>
            <w:rStyle w:val="DefaultParagraphFont"/>
            <w:noProof/>
            <w:color w:val="auto"/>
            <w:u w:val="none"/>
          </w:rPr>
        </w:sdtEndPr>
        <w:sdtContent>
          <w:r w:rsidR="0042121C">
            <w:rPr>
              <w:rStyle w:val="Style2"/>
              <w:rFonts w:cstheme="minorHAnsi"/>
            </w:rPr>
            <w:t>3/17/2014</w:t>
          </w:r>
        </w:sdtContent>
      </w:sdt>
    </w:p>
    <w:p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E61053"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E61053"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E61053"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E61053"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42121C">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E61053"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E61053"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8"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4853A0" w:rsidTr="00145149">
        <w:trPr>
          <w:jc w:val="center"/>
        </w:trPr>
        <w:tc>
          <w:tcPr>
            <w:tcW w:w="9576" w:type="dxa"/>
          </w:tcPr>
          <w:p w:rsidR="00B53E8B" w:rsidRPr="004853A0" w:rsidRDefault="00B53E8B" w:rsidP="00702C73">
            <w:pPr>
              <w:rPr>
                <w:rFonts w:cstheme="minorHAnsi"/>
                <w:b/>
                <w:bCs/>
              </w:rPr>
            </w:pPr>
            <w:r w:rsidRPr="004853A0">
              <w:rPr>
                <w:b/>
                <w:bCs/>
                <w:u w:val="single"/>
              </w:rPr>
              <w:t>Note</w:t>
            </w:r>
            <w:r w:rsidRPr="004853A0">
              <w:rPr>
                <w:b/>
                <w:bCs/>
              </w:rPr>
              <w:t>: The information provided in this form is intended to aid the Steering Committee and other stakeholders in understanding to what degree the testing results for this measure meet NQF’s evaluation criteria</w:t>
            </w:r>
            <w:r w:rsidR="000E78F6" w:rsidRPr="004853A0">
              <w:rPr>
                <w:b/>
                <w:bCs/>
              </w:rPr>
              <w:t xml:space="preserve"> for testing</w:t>
            </w:r>
            <w:r w:rsidRPr="004853A0">
              <w:rPr>
                <w:b/>
                <w:bCs/>
              </w:rPr>
              <w:t>.</w:t>
            </w:r>
          </w:p>
          <w:p w:rsidR="00B53E8B" w:rsidRPr="004853A0" w:rsidRDefault="00B53E8B" w:rsidP="00702C73">
            <w:pPr>
              <w:rPr>
                <w:rFonts w:cstheme="minorHAnsi"/>
                <w:b/>
                <w:bCs/>
              </w:rPr>
            </w:pPr>
          </w:p>
          <w:p w:rsidR="00BC0D25" w:rsidRPr="004853A0" w:rsidRDefault="00145149" w:rsidP="00702C73">
            <w:pPr>
              <w:rPr>
                <w:rFonts w:cstheme="minorHAnsi"/>
                <w:bCs/>
                <w:iCs/>
              </w:rPr>
            </w:pPr>
            <w:r w:rsidRPr="004853A0">
              <w:rPr>
                <w:rFonts w:cstheme="minorHAnsi"/>
                <w:b/>
                <w:bCs/>
              </w:rPr>
              <w:t>2a2.</w:t>
            </w:r>
            <w:r w:rsidRPr="004853A0">
              <w:rPr>
                <w:rFonts w:cstheme="minorHAnsi"/>
              </w:rPr>
              <w:t xml:space="preserve"> </w:t>
            </w:r>
            <w:r w:rsidRPr="004853A0">
              <w:rPr>
                <w:rFonts w:cstheme="minorHAnsi"/>
                <w:b/>
              </w:rPr>
              <w:t>Reliability testing</w:t>
            </w:r>
            <w:r w:rsidRPr="004853A0">
              <w:rPr>
                <w:rFonts w:cstheme="minorHAnsi"/>
              </w:rPr>
              <w:t xml:space="preserve"> </w:t>
            </w:r>
            <w:hyperlink w:anchor="Note10" w:history="1">
              <w:r w:rsidRPr="004853A0">
                <w:rPr>
                  <w:rStyle w:val="Hyperlink"/>
                  <w:rFonts w:cstheme="minorHAnsi"/>
                  <w:b/>
                  <w:vertAlign w:val="superscript"/>
                </w:rPr>
                <w:t>10</w:t>
              </w:r>
            </w:hyperlink>
            <w:r w:rsidRPr="004853A0">
              <w:rPr>
                <w:rFonts w:cstheme="minorHAnsi"/>
              </w:rPr>
              <w:t xml:space="preserve"> demonstrates the measure data elements are repeatable, producing the same results a high proportion of the time when assessed </w:t>
            </w:r>
            <w:r w:rsidRPr="004853A0">
              <w:rPr>
                <w:rFonts w:cstheme="minorHAnsi"/>
                <w:bCs/>
                <w:iCs/>
              </w:rPr>
              <w:t xml:space="preserve">in the same population in the same time period </w:t>
            </w:r>
            <w:r w:rsidRPr="004853A0">
              <w:rPr>
                <w:rFonts w:cstheme="minorHAnsi"/>
              </w:rPr>
              <w:t>and/or that the measure score is precise</w:t>
            </w:r>
            <w:r w:rsidRPr="004853A0">
              <w:rPr>
                <w:rFonts w:cstheme="minorHAnsi"/>
                <w:bCs/>
                <w:iCs/>
              </w:rPr>
              <w:t>.</w:t>
            </w:r>
          </w:p>
          <w:p w:rsidR="00145149" w:rsidRPr="004853A0" w:rsidRDefault="00145149" w:rsidP="00145149">
            <w:pPr>
              <w:autoSpaceDE w:val="0"/>
              <w:autoSpaceDN w:val="0"/>
              <w:adjustRightInd w:val="0"/>
              <w:rPr>
                <w:rFonts w:cstheme="minorHAnsi"/>
                <w:b/>
                <w:iCs/>
              </w:rPr>
            </w:pPr>
          </w:p>
          <w:p w:rsidR="00145149" w:rsidRPr="004853A0" w:rsidRDefault="00145149" w:rsidP="00145149">
            <w:pPr>
              <w:autoSpaceDE w:val="0"/>
              <w:autoSpaceDN w:val="0"/>
              <w:adjustRightInd w:val="0"/>
              <w:rPr>
                <w:rFonts w:cstheme="minorHAnsi"/>
              </w:rPr>
            </w:pPr>
            <w:r w:rsidRPr="004853A0">
              <w:rPr>
                <w:rFonts w:cstheme="minorHAnsi"/>
                <w:b/>
                <w:iCs/>
              </w:rPr>
              <w:t>2b2.</w:t>
            </w:r>
            <w:r w:rsidRPr="004853A0">
              <w:rPr>
                <w:rFonts w:cstheme="minorHAnsi"/>
                <w:bCs/>
                <w:iCs/>
              </w:rPr>
              <w:t xml:space="preserve"> </w:t>
            </w:r>
            <w:r w:rsidRPr="004853A0">
              <w:rPr>
                <w:rFonts w:cstheme="minorHAnsi"/>
                <w:b/>
                <w:bCs/>
                <w:iCs/>
              </w:rPr>
              <w:t>Validity testing</w:t>
            </w:r>
            <w:r w:rsidRPr="004853A0">
              <w:rPr>
                <w:rFonts w:cstheme="minorHAnsi"/>
                <w:bCs/>
                <w:iCs/>
              </w:rPr>
              <w:t xml:space="preserve"> </w:t>
            </w:r>
            <w:hyperlink w:anchor="Note11" w:history="1">
              <w:r w:rsidRPr="004853A0">
                <w:rPr>
                  <w:rStyle w:val="Hyperlink"/>
                  <w:rFonts w:cstheme="minorHAnsi"/>
                  <w:b/>
                  <w:vertAlign w:val="superscript"/>
                </w:rPr>
                <w:t>11</w:t>
              </w:r>
            </w:hyperlink>
            <w:r w:rsidRPr="004853A0">
              <w:rPr>
                <w:rFonts w:cstheme="minorHAnsi"/>
                <w:bCs/>
                <w:iCs/>
              </w:rPr>
              <w:t xml:space="preserve"> demonstrates that the measure data elements are correct and/or the </w:t>
            </w:r>
            <w:r w:rsidRPr="004853A0">
              <w:rPr>
                <w:rFonts w:cstheme="minorHAnsi"/>
              </w:rPr>
              <w:t>measure score correctly reflects the quality of care provided, adequately identifying differences in quality</w:t>
            </w:r>
            <w:r w:rsidRPr="004853A0">
              <w:rPr>
                <w:rFonts w:cstheme="minorHAnsi"/>
                <w:color w:val="0000FF"/>
              </w:rPr>
              <w:t xml:space="preserve">.  </w:t>
            </w:r>
          </w:p>
          <w:p w:rsidR="00145149" w:rsidRPr="004853A0" w:rsidRDefault="00145149" w:rsidP="00145149">
            <w:pPr>
              <w:rPr>
                <w:rFonts w:cstheme="minorHAnsi"/>
              </w:rPr>
            </w:pPr>
            <w:bookmarkStart w:id="0" w:name="_Toc256067249"/>
          </w:p>
          <w:p w:rsidR="00145149" w:rsidRPr="004853A0" w:rsidRDefault="00145149" w:rsidP="00145149">
            <w:pPr>
              <w:rPr>
                <w:rFonts w:cstheme="minorHAnsi"/>
              </w:rPr>
            </w:pPr>
            <w:r w:rsidRPr="004853A0">
              <w:rPr>
                <w:rFonts w:cstheme="minorHAnsi"/>
                <w:b/>
                <w:bCs/>
              </w:rPr>
              <w:t>2b3.</w:t>
            </w:r>
            <w:r w:rsidRPr="004853A0">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4853A0">
                <w:rPr>
                  <w:rStyle w:val="Hyperlink"/>
                  <w:rFonts w:cstheme="minorHAnsi"/>
                  <w:b/>
                  <w:vertAlign w:val="superscript"/>
                </w:rPr>
                <w:t>12</w:t>
              </w:r>
            </w:hyperlink>
          </w:p>
          <w:p w:rsidR="00145149" w:rsidRPr="004853A0" w:rsidRDefault="00145149" w:rsidP="00145149">
            <w:pPr>
              <w:rPr>
                <w:rFonts w:cstheme="minorHAnsi"/>
                <w:b/>
              </w:rPr>
            </w:pPr>
            <w:r w:rsidRPr="004853A0">
              <w:rPr>
                <w:rFonts w:cstheme="minorHAnsi"/>
                <w:b/>
              </w:rPr>
              <w:t xml:space="preserve">AND </w:t>
            </w:r>
          </w:p>
          <w:p w:rsidR="00145149" w:rsidRPr="004853A0" w:rsidRDefault="00145149" w:rsidP="00145149">
            <w:pPr>
              <w:rPr>
                <w:rFonts w:cstheme="minorHAnsi"/>
              </w:rPr>
            </w:pPr>
            <w:r w:rsidRPr="004853A0">
              <w:rPr>
                <w:rFonts w:cstheme="minorHAnsi"/>
              </w:rPr>
              <w:t xml:space="preserve">If patient preference (e.g., informed </w:t>
            </w:r>
            <w:proofErr w:type="spellStart"/>
            <w:r w:rsidRPr="004853A0">
              <w:rPr>
                <w:rFonts w:cstheme="minorHAnsi"/>
              </w:rPr>
              <w:t>decisionmaking</w:t>
            </w:r>
            <w:proofErr w:type="spellEnd"/>
            <w:r w:rsidRPr="004853A0">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4853A0">
                <w:rPr>
                  <w:rStyle w:val="Hyperlink"/>
                  <w:rFonts w:cstheme="minorHAnsi"/>
                  <w:b/>
                  <w:vertAlign w:val="superscript"/>
                </w:rPr>
                <w:t>13</w:t>
              </w:r>
            </w:hyperlink>
          </w:p>
          <w:p w:rsidR="00145149" w:rsidRPr="004853A0" w:rsidRDefault="00145149" w:rsidP="00145149">
            <w:pPr>
              <w:rPr>
                <w:rFonts w:cstheme="minorHAnsi"/>
                <w:b/>
                <w:bCs/>
              </w:rPr>
            </w:pPr>
          </w:p>
          <w:p w:rsidR="00145149" w:rsidRPr="004853A0" w:rsidRDefault="00145149" w:rsidP="00145149">
            <w:pPr>
              <w:rPr>
                <w:rFonts w:cstheme="minorHAnsi"/>
              </w:rPr>
            </w:pPr>
            <w:bookmarkStart w:id="1" w:name="_Toc256067250"/>
            <w:r w:rsidRPr="004853A0">
              <w:rPr>
                <w:rFonts w:cstheme="minorHAnsi"/>
                <w:b/>
                <w:bCs/>
              </w:rPr>
              <w:t>2b4.</w:t>
            </w:r>
            <w:r w:rsidRPr="004853A0">
              <w:rPr>
                <w:rFonts w:cstheme="minorHAnsi"/>
              </w:rPr>
              <w:t xml:space="preserve"> </w:t>
            </w:r>
            <w:r w:rsidRPr="004853A0">
              <w:rPr>
                <w:rFonts w:cstheme="minorHAnsi"/>
                <w:b/>
              </w:rPr>
              <w:t>For outcome measures and other measures when indicated</w:t>
            </w:r>
            <w:r w:rsidRPr="004853A0">
              <w:rPr>
                <w:rFonts w:cstheme="minorHAnsi"/>
              </w:rPr>
              <w:t xml:space="preserve"> (e.g., resource use): </w:t>
            </w:r>
          </w:p>
          <w:p w:rsidR="00145149" w:rsidRPr="004853A0" w:rsidRDefault="00145149" w:rsidP="00145149">
            <w:pPr>
              <w:numPr>
                <w:ilvl w:val="0"/>
                <w:numId w:val="26"/>
              </w:numPr>
              <w:ind w:left="0" w:firstLine="0"/>
              <w:rPr>
                <w:rFonts w:cstheme="minorHAnsi"/>
              </w:rPr>
            </w:pPr>
            <w:r w:rsidRPr="004853A0">
              <w:rPr>
                <w:rFonts w:cstheme="minorHAnsi"/>
                <w:b/>
              </w:rPr>
              <w:t>an evidence-based risk-adjustment strategy</w:t>
            </w:r>
            <w:r w:rsidRPr="004853A0">
              <w:rPr>
                <w:rFonts w:cstheme="minorHAnsi"/>
              </w:rPr>
              <w:t xml:space="preserve"> (e.g., risk models, risk stratification) is specified; is based on patient factors that influence the measured outcome (but not factors related to disparities in care or the quality of care) </w:t>
            </w:r>
            <w:r w:rsidRPr="004853A0">
              <w:rPr>
                <w:rFonts w:cstheme="minorHAnsi"/>
              </w:rPr>
              <w:lastRenderedPageBreak/>
              <w:t xml:space="preserve">and are present at start of care; </w:t>
            </w:r>
            <w:hyperlink w:anchor="Note14" w:history="1">
              <w:r w:rsidRPr="004853A0">
                <w:rPr>
                  <w:rStyle w:val="Hyperlink"/>
                  <w:rFonts w:cstheme="minorHAnsi"/>
                  <w:b/>
                  <w:vertAlign w:val="superscript"/>
                </w:rPr>
                <w:t>14</w:t>
              </w:r>
            </w:hyperlink>
            <w:r w:rsidRPr="004853A0">
              <w:rPr>
                <w:rFonts w:cstheme="minorHAnsi"/>
                <w:b/>
                <w:vertAlign w:val="superscript"/>
              </w:rPr>
              <w:t>,</w:t>
            </w:r>
            <w:hyperlink w:anchor="Note15" w:history="1">
              <w:r w:rsidRPr="004853A0">
                <w:rPr>
                  <w:rStyle w:val="Hyperlink"/>
                  <w:rFonts w:cstheme="minorHAnsi"/>
                  <w:b/>
                  <w:vertAlign w:val="superscript"/>
                </w:rPr>
                <w:t>15</w:t>
              </w:r>
            </w:hyperlink>
            <w:r w:rsidRPr="004853A0">
              <w:rPr>
                <w:rFonts w:cstheme="minorHAnsi"/>
              </w:rPr>
              <w:t xml:space="preserve"> and has demonstrated adequate discrimination and calibration</w:t>
            </w:r>
          </w:p>
          <w:p w:rsidR="00145149" w:rsidRPr="004853A0" w:rsidRDefault="00145149" w:rsidP="00145149">
            <w:pPr>
              <w:rPr>
                <w:rFonts w:cstheme="minorHAnsi"/>
                <w:b/>
              </w:rPr>
            </w:pPr>
            <w:r w:rsidRPr="004853A0">
              <w:rPr>
                <w:rFonts w:cstheme="minorHAnsi"/>
                <w:b/>
              </w:rPr>
              <w:t>OR</w:t>
            </w:r>
          </w:p>
          <w:p w:rsidR="00145149" w:rsidRPr="004853A0" w:rsidRDefault="00145149" w:rsidP="00145149">
            <w:pPr>
              <w:numPr>
                <w:ilvl w:val="0"/>
                <w:numId w:val="26"/>
              </w:numPr>
              <w:ind w:left="0" w:firstLine="0"/>
              <w:rPr>
                <w:rFonts w:cstheme="minorHAnsi"/>
              </w:rPr>
            </w:pPr>
            <w:r w:rsidRPr="004853A0">
              <w:rPr>
                <w:rFonts w:cstheme="minorHAnsi"/>
              </w:rPr>
              <w:t xml:space="preserve">rationale/data support no risk adjustment/ stratification. </w:t>
            </w:r>
          </w:p>
          <w:p w:rsidR="00145149" w:rsidRPr="004853A0" w:rsidRDefault="00145149" w:rsidP="00145149">
            <w:pPr>
              <w:rPr>
                <w:rFonts w:cstheme="minorHAnsi"/>
                <w:b/>
                <w:bCs/>
              </w:rPr>
            </w:pPr>
          </w:p>
          <w:bookmarkEnd w:id="1"/>
          <w:p w:rsidR="00145149" w:rsidRPr="004853A0" w:rsidRDefault="00145149" w:rsidP="00145149">
            <w:pPr>
              <w:rPr>
                <w:rFonts w:cstheme="minorHAnsi"/>
              </w:rPr>
            </w:pPr>
            <w:r w:rsidRPr="004853A0">
              <w:rPr>
                <w:rFonts w:cstheme="minorHAnsi"/>
                <w:b/>
                <w:bCs/>
              </w:rPr>
              <w:t>2b5.</w:t>
            </w:r>
            <w:r w:rsidRPr="004853A0">
              <w:rPr>
                <w:rFonts w:cstheme="minorHAnsi"/>
              </w:rPr>
              <w:t xml:space="preserve"> Data analysis of computed measure scores demonstrates that methods for scoring and analysis of the specified measure allow for </w:t>
            </w:r>
            <w:r w:rsidRPr="004853A0">
              <w:rPr>
                <w:rFonts w:cstheme="minorHAnsi"/>
                <w:b/>
              </w:rPr>
              <w:t>identification of statistically significant and practically/clinically meaningful</w:t>
            </w:r>
            <w:r w:rsidRPr="004853A0">
              <w:rPr>
                <w:rFonts w:cstheme="minorHAnsi"/>
              </w:rPr>
              <w:t xml:space="preserve"> </w:t>
            </w:r>
            <w:hyperlink w:anchor="Note16" w:history="1">
              <w:r w:rsidRPr="004853A0">
                <w:rPr>
                  <w:rStyle w:val="Hyperlink"/>
                  <w:rFonts w:cstheme="minorHAnsi"/>
                  <w:b/>
                  <w:vertAlign w:val="superscript"/>
                </w:rPr>
                <w:t>16</w:t>
              </w:r>
            </w:hyperlink>
            <w:r w:rsidRPr="004853A0">
              <w:rPr>
                <w:rFonts w:cstheme="minorHAnsi"/>
              </w:rPr>
              <w:t xml:space="preserve"> </w:t>
            </w:r>
            <w:r w:rsidRPr="004853A0">
              <w:rPr>
                <w:rFonts w:cstheme="minorHAnsi"/>
                <w:b/>
              </w:rPr>
              <w:t>differences in performance</w:t>
            </w:r>
            <w:r w:rsidRPr="004853A0">
              <w:rPr>
                <w:rFonts w:cstheme="minorHAnsi"/>
              </w:rPr>
              <w:t>;</w:t>
            </w:r>
          </w:p>
          <w:p w:rsidR="00145149" w:rsidRPr="004853A0" w:rsidRDefault="00145149" w:rsidP="00145149">
            <w:pPr>
              <w:rPr>
                <w:rFonts w:cstheme="minorHAnsi"/>
              </w:rPr>
            </w:pPr>
            <w:r w:rsidRPr="004853A0">
              <w:rPr>
                <w:rFonts w:cstheme="minorHAnsi"/>
                <w:b/>
              </w:rPr>
              <w:t>OR</w:t>
            </w:r>
          </w:p>
          <w:p w:rsidR="00145149" w:rsidRPr="004853A0" w:rsidRDefault="00145149" w:rsidP="00145149">
            <w:pPr>
              <w:rPr>
                <w:rFonts w:cstheme="minorHAnsi"/>
              </w:rPr>
            </w:pPr>
            <w:r w:rsidRPr="004853A0">
              <w:rPr>
                <w:rFonts w:cstheme="minorHAnsi"/>
              </w:rPr>
              <w:t xml:space="preserve">there is evidence of overall less-than-optimal performance. </w:t>
            </w:r>
          </w:p>
          <w:p w:rsidR="00145149" w:rsidRPr="004853A0" w:rsidRDefault="00145149" w:rsidP="00145149">
            <w:pPr>
              <w:rPr>
                <w:rFonts w:cstheme="minorHAnsi"/>
                <w:b/>
                <w:bCs/>
              </w:rPr>
            </w:pPr>
          </w:p>
          <w:p w:rsidR="00145149" w:rsidRPr="004853A0" w:rsidRDefault="00145149" w:rsidP="00145149">
            <w:pPr>
              <w:rPr>
                <w:rFonts w:cstheme="minorHAnsi"/>
              </w:rPr>
            </w:pPr>
            <w:r w:rsidRPr="004853A0">
              <w:rPr>
                <w:rFonts w:cstheme="minorHAnsi"/>
                <w:b/>
                <w:bCs/>
              </w:rPr>
              <w:t>2b6.</w:t>
            </w:r>
            <w:r w:rsidRPr="004853A0">
              <w:rPr>
                <w:rFonts w:cstheme="minorHAnsi"/>
              </w:rPr>
              <w:t xml:space="preserve"> </w:t>
            </w:r>
            <w:r w:rsidRPr="004853A0">
              <w:rPr>
                <w:rFonts w:cstheme="minorHAnsi"/>
                <w:b/>
              </w:rPr>
              <w:t>If multiple data sources/methods are specified, there is demonstration they produce comparable results</w:t>
            </w:r>
            <w:r w:rsidRPr="004853A0">
              <w:rPr>
                <w:rFonts w:cstheme="minorHAnsi"/>
              </w:rPr>
              <w:t>.</w:t>
            </w:r>
          </w:p>
          <w:bookmarkEnd w:id="0"/>
          <w:p w:rsidR="00145149" w:rsidRPr="004853A0" w:rsidRDefault="00145149" w:rsidP="00145149">
            <w:pPr>
              <w:rPr>
                <w:rFonts w:cstheme="minorHAnsi"/>
                <w:b/>
                <w:bCs/>
              </w:rPr>
            </w:pPr>
          </w:p>
          <w:p w:rsidR="00145149" w:rsidRPr="004853A0" w:rsidRDefault="00145149" w:rsidP="00145149">
            <w:pPr>
              <w:autoSpaceDE w:val="0"/>
              <w:autoSpaceDN w:val="0"/>
              <w:adjustRightInd w:val="0"/>
              <w:rPr>
                <w:rFonts w:cstheme="minorHAnsi"/>
                <w:b/>
                <w:bCs/>
                <w:iCs/>
              </w:rPr>
            </w:pPr>
            <w:r w:rsidRPr="004853A0">
              <w:rPr>
                <w:rFonts w:cstheme="minorHAnsi"/>
                <w:b/>
                <w:bCs/>
                <w:iCs/>
              </w:rPr>
              <w:t>Notes</w:t>
            </w:r>
          </w:p>
          <w:p w:rsidR="00145149" w:rsidRPr="004853A0" w:rsidRDefault="00145149" w:rsidP="00145149">
            <w:pPr>
              <w:autoSpaceDE w:val="0"/>
              <w:autoSpaceDN w:val="0"/>
              <w:adjustRightInd w:val="0"/>
              <w:rPr>
                <w:rFonts w:cstheme="minorHAnsi"/>
              </w:rPr>
            </w:pPr>
            <w:bookmarkStart w:id="2" w:name="Note8"/>
            <w:bookmarkStart w:id="3" w:name="Note9"/>
            <w:bookmarkStart w:id="4" w:name="Note10"/>
            <w:bookmarkEnd w:id="2"/>
            <w:bookmarkEnd w:id="3"/>
            <w:bookmarkEnd w:id="4"/>
            <w:r w:rsidRPr="004853A0">
              <w:rPr>
                <w:rFonts w:cstheme="minorHAnsi"/>
                <w:b/>
              </w:rPr>
              <w:t>10.</w:t>
            </w:r>
            <w:r w:rsidRPr="004853A0">
              <w:rPr>
                <w:rFonts w:cstheme="minorHAns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4853A0" w:rsidRDefault="00145149" w:rsidP="00145149">
            <w:pPr>
              <w:rPr>
                <w:rFonts w:cstheme="minorHAnsi"/>
              </w:rPr>
            </w:pPr>
            <w:bookmarkStart w:id="5" w:name="Note11"/>
            <w:bookmarkEnd w:id="5"/>
            <w:r w:rsidRPr="004853A0">
              <w:rPr>
                <w:rFonts w:cstheme="minorHAnsi"/>
                <w:b/>
              </w:rPr>
              <w:t>11.</w:t>
            </w:r>
            <w:r w:rsidRPr="004853A0">
              <w:rPr>
                <w:rFonts w:cstheme="minorHAns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4853A0" w:rsidRDefault="00145149" w:rsidP="00145149">
            <w:pPr>
              <w:pStyle w:val="FootnoteText"/>
              <w:rPr>
                <w:rFonts w:asciiTheme="minorHAnsi" w:hAnsiTheme="minorHAnsi" w:cstheme="minorHAnsi"/>
                <w:sz w:val="22"/>
                <w:szCs w:val="22"/>
              </w:rPr>
            </w:pPr>
            <w:bookmarkStart w:id="6" w:name="Note12"/>
            <w:bookmarkEnd w:id="6"/>
            <w:r w:rsidRPr="004853A0">
              <w:rPr>
                <w:rFonts w:asciiTheme="minorHAnsi" w:hAnsiTheme="minorHAnsi" w:cstheme="minorHAnsi"/>
                <w:b/>
                <w:sz w:val="22"/>
                <w:szCs w:val="22"/>
              </w:rPr>
              <w:t>12.</w:t>
            </w:r>
            <w:r w:rsidRPr="004853A0">
              <w:rPr>
                <w:rFonts w:asciiTheme="minorHAnsi" w:hAnsiTheme="minorHAnsi" w:cstheme="minorHAnsi"/>
                <w:sz w:val="22"/>
                <w:szCs w:val="22"/>
              </w:rPr>
              <w:t xml:space="preserve"> Examples of evidence that </w:t>
            </w:r>
            <w:proofErr w:type="gramStart"/>
            <w:r w:rsidRPr="004853A0">
              <w:rPr>
                <w:rFonts w:asciiTheme="minorHAnsi" w:hAnsiTheme="minorHAnsi" w:cstheme="minorHAnsi"/>
                <w:sz w:val="22"/>
                <w:szCs w:val="22"/>
              </w:rPr>
              <w:t>an exclusion</w:t>
            </w:r>
            <w:proofErr w:type="gramEnd"/>
            <w:r w:rsidRPr="004853A0">
              <w:rPr>
                <w:rFonts w:asciiTheme="minorHAnsi" w:hAnsiTheme="minorHAnsi" w:cstheme="minorHAnsi"/>
                <w:sz w:val="22"/>
                <w:szCs w:val="22"/>
              </w:rPr>
              <w:t xml:space="preserve"> distorts measure results include, but are not limited to: frequency of occurrence, variability of exclusions across providers, and sensitivity analyses with and without the exclusion.  </w:t>
            </w:r>
          </w:p>
          <w:p w:rsidR="00145149" w:rsidRPr="004853A0" w:rsidRDefault="00145149" w:rsidP="00145149">
            <w:pPr>
              <w:autoSpaceDE w:val="0"/>
              <w:autoSpaceDN w:val="0"/>
              <w:adjustRightInd w:val="0"/>
              <w:rPr>
                <w:rFonts w:cstheme="minorHAnsi"/>
                <w:b/>
              </w:rPr>
            </w:pPr>
            <w:bookmarkStart w:id="7" w:name="Note13"/>
            <w:bookmarkEnd w:id="7"/>
            <w:r w:rsidRPr="004853A0">
              <w:rPr>
                <w:rFonts w:cstheme="minorHAnsi"/>
                <w:b/>
              </w:rPr>
              <w:t>13.</w:t>
            </w:r>
            <w:r w:rsidRPr="004853A0">
              <w:rPr>
                <w:rFonts w:cstheme="minorHAnsi"/>
              </w:rPr>
              <w:t xml:space="preserve"> Patient preference is not a clinical exception to eligibility and can be influenced by provider interventions.</w:t>
            </w:r>
          </w:p>
          <w:p w:rsidR="00145149" w:rsidRPr="004853A0" w:rsidRDefault="00145149" w:rsidP="00145149">
            <w:pPr>
              <w:pStyle w:val="FootnoteText"/>
              <w:rPr>
                <w:rFonts w:asciiTheme="minorHAnsi" w:hAnsiTheme="minorHAnsi" w:cstheme="minorHAnsi"/>
                <w:sz w:val="22"/>
                <w:szCs w:val="22"/>
              </w:rPr>
            </w:pPr>
            <w:bookmarkStart w:id="8" w:name="Note14"/>
            <w:bookmarkEnd w:id="8"/>
            <w:r w:rsidRPr="004853A0">
              <w:rPr>
                <w:rFonts w:asciiTheme="minorHAnsi" w:hAnsiTheme="minorHAnsi" w:cstheme="minorHAnsi"/>
                <w:b/>
                <w:sz w:val="22"/>
                <w:szCs w:val="22"/>
              </w:rPr>
              <w:t xml:space="preserve">14. </w:t>
            </w:r>
            <w:r w:rsidRPr="004853A0">
              <w:rPr>
                <w:rFonts w:asciiTheme="minorHAnsi" w:hAnsiTheme="minorHAnsi" w:cstheme="minorHAnsi"/>
                <w:sz w:val="22"/>
                <w:szCs w:val="22"/>
              </w:rPr>
              <w:t>Risk factors that influence outcomes should not be specified as exclusions.</w:t>
            </w:r>
          </w:p>
          <w:p w:rsidR="00145149" w:rsidRPr="004853A0" w:rsidRDefault="00145149" w:rsidP="00145149">
            <w:pPr>
              <w:rPr>
                <w:rFonts w:cstheme="minorHAnsi"/>
                <w:b/>
                <w:bCs/>
              </w:rPr>
            </w:pPr>
            <w:bookmarkStart w:id="9" w:name="Note15"/>
            <w:bookmarkEnd w:id="9"/>
            <w:r w:rsidRPr="004853A0">
              <w:rPr>
                <w:rFonts w:cstheme="minorHAnsi"/>
                <w:b/>
              </w:rPr>
              <w:t>15.</w:t>
            </w:r>
            <w:r w:rsidRPr="004853A0">
              <w:rPr>
                <w:rFonts w:cstheme="minorHAns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4853A0" w:rsidRDefault="00145149" w:rsidP="00145149">
            <w:pPr>
              <w:rPr>
                <w:rFonts w:cstheme="minorHAnsi"/>
                <w:noProof/>
              </w:rPr>
            </w:pPr>
            <w:bookmarkStart w:id="10" w:name="Note16"/>
            <w:bookmarkEnd w:id="10"/>
            <w:r w:rsidRPr="004853A0">
              <w:rPr>
                <w:rFonts w:cstheme="minorHAnsi"/>
                <w:b/>
              </w:rPr>
              <w:t>16.</w:t>
            </w:r>
            <w:r w:rsidRPr="004853A0">
              <w:rPr>
                <w:rFonts w:cstheme="minorHAns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6676D4" w:rsidRDefault="006676D4">
      <w:pPr>
        <w:rPr>
          <w:rFonts w:cstheme="minorHAnsi"/>
          <w:b/>
          <w:noProof/>
        </w:rPr>
      </w:pPr>
      <w:r>
        <w:rPr>
          <w:rFonts w:cstheme="minorHAnsi"/>
          <w:b/>
          <w:noProof/>
        </w:rPr>
        <w:br w:type="page"/>
      </w:r>
    </w:p>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EB366E">
        <w:rPr>
          <w:rFonts w:cstheme="minorHAnsi"/>
          <w:b/>
          <w:bCs/>
        </w:rPr>
        <w:t>What t</w:t>
      </w:r>
      <w:r w:rsidR="00857EE8" w:rsidRPr="00EB366E">
        <w:rPr>
          <w:rFonts w:cstheme="minorHAnsi"/>
          <w:b/>
          <w:bCs/>
        </w:rPr>
        <w:t xml:space="preserve">ype of data was used </w:t>
      </w:r>
      <w:r w:rsidR="000851B2" w:rsidRPr="00EB366E">
        <w:rPr>
          <w:rFonts w:cstheme="minorHAnsi"/>
          <w:b/>
          <w:bCs/>
        </w:rPr>
        <w:t>for</w:t>
      </w:r>
      <w:r w:rsidR="00857EE8" w:rsidRPr="00EB366E">
        <w:rPr>
          <w:rFonts w:cstheme="minorHAnsi"/>
          <w:b/>
          <w:bCs/>
        </w:rPr>
        <w:t xml:space="preserve"> </w:t>
      </w:r>
      <w:r w:rsidR="004348CC" w:rsidRPr="00EB366E">
        <w:rPr>
          <w:rFonts w:cstheme="minorHAnsi"/>
          <w:b/>
          <w:bCs/>
        </w:rPr>
        <w:t>testing</w:t>
      </w:r>
      <w:r w:rsidR="004348CC" w:rsidRPr="00EB366E">
        <w:rPr>
          <w:rFonts w:cstheme="minorHAnsi"/>
          <w:bCs/>
        </w:rPr>
        <w:t>?</w:t>
      </w:r>
      <w:r w:rsidR="004348CC" w:rsidRPr="00A25024">
        <w:rPr>
          <w:rFonts w:cstheme="minorHAnsi"/>
          <w:bCs/>
        </w:rPr>
        <w:t xml:space="preserve">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E61053"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E61053"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E61053"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CD427B">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E61053"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CD427B">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E61053" w:rsidP="00DB3627">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582C02">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E61053" w:rsidP="00DB3627">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CD427B">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E61053"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E61053"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E61053"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E61053"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E61053"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E61053"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C355B9" w:rsidRDefault="00C355B9" w:rsidP="00DB3627">
      <w:pPr>
        <w:autoSpaceDE w:val="0"/>
        <w:autoSpaceDN w:val="0"/>
        <w:adjustRightInd w:val="0"/>
        <w:spacing w:after="0" w:line="240" w:lineRule="auto"/>
        <w:rPr>
          <w:rFonts w:cstheme="minorHAnsi"/>
          <w:bCs/>
        </w:rPr>
      </w:pPr>
    </w:p>
    <w:p w:rsidR="0042121C" w:rsidRPr="004F31AD" w:rsidRDefault="0042121C" w:rsidP="0042121C">
      <w:pPr>
        <w:autoSpaceDE w:val="0"/>
        <w:autoSpaceDN w:val="0"/>
        <w:adjustRightInd w:val="0"/>
        <w:spacing w:after="0" w:line="240" w:lineRule="auto"/>
        <w:rPr>
          <w:rFonts w:cstheme="minorHAnsi"/>
          <w:bCs/>
        </w:rPr>
      </w:pPr>
      <w:r w:rsidRPr="004F31AD">
        <w:rPr>
          <w:rFonts w:cstheme="minorHAnsi"/>
          <w:bCs/>
        </w:rPr>
        <w:t>Medicare Limited Data Set Carrier SAF – 5% File</w:t>
      </w:r>
    </w:p>
    <w:p w:rsidR="0042121C" w:rsidRPr="004F31AD" w:rsidRDefault="0042121C" w:rsidP="0042121C">
      <w:pPr>
        <w:autoSpaceDE w:val="0"/>
        <w:autoSpaceDN w:val="0"/>
        <w:adjustRightInd w:val="0"/>
        <w:spacing w:after="0" w:line="240" w:lineRule="auto"/>
        <w:rPr>
          <w:rFonts w:cstheme="minorHAnsi"/>
          <w:b/>
          <w:bCs/>
        </w:rPr>
      </w:pPr>
      <w:r w:rsidRPr="004F31AD">
        <w:rPr>
          <w:rFonts w:cstheme="minorHAnsi"/>
          <w:bCs/>
        </w:rPr>
        <w:t>Anesthesia Quality Institute (AQI) National Anesthesia Clinical Outcomes Registry (NACOR)</w:t>
      </w:r>
    </w:p>
    <w:p w:rsidR="009E1846" w:rsidRDefault="009E1846" w:rsidP="00DB3627">
      <w:pPr>
        <w:autoSpaceDE w:val="0"/>
        <w:autoSpaceDN w:val="0"/>
        <w:adjustRightInd w:val="0"/>
        <w:spacing w:after="0" w:line="240" w:lineRule="auto"/>
        <w:rPr>
          <w:rFonts w:cstheme="minorHAnsi"/>
          <w:b/>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4F31AD">
        <w:rPr>
          <w:rFonts w:cstheme="minorHAnsi"/>
        </w:rPr>
        <w:t>?</w:t>
      </w:r>
      <w:r w:rsidR="00080CF7" w:rsidRPr="004F31AD">
        <w:rPr>
          <w:rFonts w:cstheme="minorHAnsi"/>
        </w:rPr>
        <w:t xml:space="preserve"> </w:t>
      </w:r>
      <w:r w:rsidR="000574AB" w:rsidRPr="004F31AD">
        <w:rPr>
          <w:rFonts w:cstheme="minorHAnsi"/>
        </w:rPr>
        <w:t xml:space="preserve"> </w:t>
      </w:r>
      <w:sdt>
        <w:sdtPr>
          <w:id w:val="950514773"/>
          <w:text/>
        </w:sdtPr>
        <w:sdtEndPr/>
        <w:sdtContent>
          <w:r w:rsidR="0042121C" w:rsidRPr="004F31AD">
            <w:t xml:space="preserve">Medicare Limited Data Set Carrier SAF – </w:t>
          </w:r>
          <w:r w:rsidR="00CD427B">
            <w:t>5% File (2010</w:t>
          </w:r>
          <w:r w:rsidR="004F31AD" w:rsidRPr="004F31AD">
            <w:t xml:space="preserve"> – 2012</w:t>
          </w:r>
          <w:r w:rsidR="0042121C" w:rsidRPr="004F31AD">
            <w:t xml:space="preserve">); Anesthesia Quality Institute (AQI) National Anesthesia </w:t>
          </w:r>
          <w:r w:rsidR="00CD427B">
            <w:t>Clinical Outcomes Registry (2010</w:t>
          </w:r>
          <w:r w:rsidR="0042121C" w:rsidRPr="004F31AD">
            <w:t xml:space="preserve"> – 201</w:t>
          </w:r>
          <w:r w:rsidR="004F31AD" w:rsidRPr="004F31AD">
            <w:t>3</w:t>
          </w:r>
          <w:r w:rsidR="0042121C" w:rsidRPr="004F31AD">
            <w:t>)</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sidRPr="00EB366E">
        <w:rPr>
          <w:rFonts w:cstheme="minorHAnsi"/>
          <w:b/>
          <w:bCs/>
        </w:rPr>
        <w:t>1</w:t>
      </w:r>
      <w:r w:rsidR="00927027" w:rsidRPr="00EB366E">
        <w:rPr>
          <w:rFonts w:cstheme="minorHAnsi"/>
          <w:b/>
          <w:bCs/>
        </w:rPr>
        <w:t>.</w:t>
      </w:r>
      <w:r w:rsidR="00DB3627" w:rsidRPr="00EB366E">
        <w:rPr>
          <w:rFonts w:cstheme="minorHAnsi"/>
          <w:b/>
          <w:bCs/>
        </w:rPr>
        <w:t xml:space="preserve">4. </w:t>
      </w:r>
      <w:r w:rsidR="00021170" w:rsidRPr="00EB366E">
        <w:rPr>
          <w:rFonts w:cstheme="minorHAnsi"/>
          <w:b/>
          <w:bCs/>
        </w:rPr>
        <w:t>What level</w:t>
      </w:r>
      <w:r w:rsidR="006327D8" w:rsidRPr="00EB366E">
        <w:rPr>
          <w:rFonts w:cstheme="minorHAnsi"/>
          <w:b/>
          <w:bCs/>
        </w:rPr>
        <w:t>s</w:t>
      </w:r>
      <w:r w:rsidR="00021170" w:rsidRPr="00EB366E">
        <w:rPr>
          <w:rFonts w:cstheme="minorHAnsi"/>
          <w:b/>
          <w:bCs/>
        </w:rPr>
        <w:t xml:space="preserve"> of analysis</w:t>
      </w:r>
      <w:r w:rsidR="00021170" w:rsidRPr="00EB366E">
        <w:rPr>
          <w:rFonts w:cstheme="minorHAnsi"/>
          <w:bCs/>
        </w:rPr>
        <w:t xml:space="preserve"> </w:t>
      </w:r>
      <w:r w:rsidR="00021170" w:rsidRPr="00EB366E">
        <w:rPr>
          <w:rFonts w:cstheme="minorHAnsi"/>
          <w:b/>
          <w:bCs/>
        </w:rPr>
        <w:t>w</w:t>
      </w:r>
      <w:r w:rsidR="006327D8" w:rsidRPr="00EB366E">
        <w:rPr>
          <w:rFonts w:cstheme="minorHAnsi"/>
          <w:b/>
          <w:bCs/>
        </w:rPr>
        <w:t>ere</w:t>
      </w:r>
      <w:r w:rsidR="00021170" w:rsidRPr="00EB366E">
        <w:rPr>
          <w:rFonts w:cstheme="minorHAnsi"/>
          <w:b/>
          <w:bCs/>
        </w:rPr>
        <w:t xml:space="preserve"> </w:t>
      </w:r>
      <w:r w:rsidR="006327D8" w:rsidRPr="00EB366E">
        <w:rPr>
          <w:rFonts w:cstheme="minorHAnsi"/>
          <w:b/>
          <w:bCs/>
        </w:rPr>
        <w:t>tested</w:t>
      </w:r>
      <w:r w:rsidR="00021170" w:rsidRPr="00EB366E">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E61053"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CD427B">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E61053"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CD427B">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E61053"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E61053"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CD427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E61053"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E61053"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CD427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E61053"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E61053"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E61053"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E61053"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5</w:t>
      </w:r>
      <w:r w:rsidR="00E310B9" w:rsidRPr="00EB366E">
        <w:rPr>
          <w:rFonts w:cstheme="minorHAnsi"/>
          <w:b/>
          <w:bCs/>
        </w:rPr>
        <w:t xml:space="preserve">. </w:t>
      </w:r>
      <w:r w:rsidR="004348CC" w:rsidRPr="00EB366E">
        <w:rPr>
          <w:rFonts w:cstheme="minorHAnsi"/>
          <w:b/>
          <w:bCs/>
        </w:rPr>
        <w:t xml:space="preserve">How many and which </w:t>
      </w:r>
      <w:r w:rsidR="004348CC" w:rsidRPr="00EB366E">
        <w:rPr>
          <w:rFonts w:cstheme="minorHAnsi"/>
          <w:b/>
          <w:bCs/>
          <w:u w:val="single"/>
        </w:rPr>
        <w:t>measured entities</w:t>
      </w:r>
      <w:r w:rsidR="004348CC" w:rsidRPr="00EB366E">
        <w:rPr>
          <w:rFonts w:cstheme="minorHAnsi"/>
          <w:b/>
          <w:bCs/>
        </w:rPr>
        <w:t xml:space="preserve"> were</w:t>
      </w:r>
      <w:r w:rsidR="004348CC" w:rsidRPr="00A25024">
        <w:rPr>
          <w:rFonts w:cstheme="minorHAnsi"/>
          <w:b/>
          <w:bCs/>
        </w:rPr>
        <w:t xml:space="preserv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p>
    <w:p w:rsidR="0042121C" w:rsidRDefault="0042121C" w:rsidP="0042121C">
      <w:pPr>
        <w:autoSpaceDE w:val="0"/>
        <w:autoSpaceDN w:val="0"/>
        <w:adjustRightInd w:val="0"/>
        <w:spacing w:after="0" w:line="240" w:lineRule="auto"/>
        <w:rPr>
          <w:rFonts w:cstheme="minorHAnsi"/>
          <w:bCs/>
        </w:rPr>
      </w:pPr>
      <w:r>
        <w:rPr>
          <w:rFonts w:cstheme="minorHAnsi"/>
          <w:bCs/>
        </w:rPr>
        <w:t>The National Anesthesia Clinical Outc</w:t>
      </w:r>
      <w:r w:rsidR="006E7EA9">
        <w:rPr>
          <w:rFonts w:cstheme="minorHAnsi"/>
          <w:bCs/>
        </w:rPr>
        <w:t xml:space="preserve">omes Registry (NACOR) is a </w:t>
      </w:r>
      <w:r>
        <w:rPr>
          <w:rFonts w:cstheme="minorHAnsi"/>
          <w:bCs/>
        </w:rPr>
        <w:t xml:space="preserve">large sample of all anesthesia care in the United States.  NACOR currently collects data from more than 250 anesthesia practices, representing </w:t>
      </w:r>
      <w:r>
        <w:rPr>
          <w:rFonts w:cstheme="minorHAnsi"/>
          <w:bCs/>
        </w:rPr>
        <w:lastRenderedPageBreak/>
        <w:t xml:space="preserve">21,000 providers (12,000 MDs and 9,000 nurse anesthetists) or about 25% of the national work force.  Data are reported from about 2,100 healthcare facilities, of which about half are university or community hospitals.  NACOR has captured 14,000,000 cases since </w:t>
      </w:r>
      <w:r w:rsidRPr="008A50BD">
        <w:rPr>
          <w:rFonts w:cstheme="minorHAnsi"/>
          <w:bCs/>
        </w:rPr>
        <w:t xml:space="preserve">2010, of which </w:t>
      </w:r>
      <w:r w:rsidR="008A50BD" w:rsidRPr="008A50BD">
        <w:rPr>
          <w:rFonts w:cstheme="minorHAnsi"/>
          <w:bCs/>
        </w:rPr>
        <w:t>4,559,243</w:t>
      </w:r>
      <w:r w:rsidRPr="008A50BD">
        <w:rPr>
          <w:rFonts w:cstheme="minorHAnsi"/>
          <w:bCs/>
        </w:rPr>
        <w:t xml:space="preserve"> </w:t>
      </w:r>
      <w:r w:rsidR="00CD427B">
        <w:rPr>
          <w:rFonts w:cstheme="minorHAnsi"/>
          <w:bCs/>
        </w:rPr>
        <w:t>include</w:t>
      </w:r>
      <w:r>
        <w:rPr>
          <w:rFonts w:cstheme="minorHAnsi"/>
          <w:bCs/>
        </w:rPr>
        <w:t xml:space="preserve"> one of the CPT code groups in this measure’s denominator.  </w:t>
      </w:r>
    </w:p>
    <w:p w:rsidR="0042121C" w:rsidRDefault="0042121C" w:rsidP="0042121C">
      <w:pPr>
        <w:autoSpaceDE w:val="0"/>
        <w:autoSpaceDN w:val="0"/>
        <w:adjustRightInd w:val="0"/>
        <w:spacing w:after="0" w:line="240" w:lineRule="auto"/>
        <w:rPr>
          <w:rFonts w:cstheme="minorHAnsi"/>
          <w:bCs/>
        </w:rPr>
      </w:pPr>
      <w:r w:rsidRPr="00A25024">
        <w:rPr>
          <w:rFonts w:cstheme="minorHAnsi"/>
          <w:bCs/>
        </w:rPr>
        <w:br/>
      </w:r>
      <w:r>
        <w:rPr>
          <w:rFonts w:cstheme="minorHAnsi"/>
          <w:bCs/>
        </w:rPr>
        <w:t>Because participation in NACOR is voluntary, it is possible that biases exist in which practices and hospitals are represented. Regardless, the measure was tested at the clinician, group, and facility level, the entities included in the NACOR analysis were:</w:t>
      </w:r>
    </w:p>
    <w:p w:rsidR="0042121C" w:rsidRDefault="0042121C" w:rsidP="0042121C">
      <w:pPr>
        <w:autoSpaceDE w:val="0"/>
        <w:autoSpaceDN w:val="0"/>
        <w:adjustRightInd w:val="0"/>
        <w:spacing w:after="0" w:line="240" w:lineRule="auto"/>
        <w:rPr>
          <w:rFonts w:cstheme="minorHAnsi"/>
          <w:bCs/>
        </w:rPr>
      </w:pPr>
    </w:p>
    <w:p w:rsidR="004F31AD" w:rsidRPr="007819AC" w:rsidRDefault="004F31AD" w:rsidP="004F31AD">
      <w:pPr>
        <w:autoSpaceDE w:val="0"/>
        <w:autoSpaceDN w:val="0"/>
        <w:adjustRightInd w:val="0"/>
        <w:spacing w:after="0" w:line="240" w:lineRule="auto"/>
        <w:rPr>
          <w:rFonts w:cstheme="minorHAnsi"/>
          <w:b/>
          <w:bCs/>
        </w:rPr>
      </w:pPr>
      <w:r>
        <w:rPr>
          <w:rFonts w:cstheme="minorHAnsi"/>
          <w:b/>
          <w:bCs/>
        </w:rPr>
        <w:t>TABLE 1</w:t>
      </w:r>
    </w:p>
    <w:tbl>
      <w:tblPr>
        <w:tblStyle w:val="TableGrid"/>
        <w:tblW w:w="0" w:type="auto"/>
        <w:tblLook w:val="04A0" w:firstRow="1" w:lastRow="0" w:firstColumn="1" w:lastColumn="0" w:noHBand="0" w:noVBand="1"/>
      </w:tblPr>
      <w:tblGrid>
        <w:gridCol w:w="4788"/>
        <w:gridCol w:w="4788"/>
      </w:tblGrid>
      <w:tr w:rsidR="004F31AD" w:rsidRPr="00944A99" w:rsidTr="008A3570">
        <w:tc>
          <w:tcPr>
            <w:tcW w:w="9576" w:type="dxa"/>
            <w:gridSpan w:val="2"/>
            <w:shd w:val="clear" w:color="auto" w:fill="BFBFBF" w:themeFill="background1" w:themeFillShade="BF"/>
          </w:tcPr>
          <w:p w:rsidR="004F31AD" w:rsidRPr="00944A99" w:rsidRDefault="004F31AD" w:rsidP="008A3570">
            <w:pPr>
              <w:autoSpaceDE w:val="0"/>
              <w:autoSpaceDN w:val="0"/>
              <w:adjustRightInd w:val="0"/>
              <w:rPr>
                <w:rFonts w:cstheme="minorHAnsi"/>
                <w:b/>
                <w:bCs/>
              </w:rPr>
            </w:pPr>
            <w:r w:rsidRPr="00944A99">
              <w:rPr>
                <w:rFonts w:cstheme="minorHAnsi"/>
                <w:b/>
                <w:bCs/>
              </w:rPr>
              <w:t xml:space="preserve">NACOR Analysis Per </w:t>
            </w:r>
            <w:r>
              <w:rPr>
                <w:rFonts w:cstheme="minorHAnsi"/>
                <w:b/>
                <w:bCs/>
              </w:rPr>
              <w:t>Entity (2010-2013)</w:t>
            </w:r>
          </w:p>
        </w:tc>
      </w:tr>
      <w:tr w:rsidR="004F31AD" w:rsidRPr="00944A99" w:rsidTr="008A3570">
        <w:tc>
          <w:tcPr>
            <w:tcW w:w="4788" w:type="dxa"/>
            <w:shd w:val="clear" w:color="auto" w:fill="BFBFBF" w:themeFill="background1" w:themeFillShade="BF"/>
          </w:tcPr>
          <w:p w:rsidR="004F31AD" w:rsidRPr="00EB366E" w:rsidRDefault="004F31AD" w:rsidP="008A3570">
            <w:pPr>
              <w:autoSpaceDE w:val="0"/>
              <w:autoSpaceDN w:val="0"/>
              <w:adjustRightInd w:val="0"/>
              <w:rPr>
                <w:rFonts w:cstheme="minorHAnsi"/>
                <w:b/>
                <w:bCs/>
              </w:rPr>
            </w:pPr>
            <w:r w:rsidRPr="00EB366E">
              <w:rPr>
                <w:rFonts w:cstheme="minorHAnsi"/>
                <w:b/>
                <w:bCs/>
              </w:rPr>
              <w:t>Entity Reporting this measure</w:t>
            </w:r>
          </w:p>
        </w:tc>
        <w:tc>
          <w:tcPr>
            <w:tcW w:w="4788" w:type="dxa"/>
            <w:shd w:val="clear" w:color="auto" w:fill="BFBFBF" w:themeFill="background1" w:themeFillShade="BF"/>
          </w:tcPr>
          <w:p w:rsidR="004F31AD" w:rsidRPr="00802DEC" w:rsidRDefault="004F31AD" w:rsidP="008A3570">
            <w:pPr>
              <w:autoSpaceDE w:val="0"/>
              <w:autoSpaceDN w:val="0"/>
              <w:adjustRightInd w:val="0"/>
              <w:rPr>
                <w:rFonts w:cstheme="minorHAnsi"/>
                <w:b/>
                <w:bCs/>
              </w:rPr>
            </w:pPr>
            <w:r>
              <w:rPr>
                <w:rFonts w:cstheme="minorHAnsi"/>
                <w:b/>
                <w:bCs/>
              </w:rPr>
              <w:t>Total Number</w:t>
            </w:r>
          </w:p>
        </w:tc>
      </w:tr>
      <w:tr w:rsidR="004F31AD" w:rsidTr="008A3570">
        <w:tc>
          <w:tcPr>
            <w:tcW w:w="4788" w:type="dxa"/>
          </w:tcPr>
          <w:p w:rsidR="004F31AD" w:rsidRPr="00EB366E" w:rsidRDefault="004F31AD" w:rsidP="008A3570">
            <w:pPr>
              <w:autoSpaceDE w:val="0"/>
              <w:autoSpaceDN w:val="0"/>
              <w:adjustRightInd w:val="0"/>
              <w:rPr>
                <w:rFonts w:cstheme="minorHAnsi"/>
                <w:bCs/>
              </w:rPr>
            </w:pPr>
            <w:r w:rsidRPr="00EB366E">
              <w:rPr>
                <w:rFonts w:cstheme="minorHAnsi"/>
                <w:bCs/>
              </w:rPr>
              <w:t>Practices</w:t>
            </w:r>
          </w:p>
        </w:tc>
        <w:tc>
          <w:tcPr>
            <w:tcW w:w="4788" w:type="dxa"/>
          </w:tcPr>
          <w:p w:rsidR="004F31AD" w:rsidRPr="00155809" w:rsidRDefault="00155809" w:rsidP="008A3570">
            <w:pPr>
              <w:autoSpaceDE w:val="0"/>
              <w:autoSpaceDN w:val="0"/>
              <w:adjustRightInd w:val="0"/>
              <w:rPr>
                <w:rFonts w:cstheme="minorHAnsi"/>
                <w:bCs/>
              </w:rPr>
            </w:pPr>
            <w:r w:rsidRPr="00155809">
              <w:rPr>
                <w:rFonts w:cstheme="minorHAnsi"/>
                <w:bCs/>
              </w:rPr>
              <w:t>111</w:t>
            </w:r>
          </w:p>
        </w:tc>
      </w:tr>
      <w:tr w:rsidR="004F31AD" w:rsidTr="008A3570">
        <w:tc>
          <w:tcPr>
            <w:tcW w:w="4788" w:type="dxa"/>
          </w:tcPr>
          <w:p w:rsidR="004F31AD" w:rsidRPr="00EB366E" w:rsidRDefault="004F31AD" w:rsidP="008A3570">
            <w:pPr>
              <w:autoSpaceDE w:val="0"/>
              <w:autoSpaceDN w:val="0"/>
              <w:adjustRightInd w:val="0"/>
              <w:rPr>
                <w:rFonts w:cstheme="minorHAnsi"/>
                <w:bCs/>
              </w:rPr>
            </w:pPr>
            <w:r w:rsidRPr="00EB366E">
              <w:rPr>
                <w:rFonts w:cstheme="minorHAnsi"/>
                <w:bCs/>
              </w:rPr>
              <w:t>Facilities</w:t>
            </w:r>
          </w:p>
        </w:tc>
        <w:tc>
          <w:tcPr>
            <w:tcW w:w="4788" w:type="dxa"/>
          </w:tcPr>
          <w:p w:rsidR="004F31AD" w:rsidRPr="00155809" w:rsidRDefault="00155809" w:rsidP="008A3570">
            <w:pPr>
              <w:autoSpaceDE w:val="0"/>
              <w:autoSpaceDN w:val="0"/>
              <w:adjustRightInd w:val="0"/>
              <w:rPr>
                <w:rFonts w:cstheme="minorHAnsi"/>
                <w:bCs/>
              </w:rPr>
            </w:pPr>
            <w:r w:rsidRPr="00155809">
              <w:rPr>
                <w:rFonts w:cstheme="minorHAnsi"/>
                <w:bCs/>
              </w:rPr>
              <w:t>682</w:t>
            </w:r>
          </w:p>
        </w:tc>
      </w:tr>
      <w:tr w:rsidR="004F31AD" w:rsidTr="008A3570">
        <w:tc>
          <w:tcPr>
            <w:tcW w:w="4788" w:type="dxa"/>
          </w:tcPr>
          <w:p w:rsidR="004F31AD" w:rsidRPr="00EB366E" w:rsidRDefault="004F31AD" w:rsidP="008A3570">
            <w:pPr>
              <w:autoSpaceDE w:val="0"/>
              <w:autoSpaceDN w:val="0"/>
              <w:adjustRightInd w:val="0"/>
              <w:rPr>
                <w:rFonts w:cstheme="minorHAnsi"/>
                <w:bCs/>
              </w:rPr>
            </w:pPr>
            <w:r w:rsidRPr="00EB366E">
              <w:rPr>
                <w:rFonts w:cstheme="minorHAnsi"/>
                <w:bCs/>
              </w:rPr>
              <w:t>Providers</w:t>
            </w:r>
          </w:p>
        </w:tc>
        <w:tc>
          <w:tcPr>
            <w:tcW w:w="4788" w:type="dxa"/>
          </w:tcPr>
          <w:p w:rsidR="004F31AD" w:rsidRPr="00155809" w:rsidRDefault="00155809" w:rsidP="008A3570">
            <w:pPr>
              <w:autoSpaceDE w:val="0"/>
              <w:autoSpaceDN w:val="0"/>
              <w:adjustRightInd w:val="0"/>
              <w:rPr>
                <w:rFonts w:cstheme="minorHAnsi"/>
                <w:bCs/>
              </w:rPr>
            </w:pPr>
            <w:r w:rsidRPr="00155809">
              <w:rPr>
                <w:rFonts w:cstheme="minorHAnsi"/>
                <w:bCs/>
              </w:rPr>
              <w:t>7</w:t>
            </w:r>
            <w:r>
              <w:rPr>
                <w:rFonts w:cstheme="minorHAnsi"/>
                <w:bCs/>
              </w:rPr>
              <w:t>,</w:t>
            </w:r>
            <w:r w:rsidRPr="00155809">
              <w:rPr>
                <w:rFonts w:cstheme="minorHAnsi"/>
                <w:bCs/>
              </w:rPr>
              <w:t>912</w:t>
            </w:r>
          </w:p>
        </w:tc>
      </w:tr>
    </w:tbl>
    <w:p w:rsidR="004F31AD" w:rsidRDefault="004F31AD" w:rsidP="004F31AD">
      <w:pPr>
        <w:autoSpaceDE w:val="0"/>
        <w:autoSpaceDN w:val="0"/>
        <w:adjustRightInd w:val="0"/>
        <w:spacing w:after="0" w:line="240" w:lineRule="auto"/>
        <w:rPr>
          <w:rFonts w:cstheme="minorHAnsi"/>
          <w:bCs/>
        </w:rPr>
      </w:pPr>
    </w:p>
    <w:p w:rsidR="004F31AD" w:rsidRPr="00B76DA5" w:rsidRDefault="004F31AD" w:rsidP="004F31AD">
      <w:pPr>
        <w:autoSpaceDE w:val="0"/>
        <w:autoSpaceDN w:val="0"/>
        <w:adjustRightInd w:val="0"/>
        <w:spacing w:after="0" w:line="240" w:lineRule="auto"/>
        <w:rPr>
          <w:rFonts w:cstheme="minorHAnsi"/>
          <w:b/>
          <w:bCs/>
        </w:rPr>
      </w:pPr>
      <w:r>
        <w:rPr>
          <w:rFonts w:cstheme="minorHAnsi"/>
          <w:b/>
          <w:bCs/>
        </w:rPr>
        <w:t>TABLE 2</w:t>
      </w:r>
    </w:p>
    <w:tbl>
      <w:tblPr>
        <w:tblStyle w:val="TableGrid"/>
        <w:tblW w:w="0" w:type="auto"/>
        <w:tblLook w:val="04A0" w:firstRow="1" w:lastRow="0" w:firstColumn="1" w:lastColumn="0" w:noHBand="0" w:noVBand="1"/>
      </w:tblPr>
      <w:tblGrid>
        <w:gridCol w:w="3192"/>
        <w:gridCol w:w="3363"/>
        <w:gridCol w:w="3021"/>
      </w:tblGrid>
      <w:tr w:rsidR="004F31AD" w:rsidRPr="00D64481" w:rsidTr="008A3570">
        <w:tc>
          <w:tcPr>
            <w:tcW w:w="9576" w:type="dxa"/>
            <w:gridSpan w:val="3"/>
            <w:shd w:val="clear" w:color="auto" w:fill="BFBFBF" w:themeFill="background1" w:themeFillShade="BF"/>
          </w:tcPr>
          <w:p w:rsidR="004F31AD" w:rsidRPr="00944A99" w:rsidRDefault="004F31AD" w:rsidP="008A3570">
            <w:pPr>
              <w:autoSpaceDE w:val="0"/>
              <w:autoSpaceDN w:val="0"/>
              <w:adjustRightInd w:val="0"/>
              <w:rPr>
                <w:rFonts w:cstheme="minorHAnsi"/>
                <w:b/>
                <w:bCs/>
              </w:rPr>
            </w:pPr>
            <w:r w:rsidRPr="00944A99">
              <w:rPr>
                <w:rFonts w:cstheme="minorHAnsi"/>
                <w:b/>
                <w:bCs/>
              </w:rPr>
              <w:t xml:space="preserve">NACOR Analysis Per </w:t>
            </w:r>
            <w:r>
              <w:rPr>
                <w:rFonts w:cstheme="minorHAnsi"/>
                <w:b/>
                <w:bCs/>
              </w:rPr>
              <w:t>Eligible and Medicare Cases (2010-2013)</w:t>
            </w:r>
          </w:p>
        </w:tc>
      </w:tr>
      <w:tr w:rsidR="004F31AD" w:rsidRPr="00802DEC" w:rsidTr="008A3570">
        <w:tc>
          <w:tcPr>
            <w:tcW w:w="3192" w:type="dxa"/>
            <w:shd w:val="clear" w:color="auto" w:fill="BFBFBF" w:themeFill="background1" w:themeFillShade="BF"/>
          </w:tcPr>
          <w:p w:rsidR="004F31AD" w:rsidRPr="00944A99" w:rsidRDefault="004F31AD" w:rsidP="008A3570">
            <w:pPr>
              <w:autoSpaceDE w:val="0"/>
              <w:autoSpaceDN w:val="0"/>
              <w:adjustRightInd w:val="0"/>
              <w:rPr>
                <w:rFonts w:cstheme="minorHAnsi"/>
                <w:b/>
                <w:bCs/>
              </w:rPr>
            </w:pPr>
            <w:r>
              <w:rPr>
                <w:rFonts w:cstheme="minorHAnsi"/>
                <w:b/>
                <w:bCs/>
              </w:rPr>
              <w:t>Year</w:t>
            </w:r>
          </w:p>
        </w:tc>
        <w:tc>
          <w:tcPr>
            <w:tcW w:w="3363" w:type="dxa"/>
            <w:shd w:val="clear" w:color="auto" w:fill="BFBFBF" w:themeFill="background1" w:themeFillShade="BF"/>
          </w:tcPr>
          <w:p w:rsidR="004F31AD" w:rsidRPr="00802DEC" w:rsidRDefault="004F31AD" w:rsidP="008A3570">
            <w:pPr>
              <w:autoSpaceDE w:val="0"/>
              <w:autoSpaceDN w:val="0"/>
              <w:adjustRightInd w:val="0"/>
              <w:rPr>
                <w:rFonts w:cstheme="minorHAnsi"/>
                <w:b/>
                <w:bCs/>
              </w:rPr>
            </w:pPr>
            <w:r>
              <w:rPr>
                <w:rFonts w:cstheme="minorHAnsi"/>
                <w:b/>
                <w:bCs/>
              </w:rPr>
              <w:t>Eligible Cases</w:t>
            </w:r>
          </w:p>
        </w:tc>
        <w:tc>
          <w:tcPr>
            <w:tcW w:w="3021" w:type="dxa"/>
            <w:shd w:val="clear" w:color="auto" w:fill="BFBFBF" w:themeFill="background1" w:themeFillShade="BF"/>
          </w:tcPr>
          <w:p w:rsidR="004F31AD" w:rsidRDefault="004F31AD" w:rsidP="008A3570">
            <w:pPr>
              <w:autoSpaceDE w:val="0"/>
              <w:autoSpaceDN w:val="0"/>
              <w:adjustRightInd w:val="0"/>
              <w:rPr>
                <w:rFonts w:cstheme="minorHAnsi"/>
                <w:b/>
                <w:bCs/>
              </w:rPr>
            </w:pPr>
            <w:r>
              <w:rPr>
                <w:rFonts w:cstheme="minorHAnsi"/>
                <w:b/>
                <w:bCs/>
              </w:rPr>
              <w:t>Medicare Cases</w:t>
            </w:r>
          </w:p>
        </w:tc>
      </w:tr>
      <w:tr w:rsidR="004F31AD" w:rsidTr="008A3570">
        <w:tc>
          <w:tcPr>
            <w:tcW w:w="3192" w:type="dxa"/>
          </w:tcPr>
          <w:p w:rsidR="004F31AD" w:rsidRDefault="004F31AD" w:rsidP="008A3570">
            <w:pPr>
              <w:autoSpaceDE w:val="0"/>
              <w:autoSpaceDN w:val="0"/>
              <w:adjustRightInd w:val="0"/>
              <w:rPr>
                <w:rFonts w:cstheme="minorHAnsi"/>
                <w:bCs/>
              </w:rPr>
            </w:pPr>
            <w:r>
              <w:rPr>
                <w:rFonts w:cstheme="minorHAnsi"/>
                <w:bCs/>
              </w:rPr>
              <w:t>2010</w:t>
            </w:r>
          </w:p>
        </w:tc>
        <w:tc>
          <w:tcPr>
            <w:tcW w:w="3363" w:type="dxa"/>
          </w:tcPr>
          <w:p w:rsidR="004F31AD" w:rsidRDefault="00443B56" w:rsidP="008A3570">
            <w:pPr>
              <w:autoSpaceDE w:val="0"/>
              <w:autoSpaceDN w:val="0"/>
              <w:adjustRightInd w:val="0"/>
              <w:rPr>
                <w:rFonts w:cstheme="minorHAnsi"/>
                <w:bCs/>
              </w:rPr>
            </w:pPr>
            <w:r>
              <w:rPr>
                <w:rFonts w:cstheme="minorHAnsi"/>
                <w:bCs/>
              </w:rPr>
              <w:t>447,899</w:t>
            </w:r>
          </w:p>
        </w:tc>
        <w:tc>
          <w:tcPr>
            <w:tcW w:w="3021" w:type="dxa"/>
          </w:tcPr>
          <w:p w:rsidR="004F31AD" w:rsidRDefault="00443B56" w:rsidP="008A3570">
            <w:pPr>
              <w:autoSpaceDE w:val="0"/>
              <w:autoSpaceDN w:val="0"/>
              <w:adjustRightInd w:val="0"/>
              <w:rPr>
                <w:rFonts w:cstheme="minorHAnsi"/>
                <w:bCs/>
              </w:rPr>
            </w:pPr>
            <w:r>
              <w:rPr>
                <w:rFonts w:cstheme="minorHAnsi"/>
                <w:bCs/>
              </w:rPr>
              <w:t>85,537</w:t>
            </w:r>
          </w:p>
        </w:tc>
      </w:tr>
      <w:tr w:rsidR="004F31AD" w:rsidTr="008A3570">
        <w:tc>
          <w:tcPr>
            <w:tcW w:w="3192" w:type="dxa"/>
          </w:tcPr>
          <w:p w:rsidR="004F31AD" w:rsidRDefault="004F31AD" w:rsidP="008A3570">
            <w:pPr>
              <w:autoSpaceDE w:val="0"/>
              <w:autoSpaceDN w:val="0"/>
              <w:adjustRightInd w:val="0"/>
              <w:rPr>
                <w:rFonts w:cstheme="minorHAnsi"/>
                <w:bCs/>
              </w:rPr>
            </w:pPr>
            <w:r>
              <w:rPr>
                <w:rFonts w:cstheme="minorHAnsi"/>
                <w:bCs/>
              </w:rPr>
              <w:t>2011</w:t>
            </w:r>
          </w:p>
        </w:tc>
        <w:tc>
          <w:tcPr>
            <w:tcW w:w="3363" w:type="dxa"/>
          </w:tcPr>
          <w:p w:rsidR="004F31AD" w:rsidRDefault="00443B56" w:rsidP="008A3570">
            <w:pPr>
              <w:autoSpaceDE w:val="0"/>
              <w:autoSpaceDN w:val="0"/>
              <w:adjustRightInd w:val="0"/>
              <w:rPr>
                <w:rFonts w:cstheme="minorHAnsi"/>
                <w:bCs/>
              </w:rPr>
            </w:pPr>
            <w:r>
              <w:rPr>
                <w:rFonts w:cstheme="minorHAnsi"/>
                <w:bCs/>
              </w:rPr>
              <w:t>919,332</w:t>
            </w:r>
          </w:p>
        </w:tc>
        <w:tc>
          <w:tcPr>
            <w:tcW w:w="3021" w:type="dxa"/>
          </w:tcPr>
          <w:p w:rsidR="004F31AD" w:rsidRDefault="00443B56" w:rsidP="008A3570">
            <w:pPr>
              <w:autoSpaceDE w:val="0"/>
              <w:autoSpaceDN w:val="0"/>
              <w:adjustRightInd w:val="0"/>
              <w:rPr>
                <w:rFonts w:cstheme="minorHAnsi"/>
                <w:bCs/>
              </w:rPr>
            </w:pPr>
            <w:r>
              <w:rPr>
                <w:rFonts w:cstheme="minorHAnsi"/>
                <w:bCs/>
              </w:rPr>
              <w:t>215,294</w:t>
            </w:r>
          </w:p>
        </w:tc>
      </w:tr>
      <w:tr w:rsidR="004F31AD" w:rsidTr="008A3570">
        <w:tc>
          <w:tcPr>
            <w:tcW w:w="3192" w:type="dxa"/>
          </w:tcPr>
          <w:p w:rsidR="004F31AD" w:rsidRDefault="004F31AD" w:rsidP="008A3570">
            <w:pPr>
              <w:autoSpaceDE w:val="0"/>
              <w:autoSpaceDN w:val="0"/>
              <w:adjustRightInd w:val="0"/>
              <w:rPr>
                <w:rFonts w:cstheme="minorHAnsi"/>
                <w:bCs/>
              </w:rPr>
            </w:pPr>
            <w:r>
              <w:rPr>
                <w:rFonts w:cstheme="minorHAnsi"/>
                <w:bCs/>
              </w:rPr>
              <w:t>2012</w:t>
            </w:r>
          </w:p>
        </w:tc>
        <w:tc>
          <w:tcPr>
            <w:tcW w:w="3363" w:type="dxa"/>
          </w:tcPr>
          <w:p w:rsidR="004F31AD" w:rsidRDefault="00443B56" w:rsidP="008A3570">
            <w:pPr>
              <w:autoSpaceDE w:val="0"/>
              <w:autoSpaceDN w:val="0"/>
              <w:adjustRightInd w:val="0"/>
              <w:rPr>
                <w:rFonts w:cstheme="minorHAnsi"/>
                <w:bCs/>
              </w:rPr>
            </w:pPr>
            <w:r>
              <w:rPr>
                <w:rFonts w:cstheme="minorHAnsi"/>
                <w:bCs/>
              </w:rPr>
              <w:t>1,272,321</w:t>
            </w:r>
          </w:p>
        </w:tc>
        <w:tc>
          <w:tcPr>
            <w:tcW w:w="3021" w:type="dxa"/>
          </w:tcPr>
          <w:p w:rsidR="004F31AD" w:rsidRDefault="00443B56" w:rsidP="008A3570">
            <w:pPr>
              <w:autoSpaceDE w:val="0"/>
              <w:autoSpaceDN w:val="0"/>
              <w:adjustRightInd w:val="0"/>
              <w:rPr>
                <w:rFonts w:cstheme="minorHAnsi"/>
                <w:bCs/>
              </w:rPr>
            </w:pPr>
            <w:r>
              <w:rPr>
                <w:rFonts w:cstheme="minorHAnsi"/>
                <w:bCs/>
              </w:rPr>
              <w:t>337,575</w:t>
            </w:r>
          </w:p>
        </w:tc>
      </w:tr>
      <w:tr w:rsidR="004F31AD" w:rsidTr="008A3570">
        <w:tc>
          <w:tcPr>
            <w:tcW w:w="3192" w:type="dxa"/>
          </w:tcPr>
          <w:p w:rsidR="004F31AD" w:rsidRDefault="004F31AD" w:rsidP="008A3570">
            <w:pPr>
              <w:autoSpaceDE w:val="0"/>
              <w:autoSpaceDN w:val="0"/>
              <w:adjustRightInd w:val="0"/>
              <w:rPr>
                <w:rFonts w:cstheme="minorHAnsi"/>
                <w:bCs/>
              </w:rPr>
            </w:pPr>
            <w:r>
              <w:rPr>
                <w:rFonts w:cstheme="minorHAnsi"/>
                <w:bCs/>
              </w:rPr>
              <w:t>2013</w:t>
            </w:r>
          </w:p>
        </w:tc>
        <w:tc>
          <w:tcPr>
            <w:tcW w:w="3363" w:type="dxa"/>
          </w:tcPr>
          <w:p w:rsidR="004F31AD" w:rsidRDefault="00443B56" w:rsidP="008A3570">
            <w:pPr>
              <w:autoSpaceDE w:val="0"/>
              <w:autoSpaceDN w:val="0"/>
              <w:adjustRightInd w:val="0"/>
              <w:rPr>
                <w:rFonts w:cstheme="minorHAnsi"/>
                <w:bCs/>
              </w:rPr>
            </w:pPr>
            <w:r>
              <w:rPr>
                <w:rFonts w:cstheme="minorHAnsi"/>
                <w:bCs/>
              </w:rPr>
              <w:t>1,919,691</w:t>
            </w:r>
          </w:p>
        </w:tc>
        <w:tc>
          <w:tcPr>
            <w:tcW w:w="3021" w:type="dxa"/>
          </w:tcPr>
          <w:p w:rsidR="004F31AD" w:rsidRDefault="00443B56" w:rsidP="008A3570">
            <w:pPr>
              <w:autoSpaceDE w:val="0"/>
              <w:autoSpaceDN w:val="0"/>
              <w:adjustRightInd w:val="0"/>
              <w:rPr>
                <w:rFonts w:cstheme="minorHAnsi"/>
                <w:bCs/>
              </w:rPr>
            </w:pPr>
            <w:r>
              <w:rPr>
                <w:rFonts w:cstheme="minorHAnsi"/>
                <w:bCs/>
              </w:rPr>
              <w:t>507,970</w:t>
            </w:r>
          </w:p>
        </w:tc>
      </w:tr>
    </w:tbl>
    <w:p w:rsidR="004F31AD" w:rsidRDefault="004F31AD" w:rsidP="004F31AD">
      <w:pPr>
        <w:autoSpaceDE w:val="0"/>
        <w:autoSpaceDN w:val="0"/>
        <w:adjustRightInd w:val="0"/>
        <w:spacing w:after="0" w:line="240" w:lineRule="auto"/>
        <w:rPr>
          <w:rFonts w:cstheme="minorHAnsi"/>
          <w:bCs/>
        </w:rPr>
      </w:pPr>
    </w:p>
    <w:p w:rsidR="004F31AD" w:rsidRPr="007819AC" w:rsidRDefault="004F31AD" w:rsidP="004F31AD">
      <w:pPr>
        <w:autoSpaceDE w:val="0"/>
        <w:autoSpaceDN w:val="0"/>
        <w:adjustRightInd w:val="0"/>
        <w:spacing w:after="0" w:line="240" w:lineRule="auto"/>
        <w:rPr>
          <w:rFonts w:cstheme="minorHAnsi"/>
          <w:b/>
          <w:bCs/>
        </w:rPr>
      </w:pPr>
      <w:r>
        <w:rPr>
          <w:rFonts w:cstheme="minorHAnsi"/>
          <w:b/>
          <w:bCs/>
        </w:rPr>
        <w:t>TABLE 3</w:t>
      </w:r>
    </w:p>
    <w:tbl>
      <w:tblPr>
        <w:tblStyle w:val="TableGrid"/>
        <w:tblW w:w="0" w:type="auto"/>
        <w:tblLook w:val="04A0" w:firstRow="1" w:lastRow="0" w:firstColumn="1" w:lastColumn="0" w:noHBand="0" w:noVBand="1"/>
      </w:tblPr>
      <w:tblGrid>
        <w:gridCol w:w="4788"/>
        <w:gridCol w:w="4788"/>
      </w:tblGrid>
      <w:tr w:rsidR="004F31AD" w:rsidRPr="00944A99" w:rsidTr="008A3570">
        <w:tc>
          <w:tcPr>
            <w:tcW w:w="9576" w:type="dxa"/>
            <w:gridSpan w:val="2"/>
            <w:shd w:val="clear" w:color="auto" w:fill="BFBFBF" w:themeFill="background1" w:themeFillShade="BF"/>
          </w:tcPr>
          <w:p w:rsidR="004F31AD" w:rsidRPr="00D64481" w:rsidRDefault="004F31AD" w:rsidP="008A3570">
            <w:pPr>
              <w:autoSpaceDE w:val="0"/>
              <w:autoSpaceDN w:val="0"/>
              <w:adjustRightInd w:val="0"/>
              <w:rPr>
                <w:rFonts w:cstheme="minorHAnsi"/>
                <w:b/>
                <w:bCs/>
              </w:rPr>
            </w:pPr>
            <w:r w:rsidRPr="00D64481">
              <w:rPr>
                <w:rFonts w:cstheme="minorHAnsi"/>
                <w:b/>
                <w:bCs/>
              </w:rPr>
              <w:t>Medicare Limited Data Set Carrier SAF – 5% File</w:t>
            </w:r>
          </w:p>
        </w:tc>
      </w:tr>
      <w:tr w:rsidR="004F31AD" w:rsidRPr="00802DEC" w:rsidTr="008A3570">
        <w:tc>
          <w:tcPr>
            <w:tcW w:w="4788" w:type="dxa"/>
            <w:shd w:val="clear" w:color="auto" w:fill="BFBFBF" w:themeFill="background1" w:themeFillShade="BF"/>
          </w:tcPr>
          <w:p w:rsidR="004F31AD" w:rsidRPr="00944A99" w:rsidRDefault="004F31AD" w:rsidP="008A3570">
            <w:pPr>
              <w:autoSpaceDE w:val="0"/>
              <w:autoSpaceDN w:val="0"/>
              <w:adjustRightInd w:val="0"/>
              <w:rPr>
                <w:rFonts w:cstheme="minorHAnsi"/>
                <w:b/>
                <w:bCs/>
              </w:rPr>
            </w:pPr>
            <w:r>
              <w:rPr>
                <w:rFonts w:cstheme="minorHAnsi"/>
                <w:b/>
                <w:bCs/>
              </w:rPr>
              <w:t>Year</w:t>
            </w:r>
          </w:p>
        </w:tc>
        <w:tc>
          <w:tcPr>
            <w:tcW w:w="4788" w:type="dxa"/>
            <w:shd w:val="clear" w:color="auto" w:fill="BFBFBF" w:themeFill="background1" w:themeFillShade="BF"/>
          </w:tcPr>
          <w:p w:rsidR="004F31AD" w:rsidRPr="00802DEC" w:rsidRDefault="004F31AD" w:rsidP="008A3570">
            <w:pPr>
              <w:autoSpaceDE w:val="0"/>
              <w:autoSpaceDN w:val="0"/>
              <w:adjustRightInd w:val="0"/>
              <w:rPr>
                <w:rFonts w:cstheme="minorHAnsi"/>
                <w:b/>
                <w:bCs/>
              </w:rPr>
            </w:pPr>
            <w:r>
              <w:rPr>
                <w:rFonts w:cstheme="minorHAnsi"/>
                <w:b/>
                <w:bCs/>
              </w:rPr>
              <w:t xml:space="preserve">Total </w:t>
            </w:r>
            <w:r w:rsidR="00C2336C">
              <w:rPr>
                <w:rFonts w:cstheme="minorHAnsi"/>
                <w:b/>
                <w:bCs/>
              </w:rPr>
              <w:t xml:space="preserve">Eligible </w:t>
            </w:r>
            <w:r>
              <w:rPr>
                <w:rFonts w:cstheme="minorHAnsi"/>
                <w:b/>
                <w:bCs/>
              </w:rPr>
              <w:t>Cases</w:t>
            </w:r>
          </w:p>
        </w:tc>
      </w:tr>
      <w:tr w:rsidR="004F31AD" w:rsidTr="008A3570">
        <w:tc>
          <w:tcPr>
            <w:tcW w:w="4788" w:type="dxa"/>
          </w:tcPr>
          <w:p w:rsidR="004F31AD" w:rsidRDefault="004F31AD" w:rsidP="008A3570">
            <w:pPr>
              <w:autoSpaceDE w:val="0"/>
              <w:autoSpaceDN w:val="0"/>
              <w:adjustRightInd w:val="0"/>
              <w:rPr>
                <w:rFonts w:cstheme="minorHAnsi"/>
                <w:bCs/>
              </w:rPr>
            </w:pPr>
            <w:r>
              <w:rPr>
                <w:rFonts w:cstheme="minorHAnsi"/>
                <w:bCs/>
              </w:rPr>
              <w:t>2010</w:t>
            </w:r>
          </w:p>
        </w:tc>
        <w:tc>
          <w:tcPr>
            <w:tcW w:w="4788" w:type="dxa"/>
          </w:tcPr>
          <w:p w:rsidR="004F31AD" w:rsidRDefault="00C2336C" w:rsidP="008A3570">
            <w:pPr>
              <w:autoSpaceDE w:val="0"/>
              <w:autoSpaceDN w:val="0"/>
              <w:adjustRightInd w:val="0"/>
              <w:rPr>
                <w:rFonts w:cstheme="minorHAnsi"/>
                <w:bCs/>
              </w:rPr>
            </w:pPr>
            <w:r>
              <w:rPr>
                <w:rFonts w:cstheme="minorHAnsi"/>
                <w:bCs/>
              </w:rPr>
              <w:t>484,361</w:t>
            </w:r>
          </w:p>
        </w:tc>
      </w:tr>
      <w:tr w:rsidR="004F31AD" w:rsidTr="008A3570">
        <w:tc>
          <w:tcPr>
            <w:tcW w:w="4788" w:type="dxa"/>
          </w:tcPr>
          <w:p w:rsidR="004F31AD" w:rsidRDefault="004F31AD" w:rsidP="008A3570">
            <w:pPr>
              <w:autoSpaceDE w:val="0"/>
              <w:autoSpaceDN w:val="0"/>
              <w:adjustRightInd w:val="0"/>
              <w:rPr>
                <w:rFonts w:cstheme="minorHAnsi"/>
                <w:bCs/>
              </w:rPr>
            </w:pPr>
            <w:r>
              <w:rPr>
                <w:rFonts w:cstheme="minorHAnsi"/>
                <w:bCs/>
              </w:rPr>
              <w:t>2011</w:t>
            </w:r>
          </w:p>
        </w:tc>
        <w:tc>
          <w:tcPr>
            <w:tcW w:w="4788" w:type="dxa"/>
          </w:tcPr>
          <w:p w:rsidR="004F31AD" w:rsidRDefault="00C2336C" w:rsidP="008A3570">
            <w:pPr>
              <w:autoSpaceDE w:val="0"/>
              <w:autoSpaceDN w:val="0"/>
              <w:adjustRightInd w:val="0"/>
              <w:rPr>
                <w:rFonts w:cstheme="minorHAnsi"/>
                <w:bCs/>
              </w:rPr>
            </w:pPr>
            <w:r>
              <w:rPr>
                <w:rFonts w:cstheme="minorHAnsi"/>
                <w:bCs/>
              </w:rPr>
              <w:t>500,486</w:t>
            </w:r>
          </w:p>
        </w:tc>
      </w:tr>
      <w:tr w:rsidR="004F31AD" w:rsidTr="008A3570">
        <w:tc>
          <w:tcPr>
            <w:tcW w:w="4788" w:type="dxa"/>
          </w:tcPr>
          <w:p w:rsidR="004F31AD" w:rsidRDefault="004F31AD" w:rsidP="008A3570">
            <w:pPr>
              <w:autoSpaceDE w:val="0"/>
              <w:autoSpaceDN w:val="0"/>
              <w:adjustRightInd w:val="0"/>
              <w:rPr>
                <w:rFonts w:cstheme="minorHAnsi"/>
                <w:bCs/>
              </w:rPr>
            </w:pPr>
            <w:r>
              <w:rPr>
                <w:rFonts w:cstheme="minorHAnsi"/>
                <w:bCs/>
              </w:rPr>
              <w:t>2012</w:t>
            </w:r>
          </w:p>
        </w:tc>
        <w:tc>
          <w:tcPr>
            <w:tcW w:w="4788" w:type="dxa"/>
          </w:tcPr>
          <w:p w:rsidR="004F31AD" w:rsidRDefault="00C2336C" w:rsidP="008A3570">
            <w:pPr>
              <w:autoSpaceDE w:val="0"/>
              <w:autoSpaceDN w:val="0"/>
              <w:adjustRightInd w:val="0"/>
              <w:rPr>
                <w:rFonts w:cstheme="minorHAnsi"/>
                <w:bCs/>
              </w:rPr>
            </w:pPr>
            <w:r>
              <w:rPr>
                <w:rFonts w:cstheme="minorHAnsi"/>
                <w:bCs/>
              </w:rPr>
              <w:t>474,125</w:t>
            </w:r>
          </w:p>
        </w:tc>
      </w:tr>
    </w:tbl>
    <w:p w:rsidR="0042121C" w:rsidRDefault="0042121C" w:rsidP="00DB3627">
      <w:pPr>
        <w:autoSpaceDE w:val="0"/>
        <w:autoSpaceDN w:val="0"/>
        <w:adjustRightInd w:val="0"/>
        <w:spacing w:after="0" w:line="240" w:lineRule="auto"/>
        <w:rPr>
          <w:rFonts w:cstheme="minorHAnsi"/>
          <w:bCs/>
        </w:rPr>
      </w:pPr>
    </w:p>
    <w:p w:rsidR="002B5016" w:rsidRPr="00A25024" w:rsidRDefault="002B5016" w:rsidP="00DB3627">
      <w:pPr>
        <w:autoSpaceDE w:val="0"/>
        <w:autoSpaceDN w:val="0"/>
        <w:adjustRightInd w:val="0"/>
        <w:spacing w:after="0" w:line="240" w:lineRule="auto"/>
        <w:rPr>
          <w:rFonts w:cstheme="minorHAnsi"/>
          <w:bCs/>
        </w:rPr>
      </w:pPr>
    </w:p>
    <w:p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F42CC5">
        <w:rPr>
          <w:rFonts w:cstheme="minorHAnsi"/>
          <w:b/>
          <w:bCs/>
        </w:rPr>
        <w:t xml:space="preserve">How many and which </w:t>
      </w:r>
      <w:r w:rsidR="007422FD" w:rsidRPr="00F42CC5">
        <w:rPr>
          <w:rFonts w:cstheme="minorHAnsi"/>
          <w:b/>
          <w:bCs/>
          <w:u w:val="single"/>
        </w:rPr>
        <w:t>patients</w:t>
      </w:r>
      <w:r w:rsidR="007422FD" w:rsidRPr="00F42CC5">
        <w:rPr>
          <w:rFonts w:cstheme="minorHAnsi"/>
          <w:b/>
          <w:bCs/>
        </w:rPr>
        <w:t xml:space="preserve"> were included in the testing and analysis</w:t>
      </w:r>
      <w:r w:rsidR="00AA65A6" w:rsidRPr="00F42CC5">
        <w:rPr>
          <w:rFonts w:cstheme="minorHAnsi"/>
          <w:b/>
          <w:bCs/>
        </w:rPr>
        <w:t xml:space="preserve"> </w:t>
      </w:r>
      <w:r w:rsidR="00616EB5" w:rsidRPr="00F42CC5">
        <w:rPr>
          <w:rFonts w:cstheme="minorHAnsi"/>
          <w:b/>
          <w:bCs/>
        </w:rPr>
        <w:t>(</w:t>
      </w:r>
      <w:r w:rsidR="00AA65A6" w:rsidRPr="00F42CC5">
        <w:rPr>
          <w:rFonts w:cstheme="minorHAnsi"/>
          <w:b/>
          <w:bCs/>
        </w:rPr>
        <w:t>by level of analysis and data source</w:t>
      </w:r>
      <w:r w:rsidR="00616EB5" w:rsidRPr="00F42CC5">
        <w:rPr>
          <w:rFonts w:cstheme="minorHAnsi"/>
          <w:b/>
          <w:bCs/>
        </w:rPr>
        <w:t>)</w:t>
      </w:r>
      <w:r w:rsidR="007422FD" w:rsidRPr="00F42CC5">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rsidR="0042121C" w:rsidRDefault="0042121C" w:rsidP="0042121C">
      <w:pPr>
        <w:autoSpaceDE w:val="0"/>
        <w:autoSpaceDN w:val="0"/>
        <w:adjustRightInd w:val="0"/>
        <w:spacing w:after="0" w:line="240" w:lineRule="auto"/>
        <w:rPr>
          <w:rFonts w:cstheme="minorHAnsi"/>
          <w:bCs/>
        </w:rPr>
      </w:pPr>
      <w:r w:rsidRPr="00C90ED7">
        <w:rPr>
          <w:rFonts w:cstheme="minorHAnsi"/>
          <w:bCs/>
        </w:rPr>
        <w:t xml:space="preserve">NACOR data has been presented in the tables </w:t>
      </w:r>
      <w:r>
        <w:rPr>
          <w:rFonts w:cstheme="minorHAnsi"/>
          <w:bCs/>
        </w:rPr>
        <w:t>below</w:t>
      </w:r>
      <w:r w:rsidRPr="00C90ED7">
        <w:rPr>
          <w:rFonts w:cstheme="minorHAnsi"/>
          <w:bCs/>
        </w:rPr>
        <w:t xml:space="preserve">, including distribution </w:t>
      </w:r>
      <w:r w:rsidR="008A50BD">
        <w:rPr>
          <w:rFonts w:cstheme="minorHAnsi"/>
          <w:bCs/>
        </w:rPr>
        <w:t>of 4,559,243</w:t>
      </w:r>
      <w:r>
        <w:rPr>
          <w:rFonts w:cstheme="minorHAnsi"/>
          <w:bCs/>
        </w:rPr>
        <w:t xml:space="preserve"> perioperative temperature management </w:t>
      </w:r>
      <w:r w:rsidR="008A50BD">
        <w:rPr>
          <w:rFonts w:cstheme="minorHAnsi"/>
          <w:bCs/>
        </w:rPr>
        <w:t xml:space="preserve">eligible instances </w:t>
      </w:r>
      <w:r w:rsidRPr="00C90ED7">
        <w:rPr>
          <w:rFonts w:cstheme="minorHAnsi"/>
          <w:bCs/>
        </w:rPr>
        <w:t>by age, sex, ASA Physical Status (a common measure of patient risk in anesthesia procedures) and average household income of their reported zip code</w:t>
      </w:r>
      <w:r w:rsidRPr="00F42CC5">
        <w:rPr>
          <w:rFonts w:cstheme="minorHAnsi"/>
          <w:bCs/>
        </w:rPr>
        <w:t xml:space="preserve">.  Note that testing for perioperative temperature management was conducted using the current reporting specifications and not the </w:t>
      </w:r>
      <w:r w:rsidR="00F42CC5">
        <w:rPr>
          <w:rFonts w:cstheme="minorHAnsi"/>
          <w:bCs/>
        </w:rPr>
        <w:t xml:space="preserve">proposed </w:t>
      </w:r>
      <w:r w:rsidRPr="00F42CC5">
        <w:rPr>
          <w:rFonts w:cstheme="minorHAnsi"/>
          <w:bCs/>
        </w:rPr>
        <w:t>measure maintenance specifications.</w:t>
      </w:r>
    </w:p>
    <w:p w:rsidR="008A50BD" w:rsidRDefault="008A50BD" w:rsidP="0042121C">
      <w:pPr>
        <w:autoSpaceDE w:val="0"/>
        <w:autoSpaceDN w:val="0"/>
        <w:adjustRightInd w:val="0"/>
        <w:spacing w:after="0" w:line="240" w:lineRule="auto"/>
        <w:rPr>
          <w:rFonts w:cstheme="minorHAnsi"/>
          <w:bCs/>
        </w:rPr>
      </w:pPr>
    </w:p>
    <w:p w:rsidR="008A50BD" w:rsidRDefault="008A50BD" w:rsidP="0042121C">
      <w:pPr>
        <w:autoSpaceDE w:val="0"/>
        <w:autoSpaceDN w:val="0"/>
        <w:adjustRightInd w:val="0"/>
        <w:spacing w:after="0" w:line="240" w:lineRule="auto"/>
        <w:rPr>
          <w:rFonts w:cstheme="minorHAnsi"/>
          <w:bCs/>
        </w:rPr>
      </w:pPr>
      <w:r>
        <w:rPr>
          <w:rFonts w:cstheme="minorHAnsi"/>
          <w:bCs/>
        </w:rPr>
        <w:t>NQF #0454 allows the measure to be reported by using the following CPT II Numerator Quality-Data Coding Options for the numerator. The scenarios include:</w:t>
      </w:r>
    </w:p>
    <w:p w:rsidR="008A50BD" w:rsidRDefault="008A50BD" w:rsidP="008A50BD">
      <w:pPr>
        <w:pStyle w:val="Default"/>
        <w:ind w:left="720"/>
        <w:rPr>
          <w:rFonts w:asciiTheme="minorHAnsi" w:hAnsiTheme="minorHAnsi"/>
          <w:b/>
          <w:bCs/>
          <w:sz w:val="22"/>
          <w:szCs w:val="22"/>
        </w:rPr>
      </w:pPr>
    </w:p>
    <w:p w:rsidR="008A50BD" w:rsidRPr="008A50BD" w:rsidRDefault="008A50BD" w:rsidP="008A50BD">
      <w:pPr>
        <w:pStyle w:val="Default"/>
        <w:ind w:left="720"/>
        <w:rPr>
          <w:rFonts w:asciiTheme="minorHAnsi" w:hAnsiTheme="minorHAnsi"/>
          <w:b/>
          <w:bCs/>
          <w:sz w:val="22"/>
          <w:szCs w:val="22"/>
        </w:rPr>
      </w:pPr>
      <w:r w:rsidRPr="008A50BD">
        <w:rPr>
          <w:rFonts w:asciiTheme="minorHAnsi" w:hAnsiTheme="minorHAnsi"/>
          <w:b/>
          <w:bCs/>
          <w:sz w:val="22"/>
          <w:szCs w:val="22"/>
        </w:rPr>
        <w:lastRenderedPageBreak/>
        <w:t>FOR: Active Warming Used Intraoperatively OR At Least One Body Temperature Equal to or Greater than 36 Degrees Centigrade Recorded Within Designated Timeframe</w:t>
      </w:r>
    </w:p>
    <w:p w:rsidR="008A50BD" w:rsidRPr="008A50BD" w:rsidRDefault="008A50BD" w:rsidP="008A50BD">
      <w:pPr>
        <w:pStyle w:val="Default"/>
        <w:ind w:left="720"/>
        <w:rPr>
          <w:rFonts w:asciiTheme="minorHAnsi" w:hAnsiTheme="minorHAnsi"/>
          <w:sz w:val="22"/>
          <w:szCs w:val="22"/>
        </w:rPr>
      </w:pPr>
      <w:r w:rsidRPr="008A50BD">
        <w:rPr>
          <w:rFonts w:asciiTheme="minorHAnsi" w:hAnsiTheme="minorHAnsi"/>
          <w:b/>
          <w:bCs/>
          <w:sz w:val="22"/>
          <w:szCs w:val="22"/>
        </w:rPr>
        <w:t xml:space="preserve">CPT II 4250F: </w:t>
      </w:r>
      <w:r w:rsidRPr="008A50BD">
        <w:rPr>
          <w:rFonts w:asciiTheme="minorHAnsi" w:hAnsiTheme="minorHAnsi"/>
          <w:sz w:val="22"/>
          <w:szCs w:val="22"/>
        </w:rPr>
        <w:t xml:space="preserve">Active warming used intraoperatively for the purpose of maintaining normothermia, OR at least one body temperature equal to or greater than 36 degrees Centigrade (or 96.8 degrees Fahrenheit) recorded within the 30 minutes immediately before or the 15 minutes immediately after anesthesia end time </w:t>
      </w:r>
    </w:p>
    <w:p w:rsidR="008A50BD" w:rsidRPr="008A50BD" w:rsidRDefault="008A50BD" w:rsidP="008A50BD">
      <w:pPr>
        <w:pStyle w:val="Default"/>
        <w:ind w:left="720"/>
        <w:rPr>
          <w:rFonts w:asciiTheme="minorHAnsi" w:hAnsiTheme="minorHAnsi"/>
          <w:sz w:val="22"/>
          <w:szCs w:val="22"/>
        </w:rPr>
      </w:pPr>
      <w:r w:rsidRPr="008A50BD">
        <w:rPr>
          <w:rFonts w:asciiTheme="minorHAnsi" w:hAnsiTheme="minorHAnsi"/>
          <w:b/>
          <w:bCs/>
          <w:sz w:val="22"/>
          <w:szCs w:val="22"/>
        </w:rPr>
        <w:t xml:space="preserve">AND </w:t>
      </w:r>
    </w:p>
    <w:p w:rsidR="008A50BD" w:rsidRPr="008A50BD" w:rsidRDefault="008A50BD" w:rsidP="008A50BD">
      <w:pPr>
        <w:autoSpaceDE w:val="0"/>
        <w:autoSpaceDN w:val="0"/>
        <w:adjustRightInd w:val="0"/>
        <w:spacing w:after="0" w:line="240" w:lineRule="auto"/>
        <w:ind w:left="720"/>
      </w:pPr>
      <w:r w:rsidRPr="008A50BD">
        <w:rPr>
          <w:b/>
          <w:bCs/>
        </w:rPr>
        <w:t xml:space="preserve">CPT II 4255F: </w:t>
      </w:r>
      <w:r w:rsidRPr="008A50BD">
        <w:t>Duration of general or neuraxial anesthesia 60 minutes or longer, as documented in the anesthesia record</w:t>
      </w:r>
    </w:p>
    <w:p w:rsidR="008A50BD" w:rsidRPr="008A50BD" w:rsidRDefault="008A50BD" w:rsidP="008A50BD">
      <w:pPr>
        <w:autoSpaceDE w:val="0"/>
        <w:autoSpaceDN w:val="0"/>
        <w:adjustRightInd w:val="0"/>
        <w:spacing w:after="0" w:line="240" w:lineRule="auto"/>
        <w:rPr>
          <w:b/>
          <w:bCs/>
        </w:rPr>
      </w:pPr>
      <w:r w:rsidRPr="008A50BD">
        <w:rPr>
          <w:b/>
          <w:bCs/>
        </w:rPr>
        <w:t>OR</w:t>
      </w:r>
    </w:p>
    <w:p w:rsidR="008A50BD" w:rsidRPr="008A50BD" w:rsidRDefault="008A50BD" w:rsidP="008A50BD">
      <w:pPr>
        <w:pStyle w:val="Default"/>
        <w:ind w:left="720"/>
        <w:rPr>
          <w:rFonts w:asciiTheme="minorHAnsi" w:hAnsiTheme="minorHAnsi"/>
          <w:b/>
          <w:bCs/>
          <w:sz w:val="22"/>
          <w:szCs w:val="22"/>
        </w:rPr>
      </w:pPr>
      <w:r w:rsidRPr="008A50BD">
        <w:rPr>
          <w:rFonts w:asciiTheme="minorHAnsi" w:hAnsiTheme="minorHAnsi"/>
          <w:b/>
          <w:bCs/>
          <w:sz w:val="22"/>
          <w:szCs w:val="22"/>
        </w:rPr>
        <w:t>FOR: Active Warming Not Performed OR at Least One Body Temperature Equal to or Greater than 36 Degrees Centigrade not Achieved Within Desi</w:t>
      </w:r>
      <w:r>
        <w:rPr>
          <w:rFonts w:asciiTheme="minorHAnsi" w:hAnsiTheme="minorHAnsi"/>
          <w:b/>
          <w:bCs/>
          <w:sz w:val="22"/>
          <w:szCs w:val="22"/>
        </w:rPr>
        <w:t xml:space="preserve">gnated Timeframe for one of the </w:t>
      </w:r>
      <w:r w:rsidRPr="008A50BD">
        <w:rPr>
          <w:rFonts w:asciiTheme="minorHAnsi" w:hAnsiTheme="minorHAnsi"/>
          <w:b/>
          <w:bCs/>
          <w:sz w:val="22"/>
          <w:szCs w:val="22"/>
        </w:rPr>
        <w:t xml:space="preserve">following Medical Reasons: </w:t>
      </w:r>
    </w:p>
    <w:p w:rsidR="008A50BD" w:rsidRPr="008A50BD" w:rsidRDefault="008A50BD" w:rsidP="008A50BD">
      <w:pPr>
        <w:pStyle w:val="Default"/>
        <w:ind w:left="720"/>
        <w:rPr>
          <w:rFonts w:asciiTheme="minorHAnsi" w:hAnsiTheme="minorHAnsi"/>
          <w:sz w:val="22"/>
          <w:szCs w:val="22"/>
        </w:rPr>
      </w:pPr>
      <w:r w:rsidRPr="008A50BD">
        <w:rPr>
          <w:rFonts w:asciiTheme="minorHAnsi" w:hAnsiTheme="minorHAnsi"/>
          <w:sz w:val="22"/>
          <w:szCs w:val="22"/>
        </w:rPr>
        <w:t>Append a modifier (</w:t>
      </w:r>
      <w:r w:rsidRPr="008A50BD">
        <w:rPr>
          <w:rFonts w:asciiTheme="minorHAnsi" w:hAnsiTheme="minorHAnsi"/>
          <w:b/>
          <w:bCs/>
          <w:sz w:val="22"/>
          <w:szCs w:val="22"/>
        </w:rPr>
        <w:t>1P</w:t>
      </w:r>
      <w:r w:rsidRPr="008A50BD">
        <w:rPr>
          <w:rFonts w:asciiTheme="minorHAnsi" w:hAnsiTheme="minorHAnsi"/>
          <w:sz w:val="22"/>
          <w:szCs w:val="22"/>
        </w:rPr>
        <w:t xml:space="preserve">) to CPT Category II code </w:t>
      </w:r>
      <w:r w:rsidRPr="008A50BD">
        <w:rPr>
          <w:rFonts w:asciiTheme="minorHAnsi" w:hAnsiTheme="minorHAnsi"/>
          <w:b/>
          <w:bCs/>
          <w:sz w:val="22"/>
          <w:szCs w:val="22"/>
        </w:rPr>
        <w:t xml:space="preserve">4250F </w:t>
      </w:r>
      <w:r w:rsidRPr="008A50BD">
        <w:rPr>
          <w:rFonts w:asciiTheme="minorHAnsi" w:hAnsiTheme="minorHAnsi"/>
          <w:sz w:val="22"/>
          <w:szCs w:val="22"/>
        </w:rPr>
        <w:t xml:space="preserve">to report one of the following documented circumstances that appropriately exclude patients from the denominator. </w:t>
      </w:r>
    </w:p>
    <w:p w:rsidR="008A50BD" w:rsidRPr="008A50BD" w:rsidRDefault="008A50BD" w:rsidP="008A50BD">
      <w:pPr>
        <w:pStyle w:val="Default"/>
        <w:ind w:left="720"/>
        <w:rPr>
          <w:rFonts w:asciiTheme="minorHAnsi" w:hAnsiTheme="minorHAnsi"/>
          <w:sz w:val="22"/>
          <w:szCs w:val="22"/>
        </w:rPr>
      </w:pPr>
      <w:r w:rsidRPr="008A50BD">
        <w:rPr>
          <w:rFonts w:asciiTheme="minorHAnsi" w:hAnsiTheme="minorHAnsi"/>
          <w:b/>
          <w:bCs/>
          <w:sz w:val="22"/>
          <w:szCs w:val="22"/>
        </w:rPr>
        <w:t xml:space="preserve">4250F </w:t>
      </w:r>
      <w:r w:rsidRPr="008A50BD">
        <w:rPr>
          <w:rFonts w:asciiTheme="minorHAnsi" w:hAnsiTheme="minorHAnsi"/>
          <w:b/>
          <w:bCs/>
          <w:i/>
          <w:iCs/>
          <w:sz w:val="22"/>
          <w:szCs w:val="22"/>
        </w:rPr>
        <w:t xml:space="preserve">with </w:t>
      </w:r>
      <w:r w:rsidRPr="008A50BD">
        <w:rPr>
          <w:rFonts w:asciiTheme="minorHAnsi" w:hAnsiTheme="minorHAnsi"/>
          <w:b/>
          <w:bCs/>
          <w:sz w:val="22"/>
          <w:szCs w:val="22"/>
        </w:rPr>
        <w:t xml:space="preserve">1P: </w:t>
      </w:r>
      <w:r w:rsidRPr="008A50BD">
        <w:rPr>
          <w:rFonts w:asciiTheme="minorHAnsi" w:hAnsiTheme="minorHAnsi"/>
          <w:sz w:val="22"/>
          <w:szCs w:val="22"/>
        </w:rPr>
        <w:t xml:space="preserve">Intentional hypothermia OR active warming not indicated due to anesthetic technique: peripheral nerve block without general anesthesia, OR monitored anesthesia care </w:t>
      </w:r>
    </w:p>
    <w:p w:rsidR="008A50BD" w:rsidRDefault="008A50BD" w:rsidP="008A50BD">
      <w:pPr>
        <w:pStyle w:val="Default"/>
        <w:tabs>
          <w:tab w:val="left" w:pos="2790"/>
        </w:tabs>
        <w:ind w:left="720"/>
        <w:rPr>
          <w:sz w:val="22"/>
          <w:szCs w:val="22"/>
        </w:rPr>
      </w:pPr>
      <w:r w:rsidRPr="008A50BD">
        <w:rPr>
          <w:rFonts w:asciiTheme="minorHAnsi" w:hAnsiTheme="minorHAnsi"/>
          <w:b/>
          <w:bCs/>
          <w:sz w:val="22"/>
          <w:szCs w:val="22"/>
        </w:rPr>
        <w:t>AND</w:t>
      </w:r>
      <w:r>
        <w:rPr>
          <w:b/>
          <w:bCs/>
          <w:sz w:val="22"/>
          <w:szCs w:val="22"/>
        </w:rPr>
        <w:t xml:space="preserve"> </w:t>
      </w:r>
      <w:r>
        <w:rPr>
          <w:b/>
          <w:bCs/>
          <w:sz w:val="22"/>
          <w:szCs w:val="22"/>
        </w:rPr>
        <w:tab/>
      </w:r>
    </w:p>
    <w:p w:rsidR="008A50BD" w:rsidRDefault="008A50BD" w:rsidP="008A50BD">
      <w:pPr>
        <w:autoSpaceDE w:val="0"/>
        <w:autoSpaceDN w:val="0"/>
        <w:adjustRightInd w:val="0"/>
        <w:spacing w:after="0" w:line="240" w:lineRule="auto"/>
        <w:ind w:left="720"/>
      </w:pPr>
      <w:r>
        <w:rPr>
          <w:b/>
          <w:bCs/>
        </w:rPr>
        <w:t xml:space="preserve">CPT II 4255F: </w:t>
      </w:r>
      <w:r>
        <w:t>Duration of general or neuraxial anesthesia 60 minutes or longer, as documented in the anesthesia record</w:t>
      </w:r>
    </w:p>
    <w:p w:rsidR="008A50BD" w:rsidRPr="008A50BD" w:rsidRDefault="008A50BD" w:rsidP="008A50BD">
      <w:pPr>
        <w:autoSpaceDE w:val="0"/>
        <w:autoSpaceDN w:val="0"/>
        <w:adjustRightInd w:val="0"/>
        <w:spacing w:after="0" w:line="240" w:lineRule="auto"/>
        <w:rPr>
          <w:b/>
          <w:bCs/>
        </w:rPr>
      </w:pPr>
      <w:r w:rsidRPr="008A50BD">
        <w:rPr>
          <w:b/>
          <w:bCs/>
        </w:rPr>
        <w:t>OR</w:t>
      </w:r>
    </w:p>
    <w:p w:rsidR="008A50BD" w:rsidRPr="008A50BD" w:rsidRDefault="008A50BD" w:rsidP="008A50BD">
      <w:pPr>
        <w:pStyle w:val="Default"/>
        <w:ind w:left="720"/>
        <w:rPr>
          <w:rFonts w:asciiTheme="minorHAnsi" w:hAnsiTheme="minorHAnsi"/>
          <w:sz w:val="22"/>
          <w:szCs w:val="22"/>
        </w:rPr>
      </w:pPr>
      <w:r w:rsidRPr="008A50BD">
        <w:rPr>
          <w:rFonts w:asciiTheme="minorHAnsi" w:hAnsiTheme="minorHAnsi"/>
          <w:b/>
          <w:bCs/>
          <w:sz w:val="22"/>
          <w:szCs w:val="22"/>
        </w:rPr>
        <w:t xml:space="preserve">If patient does not meet denominator inclusion because anesthesia time as indicated on the anesthesia record is less than 60 minutes duration </w:t>
      </w:r>
    </w:p>
    <w:p w:rsidR="008A50BD" w:rsidRDefault="008A50BD" w:rsidP="008A50BD">
      <w:pPr>
        <w:autoSpaceDE w:val="0"/>
        <w:autoSpaceDN w:val="0"/>
        <w:adjustRightInd w:val="0"/>
        <w:spacing w:after="0" w:line="240" w:lineRule="auto"/>
        <w:ind w:left="720"/>
      </w:pPr>
      <w:r w:rsidRPr="008A50BD">
        <w:rPr>
          <w:b/>
          <w:bCs/>
        </w:rPr>
        <w:t xml:space="preserve">CPT II 4256F: </w:t>
      </w:r>
      <w:r w:rsidRPr="008A50BD">
        <w:t>Duration of general or neuraxial anesthesia less than 60 minutes, as documented in the anesthesia record</w:t>
      </w:r>
    </w:p>
    <w:p w:rsidR="008A50BD" w:rsidRDefault="008A50BD" w:rsidP="008A50BD">
      <w:pPr>
        <w:autoSpaceDE w:val="0"/>
        <w:autoSpaceDN w:val="0"/>
        <w:adjustRightInd w:val="0"/>
        <w:spacing w:after="0" w:line="240" w:lineRule="auto"/>
        <w:rPr>
          <w:b/>
          <w:bCs/>
        </w:rPr>
      </w:pPr>
      <w:r>
        <w:rPr>
          <w:b/>
          <w:bCs/>
        </w:rPr>
        <w:t>OR</w:t>
      </w:r>
    </w:p>
    <w:p w:rsidR="008A50BD" w:rsidRPr="008A50BD" w:rsidRDefault="008A50BD" w:rsidP="008A50BD">
      <w:pPr>
        <w:pStyle w:val="Default"/>
        <w:ind w:left="720"/>
        <w:rPr>
          <w:rFonts w:asciiTheme="minorHAnsi" w:hAnsiTheme="minorHAnsi"/>
          <w:sz w:val="22"/>
          <w:szCs w:val="22"/>
        </w:rPr>
      </w:pPr>
      <w:r w:rsidRPr="008A50BD">
        <w:rPr>
          <w:rFonts w:asciiTheme="minorHAnsi" w:hAnsiTheme="minorHAnsi"/>
          <w:b/>
          <w:bCs/>
          <w:sz w:val="22"/>
          <w:szCs w:val="22"/>
        </w:rPr>
        <w:t xml:space="preserve">Active Warming Not Performed OR at Least One Body Temperature Equal to or Greater than 36 Degrees Centigrade Not Achieved Within Designated Timeframe, Reason Not Otherwise Specified </w:t>
      </w:r>
      <w:r w:rsidRPr="008A50BD">
        <w:rPr>
          <w:rFonts w:asciiTheme="minorHAnsi" w:hAnsiTheme="minorHAnsi"/>
          <w:i/>
          <w:iCs/>
          <w:sz w:val="22"/>
          <w:szCs w:val="22"/>
        </w:rPr>
        <w:t xml:space="preserve"> </w:t>
      </w:r>
    </w:p>
    <w:p w:rsidR="008A50BD" w:rsidRPr="008A50BD" w:rsidRDefault="008A50BD" w:rsidP="008A50BD">
      <w:pPr>
        <w:pStyle w:val="Default"/>
        <w:ind w:left="720"/>
        <w:rPr>
          <w:rFonts w:asciiTheme="minorHAnsi" w:hAnsiTheme="minorHAnsi"/>
          <w:sz w:val="22"/>
          <w:szCs w:val="22"/>
        </w:rPr>
      </w:pPr>
      <w:r w:rsidRPr="008A50BD">
        <w:rPr>
          <w:rFonts w:asciiTheme="minorHAnsi" w:hAnsiTheme="minorHAnsi"/>
          <w:sz w:val="22"/>
          <w:szCs w:val="22"/>
        </w:rPr>
        <w:t>Append a reporting modifier (</w:t>
      </w:r>
      <w:r w:rsidRPr="008A50BD">
        <w:rPr>
          <w:rFonts w:asciiTheme="minorHAnsi" w:hAnsiTheme="minorHAnsi"/>
          <w:b/>
          <w:bCs/>
          <w:sz w:val="22"/>
          <w:szCs w:val="22"/>
        </w:rPr>
        <w:t>8P</w:t>
      </w:r>
      <w:r w:rsidRPr="008A50BD">
        <w:rPr>
          <w:rFonts w:asciiTheme="minorHAnsi" w:hAnsiTheme="minorHAnsi"/>
          <w:sz w:val="22"/>
          <w:szCs w:val="22"/>
        </w:rPr>
        <w:t xml:space="preserve">) to CPT Category II code </w:t>
      </w:r>
      <w:r w:rsidRPr="008A50BD">
        <w:rPr>
          <w:rFonts w:asciiTheme="minorHAnsi" w:hAnsiTheme="minorHAnsi"/>
          <w:b/>
          <w:bCs/>
          <w:sz w:val="22"/>
          <w:szCs w:val="22"/>
        </w:rPr>
        <w:t xml:space="preserve">4250F </w:t>
      </w:r>
      <w:r w:rsidRPr="008A50BD">
        <w:rPr>
          <w:rFonts w:asciiTheme="minorHAnsi" w:hAnsiTheme="minorHAnsi"/>
          <w:sz w:val="22"/>
          <w:szCs w:val="22"/>
        </w:rPr>
        <w:t xml:space="preserve">to report circumstances when the action described in the numerator is not performed and the reason is not otherwise specified. </w:t>
      </w:r>
    </w:p>
    <w:p w:rsidR="008A50BD" w:rsidRPr="008A50BD" w:rsidRDefault="008A50BD" w:rsidP="008A50BD">
      <w:pPr>
        <w:pStyle w:val="Default"/>
        <w:ind w:left="720"/>
        <w:rPr>
          <w:rFonts w:asciiTheme="minorHAnsi" w:hAnsiTheme="minorHAnsi"/>
          <w:sz w:val="22"/>
          <w:szCs w:val="22"/>
        </w:rPr>
      </w:pPr>
      <w:r w:rsidRPr="008A50BD">
        <w:rPr>
          <w:rFonts w:asciiTheme="minorHAnsi" w:hAnsiTheme="minorHAnsi"/>
          <w:b/>
          <w:bCs/>
          <w:sz w:val="22"/>
          <w:szCs w:val="22"/>
        </w:rPr>
        <w:t xml:space="preserve">4250F </w:t>
      </w:r>
      <w:r w:rsidRPr="008A50BD">
        <w:rPr>
          <w:rFonts w:asciiTheme="minorHAnsi" w:hAnsiTheme="minorHAnsi"/>
          <w:b/>
          <w:bCs/>
          <w:i/>
          <w:iCs/>
          <w:sz w:val="22"/>
          <w:szCs w:val="22"/>
        </w:rPr>
        <w:t xml:space="preserve">with </w:t>
      </w:r>
      <w:r w:rsidRPr="008A50BD">
        <w:rPr>
          <w:rFonts w:asciiTheme="minorHAnsi" w:hAnsiTheme="minorHAnsi"/>
          <w:b/>
          <w:bCs/>
          <w:sz w:val="22"/>
          <w:szCs w:val="22"/>
        </w:rPr>
        <w:t xml:space="preserve">8P: </w:t>
      </w:r>
      <w:r w:rsidRPr="008A50BD">
        <w:rPr>
          <w:rFonts w:asciiTheme="minorHAnsi" w:hAnsiTheme="minorHAnsi"/>
          <w:sz w:val="22"/>
          <w:szCs w:val="22"/>
        </w:rPr>
        <w:t xml:space="preserve">Active warming </w:t>
      </w:r>
      <w:r w:rsidRPr="008A50BD">
        <w:rPr>
          <w:rFonts w:asciiTheme="minorHAnsi" w:hAnsiTheme="minorHAnsi"/>
          <w:b/>
          <w:bCs/>
          <w:sz w:val="22"/>
          <w:szCs w:val="22"/>
        </w:rPr>
        <w:t xml:space="preserve">not performed </w:t>
      </w:r>
      <w:r w:rsidRPr="008A50BD">
        <w:rPr>
          <w:rFonts w:asciiTheme="minorHAnsi" w:hAnsiTheme="minorHAnsi"/>
          <w:sz w:val="22"/>
          <w:szCs w:val="22"/>
        </w:rPr>
        <w:t xml:space="preserve">OR at least one body temperature equal to or greater than 36 degrees Centigrade </w:t>
      </w:r>
      <w:r w:rsidRPr="008A50BD">
        <w:rPr>
          <w:rFonts w:asciiTheme="minorHAnsi" w:hAnsiTheme="minorHAnsi"/>
          <w:b/>
          <w:bCs/>
          <w:sz w:val="22"/>
          <w:szCs w:val="22"/>
        </w:rPr>
        <w:t xml:space="preserve">not achieved </w:t>
      </w:r>
      <w:r w:rsidRPr="008A50BD">
        <w:rPr>
          <w:rFonts w:asciiTheme="minorHAnsi" w:hAnsiTheme="minorHAnsi"/>
          <w:sz w:val="22"/>
          <w:szCs w:val="22"/>
        </w:rPr>
        <w:t xml:space="preserve">within designated timeframe, reason not otherwise specified </w:t>
      </w:r>
    </w:p>
    <w:p w:rsidR="008A50BD" w:rsidRPr="008A50BD" w:rsidRDefault="008A50BD" w:rsidP="008A50BD">
      <w:pPr>
        <w:pStyle w:val="Default"/>
        <w:ind w:left="720"/>
        <w:rPr>
          <w:rFonts w:asciiTheme="minorHAnsi" w:hAnsiTheme="minorHAnsi"/>
          <w:sz w:val="22"/>
          <w:szCs w:val="22"/>
        </w:rPr>
      </w:pPr>
      <w:r w:rsidRPr="008A50BD">
        <w:rPr>
          <w:rFonts w:asciiTheme="minorHAnsi" w:hAnsiTheme="minorHAnsi"/>
          <w:b/>
          <w:bCs/>
          <w:sz w:val="22"/>
          <w:szCs w:val="22"/>
        </w:rPr>
        <w:t xml:space="preserve">AND </w:t>
      </w:r>
    </w:p>
    <w:p w:rsidR="008A50BD" w:rsidRPr="008A50BD" w:rsidRDefault="008A50BD" w:rsidP="008A50BD">
      <w:pPr>
        <w:autoSpaceDE w:val="0"/>
        <w:autoSpaceDN w:val="0"/>
        <w:adjustRightInd w:val="0"/>
        <w:spacing w:after="0" w:line="240" w:lineRule="auto"/>
        <w:ind w:left="720"/>
      </w:pPr>
      <w:r w:rsidRPr="008A50BD">
        <w:rPr>
          <w:b/>
          <w:bCs/>
        </w:rPr>
        <w:t>CPT II 4255F</w:t>
      </w:r>
      <w:r w:rsidRPr="008A50BD">
        <w:t>: Duration of general or neuraxial anesthesia 60 minutes or longer, as documented in the anesthesia record</w:t>
      </w:r>
    </w:p>
    <w:p w:rsidR="004F31AD" w:rsidRDefault="004F31AD" w:rsidP="0042121C">
      <w:pPr>
        <w:autoSpaceDE w:val="0"/>
        <w:autoSpaceDN w:val="0"/>
        <w:adjustRightInd w:val="0"/>
        <w:spacing w:after="0" w:line="240" w:lineRule="auto"/>
        <w:rPr>
          <w:rFonts w:cstheme="minorHAnsi"/>
          <w:b/>
          <w:bCs/>
        </w:rPr>
      </w:pPr>
    </w:p>
    <w:p w:rsidR="004F31AD" w:rsidRDefault="008A50BD" w:rsidP="0042121C">
      <w:pPr>
        <w:autoSpaceDE w:val="0"/>
        <w:autoSpaceDN w:val="0"/>
        <w:adjustRightInd w:val="0"/>
        <w:spacing w:after="0" w:line="240" w:lineRule="auto"/>
        <w:rPr>
          <w:rFonts w:cstheme="minorHAnsi"/>
          <w:b/>
          <w:bCs/>
        </w:rPr>
      </w:pPr>
      <w:r>
        <w:rPr>
          <w:rFonts w:cstheme="minorHAnsi"/>
          <w:bCs/>
        </w:rPr>
        <w:t>Eligible professionals who report any of these CPT II Numerator Quality-Data Coding Options with the appropriate denominator CPT code are counted as successfully reporting the measure (Reporting Rate).</w:t>
      </w:r>
      <w:r>
        <w:rPr>
          <w:rFonts w:cstheme="minorHAnsi"/>
          <w:b/>
          <w:bCs/>
        </w:rPr>
        <w:t xml:space="preserve"> </w:t>
      </w:r>
      <w:r w:rsidR="004F31AD">
        <w:rPr>
          <w:rFonts w:cstheme="minorHAnsi"/>
          <w:bCs/>
        </w:rPr>
        <w:t>The reporting rate for the measure for the Medicare SAF – 5% File, Eligible NACOR Medicare Cases, and Eligible NACOR cases (combination of Medicare and non-Medicare data) are displayed in Chart #1.</w:t>
      </w:r>
    </w:p>
    <w:p w:rsidR="008A50BD" w:rsidRDefault="008A50BD" w:rsidP="0042121C">
      <w:pPr>
        <w:autoSpaceDE w:val="0"/>
        <w:autoSpaceDN w:val="0"/>
        <w:adjustRightInd w:val="0"/>
        <w:spacing w:after="0" w:line="240" w:lineRule="auto"/>
        <w:rPr>
          <w:rFonts w:cstheme="minorHAnsi"/>
          <w:b/>
          <w:bCs/>
        </w:rPr>
      </w:pPr>
    </w:p>
    <w:p w:rsidR="0090009D" w:rsidRDefault="0090009D" w:rsidP="0042121C">
      <w:pPr>
        <w:autoSpaceDE w:val="0"/>
        <w:autoSpaceDN w:val="0"/>
        <w:adjustRightInd w:val="0"/>
        <w:spacing w:after="0" w:line="240" w:lineRule="auto"/>
        <w:rPr>
          <w:rFonts w:cstheme="minorHAnsi"/>
          <w:b/>
          <w:bCs/>
        </w:rPr>
      </w:pPr>
    </w:p>
    <w:p w:rsidR="0090009D" w:rsidRDefault="0090009D" w:rsidP="0042121C">
      <w:pPr>
        <w:autoSpaceDE w:val="0"/>
        <w:autoSpaceDN w:val="0"/>
        <w:adjustRightInd w:val="0"/>
        <w:spacing w:after="0" w:line="240" w:lineRule="auto"/>
        <w:rPr>
          <w:rFonts w:cstheme="minorHAnsi"/>
          <w:b/>
          <w:bCs/>
        </w:rPr>
      </w:pPr>
    </w:p>
    <w:p w:rsidR="0090009D" w:rsidRDefault="0090009D" w:rsidP="0042121C">
      <w:pPr>
        <w:autoSpaceDE w:val="0"/>
        <w:autoSpaceDN w:val="0"/>
        <w:adjustRightInd w:val="0"/>
        <w:spacing w:after="0" w:line="240" w:lineRule="auto"/>
        <w:rPr>
          <w:rFonts w:cstheme="minorHAnsi"/>
          <w:b/>
          <w:bCs/>
        </w:rPr>
      </w:pPr>
    </w:p>
    <w:p w:rsidR="0090009D" w:rsidRDefault="0090009D" w:rsidP="0042121C">
      <w:pPr>
        <w:autoSpaceDE w:val="0"/>
        <w:autoSpaceDN w:val="0"/>
        <w:adjustRightInd w:val="0"/>
        <w:spacing w:after="0" w:line="240" w:lineRule="auto"/>
        <w:rPr>
          <w:rFonts w:cstheme="minorHAnsi"/>
          <w:b/>
          <w:bCs/>
        </w:rPr>
      </w:pPr>
    </w:p>
    <w:p w:rsidR="004F31AD" w:rsidRDefault="004F31AD" w:rsidP="0042121C">
      <w:pPr>
        <w:autoSpaceDE w:val="0"/>
        <w:autoSpaceDN w:val="0"/>
        <w:adjustRightInd w:val="0"/>
        <w:spacing w:after="0" w:line="240" w:lineRule="auto"/>
        <w:rPr>
          <w:rFonts w:cstheme="minorHAnsi"/>
          <w:b/>
          <w:bCs/>
          <w:u w:val="single"/>
        </w:rPr>
      </w:pPr>
      <w:r>
        <w:rPr>
          <w:rFonts w:cstheme="minorHAnsi"/>
          <w:b/>
          <w:bCs/>
        </w:rPr>
        <w:lastRenderedPageBreak/>
        <w:t>CHART #1 – Measure Successfully Reported</w:t>
      </w:r>
    </w:p>
    <w:p w:rsidR="004F31AD" w:rsidRDefault="009D3625" w:rsidP="0042121C">
      <w:pPr>
        <w:autoSpaceDE w:val="0"/>
        <w:autoSpaceDN w:val="0"/>
        <w:adjustRightInd w:val="0"/>
        <w:spacing w:after="0" w:line="240" w:lineRule="auto"/>
        <w:rPr>
          <w:rFonts w:cstheme="minorHAnsi"/>
          <w:b/>
          <w:bCs/>
          <w:u w:val="single"/>
        </w:rPr>
      </w:pPr>
      <w:r>
        <w:rPr>
          <w:noProof/>
        </w:rPr>
        <w:drawing>
          <wp:inline distT="0" distB="0" distL="0" distR="0" wp14:anchorId="6A153050" wp14:editId="67F0F9B1">
            <wp:extent cx="5762625" cy="3190875"/>
            <wp:effectExtent l="0" t="0" r="9525"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F31AD" w:rsidRDefault="004F31AD" w:rsidP="0042121C">
      <w:pPr>
        <w:autoSpaceDE w:val="0"/>
        <w:autoSpaceDN w:val="0"/>
        <w:adjustRightInd w:val="0"/>
        <w:spacing w:after="0" w:line="240" w:lineRule="auto"/>
        <w:rPr>
          <w:rFonts w:cstheme="minorHAnsi"/>
          <w:b/>
          <w:bCs/>
          <w:u w:val="single"/>
        </w:rPr>
      </w:pPr>
    </w:p>
    <w:p w:rsidR="004F31AD" w:rsidRDefault="004F31AD" w:rsidP="004F31AD">
      <w:pPr>
        <w:autoSpaceDE w:val="0"/>
        <w:autoSpaceDN w:val="0"/>
        <w:adjustRightInd w:val="0"/>
        <w:spacing w:after="0" w:line="240" w:lineRule="auto"/>
        <w:rPr>
          <w:rFonts w:cstheme="minorHAnsi"/>
          <w:bCs/>
        </w:rPr>
      </w:pPr>
      <w:r>
        <w:rPr>
          <w:rFonts w:cstheme="minorHAnsi"/>
          <w:bCs/>
        </w:rPr>
        <w:t xml:space="preserve">Chart #2 displays the number of cases in which the measure was </w:t>
      </w:r>
      <w:r w:rsidRPr="007819AC">
        <w:rPr>
          <w:rFonts w:cstheme="minorHAnsi"/>
          <w:b/>
          <w:bCs/>
          <w:u w:val="single"/>
        </w:rPr>
        <w:t>not reported</w:t>
      </w:r>
      <w:r>
        <w:rPr>
          <w:rFonts w:cstheme="minorHAnsi"/>
          <w:bCs/>
        </w:rPr>
        <w:t xml:space="preserve"> for the Medicare SAF – 5% File, Eligible NACOR Medicare Cases, and Eligible NACOR cases (combination of Medicare and non-Medicare data).</w:t>
      </w:r>
    </w:p>
    <w:p w:rsidR="004F31AD" w:rsidRDefault="004F31AD" w:rsidP="004F31AD">
      <w:pPr>
        <w:autoSpaceDE w:val="0"/>
        <w:autoSpaceDN w:val="0"/>
        <w:adjustRightInd w:val="0"/>
        <w:spacing w:after="0" w:line="240" w:lineRule="auto"/>
        <w:rPr>
          <w:rFonts w:cstheme="minorHAnsi"/>
          <w:b/>
          <w:bCs/>
        </w:rPr>
      </w:pPr>
    </w:p>
    <w:p w:rsidR="004F31AD" w:rsidRDefault="004F31AD" w:rsidP="004F31AD">
      <w:pPr>
        <w:autoSpaceDE w:val="0"/>
        <w:autoSpaceDN w:val="0"/>
        <w:adjustRightInd w:val="0"/>
        <w:spacing w:after="0" w:line="240" w:lineRule="auto"/>
        <w:rPr>
          <w:rFonts w:cstheme="minorHAnsi"/>
          <w:b/>
          <w:bCs/>
        </w:rPr>
      </w:pPr>
      <w:r>
        <w:rPr>
          <w:rFonts w:cstheme="minorHAnsi"/>
          <w:b/>
          <w:bCs/>
        </w:rPr>
        <w:t>CHART #2 - Measure Not Reported</w:t>
      </w:r>
    </w:p>
    <w:p w:rsidR="004F31AD" w:rsidRDefault="002B6398" w:rsidP="0042121C">
      <w:pPr>
        <w:autoSpaceDE w:val="0"/>
        <w:autoSpaceDN w:val="0"/>
        <w:adjustRightInd w:val="0"/>
        <w:spacing w:after="0" w:line="240" w:lineRule="auto"/>
        <w:rPr>
          <w:rFonts w:cstheme="minorHAnsi"/>
          <w:b/>
          <w:bCs/>
          <w:u w:val="single"/>
        </w:rPr>
      </w:pPr>
      <w:r>
        <w:rPr>
          <w:noProof/>
        </w:rPr>
        <w:drawing>
          <wp:inline distT="0" distB="0" distL="0" distR="0" wp14:anchorId="3DBA432D" wp14:editId="4FB76A49">
            <wp:extent cx="5762625" cy="3314700"/>
            <wp:effectExtent l="0" t="0" r="9525" b="1905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F31AD" w:rsidRDefault="004F31AD" w:rsidP="0042121C">
      <w:pPr>
        <w:autoSpaceDE w:val="0"/>
        <w:autoSpaceDN w:val="0"/>
        <w:adjustRightInd w:val="0"/>
        <w:spacing w:after="0" w:line="240" w:lineRule="auto"/>
        <w:rPr>
          <w:rFonts w:cstheme="minorHAnsi"/>
          <w:b/>
          <w:bCs/>
          <w:u w:val="single"/>
        </w:rPr>
      </w:pPr>
    </w:p>
    <w:p w:rsidR="00F61653" w:rsidRDefault="00F61653" w:rsidP="008A50BD">
      <w:pPr>
        <w:autoSpaceDE w:val="0"/>
        <w:autoSpaceDN w:val="0"/>
        <w:adjustRightInd w:val="0"/>
        <w:spacing w:after="0" w:line="240" w:lineRule="auto"/>
        <w:rPr>
          <w:rFonts w:cstheme="minorHAnsi"/>
          <w:bCs/>
        </w:rPr>
      </w:pPr>
      <w:r>
        <w:rPr>
          <w:rFonts w:cstheme="minorHAnsi"/>
          <w:bCs/>
        </w:rPr>
        <w:lastRenderedPageBreak/>
        <w:t>The reported modifiers for this measure were relatively sparse in the data, roughly less than 5% in the NACOR sample. Reporting CPT II Code 4250F + 4255F with case duration of greater than or equal to 60 minutes, 4250F-1P + 4255F with case duration of greater than or equal to 60 minutes, or reporting 4256F constituted successful performance of the required quality activity (as noted in the data below as “performance met”). As described in the data below, 4250F-1P and 4256F are also considered “performance exclusions” for this particular data analysis since they define circumstances in which the patient may be appropriately excluded from the measure. Reporting 4250F-8</w:t>
      </w:r>
      <w:r w:rsidR="00B51528">
        <w:rPr>
          <w:rFonts w:cstheme="minorHAnsi"/>
          <w:bCs/>
        </w:rPr>
        <w:t>P</w:t>
      </w:r>
      <w:r>
        <w:rPr>
          <w:rFonts w:cstheme="minorHAnsi"/>
          <w:bCs/>
        </w:rPr>
        <w:t xml:space="preserve"> + 4255F constitutes unsuccessful performance of the required quality activity (or failure to document an appropriate reason).</w:t>
      </w:r>
    </w:p>
    <w:p w:rsidR="00F61653" w:rsidRDefault="00F61653" w:rsidP="008A50BD">
      <w:pPr>
        <w:autoSpaceDE w:val="0"/>
        <w:autoSpaceDN w:val="0"/>
        <w:adjustRightInd w:val="0"/>
        <w:spacing w:after="0" w:line="240" w:lineRule="auto"/>
        <w:rPr>
          <w:rFonts w:cstheme="minorHAnsi"/>
          <w:bCs/>
        </w:rPr>
      </w:pPr>
    </w:p>
    <w:p w:rsidR="008A50BD" w:rsidRDefault="008A50BD" w:rsidP="008A50BD">
      <w:pPr>
        <w:autoSpaceDE w:val="0"/>
        <w:autoSpaceDN w:val="0"/>
        <w:adjustRightInd w:val="0"/>
        <w:spacing w:after="0" w:line="240" w:lineRule="auto"/>
        <w:rPr>
          <w:rFonts w:cstheme="minorHAnsi"/>
          <w:bCs/>
        </w:rPr>
      </w:pPr>
      <w:r>
        <w:rPr>
          <w:rFonts w:cstheme="minorHAnsi"/>
          <w:bCs/>
        </w:rPr>
        <w:t>ASA has submitted an Addendum to the application that displays the numerical evidence used to create the charts and tables within this document. The columns below were calculated on the following basis:</w:t>
      </w:r>
    </w:p>
    <w:p w:rsidR="008A50BD" w:rsidRPr="00336609" w:rsidRDefault="008A50BD" w:rsidP="008A50BD">
      <w:pPr>
        <w:autoSpaceDE w:val="0"/>
        <w:autoSpaceDN w:val="0"/>
        <w:adjustRightInd w:val="0"/>
        <w:spacing w:after="0" w:line="240" w:lineRule="auto"/>
        <w:ind w:left="1440" w:hanging="720"/>
        <w:rPr>
          <w:rFonts w:cstheme="minorHAnsi"/>
          <w:bCs/>
        </w:rPr>
      </w:pPr>
      <w:r w:rsidRPr="00336609">
        <w:rPr>
          <w:rFonts w:cstheme="minorHAnsi"/>
          <w:bCs/>
        </w:rPr>
        <w:t xml:space="preserve">• </w:t>
      </w:r>
      <w:r w:rsidRPr="004D5FE2">
        <w:rPr>
          <w:rFonts w:cstheme="minorHAnsi"/>
          <w:bCs/>
          <w:u w:val="single"/>
        </w:rPr>
        <w:t>Performance Met</w:t>
      </w:r>
      <w:r w:rsidRPr="00336609">
        <w:rPr>
          <w:rFonts w:cstheme="minorHAnsi"/>
          <w:bCs/>
        </w:rPr>
        <w:t>: The number of patients, episodes or procedures for whom the listed quality action indicates satisfactory reporting of quality data for the measure.</w:t>
      </w:r>
    </w:p>
    <w:p w:rsidR="008A50BD" w:rsidRPr="00336609" w:rsidRDefault="008A50BD" w:rsidP="008A50BD">
      <w:pPr>
        <w:autoSpaceDE w:val="0"/>
        <w:autoSpaceDN w:val="0"/>
        <w:adjustRightInd w:val="0"/>
        <w:spacing w:after="0" w:line="240" w:lineRule="auto"/>
        <w:ind w:left="1440" w:hanging="720"/>
        <w:rPr>
          <w:rFonts w:cstheme="minorHAnsi"/>
          <w:bCs/>
        </w:rPr>
      </w:pPr>
      <w:r w:rsidRPr="00336609">
        <w:rPr>
          <w:rFonts w:cstheme="minorHAnsi"/>
          <w:bCs/>
        </w:rPr>
        <w:t xml:space="preserve">• </w:t>
      </w:r>
      <w:r w:rsidRPr="004D5FE2">
        <w:rPr>
          <w:rFonts w:cstheme="minorHAnsi"/>
          <w:bCs/>
          <w:u w:val="single"/>
        </w:rPr>
        <w:t>Performance Not Met</w:t>
      </w:r>
      <w:r w:rsidRPr="00336609">
        <w:rPr>
          <w:rFonts w:cstheme="minorHAnsi"/>
          <w:bCs/>
        </w:rPr>
        <w:t>: The number of patients, episodes or procedures for whom the listed quality action indicates the process of care was not satisfactorily provided (and performance exclusion does not apply).</w:t>
      </w:r>
    </w:p>
    <w:p w:rsidR="008A50BD" w:rsidRPr="00336609" w:rsidRDefault="008A50BD" w:rsidP="008A50BD">
      <w:pPr>
        <w:autoSpaceDE w:val="0"/>
        <w:autoSpaceDN w:val="0"/>
        <w:adjustRightInd w:val="0"/>
        <w:spacing w:after="0" w:line="240" w:lineRule="auto"/>
        <w:ind w:left="1440" w:hanging="720"/>
        <w:rPr>
          <w:rFonts w:cstheme="minorHAnsi"/>
          <w:bCs/>
        </w:rPr>
      </w:pPr>
      <w:r w:rsidRPr="00336609">
        <w:rPr>
          <w:rFonts w:cstheme="minorHAnsi"/>
          <w:bCs/>
        </w:rPr>
        <w:t xml:space="preserve">• </w:t>
      </w:r>
      <w:r w:rsidRPr="004D5FE2">
        <w:rPr>
          <w:rFonts w:cstheme="minorHAnsi"/>
          <w:bCs/>
          <w:u w:val="single"/>
        </w:rPr>
        <w:t>Performance Exclusions</w:t>
      </w:r>
      <w:r w:rsidRPr="00336609">
        <w:rPr>
          <w:rFonts w:cstheme="minorHAnsi"/>
          <w:bCs/>
        </w:rPr>
        <w:t xml:space="preserve">: The number of patients, episodes or procedures for whom the listed quality action defines circumstances in which the patient may be appropriately excluded (medical, patient, system, or other reasons for </w:t>
      </w:r>
      <w:r>
        <w:rPr>
          <w:rFonts w:cstheme="minorHAnsi"/>
          <w:bCs/>
        </w:rPr>
        <w:t>per</w:t>
      </w:r>
      <w:r w:rsidRPr="00336609">
        <w:rPr>
          <w:rFonts w:cstheme="minorHAnsi"/>
          <w:bCs/>
        </w:rPr>
        <w:t>formance exclusion).</w:t>
      </w:r>
    </w:p>
    <w:p w:rsidR="008A50BD" w:rsidRPr="00336609" w:rsidRDefault="008A50BD" w:rsidP="008A50BD">
      <w:pPr>
        <w:autoSpaceDE w:val="0"/>
        <w:autoSpaceDN w:val="0"/>
        <w:adjustRightInd w:val="0"/>
        <w:spacing w:after="0" w:line="240" w:lineRule="auto"/>
        <w:ind w:left="1440" w:hanging="720"/>
        <w:rPr>
          <w:rFonts w:cstheme="minorHAnsi"/>
          <w:bCs/>
        </w:rPr>
      </w:pPr>
      <w:r w:rsidRPr="00336609">
        <w:rPr>
          <w:rFonts w:cstheme="minorHAnsi"/>
          <w:bCs/>
        </w:rPr>
        <w:t xml:space="preserve">• </w:t>
      </w:r>
      <w:r w:rsidRPr="004D5FE2">
        <w:rPr>
          <w:rFonts w:cstheme="minorHAnsi"/>
          <w:bCs/>
          <w:u w:val="single"/>
        </w:rPr>
        <w:t>Eligible Instances</w:t>
      </w:r>
      <w:r w:rsidRPr="00336609">
        <w:rPr>
          <w:rFonts w:cstheme="minorHAnsi"/>
          <w:bCs/>
        </w:rPr>
        <w:t>: The number of patients, episodes or procedures that meet the Denominator population criteria for the measure.</w:t>
      </w:r>
    </w:p>
    <w:p w:rsidR="008A50BD" w:rsidRPr="00336609" w:rsidRDefault="008A50BD" w:rsidP="008A50BD">
      <w:pPr>
        <w:autoSpaceDE w:val="0"/>
        <w:autoSpaceDN w:val="0"/>
        <w:adjustRightInd w:val="0"/>
        <w:spacing w:after="0" w:line="240" w:lineRule="auto"/>
        <w:ind w:left="1440" w:hanging="720"/>
        <w:rPr>
          <w:rFonts w:cstheme="minorHAnsi"/>
          <w:bCs/>
        </w:rPr>
      </w:pPr>
      <w:r w:rsidRPr="00336609">
        <w:rPr>
          <w:rFonts w:cstheme="minorHAnsi"/>
          <w:bCs/>
        </w:rPr>
        <w:t xml:space="preserve">• </w:t>
      </w:r>
      <w:r w:rsidRPr="004D5FE2">
        <w:rPr>
          <w:rFonts w:cstheme="minorHAnsi"/>
          <w:bCs/>
          <w:u w:val="single"/>
        </w:rPr>
        <w:t>Reporting Numerator</w:t>
      </w:r>
      <w:r w:rsidRPr="00336609">
        <w:rPr>
          <w:rFonts w:cstheme="minorHAnsi"/>
          <w:bCs/>
        </w:rPr>
        <w:t>: The total of Performance Met + Performance Exclusions + Performance Not Met for the measure.</w:t>
      </w:r>
    </w:p>
    <w:p w:rsidR="008A50BD" w:rsidRPr="00336609" w:rsidRDefault="008A50BD" w:rsidP="008A50BD">
      <w:pPr>
        <w:autoSpaceDE w:val="0"/>
        <w:autoSpaceDN w:val="0"/>
        <w:adjustRightInd w:val="0"/>
        <w:spacing w:after="0" w:line="240" w:lineRule="auto"/>
        <w:ind w:left="1440" w:hanging="720"/>
        <w:rPr>
          <w:rFonts w:cstheme="minorHAnsi"/>
          <w:bCs/>
        </w:rPr>
      </w:pPr>
      <w:r w:rsidRPr="00336609">
        <w:rPr>
          <w:rFonts w:cstheme="minorHAnsi"/>
          <w:bCs/>
        </w:rPr>
        <w:t xml:space="preserve">• </w:t>
      </w:r>
      <w:r w:rsidRPr="004D5FE2">
        <w:rPr>
          <w:rFonts w:cstheme="minorHAnsi"/>
          <w:bCs/>
          <w:u w:val="single"/>
        </w:rPr>
        <w:t>Reporting Rate</w:t>
      </w:r>
      <w:r w:rsidRPr="00336609">
        <w:rPr>
          <w:rFonts w:cstheme="minorHAnsi"/>
          <w:bCs/>
        </w:rPr>
        <w:t>: The total of Performance Met + Performance Not Met + Performance Exclusions divided by the number of Eligible Instances.</w:t>
      </w:r>
    </w:p>
    <w:p w:rsidR="008A50BD" w:rsidRDefault="008A50BD" w:rsidP="008A50BD">
      <w:pPr>
        <w:autoSpaceDE w:val="0"/>
        <w:autoSpaceDN w:val="0"/>
        <w:adjustRightInd w:val="0"/>
        <w:spacing w:after="0" w:line="240" w:lineRule="auto"/>
        <w:ind w:left="1440" w:hanging="720"/>
        <w:rPr>
          <w:rFonts w:cstheme="minorHAnsi"/>
          <w:bCs/>
        </w:rPr>
      </w:pPr>
      <w:r w:rsidRPr="00336609">
        <w:rPr>
          <w:rFonts w:cstheme="minorHAnsi"/>
          <w:bCs/>
        </w:rPr>
        <w:t xml:space="preserve">• </w:t>
      </w:r>
      <w:r w:rsidRPr="004D5FE2">
        <w:rPr>
          <w:rFonts w:cstheme="minorHAnsi"/>
          <w:bCs/>
          <w:u w:val="single"/>
        </w:rPr>
        <w:t>Performance Rate</w:t>
      </w:r>
      <w:r w:rsidRPr="00336609">
        <w:rPr>
          <w:rFonts w:cstheme="minorHAnsi"/>
          <w:bCs/>
        </w:rPr>
        <w:t>: The total of Performance Met divided by the Reporting Numerator – Performance Exclusions.</w:t>
      </w:r>
    </w:p>
    <w:p w:rsidR="004F31AD" w:rsidRDefault="004F31AD" w:rsidP="0042121C">
      <w:pPr>
        <w:autoSpaceDE w:val="0"/>
        <w:autoSpaceDN w:val="0"/>
        <w:adjustRightInd w:val="0"/>
        <w:spacing w:after="0" w:line="240" w:lineRule="auto"/>
        <w:rPr>
          <w:rFonts w:cstheme="minorHAnsi"/>
          <w:b/>
          <w:bCs/>
          <w:u w:val="single"/>
        </w:rPr>
      </w:pPr>
    </w:p>
    <w:p w:rsidR="004F31AD" w:rsidRPr="00374053" w:rsidRDefault="004F31AD" w:rsidP="004F31AD">
      <w:pPr>
        <w:autoSpaceDE w:val="0"/>
        <w:autoSpaceDN w:val="0"/>
        <w:adjustRightInd w:val="0"/>
        <w:spacing w:after="0" w:line="240" w:lineRule="auto"/>
        <w:rPr>
          <w:rFonts w:cstheme="minorHAnsi"/>
          <w:b/>
          <w:bCs/>
        </w:rPr>
      </w:pPr>
      <w:r>
        <w:rPr>
          <w:rFonts w:cstheme="minorHAnsi"/>
          <w:b/>
          <w:bCs/>
        </w:rPr>
        <w:t>TABLE #4 – Medicare SAF – 5% File Data Analyzed By Year</w:t>
      </w:r>
    </w:p>
    <w:tbl>
      <w:tblPr>
        <w:tblW w:w="7920" w:type="dxa"/>
        <w:tblInd w:w="93" w:type="dxa"/>
        <w:tblLook w:val="04A0" w:firstRow="1" w:lastRow="0" w:firstColumn="1" w:lastColumn="0" w:noHBand="0" w:noVBand="1"/>
      </w:tblPr>
      <w:tblGrid>
        <w:gridCol w:w="864"/>
        <w:gridCol w:w="2160"/>
        <w:gridCol w:w="2736"/>
        <w:gridCol w:w="2160"/>
      </w:tblGrid>
      <w:tr w:rsidR="004F31AD" w:rsidRPr="004D5FE2" w:rsidTr="008A3570">
        <w:trPr>
          <w:trHeight w:val="269"/>
        </w:trPr>
        <w:tc>
          <w:tcPr>
            <w:tcW w:w="864" w:type="dxa"/>
            <w:vMerge w:val="restart"/>
            <w:tcBorders>
              <w:top w:val="single" w:sz="4" w:space="0" w:color="auto"/>
              <w:left w:val="single" w:sz="4" w:space="0" w:color="auto"/>
              <w:bottom w:val="single" w:sz="4" w:space="0" w:color="auto"/>
              <w:right w:val="single" w:sz="4" w:space="0" w:color="auto"/>
            </w:tcBorders>
            <w:shd w:val="clear" w:color="000000" w:fill="F5F5F5"/>
            <w:hideMark/>
          </w:tcPr>
          <w:p w:rsidR="004F31AD" w:rsidRPr="004D5FE2" w:rsidRDefault="004F31AD" w:rsidP="008A3570">
            <w:pPr>
              <w:spacing w:after="0" w:line="240" w:lineRule="auto"/>
              <w:jc w:val="center"/>
              <w:rPr>
                <w:rFonts w:eastAsia="Times New Roman" w:cs="Arial"/>
                <w:b/>
                <w:bCs/>
                <w:color w:val="000000"/>
              </w:rPr>
            </w:pPr>
          </w:p>
        </w:tc>
        <w:tc>
          <w:tcPr>
            <w:tcW w:w="2160" w:type="dxa"/>
            <w:vMerge w:val="restart"/>
            <w:tcBorders>
              <w:top w:val="single" w:sz="4" w:space="0" w:color="auto"/>
              <w:left w:val="single" w:sz="4" w:space="0" w:color="auto"/>
              <w:bottom w:val="single" w:sz="4" w:space="0" w:color="auto"/>
              <w:right w:val="single" w:sz="4" w:space="0" w:color="auto"/>
            </w:tcBorders>
            <w:shd w:val="clear" w:color="000000" w:fill="F5F5F5"/>
            <w:vAlign w:val="center"/>
            <w:hideMark/>
          </w:tcPr>
          <w:p w:rsidR="004F31AD" w:rsidRPr="004D5FE2" w:rsidRDefault="00443B56" w:rsidP="00443B56">
            <w:pPr>
              <w:spacing w:after="0" w:line="240" w:lineRule="auto"/>
              <w:jc w:val="center"/>
              <w:rPr>
                <w:rFonts w:eastAsia="Times New Roman" w:cs="Arial"/>
                <w:b/>
                <w:bCs/>
                <w:color w:val="000000"/>
              </w:rPr>
            </w:pPr>
            <w:r>
              <w:rPr>
                <w:rFonts w:eastAsia="Times New Roman" w:cs="Arial"/>
                <w:b/>
                <w:bCs/>
                <w:color w:val="000000"/>
              </w:rPr>
              <w:t>Eligible Cases</w:t>
            </w:r>
          </w:p>
        </w:tc>
        <w:tc>
          <w:tcPr>
            <w:tcW w:w="2736" w:type="dxa"/>
            <w:vMerge w:val="restart"/>
            <w:tcBorders>
              <w:top w:val="single" w:sz="4" w:space="0" w:color="auto"/>
              <w:left w:val="single" w:sz="4" w:space="0" w:color="auto"/>
              <w:bottom w:val="single" w:sz="4" w:space="0" w:color="auto"/>
              <w:right w:val="single" w:sz="4" w:space="0" w:color="auto"/>
            </w:tcBorders>
            <w:shd w:val="clear" w:color="000000" w:fill="F5F5F5"/>
            <w:vAlign w:val="center"/>
            <w:hideMark/>
          </w:tcPr>
          <w:p w:rsidR="004F31AD" w:rsidRPr="004D5FE2" w:rsidRDefault="004F31AD" w:rsidP="008A3570">
            <w:pPr>
              <w:spacing w:after="0" w:line="240" w:lineRule="auto"/>
              <w:jc w:val="center"/>
              <w:rPr>
                <w:rFonts w:eastAsia="Times New Roman" w:cs="Arial"/>
                <w:b/>
                <w:bCs/>
                <w:color w:val="000000"/>
              </w:rPr>
            </w:pPr>
            <w:r w:rsidRPr="004D5FE2">
              <w:rPr>
                <w:rFonts w:eastAsia="Times New Roman" w:cs="Arial"/>
                <w:b/>
                <w:bCs/>
                <w:color w:val="000000"/>
              </w:rPr>
              <w:t>Reporting Numerator</w:t>
            </w:r>
            <w:r w:rsidRPr="004D5FE2">
              <w:rPr>
                <w:rFonts w:eastAsia="Times New Roman" w:cs="Arial"/>
                <w:b/>
                <w:bCs/>
                <w:color w:val="000000"/>
              </w:rPr>
              <w:br/>
              <w:t>(Reporting Rate)</w:t>
            </w:r>
          </w:p>
        </w:tc>
        <w:tc>
          <w:tcPr>
            <w:tcW w:w="2160" w:type="dxa"/>
            <w:vMerge w:val="restart"/>
            <w:tcBorders>
              <w:top w:val="single" w:sz="4" w:space="0" w:color="auto"/>
              <w:left w:val="single" w:sz="4" w:space="0" w:color="auto"/>
              <w:bottom w:val="single" w:sz="4" w:space="0" w:color="auto"/>
              <w:right w:val="single" w:sz="4" w:space="0" w:color="auto"/>
            </w:tcBorders>
            <w:shd w:val="clear" w:color="000000" w:fill="F5F5F5"/>
            <w:vAlign w:val="center"/>
            <w:hideMark/>
          </w:tcPr>
          <w:p w:rsidR="004F31AD" w:rsidRPr="004D5FE2" w:rsidRDefault="008A50BD" w:rsidP="008A3570">
            <w:pPr>
              <w:spacing w:after="0" w:line="240" w:lineRule="auto"/>
              <w:jc w:val="center"/>
              <w:rPr>
                <w:rFonts w:eastAsia="Times New Roman" w:cs="Arial"/>
                <w:b/>
                <w:bCs/>
                <w:color w:val="000000"/>
              </w:rPr>
            </w:pPr>
            <w:r>
              <w:rPr>
                <w:rFonts w:eastAsia="Times New Roman" w:cs="Arial"/>
                <w:b/>
                <w:bCs/>
                <w:color w:val="000000"/>
              </w:rPr>
              <w:t>Performance Met (Performance Rate)</w:t>
            </w:r>
          </w:p>
        </w:tc>
      </w:tr>
      <w:tr w:rsidR="004F31AD" w:rsidRPr="004D5FE2" w:rsidTr="008A3570">
        <w:trPr>
          <w:trHeight w:val="269"/>
        </w:trPr>
        <w:tc>
          <w:tcPr>
            <w:tcW w:w="864" w:type="dxa"/>
            <w:vMerge/>
            <w:tcBorders>
              <w:top w:val="single" w:sz="4" w:space="0" w:color="auto"/>
              <w:left w:val="single" w:sz="4" w:space="0" w:color="auto"/>
              <w:bottom w:val="single" w:sz="4" w:space="0" w:color="auto"/>
              <w:right w:val="single" w:sz="4" w:space="0" w:color="auto"/>
            </w:tcBorders>
            <w:vAlign w:val="center"/>
            <w:hideMark/>
          </w:tcPr>
          <w:p w:rsidR="004F31AD" w:rsidRPr="004D5FE2" w:rsidRDefault="004F31AD" w:rsidP="008A3570">
            <w:pPr>
              <w:spacing w:after="0" w:line="240" w:lineRule="auto"/>
              <w:rPr>
                <w:rFonts w:eastAsia="Times New Roman" w:cs="Arial"/>
                <w:b/>
                <w:bCs/>
                <w:color w:val="000000"/>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4F31AD" w:rsidRPr="004D5FE2" w:rsidRDefault="004F31AD" w:rsidP="008A3570">
            <w:pPr>
              <w:spacing w:after="0" w:line="240" w:lineRule="auto"/>
              <w:rPr>
                <w:rFonts w:eastAsia="Times New Roman" w:cs="Arial"/>
                <w:b/>
                <w:bCs/>
                <w:color w:val="000000"/>
              </w:rPr>
            </w:pPr>
          </w:p>
        </w:tc>
        <w:tc>
          <w:tcPr>
            <w:tcW w:w="2736" w:type="dxa"/>
            <w:vMerge/>
            <w:tcBorders>
              <w:top w:val="single" w:sz="4" w:space="0" w:color="auto"/>
              <w:left w:val="single" w:sz="4" w:space="0" w:color="auto"/>
              <w:bottom w:val="single" w:sz="4" w:space="0" w:color="auto"/>
              <w:right w:val="single" w:sz="4" w:space="0" w:color="auto"/>
            </w:tcBorders>
            <w:vAlign w:val="center"/>
            <w:hideMark/>
          </w:tcPr>
          <w:p w:rsidR="004F31AD" w:rsidRPr="004D5FE2" w:rsidRDefault="004F31AD" w:rsidP="008A3570">
            <w:pPr>
              <w:spacing w:after="0" w:line="240" w:lineRule="auto"/>
              <w:rPr>
                <w:rFonts w:eastAsia="Times New Roman" w:cs="Arial"/>
                <w:b/>
                <w:bCs/>
                <w:color w:val="000000"/>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4F31AD" w:rsidRPr="004D5FE2" w:rsidRDefault="004F31AD" w:rsidP="008A3570">
            <w:pPr>
              <w:spacing w:after="0" w:line="240" w:lineRule="auto"/>
              <w:rPr>
                <w:rFonts w:eastAsia="Times New Roman" w:cs="Arial"/>
                <w:b/>
                <w:bCs/>
                <w:color w:val="000000"/>
              </w:rPr>
            </w:pPr>
          </w:p>
        </w:tc>
      </w:tr>
      <w:tr w:rsidR="004F31AD" w:rsidRPr="004D5FE2" w:rsidTr="008A3570">
        <w:trPr>
          <w:trHeight w:val="269"/>
        </w:trPr>
        <w:tc>
          <w:tcPr>
            <w:tcW w:w="864" w:type="dxa"/>
            <w:vMerge/>
            <w:tcBorders>
              <w:top w:val="single" w:sz="4" w:space="0" w:color="auto"/>
              <w:left w:val="single" w:sz="4" w:space="0" w:color="auto"/>
              <w:bottom w:val="single" w:sz="4" w:space="0" w:color="auto"/>
              <w:right w:val="single" w:sz="4" w:space="0" w:color="auto"/>
            </w:tcBorders>
            <w:vAlign w:val="center"/>
            <w:hideMark/>
          </w:tcPr>
          <w:p w:rsidR="004F31AD" w:rsidRPr="004D5FE2" w:rsidRDefault="004F31AD" w:rsidP="008A3570">
            <w:pPr>
              <w:spacing w:after="0" w:line="240" w:lineRule="auto"/>
              <w:rPr>
                <w:rFonts w:eastAsia="Times New Roman" w:cs="Arial"/>
                <w:b/>
                <w:bCs/>
                <w:color w:val="000000"/>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4F31AD" w:rsidRPr="004D5FE2" w:rsidRDefault="004F31AD" w:rsidP="008A3570">
            <w:pPr>
              <w:spacing w:after="0" w:line="240" w:lineRule="auto"/>
              <w:rPr>
                <w:rFonts w:eastAsia="Times New Roman" w:cs="Arial"/>
                <w:b/>
                <w:bCs/>
                <w:color w:val="000000"/>
              </w:rPr>
            </w:pPr>
          </w:p>
        </w:tc>
        <w:tc>
          <w:tcPr>
            <w:tcW w:w="2736" w:type="dxa"/>
            <w:vMerge/>
            <w:tcBorders>
              <w:top w:val="single" w:sz="4" w:space="0" w:color="auto"/>
              <w:left w:val="single" w:sz="4" w:space="0" w:color="auto"/>
              <w:bottom w:val="single" w:sz="4" w:space="0" w:color="auto"/>
              <w:right w:val="single" w:sz="4" w:space="0" w:color="auto"/>
            </w:tcBorders>
            <w:vAlign w:val="center"/>
            <w:hideMark/>
          </w:tcPr>
          <w:p w:rsidR="004F31AD" w:rsidRPr="004D5FE2" w:rsidRDefault="004F31AD" w:rsidP="008A3570">
            <w:pPr>
              <w:spacing w:after="0" w:line="240" w:lineRule="auto"/>
              <w:rPr>
                <w:rFonts w:eastAsia="Times New Roman" w:cs="Arial"/>
                <w:b/>
                <w:bCs/>
                <w:color w:val="000000"/>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4F31AD" w:rsidRPr="004D5FE2" w:rsidRDefault="004F31AD" w:rsidP="008A3570">
            <w:pPr>
              <w:spacing w:after="0" w:line="240" w:lineRule="auto"/>
              <w:rPr>
                <w:rFonts w:eastAsia="Times New Roman" w:cs="Arial"/>
                <w:b/>
                <w:bCs/>
                <w:color w:val="000000"/>
              </w:rPr>
            </w:pPr>
          </w:p>
        </w:tc>
      </w:tr>
      <w:tr w:rsidR="004F31AD" w:rsidRPr="004D5FE2" w:rsidTr="008A3570">
        <w:trPr>
          <w:trHeight w:val="269"/>
        </w:trPr>
        <w:tc>
          <w:tcPr>
            <w:tcW w:w="864" w:type="dxa"/>
            <w:vMerge/>
            <w:tcBorders>
              <w:top w:val="single" w:sz="4" w:space="0" w:color="auto"/>
              <w:left w:val="single" w:sz="4" w:space="0" w:color="auto"/>
              <w:bottom w:val="single" w:sz="4" w:space="0" w:color="auto"/>
              <w:right w:val="single" w:sz="4" w:space="0" w:color="auto"/>
            </w:tcBorders>
            <w:vAlign w:val="center"/>
            <w:hideMark/>
          </w:tcPr>
          <w:p w:rsidR="004F31AD" w:rsidRPr="004D5FE2" w:rsidRDefault="004F31AD" w:rsidP="008A3570">
            <w:pPr>
              <w:spacing w:after="0" w:line="240" w:lineRule="auto"/>
              <w:rPr>
                <w:rFonts w:eastAsia="Times New Roman" w:cs="Arial"/>
                <w:b/>
                <w:bCs/>
                <w:color w:val="000000"/>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4F31AD" w:rsidRPr="004D5FE2" w:rsidRDefault="004F31AD" w:rsidP="008A3570">
            <w:pPr>
              <w:spacing w:after="0" w:line="240" w:lineRule="auto"/>
              <w:rPr>
                <w:rFonts w:eastAsia="Times New Roman" w:cs="Arial"/>
                <w:b/>
                <w:bCs/>
                <w:color w:val="000000"/>
              </w:rPr>
            </w:pPr>
          </w:p>
        </w:tc>
        <w:tc>
          <w:tcPr>
            <w:tcW w:w="2736" w:type="dxa"/>
            <w:vMerge/>
            <w:tcBorders>
              <w:top w:val="single" w:sz="4" w:space="0" w:color="auto"/>
              <w:left w:val="single" w:sz="4" w:space="0" w:color="auto"/>
              <w:bottom w:val="single" w:sz="4" w:space="0" w:color="auto"/>
              <w:right w:val="single" w:sz="4" w:space="0" w:color="auto"/>
            </w:tcBorders>
            <w:vAlign w:val="center"/>
            <w:hideMark/>
          </w:tcPr>
          <w:p w:rsidR="004F31AD" w:rsidRPr="004D5FE2" w:rsidRDefault="004F31AD" w:rsidP="008A3570">
            <w:pPr>
              <w:spacing w:after="0" w:line="240" w:lineRule="auto"/>
              <w:rPr>
                <w:rFonts w:eastAsia="Times New Roman" w:cs="Arial"/>
                <w:b/>
                <w:bCs/>
                <w:color w:val="000000"/>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4F31AD" w:rsidRPr="004D5FE2" w:rsidRDefault="004F31AD" w:rsidP="008A3570">
            <w:pPr>
              <w:spacing w:after="0" w:line="240" w:lineRule="auto"/>
              <w:rPr>
                <w:rFonts w:eastAsia="Times New Roman" w:cs="Arial"/>
                <w:b/>
                <w:bCs/>
                <w:color w:val="000000"/>
              </w:rPr>
            </w:pPr>
          </w:p>
        </w:tc>
      </w:tr>
      <w:tr w:rsidR="004F31AD" w:rsidRPr="004D5FE2" w:rsidTr="008A3570">
        <w:trPr>
          <w:trHeight w:val="269"/>
        </w:trPr>
        <w:tc>
          <w:tcPr>
            <w:tcW w:w="864" w:type="dxa"/>
            <w:vMerge/>
            <w:tcBorders>
              <w:top w:val="single" w:sz="4" w:space="0" w:color="auto"/>
              <w:left w:val="single" w:sz="4" w:space="0" w:color="auto"/>
              <w:bottom w:val="single" w:sz="4" w:space="0" w:color="auto"/>
              <w:right w:val="single" w:sz="4" w:space="0" w:color="auto"/>
            </w:tcBorders>
            <w:vAlign w:val="center"/>
            <w:hideMark/>
          </w:tcPr>
          <w:p w:rsidR="004F31AD" w:rsidRPr="004D5FE2" w:rsidRDefault="004F31AD" w:rsidP="008A3570">
            <w:pPr>
              <w:spacing w:after="0" w:line="240" w:lineRule="auto"/>
              <w:rPr>
                <w:rFonts w:eastAsia="Times New Roman" w:cs="Arial"/>
                <w:b/>
                <w:bCs/>
                <w:color w:val="000000"/>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4F31AD" w:rsidRPr="004D5FE2" w:rsidRDefault="004F31AD" w:rsidP="008A3570">
            <w:pPr>
              <w:spacing w:after="0" w:line="240" w:lineRule="auto"/>
              <w:rPr>
                <w:rFonts w:eastAsia="Times New Roman" w:cs="Arial"/>
                <w:b/>
                <w:bCs/>
                <w:color w:val="000000"/>
              </w:rPr>
            </w:pPr>
          </w:p>
        </w:tc>
        <w:tc>
          <w:tcPr>
            <w:tcW w:w="2736" w:type="dxa"/>
            <w:vMerge/>
            <w:tcBorders>
              <w:top w:val="single" w:sz="4" w:space="0" w:color="auto"/>
              <w:left w:val="single" w:sz="4" w:space="0" w:color="auto"/>
              <w:bottom w:val="single" w:sz="4" w:space="0" w:color="auto"/>
              <w:right w:val="single" w:sz="4" w:space="0" w:color="auto"/>
            </w:tcBorders>
            <w:vAlign w:val="center"/>
            <w:hideMark/>
          </w:tcPr>
          <w:p w:rsidR="004F31AD" w:rsidRPr="004D5FE2" w:rsidRDefault="004F31AD" w:rsidP="008A3570">
            <w:pPr>
              <w:spacing w:after="0" w:line="240" w:lineRule="auto"/>
              <w:rPr>
                <w:rFonts w:eastAsia="Times New Roman" w:cs="Arial"/>
                <w:b/>
                <w:bCs/>
                <w:color w:val="000000"/>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4F31AD" w:rsidRPr="004D5FE2" w:rsidRDefault="004F31AD" w:rsidP="008A3570">
            <w:pPr>
              <w:spacing w:after="0" w:line="240" w:lineRule="auto"/>
              <w:rPr>
                <w:rFonts w:eastAsia="Times New Roman" w:cs="Arial"/>
                <w:b/>
                <w:bCs/>
                <w:color w:val="000000"/>
              </w:rPr>
            </w:pPr>
          </w:p>
        </w:tc>
      </w:tr>
      <w:tr w:rsidR="008A50BD" w:rsidRPr="004D5FE2" w:rsidTr="00D60584">
        <w:trPr>
          <w:trHeight w:val="144"/>
        </w:trPr>
        <w:tc>
          <w:tcPr>
            <w:tcW w:w="864" w:type="dxa"/>
            <w:tcBorders>
              <w:top w:val="nil"/>
              <w:left w:val="single" w:sz="4" w:space="0" w:color="auto"/>
              <w:bottom w:val="single" w:sz="4" w:space="0" w:color="auto"/>
              <w:right w:val="single" w:sz="4" w:space="0" w:color="auto"/>
            </w:tcBorders>
            <w:shd w:val="clear" w:color="auto" w:fill="auto"/>
            <w:vAlign w:val="center"/>
            <w:hideMark/>
          </w:tcPr>
          <w:p w:rsidR="008A50BD" w:rsidRPr="004D5FE2" w:rsidRDefault="008A50BD" w:rsidP="008A3570">
            <w:pPr>
              <w:spacing w:after="0" w:line="240" w:lineRule="auto"/>
              <w:jc w:val="center"/>
              <w:rPr>
                <w:rFonts w:eastAsia="Times New Roman" w:cs="Arial"/>
                <w:color w:val="000000"/>
              </w:rPr>
            </w:pPr>
            <w:r w:rsidRPr="004D5FE2">
              <w:rPr>
                <w:rFonts w:eastAsia="Times New Roman" w:cs="Arial"/>
                <w:color w:val="000000"/>
              </w:rPr>
              <w:t>Cases</w:t>
            </w:r>
          </w:p>
        </w:tc>
        <w:tc>
          <w:tcPr>
            <w:tcW w:w="2160" w:type="dxa"/>
            <w:tcBorders>
              <w:top w:val="nil"/>
              <w:left w:val="nil"/>
              <w:bottom w:val="single" w:sz="4" w:space="0" w:color="auto"/>
              <w:right w:val="single" w:sz="4" w:space="0" w:color="auto"/>
            </w:tcBorders>
            <w:shd w:val="clear" w:color="auto" w:fill="auto"/>
            <w:vAlign w:val="center"/>
          </w:tcPr>
          <w:p w:rsidR="008A50BD" w:rsidRPr="004D5FE2" w:rsidRDefault="008A50BD" w:rsidP="00C2336C">
            <w:pPr>
              <w:spacing w:after="0" w:line="240" w:lineRule="auto"/>
              <w:jc w:val="right"/>
              <w:rPr>
                <w:rFonts w:eastAsia="Times New Roman" w:cs="Arial"/>
                <w:color w:val="000000"/>
              </w:rPr>
            </w:pPr>
            <w:r w:rsidRPr="00C2336C">
              <w:rPr>
                <w:rFonts w:eastAsia="Times New Roman" w:cs="Arial"/>
                <w:color w:val="000000"/>
              </w:rPr>
              <w:t>1,458,972</w:t>
            </w:r>
          </w:p>
        </w:tc>
        <w:tc>
          <w:tcPr>
            <w:tcW w:w="2736" w:type="dxa"/>
            <w:tcBorders>
              <w:top w:val="nil"/>
              <w:left w:val="nil"/>
              <w:bottom w:val="single" w:sz="4" w:space="0" w:color="auto"/>
              <w:right w:val="single" w:sz="4" w:space="0" w:color="auto"/>
            </w:tcBorders>
            <w:shd w:val="clear" w:color="auto" w:fill="auto"/>
            <w:vAlign w:val="center"/>
          </w:tcPr>
          <w:p w:rsidR="008A50BD" w:rsidRPr="00AC78F6" w:rsidRDefault="008A50BD" w:rsidP="008A3570">
            <w:pPr>
              <w:tabs>
                <w:tab w:val="left" w:pos="1465"/>
              </w:tabs>
              <w:spacing w:after="0" w:line="240" w:lineRule="auto"/>
              <w:jc w:val="right"/>
              <w:rPr>
                <w:rFonts w:eastAsia="Times New Roman" w:cs="Arial"/>
                <w:color w:val="000000"/>
              </w:rPr>
            </w:pPr>
            <w:r w:rsidRPr="008A3570">
              <w:rPr>
                <w:rFonts w:eastAsia="Times New Roman" w:cs="Arial"/>
                <w:color w:val="000000"/>
              </w:rPr>
              <w:t>330</w:t>
            </w:r>
            <w:r>
              <w:rPr>
                <w:rFonts w:eastAsia="Times New Roman" w:cs="Arial"/>
                <w:color w:val="000000"/>
              </w:rPr>
              <w:t>,</w:t>
            </w:r>
            <w:r w:rsidRPr="008A3570">
              <w:rPr>
                <w:rFonts w:eastAsia="Times New Roman" w:cs="Arial"/>
                <w:color w:val="000000"/>
              </w:rPr>
              <w:t>487</w:t>
            </w:r>
            <w:r>
              <w:rPr>
                <w:rFonts w:eastAsia="Times New Roman" w:cs="Arial"/>
                <w:color w:val="000000"/>
              </w:rPr>
              <w:t xml:space="preserve"> (22.65)</w:t>
            </w:r>
          </w:p>
        </w:tc>
        <w:tc>
          <w:tcPr>
            <w:tcW w:w="2160" w:type="dxa"/>
            <w:tcBorders>
              <w:top w:val="nil"/>
              <w:left w:val="nil"/>
              <w:bottom w:val="single" w:sz="4" w:space="0" w:color="auto"/>
              <w:right w:val="single" w:sz="4" w:space="0" w:color="auto"/>
            </w:tcBorders>
            <w:shd w:val="clear" w:color="auto" w:fill="auto"/>
          </w:tcPr>
          <w:p w:rsidR="008A50BD" w:rsidRPr="008A50BD" w:rsidRDefault="008A50BD" w:rsidP="00D60584">
            <w:pPr>
              <w:spacing w:after="0" w:line="240" w:lineRule="auto"/>
              <w:jc w:val="right"/>
              <w:rPr>
                <w:rFonts w:eastAsia="Times New Roman" w:cs="Arial"/>
                <w:color w:val="000000"/>
              </w:rPr>
            </w:pPr>
            <w:r w:rsidRPr="008A50BD">
              <w:rPr>
                <w:rFonts w:eastAsia="Times New Roman" w:cs="Arial"/>
                <w:color w:val="000000"/>
              </w:rPr>
              <w:t>315,087 (95.34)</w:t>
            </w:r>
          </w:p>
        </w:tc>
      </w:tr>
      <w:tr w:rsidR="008A50BD" w:rsidRPr="004D5FE2" w:rsidTr="00D60584">
        <w:trPr>
          <w:trHeight w:val="288"/>
        </w:trPr>
        <w:tc>
          <w:tcPr>
            <w:tcW w:w="864" w:type="dxa"/>
            <w:tcBorders>
              <w:top w:val="nil"/>
              <w:left w:val="single" w:sz="4" w:space="0" w:color="auto"/>
              <w:bottom w:val="single" w:sz="4" w:space="0" w:color="auto"/>
              <w:right w:val="single" w:sz="4" w:space="0" w:color="auto"/>
            </w:tcBorders>
            <w:shd w:val="clear" w:color="auto" w:fill="auto"/>
            <w:vAlign w:val="center"/>
            <w:hideMark/>
          </w:tcPr>
          <w:p w:rsidR="008A50BD" w:rsidRPr="004D5FE2" w:rsidRDefault="008A50BD" w:rsidP="008A3570">
            <w:pPr>
              <w:spacing w:after="0" w:line="240" w:lineRule="auto"/>
              <w:jc w:val="center"/>
              <w:rPr>
                <w:rFonts w:eastAsia="Times New Roman" w:cs="Arial"/>
                <w:color w:val="000000"/>
              </w:rPr>
            </w:pPr>
            <w:r w:rsidRPr="004D5FE2">
              <w:rPr>
                <w:rFonts w:eastAsia="Times New Roman" w:cs="Arial"/>
                <w:color w:val="000000"/>
              </w:rPr>
              <w:t>2010</w:t>
            </w:r>
          </w:p>
        </w:tc>
        <w:tc>
          <w:tcPr>
            <w:tcW w:w="2160" w:type="dxa"/>
            <w:tcBorders>
              <w:top w:val="nil"/>
              <w:left w:val="nil"/>
              <w:bottom w:val="single" w:sz="4" w:space="0" w:color="auto"/>
              <w:right w:val="single" w:sz="4" w:space="0" w:color="auto"/>
            </w:tcBorders>
            <w:shd w:val="clear" w:color="auto" w:fill="auto"/>
            <w:vAlign w:val="center"/>
          </w:tcPr>
          <w:p w:rsidR="008A50BD" w:rsidRDefault="008A50BD" w:rsidP="008A3570">
            <w:pPr>
              <w:autoSpaceDE w:val="0"/>
              <w:autoSpaceDN w:val="0"/>
              <w:adjustRightInd w:val="0"/>
              <w:spacing w:after="0" w:line="240" w:lineRule="auto"/>
              <w:jc w:val="right"/>
              <w:rPr>
                <w:rFonts w:cstheme="minorHAnsi"/>
                <w:bCs/>
              </w:rPr>
            </w:pPr>
            <w:r>
              <w:rPr>
                <w:rFonts w:cstheme="minorHAnsi"/>
                <w:bCs/>
              </w:rPr>
              <w:t>484,361</w:t>
            </w:r>
          </w:p>
        </w:tc>
        <w:tc>
          <w:tcPr>
            <w:tcW w:w="2736" w:type="dxa"/>
            <w:tcBorders>
              <w:top w:val="nil"/>
              <w:left w:val="nil"/>
              <w:bottom w:val="single" w:sz="4" w:space="0" w:color="auto"/>
              <w:right w:val="single" w:sz="4" w:space="0" w:color="auto"/>
            </w:tcBorders>
            <w:shd w:val="clear" w:color="auto" w:fill="auto"/>
            <w:vAlign w:val="center"/>
          </w:tcPr>
          <w:p w:rsidR="008A50BD" w:rsidRPr="00AC78F6" w:rsidRDefault="008A50BD" w:rsidP="008A3570">
            <w:pPr>
              <w:spacing w:after="0" w:line="240" w:lineRule="auto"/>
              <w:jc w:val="right"/>
              <w:rPr>
                <w:rFonts w:eastAsia="Times New Roman" w:cs="Arial"/>
                <w:color w:val="000000"/>
              </w:rPr>
            </w:pPr>
            <w:r>
              <w:rPr>
                <w:rFonts w:eastAsia="Times New Roman" w:cs="Arial"/>
                <w:color w:val="000000"/>
              </w:rPr>
              <w:t>70,339 (14.52)</w:t>
            </w:r>
          </w:p>
        </w:tc>
        <w:tc>
          <w:tcPr>
            <w:tcW w:w="2160" w:type="dxa"/>
            <w:tcBorders>
              <w:top w:val="nil"/>
              <w:left w:val="nil"/>
              <w:bottom w:val="single" w:sz="4" w:space="0" w:color="auto"/>
              <w:right w:val="single" w:sz="4" w:space="0" w:color="auto"/>
            </w:tcBorders>
            <w:shd w:val="clear" w:color="auto" w:fill="auto"/>
          </w:tcPr>
          <w:p w:rsidR="008A50BD" w:rsidRPr="008A50BD" w:rsidRDefault="008A50BD" w:rsidP="00D60584">
            <w:pPr>
              <w:spacing w:after="0" w:line="240" w:lineRule="auto"/>
              <w:jc w:val="right"/>
              <w:rPr>
                <w:rFonts w:eastAsia="Times New Roman" w:cs="Arial"/>
                <w:color w:val="000000"/>
              </w:rPr>
            </w:pPr>
            <w:r w:rsidRPr="008A50BD">
              <w:rPr>
                <w:rFonts w:eastAsia="Times New Roman" w:cs="Arial"/>
                <w:color w:val="000000"/>
              </w:rPr>
              <w:t>65,688 (93.38)</w:t>
            </w:r>
          </w:p>
        </w:tc>
      </w:tr>
      <w:tr w:rsidR="008A50BD" w:rsidRPr="004D5FE2" w:rsidTr="00D60584">
        <w:trPr>
          <w:trHeight w:val="288"/>
        </w:trPr>
        <w:tc>
          <w:tcPr>
            <w:tcW w:w="864" w:type="dxa"/>
            <w:tcBorders>
              <w:top w:val="nil"/>
              <w:left w:val="single" w:sz="4" w:space="0" w:color="auto"/>
              <w:bottom w:val="single" w:sz="4" w:space="0" w:color="auto"/>
              <w:right w:val="single" w:sz="4" w:space="0" w:color="auto"/>
            </w:tcBorders>
            <w:shd w:val="clear" w:color="auto" w:fill="auto"/>
            <w:vAlign w:val="center"/>
            <w:hideMark/>
          </w:tcPr>
          <w:p w:rsidR="008A50BD" w:rsidRPr="004D5FE2" w:rsidRDefault="008A50BD" w:rsidP="008A3570">
            <w:pPr>
              <w:spacing w:after="0" w:line="240" w:lineRule="auto"/>
              <w:jc w:val="center"/>
              <w:rPr>
                <w:rFonts w:eastAsia="Times New Roman" w:cs="Arial"/>
                <w:color w:val="000000"/>
              </w:rPr>
            </w:pPr>
            <w:r w:rsidRPr="004D5FE2">
              <w:rPr>
                <w:rFonts w:eastAsia="Times New Roman" w:cs="Arial"/>
                <w:color w:val="000000"/>
              </w:rPr>
              <w:t>2011</w:t>
            </w:r>
          </w:p>
        </w:tc>
        <w:tc>
          <w:tcPr>
            <w:tcW w:w="2160" w:type="dxa"/>
            <w:tcBorders>
              <w:top w:val="nil"/>
              <w:left w:val="nil"/>
              <w:bottom w:val="single" w:sz="4" w:space="0" w:color="auto"/>
              <w:right w:val="single" w:sz="4" w:space="0" w:color="auto"/>
            </w:tcBorders>
            <w:shd w:val="clear" w:color="auto" w:fill="auto"/>
            <w:vAlign w:val="center"/>
          </w:tcPr>
          <w:p w:rsidR="008A50BD" w:rsidRDefault="008A50BD" w:rsidP="008A3570">
            <w:pPr>
              <w:autoSpaceDE w:val="0"/>
              <w:autoSpaceDN w:val="0"/>
              <w:adjustRightInd w:val="0"/>
              <w:spacing w:after="0" w:line="240" w:lineRule="auto"/>
              <w:jc w:val="right"/>
              <w:rPr>
                <w:rFonts w:cstheme="minorHAnsi"/>
                <w:bCs/>
              </w:rPr>
            </w:pPr>
            <w:r>
              <w:rPr>
                <w:rFonts w:cstheme="minorHAnsi"/>
                <w:bCs/>
              </w:rPr>
              <w:t>500,486</w:t>
            </w:r>
          </w:p>
        </w:tc>
        <w:tc>
          <w:tcPr>
            <w:tcW w:w="2736" w:type="dxa"/>
            <w:tcBorders>
              <w:top w:val="nil"/>
              <w:left w:val="nil"/>
              <w:bottom w:val="single" w:sz="4" w:space="0" w:color="auto"/>
              <w:right w:val="single" w:sz="4" w:space="0" w:color="auto"/>
            </w:tcBorders>
            <w:shd w:val="clear" w:color="auto" w:fill="auto"/>
            <w:vAlign w:val="center"/>
          </w:tcPr>
          <w:p w:rsidR="008A50BD" w:rsidRPr="00AC78F6" w:rsidRDefault="008A50BD" w:rsidP="008A3570">
            <w:pPr>
              <w:spacing w:after="0" w:line="240" w:lineRule="auto"/>
              <w:jc w:val="right"/>
              <w:rPr>
                <w:rFonts w:eastAsia="Times New Roman" w:cs="Arial"/>
                <w:color w:val="000000"/>
              </w:rPr>
            </w:pPr>
            <w:r>
              <w:rPr>
                <w:rFonts w:eastAsia="Times New Roman" w:cs="Arial"/>
                <w:color w:val="000000"/>
              </w:rPr>
              <w:t>118,935 (23.76)</w:t>
            </w:r>
          </w:p>
        </w:tc>
        <w:tc>
          <w:tcPr>
            <w:tcW w:w="2160" w:type="dxa"/>
            <w:tcBorders>
              <w:top w:val="nil"/>
              <w:left w:val="nil"/>
              <w:bottom w:val="single" w:sz="4" w:space="0" w:color="auto"/>
              <w:right w:val="single" w:sz="4" w:space="0" w:color="auto"/>
            </w:tcBorders>
            <w:shd w:val="clear" w:color="auto" w:fill="auto"/>
          </w:tcPr>
          <w:p w:rsidR="008A50BD" w:rsidRPr="008A50BD" w:rsidRDefault="008A50BD" w:rsidP="00D60584">
            <w:pPr>
              <w:spacing w:after="0" w:line="240" w:lineRule="auto"/>
              <w:jc w:val="right"/>
              <w:rPr>
                <w:rFonts w:eastAsia="Times New Roman" w:cs="Arial"/>
                <w:color w:val="000000"/>
              </w:rPr>
            </w:pPr>
            <w:r w:rsidRPr="008A50BD">
              <w:rPr>
                <w:rFonts w:eastAsia="Times New Roman" w:cs="Arial"/>
                <w:color w:val="000000"/>
              </w:rPr>
              <w:t xml:space="preserve">113,324 (95.28) </w:t>
            </w:r>
          </w:p>
        </w:tc>
      </w:tr>
      <w:tr w:rsidR="008A50BD" w:rsidRPr="004D5FE2" w:rsidTr="00D60584">
        <w:trPr>
          <w:trHeight w:val="288"/>
        </w:trPr>
        <w:tc>
          <w:tcPr>
            <w:tcW w:w="864" w:type="dxa"/>
            <w:tcBorders>
              <w:top w:val="nil"/>
              <w:left w:val="single" w:sz="4" w:space="0" w:color="auto"/>
              <w:bottom w:val="single" w:sz="4" w:space="0" w:color="auto"/>
              <w:right w:val="single" w:sz="4" w:space="0" w:color="auto"/>
            </w:tcBorders>
            <w:shd w:val="clear" w:color="auto" w:fill="auto"/>
            <w:vAlign w:val="center"/>
            <w:hideMark/>
          </w:tcPr>
          <w:p w:rsidR="008A50BD" w:rsidRPr="004D5FE2" w:rsidRDefault="008A50BD" w:rsidP="008A3570">
            <w:pPr>
              <w:spacing w:after="0" w:line="240" w:lineRule="auto"/>
              <w:jc w:val="center"/>
              <w:rPr>
                <w:rFonts w:eastAsia="Times New Roman" w:cs="Arial"/>
                <w:color w:val="000000"/>
              </w:rPr>
            </w:pPr>
            <w:r w:rsidRPr="004D5FE2">
              <w:rPr>
                <w:rFonts w:eastAsia="Times New Roman" w:cs="Arial"/>
                <w:color w:val="000000"/>
              </w:rPr>
              <w:t>2012</w:t>
            </w:r>
          </w:p>
        </w:tc>
        <w:tc>
          <w:tcPr>
            <w:tcW w:w="2160" w:type="dxa"/>
            <w:tcBorders>
              <w:top w:val="nil"/>
              <w:left w:val="nil"/>
              <w:bottom w:val="single" w:sz="4" w:space="0" w:color="auto"/>
              <w:right w:val="single" w:sz="4" w:space="0" w:color="auto"/>
            </w:tcBorders>
            <w:shd w:val="clear" w:color="auto" w:fill="auto"/>
            <w:vAlign w:val="center"/>
          </w:tcPr>
          <w:p w:rsidR="008A50BD" w:rsidRDefault="008A50BD" w:rsidP="008A3570">
            <w:pPr>
              <w:autoSpaceDE w:val="0"/>
              <w:autoSpaceDN w:val="0"/>
              <w:adjustRightInd w:val="0"/>
              <w:spacing w:after="0" w:line="240" w:lineRule="auto"/>
              <w:jc w:val="right"/>
              <w:rPr>
                <w:rFonts w:cstheme="minorHAnsi"/>
                <w:bCs/>
              </w:rPr>
            </w:pPr>
            <w:r>
              <w:rPr>
                <w:rFonts w:cstheme="minorHAnsi"/>
                <w:bCs/>
              </w:rPr>
              <w:t>474,125</w:t>
            </w:r>
          </w:p>
        </w:tc>
        <w:tc>
          <w:tcPr>
            <w:tcW w:w="2736" w:type="dxa"/>
            <w:tcBorders>
              <w:top w:val="nil"/>
              <w:left w:val="nil"/>
              <w:bottom w:val="single" w:sz="4" w:space="0" w:color="auto"/>
              <w:right w:val="single" w:sz="4" w:space="0" w:color="auto"/>
            </w:tcBorders>
            <w:shd w:val="clear" w:color="auto" w:fill="auto"/>
            <w:vAlign w:val="center"/>
          </w:tcPr>
          <w:p w:rsidR="008A50BD" w:rsidRPr="00AC78F6" w:rsidRDefault="008A50BD" w:rsidP="008A3570">
            <w:pPr>
              <w:spacing w:after="0" w:line="240" w:lineRule="auto"/>
              <w:jc w:val="right"/>
              <w:rPr>
                <w:rFonts w:eastAsia="Times New Roman" w:cs="Arial"/>
                <w:color w:val="000000"/>
              </w:rPr>
            </w:pPr>
            <w:r>
              <w:rPr>
                <w:rFonts w:eastAsia="Times New Roman" w:cs="Arial"/>
                <w:color w:val="000000"/>
              </w:rPr>
              <w:t>141,213 (29.78)</w:t>
            </w:r>
          </w:p>
        </w:tc>
        <w:tc>
          <w:tcPr>
            <w:tcW w:w="2160" w:type="dxa"/>
            <w:tcBorders>
              <w:top w:val="nil"/>
              <w:left w:val="nil"/>
              <w:bottom w:val="single" w:sz="4" w:space="0" w:color="auto"/>
              <w:right w:val="single" w:sz="4" w:space="0" w:color="auto"/>
            </w:tcBorders>
            <w:shd w:val="clear" w:color="auto" w:fill="auto"/>
          </w:tcPr>
          <w:p w:rsidR="008A50BD" w:rsidRPr="008A50BD" w:rsidRDefault="008A50BD" w:rsidP="00D60584">
            <w:pPr>
              <w:spacing w:after="0" w:line="240" w:lineRule="auto"/>
              <w:jc w:val="right"/>
              <w:rPr>
                <w:rFonts w:eastAsia="Times New Roman" w:cs="Arial"/>
                <w:color w:val="000000"/>
              </w:rPr>
            </w:pPr>
            <w:r w:rsidRPr="008A50BD">
              <w:rPr>
                <w:rFonts w:eastAsia="Times New Roman" w:cs="Arial"/>
                <w:color w:val="000000"/>
              </w:rPr>
              <w:t>136,075 (96.36)</w:t>
            </w:r>
          </w:p>
        </w:tc>
      </w:tr>
    </w:tbl>
    <w:p w:rsidR="004F31AD" w:rsidRDefault="004F31AD" w:rsidP="0042121C">
      <w:pPr>
        <w:autoSpaceDE w:val="0"/>
        <w:autoSpaceDN w:val="0"/>
        <w:adjustRightInd w:val="0"/>
        <w:spacing w:after="0" w:line="240" w:lineRule="auto"/>
        <w:rPr>
          <w:rFonts w:cstheme="minorHAnsi"/>
          <w:b/>
          <w:bCs/>
          <w:u w:val="single"/>
        </w:rPr>
      </w:pPr>
    </w:p>
    <w:p w:rsidR="0090009D" w:rsidRDefault="0090009D" w:rsidP="004F31AD">
      <w:pPr>
        <w:spacing w:after="0" w:line="240" w:lineRule="auto"/>
        <w:rPr>
          <w:b/>
        </w:rPr>
      </w:pPr>
    </w:p>
    <w:p w:rsidR="0090009D" w:rsidRDefault="0090009D" w:rsidP="004F31AD">
      <w:pPr>
        <w:spacing w:after="0" w:line="240" w:lineRule="auto"/>
        <w:rPr>
          <w:b/>
        </w:rPr>
      </w:pPr>
    </w:p>
    <w:p w:rsidR="0090009D" w:rsidRDefault="0090009D" w:rsidP="004F31AD">
      <w:pPr>
        <w:spacing w:after="0" w:line="240" w:lineRule="auto"/>
        <w:rPr>
          <w:b/>
        </w:rPr>
      </w:pPr>
    </w:p>
    <w:p w:rsidR="0090009D" w:rsidRDefault="0090009D" w:rsidP="004F31AD">
      <w:pPr>
        <w:spacing w:after="0" w:line="240" w:lineRule="auto"/>
        <w:rPr>
          <w:b/>
        </w:rPr>
      </w:pPr>
    </w:p>
    <w:p w:rsidR="0090009D" w:rsidRDefault="0090009D" w:rsidP="004F31AD">
      <w:pPr>
        <w:spacing w:after="0" w:line="240" w:lineRule="auto"/>
        <w:rPr>
          <w:b/>
        </w:rPr>
      </w:pPr>
    </w:p>
    <w:p w:rsidR="0090009D" w:rsidRDefault="0090009D" w:rsidP="004F31AD">
      <w:pPr>
        <w:spacing w:after="0" w:line="240" w:lineRule="auto"/>
        <w:rPr>
          <w:b/>
        </w:rPr>
      </w:pPr>
    </w:p>
    <w:p w:rsidR="0090009D" w:rsidRDefault="0090009D" w:rsidP="004F31AD">
      <w:pPr>
        <w:spacing w:after="0" w:line="240" w:lineRule="auto"/>
        <w:rPr>
          <w:b/>
        </w:rPr>
      </w:pPr>
    </w:p>
    <w:p w:rsidR="004F31AD" w:rsidRPr="000931BF" w:rsidRDefault="004F31AD" w:rsidP="004F31AD">
      <w:pPr>
        <w:spacing w:after="0" w:line="240" w:lineRule="auto"/>
        <w:rPr>
          <w:b/>
        </w:rPr>
      </w:pPr>
      <w:r w:rsidRPr="000931BF">
        <w:rPr>
          <w:b/>
        </w:rPr>
        <w:lastRenderedPageBreak/>
        <w:t>TABLE #5 – NACOR Data Captured by Year</w:t>
      </w:r>
    </w:p>
    <w:tbl>
      <w:tblPr>
        <w:tblW w:w="9570" w:type="dxa"/>
        <w:tblInd w:w="93" w:type="dxa"/>
        <w:tblLook w:val="04A0" w:firstRow="1" w:lastRow="0" w:firstColumn="1" w:lastColumn="0" w:noHBand="0" w:noVBand="1"/>
      </w:tblPr>
      <w:tblGrid>
        <w:gridCol w:w="864"/>
        <w:gridCol w:w="1152"/>
        <w:gridCol w:w="1568"/>
        <w:gridCol w:w="1558"/>
        <w:gridCol w:w="1416"/>
        <w:gridCol w:w="1506"/>
        <w:gridCol w:w="1506"/>
      </w:tblGrid>
      <w:tr w:rsidR="002B6398" w:rsidRPr="002B6398" w:rsidTr="002B6398">
        <w:trPr>
          <w:trHeight w:val="269"/>
        </w:trPr>
        <w:tc>
          <w:tcPr>
            <w:tcW w:w="864" w:type="dxa"/>
            <w:vMerge w:val="restart"/>
            <w:tcBorders>
              <w:top w:val="single" w:sz="4" w:space="0" w:color="auto"/>
              <w:left w:val="single" w:sz="4" w:space="0" w:color="auto"/>
              <w:bottom w:val="single" w:sz="4" w:space="0" w:color="auto"/>
              <w:right w:val="single" w:sz="4" w:space="0" w:color="auto"/>
            </w:tcBorders>
            <w:shd w:val="clear" w:color="000000" w:fill="F5F5F5"/>
            <w:hideMark/>
          </w:tcPr>
          <w:p w:rsidR="002B6398" w:rsidRPr="002B6398" w:rsidRDefault="002B6398" w:rsidP="002B6398">
            <w:pPr>
              <w:spacing w:after="0" w:line="240" w:lineRule="auto"/>
              <w:jc w:val="center"/>
              <w:rPr>
                <w:rFonts w:eastAsia="Times New Roman" w:cs="Arial"/>
                <w:b/>
                <w:bCs/>
                <w:color w:val="000000"/>
              </w:rPr>
            </w:pPr>
            <w:r w:rsidRPr="002B6398">
              <w:rPr>
                <w:rFonts w:eastAsia="Times New Roman" w:cs="Arial"/>
                <w:b/>
                <w:bCs/>
                <w:color w:val="000000"/>
              </w:rPr>
              <w:t> </w:t>
            </w:r>
          </w:p>
        </w:tc>
        <w:tc>
          <w:tcPr>
            <w:tcW w:w="1152" w:type="dxa"/>
            <w:vMerge w:val="restart"/>
            <w:tcBorders>
              <w:top w:val="single" w:sz="4" w:space="0" w:color="auto"/>
              <w:left w:val="single" w:sz="4" w:space="0" w:color="auto"/>
              <w:bottom w:val="single" w:sz="4" w:space="0" w:color="auto"/>
              <w:right w:val="single" w:sz="4" w:space="0" w:color="auto"/>
            </w:tcBorders>
            <w:shd w:val="clear" w:color="000000" w:fill="F5F5F5"/>
            <w:vAlign w:val="center"/>
            <w:hideMark/>
          </w:tcPr>
          <w:p w:rsidR="002B6398" w:rsidRPr="002B6398" w:rsidRDefault="002B6398" w:rsidP="002B6398">
            <w:pPr>
              <w:spacing w:after="0" w:line="240" w:lineRule="auto"/>
              <w:jc w:val="center"/>
              <w:rPr>
                <w:rFonts w:eastAsia="Times New Roman" w:cs="Arial"/>
                <w:b/>
                <w:bCs/>
                <w:color w:val="000000"/>
              </w:rPr>
            </w:pPr>
            <w:r w:rsidRPr="002B6398">
              <w:rPr>
                <w:rFonts w:eastAsia="Times New Roman" w:cs="Arial"/>
                <w:b/>
                <w:bCs/>
                <w:color w:val="000000"/>
              </w:rPr>
              <w:t>Eligible Instances</w:t>
            </w:r>
          </w:p>
        </w:tc>
        <w:tc>
          <w:tcPr>
            <w:tcW w:w="1568" w:type="dxa"/>
            <w:vMerge w:val="restart"/>
            <w:tcBorders>
              <w:top w:val="single" w:sz="4" w:space="0" w:color="auto"/>
              <w:left w:val="single" w:sz="4" w:space="0" w:color="auto"/>
              <w:bottom w:val="single" w:sz="4" w:space="0" w:color="auto"/>
              <w:right w:val="single" w:sz="4" w:space="0" w:color="auto"/>
            </w:tcBorders>
            <w:shd w:val="clear" w:color="000000" w:fill="F5F5F5"/>
            <w:vAlign w:val="center"/>
            <w:hideMark/>
          </w:tcPr>
          <w:p w:rsidR="002B6398" w:rsidRPr="002B6398" w:rsidRDefault="002B6398" w:rsidP="00443B56">
            <w:pPr>
              <w:spacing w:after="0" w:line="240" w:lineRule="auto"/>
              <w:jc w:val="center"/>
              <w:rPr>
                <w:rFonts w:eastAsia="Times New Roman" w:cs="Arial"/>
                <w:b/>
                <w:bCs/>
                <w:color w:val="000000"/>
              </w:rPr>
            </w:pPr>
            <w:r w:rsidRPr="002B6398">
              <w:rPr>
                <w:rFonts w:eastAsia="Times New Roman" w:cs="Arial"/>
                <w:b/>
                <w:bCs/>
                <w:color w:val="000000"/>
              </w:rPr>
              <w:t>Number (%)</w:t>
            </w:r>
            <w:r w:rsidR="00443B56">
              <w:rPr>
                <w:rFonts w:eastAsia="Times New Roman" w:cs="Arial"/>
                <w:b/>
                <w:bCs/>
                <w:color w:val="000000"/>
              </w:rPr>
              <w:t xml:space="preserve"> of</w:t>
            </w:r>
            <w:r w:rsidRPr="002B6398">
              <w:rPr>
                <w:rFonts w:eastAsia="Times New Roman" w:cs="Arial"/>
                <w:b/>
                <w:bCs/>
                <w:color w:val="000000"/>
              </w:rPr>
              <w:t xml:space="preserve"> Eligible Instances in which Medicare is the primary insurance</w:t>
            </w:r>
          </w:p>
        </w:tc>
        <w:tc>
          <w:tcPr>
            <w:tcW w:w="1558" w:type="dxa"/>
            <w:vMerge w:val="restart"/>
            <w:tcBorders>
              <w:top w:val="single" w:sz="4" w:space="0" w:color="auto"/>
              <w:left w:val="single" w:sz="4" w:space="0" w:color="auto"/>
              <w:bottom w:val="single" w:sz="4" w:space="0" w:color="auto"/>
              <w:right w:val="single" w:sz="4" w:space="0" w:color="auto"/>
            </w:tcBorders>
            <w:shd w:val="clear" w:color="000000" w:fill="F5F5F5"/>
            <w:vAlign w:val="center"/>
            <w:hideMark/>
          </w:tcPr>
          <w:p w:rsidR="002B6398" w:rsidRPr="002B6398" w:rsidRDefault="002B6398" w:rsidP="002B6398">
            <w:pPr>
              <w:spacing w:after="0" w:line="240" w:lineRule="auto"/>
              <w:jc w:val="center"/>
              <w:rPr>
                <w:rFonts w:eastAsia="Times New Roman" w:cs="Arial"/>
                <w:b/>
                <w:bCs/>
                <w:color w:val="000000"/>
              </w:rPr>
            </w:pPr>
            <w:r w:rsidRPr="002B6398">
              <w:rPr>
                <w:rFonts w:eastAsia="Times New Roman" w:cs="Arial"/>
                <w:b/>
                <w:bCs/>
                <w:color w:val="000000"/>
              </w:rPr>
              <w:t>Reporting Numerator</w:t>
            </w:r>
            <w:r w:rsidRPr="002B6398">
              <w:rPr>
                <w:rFonts w:eastAsia="Times New Roman" w:cs="Arial"/>
                <w:b/>
                <w:bCs/>
                <w:color w:val="000000"/>
              </w:rPr>
              <w:br/>
              <w:t>(Reporting Rate)</w:t>
            </w:r>
          </w:p>
        </w:tc>
        <w:tc>
          <w:tcPr>
            <w:tcW w:w="1416" w:type="dxa"/>
            <w:vMerge w:val="restart"/>
            <w:tcBorders>
              <w:top w:val="single" w:sz="4" w:space="0" w:color="auto"/>
              <w:left w:val="single" w:sz="4" w:space="0" w:color="auto"/>
              <w:bottom w:val="single" w:sz="4" w:space="0" w:color="auto"/>
              <w:right w:val="single" w:sz="4" w:space="0" w:color="auto"/>
            </w:tcBorders>
            <w:shd w:val="clear" w:color="000000" w:fill="F5F5F5"/>
            <w:vAlign w:val="center"/>
            <w:hideMark/>
          </w:tcPr>
          <w:p w:rsidR="002B6398" w:rsidRPr="002B6398" w:rsidRDefault="002B6398" w:rsidP="002B6398">
            <w:pPr>
              <w:spacing w:after="0" w:line="240" w:lineRule="auto"/>
              <w:jc w:val="center"/>
              <w:rPr>
                <w:rFonts w:eastAsia="Times New Roman" w:cs="Arial"/>
                <w:b/>
                <w:bCs/>
                <w:color w:val="000000"/>
              </w:rPr>
            </w:pPr>
            <w:r w:rsidRPr="002B6398">
              <w:rPr>
                <w:rFonts w:eastAsia="Times New Roman" w:cs="Arial"/>
                <w:b/>
                <w:bCs/>
                <w:color w:val="000000"/>
              </w:rPr>
              <w:t xml:space="preserve">Reporting Numerator </w:t>
            </w:r>
            <w:r w:rsidRPr="002B6398">
              <w:rPr>
                <w:rFonts w:eastAsia="Times New Roman" w:cs="Arial"/>
                <w:b/>
                <w:bCs/>
                <w:color w:val="000000"/>
              </w:rPr>
              <w:br/>
              <w:t>(Reporting Rate) in which Medicare is the primary insurance</w:t>
            </w:r>
          </w:p>
        </w:tc>
        <w:tc>
          <w:tcPr>
            <w:tcW w:w="1506" w:type="dxa"/>
            <w:vMerge w:val="restart"/>
            <w:tcBorders>
              <w:top w:val="single" w:sz="4" w:space="0" w:color="auto"/>
              <w:left w:val="single" w:sz="4" w:space="0" w:color="auto"/>
              <w:bottom w:val="single" w:sz="4" w:space="0" w:color="auto"/>
              <w:right w:val="single" w:sz="4" w:space="0" w:color="auto"/>
            </w:tcBorders>
            <w:shd w:val="clear" w:color="000000" w:fill="F5F5F5"/>
            <w:vAlign w:val="center"/>
            <w:hideMark/>
          </w:tcPr>
          <w:p w:rsidR="002B6398" w:rsidRPr="002B6398" w:rsidRDefault="002B6398" w:rsidP="002B6398">
            <w:pPr>
              <w:spacing w:after="0" w:line="240" w:lineRule="auto"/>
              <w:jc w:val="center"/>
              <w:rPr>
                <w:rFonts w:eastAsia="Times New Roman" w:cs="Arial"/>
                <w:b/>
                <w:bCs/>
                <w:color w:val="000000"/>
              </w:rPr>
            </w:pPr>
            <w:r w:rsidRPr="002B6398">
              <w:rPr>
                <w:rFonts w:eastAsia="Times New Roman" w:cs="Arial"/>
                <w:b/>
                <w:bCs/>
                <w:color w:val="000000"/>
              </w:rPr>
              <w:t>Performance Met</w:t>
            </w:r>
            <w:r w:rsidRPr="002B6398">
              <w:rPr>
                <w:rFonts w:eastAsia="Times New Roman" w:cs="Arial"/>
                <w:b/>
                <w:bCs/>
                <w:color w:val="000000"/>
              </w:rPr>
              <w:br/>
              <w:t>(Performance Rate)</w:t>
            </w:r>
          </w:p>
        </w:tc>
        <w:tc>
          <w:tcPr>
            <w:tcW w:w="1506" w:type="dxa"/>
            <w:vMerge w:val="restart"/>
            <w:tcBorders>
              <w:top w:val="single" w:sz="4" w:space="0" w:color="auto"/>
              <w:left w:val="single" w:sz="4" w:space="0" w:color="auto"/>
              <w:bottom w:val="single" w:sz="4" w:space="0" w:color="auto"/>
              <w:right w:val="single" w:sz="4" w:space="0" w:color="auto"/>
            </w:tcBorders>
            <w:shd w:val="clear" w:color="000000" w:fill="F5F5F5"/>
            <w:vAlign w:val="center"/>
            <w:hideMark/>
          </w:tcPr>
          <w:p w:rsidR="002B6398" w:rsidRPr="002B6398" w:rsidRDefault="002B6398" w:rsidP="002B6398">
            <w:pPr>
              <w:spacing w:after="0" w:line="240" w:lineRule="auto"/>
              <w:jc w:val="center"/>
              <w:rPr>
                <w:rFonts w:eastAsia="Times New Roman" w:cs="Arial"/>
                <w:b/>
                <w:bCs/>
                <w:color w:val="000000"/>
              </w:rPr>
            </w:pPr>
            <w:r w:rsidRPr="002B6398">
              <w:rPr>
                <w:rFonts w:eastAsia="Times New Roman" w:cs="Arial"/>
                <w:b/>
                <w:bCs/>
                <w:color w:val="000000"/>
              </w:rPr>
              <w:t>Performance Met (Performance Rate) in which Medicare is the primary insurance</w:t>
            </w:r>
          </w:p>
        </w:tc>
      </w:tr>
      <w:tr w:rsidR="002B6398" w:rsidRPr="002B6398" w:rsidTr="002B6398">
        <w:trPr>
          <w:trHeight w:val="269"/>
        </w:trPr>
        <w:tc>
          <w:tcPr>
            <w:tcW w:w="864"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506"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506"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r>
      <w:tr w:rsidR="002B6398" w:rsidRPr="002B6398" w:rsidTr="002B6398">
        <w:trPr>
          <w:trHeight w:val="269"/>
        </w:trPr>
        <w:tc>
          <w:tcPr>
            <w:tcW w:w="864"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506"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506"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r>
      <w:tr w:rsidR="002B6398" w:rsidRPr="002B6398" w:rsidTr="002B6398">
        <w:trPr>
          <w:trHeight w:val="269"/>
        </w:trPr>
        <w:tc>
          <w:tcPr>
            <w:tcW w:w="864"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506"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506"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r>
      <w:tr w:rsidR="002B6398" w:rsidRPr="002B6398" w:rsidTr="002B6398">
        <w:trPr>
          <w:trHeight w:val="269"/>
        </w:trPr>
        <w:tc>
          <w:tcPr>
            <w:tcW w:w="864"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506"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c>
          <w:tcPr>
            <w:tcW w:w="1506" w:type="dxa"/>
            <w:vMerge/>
            <w:tcBorders>
              <w:top w:val="single" w:sz="4" w:space="0" w:color="auto"/>
              <w:left w:val="single" w:sz="4" w:space="0" w:color="auto"/>
              <w:bottom w:val="single" w:sz="4" w:space="0" w:color="auto"/>
              <w:right w:val="single" w:sz="4" w:space="0" w:color="auto"/>
            </w:tcBorders>
            <w:vAlign w:val="center"/>
            <w:hideMark/>
          </w:tcPr>
          <w:p w:rsidR="002B6398" w:rsidRPr="002B6398" w:rsidRDefault="002B6398" w:rsidP="002B6398">
            <w:pPr>
              <w:spacing w:after="0" w:line="240" w:lineRule="auto"/>
              <w:rPr>
                <w:rFonts w:eastAsia="Times New Roman" w:cs="Arial"/>
                <w:b/>
                <w:bCs/>
                <w:color w:val="000000"/>
              </w:rPr>
            </w:pPr>
          </w:p>
        </w:tc>
      </w:tr>
      <w:tr w:rsidR="002B6398" w:rsidRPr="002B6398" w:rsidTr="00D60584">
        <w:trPr>
          <w:trHeight w:val="420"/>
        </w:trPr>
        <w:tc>
          <w:tcPr>
            <w:tcW w:w="864" w:type="dxa"/>
            <w:tcBorders>
              <w:top w:val="nil"/>
              <w:left w:val="single" w:sz="4" w:space="0" w:color="auto"/>
              <w:bottom w:val="single" w:sz="4" w:space="0" w:color="auto"/>
              <w:right w:val="single" w:sz="4" w:space="0" w:color="auto"/>
            </w:tcBorders>
            <w:shd w:val="clear" w:color="auto" w:fill="auto"/>
            <w:vAlign w:val="center"/>
            <w:hideMark/>
          </w:tcPr>
          <w:p w:rsidR="002B6398" w:rsidRPr="002B6398" w:rsidRDefault="002B6398" w:rsidP="002B6398">
            <w:pPr>
              <w:spacing w:after="0" w:line="240" w:lineRule="auto"/>
              <w:jc w:val="center"/>
              <w:rPr>
                <w:rFonts w:eastAsia="Times New Roman" w:cs="Arial"/>
                <w:color w:val="000000"/>
              </w:rPr>
            </w:pPr>
            <w:r w:rsidRPr="002B6398">
              <w:rPr>
                <w:rFonts w:eastAsia="Times New Roman" w:cs="Arial"/>
                <w:color w:val="000000"/>
              </w:rPr>
              <w:t>Cases</w:t>
            </w:r>
          </w:p>
        </w:tc>
        <w:tc>
          <w:tcPr>
            <w:tcW w:w="1152" w:type="dxa"/>
            <w:tcBorders>
              <w:top w:val="nil"/>
              <w:left w:val="nil"/>
              <w:bottom w:val="single" w:sz="4" w:space="0" w:color="auto"/>
              <w:right w:val="single" w:sz="4" w:space="0" w:color="auto"/>
            </w:tcBorders>
            <w:shd w:val="clear" w:color="auto" w:fill="auto"/>
            <w:vAlign w:val="center"/>
            <w:hideMark/>
          </w:tcPr>
          <w:p w:rsidR="002B6398" w:rsidRPr="002B6398" w:rsidRDefault="002B6398" w:rsidP="00D60584">
            <w:pPr>
              <w:spacing w:after="0" w:line="240" w:lineRule="auto"/>
              <w:jc w:val="right"/>
              <w:rPr>
                <w:rFonts w:eastAsia="Times New Roman" w:cs="Arial"/>
                <w:color w:val="000000"/>
              </w:rPr>
            </w:pPr>
            <w:r w:rsidRPr="002B6398">
              <w:rPr>
                <w:rFonts w:eastAsia="Times New Roman" w:cs="Arial"/>
                <w:color w:val="000000"/>
              </w:rPr>
              <w:t>4,559,243</w:t>
            </w:r>
          </w:p>
        </w:tc>
        <w:tc>
          <w:tcPr>
            <w:tcW w:w="1568"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1,146,376 (25.14)</w:t>
            </w:r>
          </w:p>
        </w:tc>
        <w:tc>
          <w:tcPr>
            <w:tcW w:w="1558"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1,465,124 (32.14)</w:t>
            </w:r>
          </w:p>
        </w:tc>
        <w:tc>
          <w:tcPr>
            <w:tcW w:w="1416"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881,272 (76.87)</w:t>
            </w:r>
          </w:p>
        </w:tc>
        <w:tc>
          <w:tcPr>
            <w:tcW w:w="1506"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736,179 (94.88)</w:t>
            </w:r>
          </w:p>
        </w:tc>
        <w:tc>
          <w:tcPr>
            <w:tcW w:w="1506"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454,026 (96.55)</w:t>
            </w:r>
          </w:p>
        </w:tc>
      </w:tr>
      <w:tr w:rsidR="002B6398" w:rsidRPr="002B6398" w:rsidTr="00D60584">
        <w:trPr>
          <w:trHeight w:val="420"/>
        </w:trPr>
        <w:tc>
          <w:tcPr>
            <w:tcW w:w="864" w:type="dxa"/>
            <w:tcBorders>
              <w:top w:val="nil"/>
              <w:left w:val="single" w:sz="4" w:space="0" w:color="auto"/>
              <w:bottom w:val="single" w:sz="4" w:space="0" w:color="auto"/>
              <w:right w:val="single" w:sz="4" w:space="0" w:color="auto"/>
            </w:tcBorders>
            <w:shd w:val="clear" w:color="auto" w:fill="auto"/>
            <w:vAlign w:val="center"/>
            <w:hideMark/>
          </w:tcPr>
          <w:p w:rsidR="002B6398" w:rsidRPr="002B6398" w:rsidRDefault="002B6398" w:rsidP="002B6398">
            <w:pPr>
              <w:spacing w:after="0" w:line="240" w:lineRule="auto"/>
              <w:jc w:val="center"/>
              <w:rPr>
                <w:rFonts w:eastAsia="Times New Roman" w:cs="Arial"/>
                <w:color w:val="000000"/>
              </w:rPr>
            </w:pPr>
            <w:r w:rsidRPr="002B6398">
              <w:rPr>
                <w:rFonts w:eastAsia="Times New Roman" w:cs="Arial"/>
                <w:color w:val="000000"/>
              </w:rPr>
              <w:t>2010</w:t>
            </w:r>
          </w:p>
        </w:tc>
        <w:tc>
          <w:tcPr>
            <w:tcW w:w="1152" w:type="dxa"/>
            <w:tcBorders>
              <w:top w:val="nil"/>
              <w:left w:val="nil"/>
              <w:bottom w:val="single" w:sz="4" w:space="0" w:color="auto"/>
              <w:right w:val="single" w:sz="4" w:space="0" w:color="auto"/>
            </w:tcBorders>
            <w:shd w:val="clear" w:color="auto" w:fill="auto"/>
            <w:vAlign w:val="center"/>
            <w:hideMark/>
          </w:tcPr>
          <w:p w:rsidR="002B6398" w:rsidRPr="002B6398" w:rsidRDefault="002B6398" w:rsidP="00D60584">
            <w:pPr>
              <w:spacing w:after="0" w:line="240" w:lineRule="auto"/>
              <w:jc w:val="right"/>
              <w:rPr>
                <w:rFonts w:eastAsia="Times New Roman" w:cs="Arial"/>
                <w:color w:val="000000"/>
              </w:rPr>
            </w:pPr>
            <w:r w:rsidRPr="002B6398">
              <w:rPr>
                <w:rFonts w:eastAsia="Times New Roman" w:cs="Arial"/>
                <w:color w:val="000000"/>
              </w:rPr>
              <w:t>447,899</w:t>
            </w:r>
          </w:p>
        </w:tc>
        <w:tc>
          <w:tcPr>
            <w:tcW w:w="1568" w:type="dxa"/>
            <w:tcBorders>
              <w:top w:val="nil"/>
              <w:left w:val="nil"/>
              <w:bottom w:val="single" w:sz="4" w:space="0" w:color="auto"/>
              <w:right w:val="single" w:sz="4" w:space="0" w:color="auto"/>
            </w:tcBorders>
            <w:shd w:val="clear" w:color="auto" w:fill="auto"/>
            <w:hideMark/>
          </w:tcPr>
          <w:p w:rsidR="00D60584" w:rsidRDefault="002B6398" w:rsidP="002B6398">
            <w:pPr>
              <w:spacing w:after="0" w:line="240" w:lineRule="auto"/>
              <w:jc w:val="right"/>
              <w:rPr>
                <w:rFonts w:eastAsia="Times New Roman" w:cs="Arial"/>
                <w:color w:val="000000"/>
              </w:rPr>
            </w:pPr>
            <w:r w:rsidRPr="002B6398">
              <w:rPr>
                <w:rFonts w:eastAsia="Times New Roman" w:cs="Arial"/>
                <w:color w:val="000000"/>
              </w:rPr>
              <w:t xml:space="preserve">85,537 </w:t>
            </w:r>
          </w:p>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(19.10)</w:t>
            </w:r>
          </w:p>
        </w:tc>
        <w:tc>
          <w:tcPr>
            <w:tcW w:w="1558" w:type="dxa"/>
            <w:tcBorders>
              <w:top w:val="nil"/>
              <w:left w:val="nil"/>
              <w:bottom w:val="single" w:sz="4" w:space="0" w:color="auto"/>
              <w:right w:val="single" w:sz="4" w:space="0" w:color="auto"/>
            </w:tcBorders>
            <w:shd w:val="clear" w:color="auto" w:fill="auto"/>
            <w:hideMark/>
          </w:tcPr>
          <w:p w:rsidR="00D60584" w:rsidRDefault="002B6398" w:rsidP="002B6398">
            <w:pPr>
              <w:spacing w:after="0" w:line="240" w:lineRule="auto"/>
              <w:jc w:val="right"/>
              <w:rPr>
                <w:rFonts w:eastAsia="Times New Roman" w:cs="Arial"/>
                <w:color w:val="000000"/>
              </w:rPr>
            </w:pPr>
            <w:r w:rsidRPr="002B6398">
              <w:rPr>
                <w:rFonts w:eastAsia="Times New Roman" w:cs="Arial"/>
                <w:color w:val="000000"/>
              </w:rPr>
              <w:t xml:space="preserve">77,184 </w:t>
            </w:r>
          </w:p>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(17.23)</w:t>
            </w:r>
          </w:p>
        </w:tc>
        <w:tc>
          <w:tcPr>
            <w:tcW w:w="1416"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55,538 (64.93)</w:t>
            </w:r>
          </w:p>
        </w:tc>
        <w:tc>
          <w:tcPr>
            <w:tcW w:w="1506"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44,253 (93.65)</w:t>
            </w:r>
          </w:p>
        </w:tc>
        <w:tc>
          <w:tcPr>
            <w:tcW w:w="1506"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28,848 (93.26)</w:t>
            </w:r>
          </w:p>
        </w:tc>
      </w:tr>
      <w:tr w:rsidR="002B6398" w:rsidRPr="002B6398" w:rsidTr="00D60584">
        <w:trPr>
          <w:trHeight w:val="420"/>
        </w:trPr>
        <w:tc>
          <w:tcPr>
            <w:tcW w:w="864" w:type="dxa"/>
            <w:tcBorders>
              <w:top w:val="nil"/>
              <w:left w:val="single" w:sz="4" w:space="0" w:color="auto"/>
              <w:bottom w:val="single" w:sz="4" w:space="0" w:color="auto"/>
              <w:right w:val="single" w:sz="4" w:space="0" w:color="auto"/>
            </w:tcBorders>
            <w:shd w:val="clear" w:color="auto" w:fill="auto"/>
            <w:vAlign w:val="center"/>
            <w:hideMark/>
          </w:tcPr>
          <w:p w:rsidR="002B6398" w:rsidRPr="002B6398" w:rsidRDefault="002B6398" w:rsidP="002B6398">
            <w:pPr>
              <w:spacing w:after="0" w:line="240" w:lineRule="auto"/>
              <w:jc w:val="center"/>
              <w:rPr>
                <w:rFonts w:eastAsia="Times New Roman" w:cs="Arial"/>
                <w:color w:val="000000"/>
              </w:rPr>
            </w:pPr>
            <w:r w:rsidRPr="002B6398">
              <w:rPr>
                <w:rFonts w:eastAsia="Times New Roman" w:cs="Arial"/>
                <w:color w:val="000000"/>
              </w:rPr>
              <w:t>2011</w:t>
            </w:r>
          </w:p>
        </w:tc>
        <w:tc>
          <w:tcPr>
            <w:tcW w:w="1152" w:type="dxa"/>
            <w:tcBorders>
              <w:top w:val="nil"/>
              <w:left w:val="nil"/>
              <w:bottom w:val="single" w:sz="4" w:space="0" w:color="auto"/>
              <w:right w:val="single" w:sz="4" w:space="0" w:color="auto"/>
            </w:tcBorders>
            <w:shd w:val="clear" w:color="auto" w:fill="auto"/>
            <w:vAlign w:val="center"/>
            <w:hideMark/>
          </w:tcPr>
          <w:p w:rsidR="002B6398" w:rsidRPr="002B6398" w:rsidRDefault="002B6398" w:rsidP="00D60584">
            <w:pPr>
              <w:spacing w:after="0" w:line="240" w:lineRule="auto"/>
              <w:jc w:val="right"/>
              <w:rPr>
                <w:rFonts w:eastAsia="Times New Roman" w:cs="Arial"/>
                <w:color w:val="000000"/>
              </w:rPr>
            </w:pPr>
            <w:r w:rsidRPr="002B6398">
              <w:rPr>
                <w:rFonts w:eastAsia="Times New Roman" w:cs="Arial"/>
                <w:color w:val="000000"/>
              </w:rPr>
              <w:t>919,332</w:t>
            </w:r>
          </w:p>
        </w:tc>
        <w:tc>
          <w:tcPr>
            <w:tcW w:w="1568"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215,294 (23.42)</w:t>
            </w:r>
          </w:p>
        </w:tc>
        <w:tc>
          <w:tcPr>
            <w:tcW w:w="1558"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244,360 (26.58)</w:t>
            </w:r>
          </w:p>
        </w:tc>
        <w:tc>
          <w:tcPr>
            <w:tcW w:w="1416"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156,281 (72.59)</w:t>
            </w:r>
          </w:p>
        </w:tc>
        <w:tc>
          <w:tcPr>
            <w:tcW w:w="1506"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125,077 (91.45)</w:t>
            </w:r>
          </w:p>
        </w:tc>
        <w:tc>
          <w:tcPr>
            <w:tcW w:w="1506"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83,815 (95.74)</w:t>
            </w:r>
          </w:p>
        </w:tc>
      </w:tr>
      <w:tr w:rsidR="002B6398" w:rsidRPr="002B6398" w:rsidTr="00D60584">
        <w:trPr>
          <w:trHeight w:val="420"/>
        </w:trPr>
        <w:tc>
          <w:tcPr>
            <w:tcW w:w="864" w:type="dxa"/>
            <w:tcBorders>
              <w:top w:val="nil"/>
              <w:left w:val="single" w:sz="4" w:space="0" w:color="auto"/>
              <w:bottom w:val="single" w:sz="4" w:space="0" w:color="auto"/>
              <w:right w:val="single" w:sz="4" w:space="0" w:color="auto"/>
            </w:tcBorders>
            <w:shd w:val="clear" w:color="auto" w:fill="auto"/>
            <w:vAlign w:val="center"/>
            <w:hideMark/>
          </w:tcPr>
          <w:p w:rsidR="002B6398" w:rsidRPr="002B6398" w:rsidRDefault="002B6398" w:rsidP="002B6398">
            <w:pPr>
              <w:spacing w:after="0" w:line="240" w:lineRule="auto"/>
              <w:jc w:val="center"/>
              <w:rPr>
                <w:rFonts w:eastAsia="Times New Roman" w:cs="Arial"/>
                <w:color w:val="000000"/>
              </w:rPr>
            </w:pPr>
            <w:r w:rsidRPr="002B6398">
              <w:rPr>
                <w:rFonts w:eastAsia="Times New Roman" w:cs="Arial"/>
                <w:color w:val="000000"/>
              </w:rPr>
              <w:t>2012</w:t>
            </w:r>
          </w:p>
        </w:tc>
        <w:tc>
          <w:tcPr>
            <w:tcW w:w="1152" w:type="dxa"/>
            <w:tcBorders>
              <w:top w:val="nil"/>
              <w:left w:val="nil"/>
              <w:bottom w:val="single" w:sz="4" w:space="0" w:color="auto"/>
              <w:right w:val="single" w:sz="4" w:space="0" w:color="auto"/>
            </w:tcBorders>
            <w:shd w:val="clear" w:color="auto" w:fill="auto"/>
            <w:vAlign w:val="center"/>
            <w:hideMark/>
          </w:tcPr>
          <w:p w:rsidR="002B6398" w:rsidRPr="002B6398" w:rsidRDefault="002B6398" w:rsidP="00D60584">
            <w:pPr>
              <w:spacing w:after="0" w:line="240" w:lineRule="auto"/>
              <w:jc w:val="right"/>
              <w:rPr>
                <w:rFonts w:eastAsia="Times New Roman" w:cs="Arial"/>
                <w:color w:val="000000"/>
              </w:rPr>
            </w:pPr>
            <w:r w:rsidRPr="002B6398">
              <w:rPr>
                <w:rFonts w:eastAsia="Times New Roman" w:cs="Arial"/>
                <w:color w:val="000000"/>
              </w:rPr>
              <w:t>1,272,321</w:t>
            </w:r>
          </w:p>
        </w:tc>
        <w:tc>
          <w:tcPr>
            <w:tcW w:w="1568"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337,575 (26.53)</w:t>
            </w:r>
          </w:p>
        </w:tc>
        <w:tc>
          <w:tcPr>
            <w:tcW w:w="1558"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436,223 (34.29)</w:t>
            </w:r>
          </w:p>
        </w:tc>
        <w:tc>
          <w:tcPr>
            <w:tcW w:w="1416"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259,441 (76.85)</w:t>
            </w:r>
          </w:p>
        </w:tc>
        <w:tc>
          <w:tcPr>
            <w:tcW w:w="1506"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223,998 (96.54)</w:t>
            </w:r>
          </w:p>
        </w:tc>
        <w:tc>
          <w:tcPr>
            <w:tcW w:w="1506"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136,480 (97.40)</w:t>
            </w:r>
          </w:p>
        </w:tc>
      </w:tr>
      <w:tr w:rsidR="002B6398" w:rsidRPr="002B6398" w:rsidTr="00D60584">
        <w:trPr>
          <w:trHeight w:val="420"/>
        </w:trPr>
        <w:tc>
          <w:tcPr>
            <w:tcW w:w="864" w:type="dxa"/>
            <w:tcBorders>
              <w:top w:val="nil"/>
              <w:left w:val="single" w:sz="4" w:space="0" w:color="auto"/>
              <w:bottom w:val="single" w:sz="4" w:space="0" w:color="auto"/>
              <w:right w:val="single" w:sz="4" w:space="0" w:color="auto"/>
            </w:tcBorders>
            <w:shd w:val="clear" w:color="auto" w:fill="auto"/>
            <w:vAlign w:val="center"/>
            <w:hideMark/>
          </w:tcPr>
          <w:p w:rsidR="002B6398" w:rsidRPr="002B6398" w:rsidRDefault="002B6398" w:rsidP="002B6398">
            <w:pPr>
              <w:spacing w:after="0" w:line="240" w:lineRule="auto"/>
              <w:jc w:val="center"/>
              <w:rPr>
                <w:rFonts w:eastAsia="Times New Roman" w:cs="Arial"/>
                <w:color w:val="000000"/>
              </w:rPr>
            </w:pPr>
            <w:r w:rsidRPr="002B6398">
              <w:rPr>
                <w:rFonts w:eastAsia="Times New Roman" w:cs="Arial"/>
                <w:color w:val="000000"/>
              </w:rPr>
              <w:t>2013</w:t>
            </w:r>
          </w:p>
        </w:tc>
        <w:tc>
          <w:tcPr>
            <w:tcW w:w="1152" w:type="dxa"/>
            <w:tcBorders>
              <w:top w:val="nil"/>
              <w:left w:val="nil"/>
              <w:bottom w:val="single" w:sz="4" w:space="0" w:color="auto"/>
              <w:right w:val="single" w:sz="4" w:space="0" w:color="auto"/>
            </w:tcBorders>
            <w:shd w:val="clear" w:color="auto" w:fill="auto"/>
            <w:vAlign w:val="center"/>
            <w:hideMark/>
          </w:tcPr>
          <w:p w:rsidR="002B6398" w:rsidRPr="002B6398" w:rsidRDefault="002B6398" w:rsidP="00D60584">
            <w:pPr>
              <w:spacing w:after="0" w:line="240" w:lineRule="auto"/>
              <w:jc w:val="right"/>
              <w:rPr>
                <w:rFonts w:eastAsia="Times New Roman" w:cs="Arial"/>
                <w:color w:val="000000"/>
              </w:rPr>
            </w:pPr>
            <w:r w:rsidRPr="002B6398">
              <w:rPr>
                <w:rFonts w:eastAsia="Times New Roman" w:cs="Arial"/>
                <w:color w:val="000000"/>
              </w:rPr>
              <w:t>1,919,691</w:t>
            </w:r>
          </w:p>
        </w:tc>
        <w:tc>
          <w:tcPr>
            <w:tcW w:w="1568"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507,970 (26.46)</w:t>
            </w:r>
          </w:p>
        </w:tc>
        <w:tc>
          <w:tcPr>
            <w:tcW w:w="1558"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707,357 (36.85)</w:t>
            </w:r>
          </w:p>
        </w:tc>
        <w:tc>
          <w:tcPr>
            <w:tcW w:w="1416"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410,012 (80.72)</w:t>
            </w:r>
          </w:p>
        </w:tc>
        <w:tc>
          <w:tcPr>
            <w:tcW w:w="1506"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342,851 (95.28)</w:t>
            </w:r>
          </w:p>
        </w:tc>
        <w:tc>
          <w:tcPr>
            <w:tcW w:w="1506" w:type="dxa"/>
            <w:tcBorders>
              <w:top w:val="nil"/>
              <w:left w:val="nil"/>
              <w:bottom w:val="single" w:sz="4" w:space="0" w:color="auto"/>
              <w:right w:val="single" w:sz="4" w:space="0" w:color="auto"/>
            </w:tcBorders>
            <w:shd w:val="clear" w:color="auto" w:fill="auto"/>
            <w:hideMark/>
          </w:tcPr>
          <w:p w:rsidR="002B6398" w:rsidRPr="002B6398" w:rsidRDefault="002B6398" w:rsidP="002B6398">
            <w:pPr>
              <w:spacing w:after="0" w:line="240" w:lineRule="auto"/>
              <w:jc w:val="right"/>
              <w:rPr>
                <w:rFonts w:eastAsia="Times New Roman" w:cs="Arial"/>
                <w:color w:val="000000"/>
              </w:rPr>
            </w:pPr>
            <w:r w:rsidRPr="002B6398">
              <w:rPr>
                <w:rFonts w:eastAsia="Times New Roman" w:cs="Arial"/>
                <w:color w:val="000000"/>
              </w:rPr>
              <w:t>204,883 (96.81)</w:t>
            </w:r>
          </w:p>
        </w:tc>
      </w:tr>
    </w:tbl>
    <w:p w:rsidR="00443B56" w:rsidRDefault="00443B56" w:rsidP="004F31AD">
      <w:pPr>
        <w:tabs>
          <w:tab w:val="left" w:pos="4200"/>
        </w:tabs>
        <w:autoSpaceDE w:val="0"/>
        <w:autoSpaceDN w:val="0"/>
        <w:adjustRightInd w:val="0"/>
        <w:spacing w:after="0" w:line="240" w:lineRule="auto"/>
        <w:rPr>
          <w:rFonts w:cstheme="minorHAnsi"/>
          <w:b/>
          <w:bCs/>
        </w:rPr>
      </w:pPr>
    </w:p>
    <w:p w:rsidR="004F31AD" w:rsidRDefault="004F31AD" w:rsidP="004F31AD">
      <w:pPr>
        <w:tabs>
          <w:tab w:val="left" w:pos="4200"/>
        </w:tabs>
        <w:autoSpaceDE w:val="0"/>
        <w:autoSpaceDN w:val="0"/>
        <w:adjustRightInd w:val="0"/>
        <w:spacing w:after="0" w:line="240" w:lineRule="auto"/>
        <w:rPr>
          <w:rFonts w:cstheme="minorHAnsi"/>
          <w:b/>
          <w:bCs/>
        </w:rPr>
      </w:pPr>
      <w:r>
        <w:rPr>
          <w:rFonts w:cstheme="minorHAnsi"/>
          <w:b/>
          <w:bCs/>
        </w:rPr>
        <w:t>TABLE #6 – NACOR Data Captured by Age</w:t>
      </w:r>
      <w:r>
        <w:rPr>
          <w:rFonts w:cstheme="minorHAnsi"/>
          <w:b/>
          <w:bCs/>
        </w:rPr>
        <w:tab/>
      </w:r>
    </w:p>
    <w:tbl>
      <w:tblPr>
        <w:tblW w:w="9521" w:type="dxa"/>
        <w:tblInd w:w="93" w:type="dxa"/>
        <w:tblLook w:val="04A0" w:firstRow="1" w:lastRow="0" w:firstColumn="1" w:lastColumn="0" w:noHBand="0" w:noVBand="1"/>
      </w:tblPr>
      <w:tblGrid>
        <w:gridCol w:w="864"/>
        <w:gridCol w:w="1152"/>
        <w:gridCol w:w="1643"/>
        <w:gridCol w:w="1425"/>
        <w:gridCol w:w="1425"/>
        <w:gridCol w:w="1506"/>
        <w:gridCol w:w="1506"/>
      </w:tblGrid>
      <w:tr w:rsidR="00443B56" w:rsidRPr="00443B56" w:rsidTr="00443B56">
        <w:trPr>
          <w:trHeight w:val="2040"/>
        </w:trPr>
        <w:tc>
          <w:tcPr>
            <w:tcW w:w="864" w:type="dxa"/>
            <w:tcBorders>
              <w:top w:val="single" w:sz="4" w:space="0" w:color="auto"/>
              <w:left w:val="single" w:sz="4" w:space="0" w:color="auto"/>
              <w:bottom w:val="single" w:sz="4" w:space="0" w:color="auto"/>
              <w:right w:val="single" w:sz="4" w:space="0" w:color="auto"/>
            </w:tcBorders>
            <w:shd w:val="clear" w:color="000000" w:fill="F5F5F5"/>
            <w:vAlign w:val="center"/>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Age Group</w:t>
            </w:r>
          </w:p>
        </w:tc>
        <w:tc>
          <w:tcPr>
            <w:tcW w:w="1152"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Eligible Instances</w:t>
            </w:r>
          </w:p>
        </w:tc>
        <w:tc>
          <w:tcPr>
            <w:tcW w:w="1643"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Number (%</w:t>
            </w:r>
            <w:r>
              <w:rPr>
                <w:rFonts w:eastAsia="Times New Roman" w:cs="Arial"/>
                <w:b/>
                <w:bCs/>
                <w:color w:val="000000"/>
              </w:rPr>
              <w:t xml:space="preserve">) of </w:t>
            </w:r>
            <w:r w:rsidRPr="00443B56">
              <w:rPr>
                <w:rFonts w:eastAsia="Times New Roman" w:cs="Arial"/>
                <w:b/>
                <w:bCs/>
                <w:color w:val="000000"/>
              </w:rPr>
              <w:t>Eligible Instances in which Medicare is the primary insurance</w:t>
            </w:r>
          </w:p>
        </w:tc>
        <w:tc>
          <w:tcPr>
            <w:tcW w:w="1425"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Reporting Numerator</w:t>
            </w:r>
            <w:r w:rsidRPr="00443B56">
              <w:rPr>
                <w:rFonts w:eastAsia="Times New Roman" w:cs="Arial"/>
                <w:b/>
                <w:bCs/>
                <w:color w:val="000000"/>
              </w:rPr>
              <w:br/>
              <w:t>(Reporting Rate)</w:t>
            </w:r>
          </w:p>
        </w:tc>
        <w:tc>
          <w:tcPr>
            <w:tcW w:w="1425"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 xml:space="preserve">Reporting Numerator </w:t>
            </w:r>
            <w:r w:rsidRPr="00443B56">
              <w:rPr>
                <w:rFonts w:eastAsia="Times New Roman" w:cs="Arial"/>
                <w:b/>
                <w:bCs/>
                <w:color w:val="000000"/>
              </w:rPr>
              <w:br/>
              <w:t>(Reporting Rate) in which Medicare is the primary insurance</w:t>
            </w:r>
          </w:p>
        </w:tc>
        <w:tc>
          <w:tcPr>
            <w:tcW w:w="1506"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Performance Met</w:t>
            </w:r>
            <w:r w:rsidRPr="00443B56">
              <w:rPr>
                <w:rFonts w:eastAsia="Times New Roman" w:cs="Arial"/>
                <w:b/>
                <w:bCs/>
                <w:color w:val="000000"/>
              </w:rPr>
              <w:br/>
              <w:t>(Performance Rate)</w:t>
            </w:r>
          </w:p>
        </w:tc>
        <w:tc>
          <w:tcPr>
            <w:tcW w:w="1506"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Performance Met (Performance Rate) in which Medicare is the primary insurance</w:t>
            </w:r>
          </w:p>
        </w:tc>
      </w:tr>
      <w:tr w:rsidR="00443B56" w:rsidRPr="00443B56" w:rsidTr="00D60584">
        <w:trPr>
          <w:trHeight w:val="420"/>
        </w:trPr>
        <w:tc>
          <w:tcPr>
            <w:tcW w:w="864"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center"/>
              <w:rPr>
                <w:rFonts w:eastAsia="Times New Roman" w:cs="Arial"/>
                <w:color w:val="000000"/>
              </w:rPr>
            </w:pPr>
            <w:r w:rsidRPr="00443B56">
              <w:rPr>
                <w:rFonts w:eastAsia="Times New Roman" w:cs="Arial"/>
                <w:color w:val="000000"/>
              </w:rPr>
              <w:t>Total</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4,353,007</w:t>
            </w:r>
          </w:p>
        </w:tc>
        <w:tc>
          <w:tcPr>
            <w:tcW w:w="1643"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1,070,051 (24.58)</w:t>
            </w:r>
          </w:p>
        </w:tc>
        <w:tc>
          <w:tcPr>
            <w:tcW w:w="1425"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1,409,402</w:t>
            </w:r>
          </w:p>
        </w:tc>
        <w:tc>
          <w:tcPr>
            <w:tcW w:w="1425"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827,467</w:t>
            </w:r>
          </w:p>
        </w:tc>
        <w:tc>
          <w:tcPr>
            <w:tcW w:w="150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705,437</w:t>
            </w:r>
          </w:p>
        </w:tc>
        <w:tc>
          <w:tcPr>
            <w:tcW w:w="150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424,578</w:t>
            </w:r>
          </w:p>
        </w:tc>
      </w:tr>
      <w:tr w:rsidR="00443B56" w:rsidRPr="00443B56" w:rsidTr="00D60584">
        <w:trPr>
          <w:trHeight w:val="420"/>
        </w:trPr>
        <w:tc>
          <w:tcPr>
            <w:tcW w:w="864"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center"/>
              <w:rPr>
                <w:rFonts w:eastAsia="Times New Roman" w:cs="Arial"/>
                <w:color w:val="000000"/>
              </w:rPr>
            </w:pPr>
            <w:r w:rsidRPr="00443B56">
              <w:rPr>
                <w:rFonts w:eastAsia="Times New Roman" w:cs="Arial"/>
                <w:color w:val="000000"/>
              </w:rPr>
              <w:t>&lt; 1</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49,161</w:t>
            </w:r>
          </w:p>
        </w:tc>
        <w:tc>
          <w:tcPr>
            <w:tcW w:w="1643"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83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(00.17)</w:t>
            </w:r>
          </w:p>
        </w:tc>
        <w:tc>
          <w:tcPr>
            <w:tcW w:w="1425"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4,480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(9.11)</w:t>
            </w:r>
          </w:p>
        </w:tc>
        <w:tc>
          <w:tcPr>
            <w:tcW w:w="1425"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59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(71.08)</w:t>
            </w:r>
          </w:p>
        </w:tc>
        <w:tc>
          <w:tcPr>
            <w:tcW w:w="1506"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1,284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(89.35)</w:t>
            </w:r>
          </w:p>
        </w:tc>
        <w:tc>
          <w:tcPr>
            <w:tcW w:w="1506"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24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(80.00)</w:t>
            </w:r>
          </w:p>
        </w:tc>
      </w:tr>
      <w:tr w:rsidR="00443B56" w:rsidRPr="00443B56" w:rsidTr="00D60584">
        <w:trPr>
          <w:trHeight w:val="420"/>
        </w:trPr>
        <w:tc>
          <w:tcPr>
            <w:tcW w:w="864"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center"/>
              <w:rPr>
                <w:rFonts w:eastAsia="Times New Roman" w:cs="Arial"/>
                <w:color w:val="000000"/>
              </w:rPr>
            </w:pPr>
            <w:r w:rsidRPr="00443B56">
              <w:rPr>
                <w:rFonts w:eastAsia="Times New Roman" w:cs="Arial"/>
                <w:color w:val="000000"/>
              </w:rPr>
              <w:t>1 - 18</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354,019</w:t>
            </w:r>
          </w:p>
        </w:tc>
        <w:tc>
          <w:tcPr>
            <w:tcW w:w="1643"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384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(00.11)</w:t>
            </w:r>
          </w:p>
        </w:tc>
        <w:tc>
          <w:tcPr>
            <w:tcW w:w="1425"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34,122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(9.64)</w:t>
            </w:r>
          </w:p>
        </w:tc>
        <w:tc>
          <w:tcPr>
            <w:tcW w:w="1425"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268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(69.79)</w:t>
            </w:r>
          </w:p>
        </w:tc>
        <w:tc>
          <w:tcPr>
            <w:tcW w:w="150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15,012 (91.93)</w:t>
            </w:r>
          </w:p>
        </w:tc>
        <w:tc>
          <w:tcPr>
            <w:tcW w:w="1506"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144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(94.74)</w:t>
            </w:r>
          </w:p>
        </w:tc>
      </w:tr>
      <w:tr w:rsidR="00443B56" w:rsidRPr="00443B56" w:rsidTr="00D60584">
        <w:trPr>
          <w:trHeight w:val="420"/>
        </w:trPr>
        <w:tc>
          <w:tcPr>
            <w:tcW w:w="864"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center"/>
              <w:rPr>
                <w:rFonts w:eastAsia="Times New Roman" w:cs="Arial"/>
                <w:color w:val="000000"/>
              </w:rPr>
            </w:pPr>
            <w:r w:rsidRPr="00443B56">
              <w:rPr>
                <w:rFonts w:eastAsia="Times New Roman" w:cs="Arial"/>
                <w:color w:val="000000"/>
              </w:rPr>
              <w:t>19 - 49</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1,355,063</w:t>
            </w:r>
          </w:p>
        </w:tc>
        <w:tc>
          <w:tcPr>
            <w:tcW w:w="1643"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54,414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(04.02)</w:t>
            </w:r>
          </w:p>
        </w:tc>
        <w:tc>
          <w:tcPr>
            <w:tcW w:w="1425"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214,621 (15.84)</w:t>
            </w:r>
          </w:p>
        </w:tc>
        <w:tc>
          <w:tcPr>
            <w:tcW w:w="1425"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42,545 (78.19)</w:t>
            </w:r>
          </w:p>
        </w:tc>
        <w:tc>
          <w:tcPr>
            <w:tcW w:w="150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113,414 (90.97)</w:t>
            </w:r>
          </w:p>
        </w:tc>
        <w:tc>
          <w:tcPr>
            <w:tcW w:w="150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23,488 (95.85)</w:t>
            </w:r>
          </w:p>
        </w:tc>
      </w:tr>
      <w:tr w:rsidR="00443B56" w:rsidRPr="00443B56" w:rsidTr="00D60584">
        <w:trPr>
          <w:trHeight w:val="420"/>
        </w:trPr>
        <w:tc>
          <w:tcPr>
            <w:tcW w:w="864"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center"/>
              <w:rPr>
                <w:rFonts w:eastAsia="Times New Roman" w:cs="Arial"/>
                <w:color w:val="000000"/>
              </w:rPr>
            </w:pPr>
            <w:r w:rsidRPr="00443B56">
              <w:rPr>
                <w:rFonts w:eastAsia="Times New Roman" w:cs="Arial"/>
                <w:color w:val="000000"/>
              </w:rPr>
              <w:t>50 - 64</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1,207,517</w:t>
            </w:r>
          </w:p>
        </w:tc>
        <w:tc>
          <w:tcPr>
            <w:tcW w:w="1643"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123,586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(10.23)</w:t>
            </w:r>
          </w:p>
        </w:tc>
        <w:tc>
          <w:tcPr>
            <w:tcW w:w="1425"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262,095 (21.71)</w:t>
            </w:r>
          </w:p>
        </w:tc>
        <w:tc>
          <w:tcPr>
            <w:tcW w:w="1425"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93,431 (75.60)</w:t>
            </w:r>
          </w:p>
        </w:tc>
        <w:tc>
          <w:tcPr>
            <w:tcW w:w="150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124,133 (93.97)</w:t>
            </w:r>
          </w:p>
        </w:tc>
        <w:tc>
          <w:tcPr>
            <w:tcW w:w="150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49,482 (96.40)</w:t>
            </w:r>
          </w:p>
        </w:tc>
      </w:tr>
      <w:tr w:rsidR="00443B56" w:rsidRPr="00443B56" w:rsidTr="00D60584">
        <w:trPr>
          <w:trHeight w:val="420"/>
        </w:trPr>
        <w:tc>
          <w:tcPr>
            <w:tcW w:w="864"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center"/>
              <w:rPr>
                <w:rFonts w:eastAsia="Times New Roman" w:cs="Arial"/>
                <w:color w:val="000000"/>
              </w:rPr>
            </w:pPr>
            <w:r w:rsidRPr="00443B56">
              <w:rPr>
                <w:rFonts w:eastAsia="Times New Roman" w:cs="Arial"/>
                <w:color w:val="000000"/>
              </w:rPr>
              <w:t>65 - 79</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1,036,030</w:t>
            </w:r>
          </w:p>
        </w:tc>
        <w:tc>
          <w:tcPr>
            <w:tcW w:w="1643"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642,121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(61.98)</w:t>
            </w:r>
          </w:p>
        </w:tc>
        <w:tc>
          <w:tcPr>
            <w:tcW w:w="1425"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650,528 (62.79)</w:t>
            </w:r>
          </w:p>
        </w:tc>
        <w:tc>
          <w:tcPr>
            <w:tcW w:w="1425"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495,497 (77.17)</w:t>
            </w:r>
          </w:p>
        </w:tc>
        <w:tc>
          <w:tcPr>
            <w:tcW w:w="150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328,506 (96.13)</w:t>
            </w:r>
          </w:p>
        </w:tc>
        <w:tc>
          <w:tcPr>
            <w:tcW w:w="150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252,247 (96.57)</w:t>
            </w:r>
          </w:p>
        </w:tc>
      </w:tr>
      <w:tr w:rsidR="00443B56" w:rsidRPr="00443B56" w:rsidTr="00D60584">
        <w:trPr>
          <w:trHeight w:val="420"/>
        </w:trPr>
        <w:tc>
          <w:tcPr>
            <w:tcW w:w="864"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center"/>
              <w:rPr>
                <w:rFonts w:eastAsia="Times New Roman" w:cs="Arial"/>
                <w:color w:val="000000"/>
              </w:rPr>
            </w:pPr>
            <w:r w:rsidRPr="00443B56">
              <w:rPr>
                <w:rFonts w:eastAsia="Times New Roman" w:cs="Arial"/>
                <w:color w:val="000000"/>
              </w:rPr>
              <w:t>80+</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351,217</w:t>
            </w:r>
          </w:p>
        </w:tc>
        <w:tc>
          <w:tcPr>
            <w:tcW w:w="1643"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249,463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(71.03)</w:t>
            </w:r>
          </w:p>
        </w:tc>
        <w:tc>
          <w:tcPr>
            <w:tcW w:w="1425"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243,556 (69.35)</w:t>
            </w:r>
          </w:p>
        </w:tc>
        <w:tc>
          <w:tcPr>
            <w:tcW w:w="1425"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195,667 (78.44)</w:t>
            </w:r>
          </w:p>
        </w:tc>
        <w:tc>
          <w:tcPr>
            <w:tcW w:w="150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123,088 (96.08)</w:t>
            </w:r>
          </w:p>
        </w:tc>
        <w:tc>
          <w:tcPr>
            <w:tcW w:w="150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99,193 (96.46)</w:t>
            </w:r>
          </w:p>
        </w:tc>
      </w:tr>
    </w:tbl>
    <w:p w:rsidR="00443B56" w:rsidRDefault="00443B56" w:rsidP="004F31AD">
      <w:pPr>
        <w:autoSpaceDE w:val="0"/>
        <w:autoSpaceDN w:val="0"/>
        <w:adjustRightInd w:val="0"/>
        <w:spacing w:after="0" w:line="240" w:lineRule="auto"/>
        <w:rPr>
          <w:rFonts w:cstheme="minorHAnsi"/>
          <w:b/>
          <w:bCs/>
        </w:rPr>
      </w:pPr>
    </w:p>
    <w:p w:rsidR="0090009D" w:rsidRDefault="0090009D" w:rsidP="004F31AD">
      <w:pPr>
        <w:autoSpaceDE w:val="0"/>
        <w:autoSpaceDN w:val="0"/>
        <w:adjustRightInd w:val="0"/>
        <w:spacing w:after="0" w:line="240" w:lineRule="auto"/>
        <w:rPr>
          <w:rFonts w:cstheme="minorHAnsi"/>
          <w:b/>
          <w:bCs/>
        </w:rPr>
      </w:pPr>
    </w:p>
    <w:p w:rsidR="0090009D" w:rsidRDefault="0090009D" w:rsidP="004F31AD">
      <w:pPr>
        <w:autoSpaceDE w:val="0"/>
        <w:autoSpaceDN w:val="0"/>
        <w:adjustRightInd w:val="0"/>
        <w:spacing w:after="0" w:line="240" w:lineRule="auto"/>
        <w:rPr>
          <w:rFonts w:cstheme="minorHAnsi"/>
          <w:b/>
          <w:bCs/>
        </w:rPr>
      </w:pPr>
    </w:p>
    <w:p w:rsidR="0090009D" w:rsidRDefault="0090009D" w:rsidP="004F31AD">
      <w:pPr>
        <w:autoSpaceDE w:val="0"/>
        <w:autoSpaceDN w:val="0"/>
        <w:adjustRightInd w:val="0"/>
        <w:spacing w:after="0" w:line="240" w:lineRule="auto"/>
        <w:rPr>
          <w:rFonts w:cstheme="minorHAnsi"/>
          <w:b/>
          <w:bCs/>
        </w:rPr>
      </w:pPr>
    </w:p>
    <w:p w:rsidR="004F31AD" w:rsidRPr="00EC7EB6" w:rsidRDefault="004F31AD" w:rsidP="004F31AD">
      <w:pPr>
        <w:autoSpaceDE w:val="0"/>
        <w:autoSpaceDN w:val="0"/>
        <w:adjustRightInd w:val="0"/>
        <w:spacing w:after="0" w:line="240" w:lineRule="auto"/>
        <w:rPr>
          <w:rFonts w:cstheme="minorHAnsi"/>
          <w:b/>
          <w:bCs/>
        </w:rPr>
      </w:pPr>
      <w:r>
        <w:rPr>
          <w:rFonts w:cstheme="minorHAnsi"/>
          <w:b/>
          <w:bCs/>
        </w:rPr>
        <w:lastRenderedPageBreak/>
        <w:t>TABLE #7 – NACOR Data Captured by Gender</w:t>
      </w:r>
    </w:p>
    <w:tbl>
      <w:tblPr>
        <w:tblW w:w="9546" w:type="dxa"/>
        <w:tblInd w:w="93" w:type="dxa"/>
        <w:tblLook w:val="04A0" w:firstRow="1" w:lastRow="0" w:firstColumn="1" w:lastColumn="0" w:noHBand="0" w:noVBand="1"/>
      </w:tblPr>
      <w:tblGrid>
        <w:gridCol w:w="1008"/>
        <w:gridCol w:w="1152"/>
        <w:gridCol w:w="1586"/>
        <w:gridCol w:w="1434"/>
        <w:gridCol w:w="1434"/>
        <w:gridCol w:w="1466"/>
        <w:gridCol w:w="1466"/>
      </w:tblGrid>
      <w:tr w:rsidR="00443B56" w:rsidRPr="00443B56" w:rsidTr="00443B56">
        <w:trPr>
          <w:trHeight w:val="2040"/>
        </w:trPr>
        <w:tc>
          <w:tcPr>
            <w:tcW w:w="1008" w:type="dxa"/>
            <w:tcBorders>
              <w:top w:val="single" w:sz="4" w:space="0" w:color="auto"/>
              <w:left w:val="single" w:sz="4" w:space="0" w:color="auto"/>
              <w:bottom w:val="single" w:sz="4" w:space="0" w:color="auto"/>
              <w:right w:val="single" w:sz="4" w:space="0" w:color="auto"/>
            </w:tcBorders>
            <w:shd w:val="clear" w:color="000000" w:fill="F5F5F5"/>
            <w:vAlign w:val="center"/>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Gender</w:t>
            </w:r>
          </w:p>
        </w:tc>
        <w:tc>
          <w:tcPr>
            <w:tcW w:w="1152"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Eligible Instances</w:t>
            </w:r>
          </w:p>
        </w:tc>
        <w:tc>
          <w:tcPr>
            <w:tcW w:w="1586"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D60584">
            <w:pPr>
              <w:spacing w:after="0" w:line="240" w:lineRule="auto"/>
              <w:jc w:val="center"/>
              <w:rPr>
                <w:rFonts w:eastAsia="Times New Roman" w:cs="Arial"/>
                <w:b/>
                <w:bCs/>
                <w:color w:val="000000"/>
              </w:rPr>
            </w:pPr>
            <w:r w:rsidRPr="00443B56">
              <w:rPr>
                <w:rFonts w:eastAsia="Times New Roman" w:cs="Arial"/>
                <w:b/>
                <w:bCs/>
                <w:color w:val="000000"/>
              </w:rPr>
              <w:t>Number (%)</w:t>
            </w:r>
            <w:r w:rsidR="00D60584">
              <w:rPr>
                <w:rFonts w:eastAsia="Times New Roman" w:cs="Arial"/>
                <w:b/>
                <w:bCs/>
                <w:color w:val="000000"/>
              </w:rPr>
              <w:t xml:space="preserve"> of</w:t>
            </w:r>
            <w:r w:rsidRPr="00443B56">
              <w:rPr>
                <w:rFonts w:eastAsia="Times New Roman" w:cs="Arial"/>
                <w:b/>
                <w:bCs/>
                <w:color w:val="000000"/>
              </w:rPr>
              <w:t xml:space="preserve"> Eligible Instances in which Medicare is the primary insurance</w:t>
            </w:r>
          </w:p>
        </w:tc>
        <w:tc>
          <w:tcPr>
            <w:tcW w:w="1434"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Reporting Numerator</w:t>
            </w:r>
            <w:r w:rsidRPr="00443B56">
              <w:rPr>
                <w:rFonts w:eastAsia="Times New Roman" w:cs="Arial"/>
                <w:b/>
                <w:bCs/>
                <w:color w:val="000000"/>
              </w:rPr>
              <w:br/>
              <w:t>(Reporting Rate)</w:t>
            </w:r>
          </w:p>
        </w:tc>
        <w:tc>
          <w:tcPr>
            <w:tcW w:w="1434"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 xml:space="preserve">Reporting Numerator </w:t>
            </w:r>
            <w:r w:rsidRPr="00443B56">
              <w:rPr>
                <w:rFonts w:eastAsia="Times New Roman" w:cs="Arial"/>
                <w:b/>
                <w:bCs/>
                <w:color w:val="000000"/>
              </w:rPr>
              <w:br/>
              <w:t>(Reporting Rate) in which Medicare is the primary insurance</w:t>
            </w:r>
          </w:p>
        </w:tc>
        <w:tc>
          <w:tcPr>
            <w:tcW w:w="1466"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Performance Met</w:t>
            </w:r>
            <w:r w:rsidRPr="00443B56">
              <w:rPr>
                <w:rFonts w:eastAsia="Times New Roman" w:cs="Arial"/>
                <w:b/>
                <w:bCs/>
                <w:color w:val="000000"/>
              </w:rPr>
              <w:br/>
              <w:t>(Performance Rate)</w:t>
            </w:r>
          </w:p>
        </w:tc>
        <w:tc>
          <w:tcPr>
            <w:tcW w:w="1466"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Performance Met (Performance Rate) in which Medicare is the primary insurance</w:t>
            </w:r>
          </w:p>
        </w:tc>
      </w:tr>
      <w:tr w:rsidR="00443B56" w:rsidRPr="00443B56" w:rsidTr="00D60584">
        <w:trPr>
          <w:trHeight w:val="4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443B56">
            <w:pPr>
              <w:spacing w:after="0" w:line="240" w:lineRule="auto"/>
              <w:jc w:val="center"/>
              <w:rPr>
                <w:rFonts w:eastAsia="Times New Roman" w:cs="Arial"/>
                <w:color w:val="000000"/>
              </w:rPr>
            </w:pPr>
            <w:r w:rsidRPr="00443B56">
              <w:rPr>
                <w:rFonts w:eastAsia="Times New Roman" w:cs="Arial"/>
                <w:color w:val="000000"/>
              </w:rPr>
              <w:t>Total</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4,352,325</w:t>
            </w:r>
          </w:p>
        </w:tc>
        <w:tc>
          <w:tcPr>
            <w:tcW w:w="158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1,070,050 (24.59)</w:t>
            </w:r>
          </w:p>
        </w:tc>
        <w:tc>
          <w:tcPr>
            <w:tcW w:w="1434"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1,409,389</w:t>
            </w:r>
          </w:p>
        </w:tc>
        <w:tc>
          <w:tcPr>
            <w:tcW w:w="1434"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827,464</w:t>
            </w:r>
          </w:p>
        </w:tc>
        <w:tc>
          <w:tcPr>
            <w:tcW w:w="1466"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705,418</w:t>
            </w:r>
          </w:p>
        </w:tc>
        <w:tc>
          <w:tcPr>
            <w:tcW w:w="1466"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424,574</w:t>
            </w:r>
          </w:p>
        </w:tc>
      </w:tr>
      <w:tr w:rsidR="00443B56" w:rsidRPr="00443B56" w:rsidTr="00D60584">
        <w:trPr>
          <w:trHeight w:val="4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443B56">
            <w:pPr>
              <w:spacing w:after="0" w:line="240" w:lineRule="auto"/>
              <w:jc w:val="center"/>
              <w:rPr>
                <w:rFonts w:eastAsia="Times New Roman" w:cs="Arial"/>
                <w:color w:val="000000"/>
              </w:rPr>
            </w:pPr>
            <w:r w:rsidRPr="00443B56">
              <w:rPr>
                <w:rFonts w:eastAsia="Times New Roman" w:cs="Arial"/>
                <w:color w:val="000000"/>
              </w:rPr>
              <w:t>Female</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2,538,187</w:t>
            </w:r>
          </w:p>
        </w:tc>
        <w:tc>
          <w:tcPr>
            <w:tcW w:w="158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600,710 (23.67)</w:t>
            </w:r>
          </w:p>
        </w:tc>
        <w:tc>
          <w:tcPr>
            <w:tcW w:w="1434"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797,124 (31.41)</w:t>
            </w:r>
          </w:p>
        </w:tc>
        <w:tc>
          <w:tcPr>
            <w:tcW w:w="1434"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463,247 (77.12)</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393,832 (94.56)</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233,640 (96.53)</w:t>
            </w:r>
          </w:p>
        </w:tc>
      </w:tr>
      <w:tr w:rsidR="00443B56" w:rsidRPr="00443B56" w:rsidTr="00D60584">
        <w:trPr>
          <w:trHeight w:val="4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443B56">
            <w:pPr>
              <w:spacing w:after="0" w:line="240" w:lineRule="auto"/>
              <w:jc w:val="center"/>
              <w:rPr>
                <w:rFonts w:eastAsia="Times New Roman" w:cs="Arial"/>
                <w:color w:val="000000"/>
              </w:rPr>
            </w:pPr>
            <w:r w:rsidRPr="00443B56">
              <w:rPr>
                <w:rFonts w:eastAsia="Times New Roman" w:cs="Arial"/>
                <w:color w:val="000000"/>
              </w:rPr>
              <w:t>Male</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1,814,138</w:t>
            </w:r>
          </w:p>
        </w:tc>
        <w:tc>
          <w:tcPr>
            <w:tcW w:w="158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469,340 (25.87)</w:t>
            </w:r>
          </w:p>
        </w:tc>
        <w:tc>
          <w:tcPr>
            <w:tcW w:w="1434"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612,265 (33.75)</w:t>
            </w:r>
          </w:p>
        </w:tc>
        <w:tc>
          <w:tcPr>
            <w:tcW w:w="1434"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364,217 (77.60)</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311,586 (95.05)</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190,934 (96.42)</w:t>
            </w:r>
          </w:p>
        </w:tc>
      </w:tr>
    </w:tbl>
    <w:p w:rsidR="00443B56" w:rsidRDefault="00443B56" w:rsidP="004F31AD">
      <w:pPr>
        <w:autoSpaceDE w:val="0"/>
        <w:autoSpaceDN w:val="0"/>
        <w:adjustRightInd w:val="0"/>
        <w:spacing w:after="0" w:line="240" w:lineRule="auto"/>
        <w:rPr>
          <w:rFonts w:cstheme="minorHAnsi"/>
          <w:b/>
          <w:bCs/>
        </w:rPr>
      </w:pPr>
    </w:p>
    <w:p w:rsidR="004F31AD" w:rsidRPr="006F3775" w:rsidRDefault="004F31AD" w:rsidP="004F31AD">
      <w:pPr>
        <w:autoSpaceDE w:val="0"/>
        <w:autoSpaceDN w:val="0"/>
        <w:adjustRightInd w:val="0"/>
        <w:spacing w:after="0" w:line="240" w:lineRule="auto"/>
        <w:rPr>
          <w:rFonts w:cstheme="minorHAnsi"/>
          <w:b/>
          <w:bCs/>
        </w:rPr>
      </w:pPr>
      <w:r>
        <w:rPr>
          <w:rFonts w:cstheme="minorHAnsi"/>
          <w:b/>
          <w:bCs/>
        </w:rPr>
        <w:t>TABLE #8</w:t>
      </w:r>
      <w:r w:rsidRPr="00064D6E">
        <w:rPr>
          <w:rFonts w:cstheme="minorHAnsi"/>
          <w:b/>
          <w:bCs/>
        </w:rPr>
        <w:t xml:space="preserve"> </w:t>
      </w:r>
      <w:r>
        <w:rPr>
          <w:rFonts w:cstheme="minorHAnsi"/>
          <w:b/>
          <w:bCs/>
        </w:rPr>
        <w:t xml:space="preserve">– NACOR Data Captured </w:t>
      </w:r>
      <w:r w:rsidRPr="00064D6E">
        <w:rPr>
          <w:rFonts w:cstheme="minorHAnsi"/>
          <w:b/>
          <w:bCs/>
        </w:rPr>
        <w:t>by ASA Physical Status</w:t>
      </w:r>
      <w:r>
        <w:rPr>
          <w:rFonts w:cstheme="minorHAnsi"/>
          <w:b/>
          <w:bCs/>
        </w:rPr>
        <w:t xml:space="preserve"> (PS)</w:t>
      </w:r>
      <w:r w:rsidRPr="00064D6E">
        <w:rPr>
          <w:rFonts w:cstheme="minorHAnsi"/>
          <w:b/>
          <w:bCs/>
        </w:rPr>
        <w:t>:</w:t>
      </w:r>
    </w:p>
    <w:tbl>
      <w:tblPr>
        <w:tblW w:w="9549" w:type="dxa"/>
        <w:tblInd w:w="93" w:type="dxa"/>
        <w:tblLook w:val="04A0" w:firstRow="1" w:lastRow="0" w:firstColumn="1" w:lastColumn="0" w:noHBand="0" w:noVBand="1"/>
      </w:tblPr>
      <w:tblGrid>
        <w:gridCol w:w="1008"/>
        <w:gridCol w:w="1152"/>
        <w:gridCol w:w="1587"/>
        <w:gridCol w:w="1435"/>
        <w:gridCol w:w="1435"/>
        <w:gridCol w:w="1466"/>
        <w:gridCol w:w="1466"/>
      </w:tblGrid>
      <w:tr w:rsidR="00443B56" w:rsidRPr="00443B56" w:rsidTr="00443B56">
        <w:trPr>
          <w:trHeight w:val="2040"/>
        </w:trPr>
        <w:tc>
          <w:tcPr>
            <w:tcW w:w="1008" w:type="dxa"/>
            <w:tcBorders>
              <w:top w:val="single" w:sz="4" w:space="0" w:color="auto"/>
              <w:left w:val="single" w:sz="4" w:space="0" w:color="auto"/>
              <w:bottom w:val="single" w:sz="4" w:space="0" w:color="auto"/>
              <w:right w:val="single" w:sz="4" w:space="0" w:color="auto"/>
            </w:tcBorders>
            <w:shd w:val="clear" w:color="000000" w:fill="F5F5F5"/>
            <w:vAlign w:val="center"/>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ASA PS</w:t>
            </w:r>
          </w:p>
        </w:tc>
        <w:tc>
          <w:tcPr>
            <w:tcW w:w="1152"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Eligible Instances</w:t>
            </w:r>
          </w:p>
        </w:tc>
        <w:tc>
          <w:tcPr>
            <w:tcW w:w="1587"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D60584">
            <w:pPr>
              <w:spacing w:after="0" w:line="240" w:lineRule="auto"/>
              <w:jc w:val="center"/>
              <w:rPr>
                <w:rFonts w:eastAsia="Times New Roman" w:cs="Arial"/>
                <w:b/>
                <w:bCs/>
                <w:color w:val="000000"/>
              </w:rPr>
            </w:pPr>
            <w:r w:rsidRPr="00443B56">
              <w:rPr>
                <w:rFonts w:eastAsia="Times New Roman" w:cs="Arial"/>
                <w:b/>
                <w:bCs/>
                <w:color w:val="000000"/>
              </w:rPr>
              <w:t>Number (%)</w:t>
            </w:r>
            <w:r w:rsidR="00D60584">
              <w:rPr>
                <w:rFonts w:eastAsia="Times New Roman" w:cs="Arial"/>
                <w:b/>
                <w:bCs/>
                <w:color w:val="000000"/>
              </w:rPr>
              <w:t xml:space="preserve"> of</w:t>
            </w:r>
            <w:r w:rsidRPr="00443B56">
              <w:rPr>
                <w:rFonts w:eastAsia="Times New Roman" w:cs="Arial"/>
                <w:b/>
                <w:bCs/>
                <w:color w:val="000000"/>
              </w:rPr>
              <w:t xml:space="preserve"> Eligible Instances in which Medicare is the primary insurance</w:t>
            </w:r>
          </w:p>
        </w:tc>
        <w:tc>
          <w:tcPr>
            <w:tcW w:w="1435"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Reporting Numerator</w:t>
            </w:r>
            <w:r w:rsidRPr="00443B56">
              <w:rPr>
                <w:rFonts w:eastAsia="Times New Roman" w:cs="Arial"/>
                <w:b/>
                <w:bCs/>
                <w:color w:val="000000"/>
              </w:rPr>
              <w:br/>
              <w:t>(Reporting Rate)</w:t>
            </w:r>
          </w:p>
        </w:tc>
        <w:tc>
          <w:tcPr>
            <w:tcW w:w="1435"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 xml:space="preserve">Reporting Numerator </w:t>
            </w:r>
            <w:r w:rsidRPr="00443B56">
              <w:rPr>
                <w:rFonts w:eastAsia="Times New Roman" w:cs="Arial"/>
                <w:b/>
                <w:bCs/>
                <w:color w:val="000000"/>
              </w:rPr>
              <w:br/>
              <w:t>(Reporting Rate) in which Medicare is the primary insurance</w:t>
            </w:r>
          </w:p>
        </w:tc>
        <w:tc>
          <w:tcPr>
            <w:tcW w:w="1466"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Performance Met</w:t>
            </w:r>
            <w:r w:rsidRPr="00443B56">
              <w:rPr>
                <w:rFonts w:eastAsia="Times New Roman" w:cs="Arial"/>
                <w:b/>
                <w:bCs/>
                <w:color w:val="000000"/>
              </w:rPr>
              <w:br/>
              <w:t>(Performance Rate)</w:t>
            </w:r>
          </w:p>
        </w:tc>
        <w:tc>
          <w:tcPr>
            <w:tcW w:w="1466"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Performance Met (Performance Rate) in which Medicare is the primary insurance</w:t>
            </w:r>
          </w:p>
        </w:tc>
      </w:tr>
      <w:tr w:rsidR="00443B56" w:rsidRPr="00443B56" w:rsidTr="00D60584">
        <w:trPr>
          <w:trHeight w:val="4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443B56">
            <w:pPr>
              <w:spacing w:after="0" w:line="240" w:lineRule="auto"/>
              <w:jc w:val="center"/>
              <w:rPr>
                <w:rFonts w:eastAsia="Times New Roman" w:cs="Arial"/>
                <w:color w:val="000000"/>
              </w:rPr>
            </w:pPr>
            <w:r w:rsidRPr="00443B56">
              <w:rPr>
                <w:rFonts w:eastAsia="Times New Roman" w:cs="Arial"/>
                <w:color w:val="000000"/>
              </w:rPr>
              <w:t>Total</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4,195,530</w:t>
            </w:r>
          </w:p>
        </w:tc>
        <w:tc>
          <w:tcPr>
            <w:tcW w:w="1587"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1,087,315 (25.92)</w:t>
            </w:r>
          </w:p>
        </w:tc>
        <w:tc>
          <w:tcPr>
            <w:tcW w:w="1435"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1,399,118</w:t>
            </w:r>
          </w:p>
        </w:tc>
        <w:tc>
          <w:tcPr>
            <w:tcW w:w="1435"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861,025</w:t>
            </w:r>
          </w:p>
        </w:tc>
        <w:tc>
          <w:tcPr>
            <w:tcW w:w="1466"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696,154</w:t>
            </w:r>
          </w:p>
        </w:tc>
        <w:tc>
          <w:tcPr>
            <w:tcW w:w="1466"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440,519</w:t>
            </w:r>
          </w:p>
        </w:tc>
      </w:tr>
      <w:tr w:rsidR="00443B56" w:rsidRPr="00443B56" w:rsidTr="00D60584">
        <w:trPr>
          <w:trHeight w:val="4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443B56">
            <w:pPr>
              <w:spacing w:after="0" w:line="240" w:lineRule="auto"/>
              <w:jc w:val="center"/>
              <w:rPr>
                <w:rFonts w:eastAsia="Times New Roman" w:cs="Arial"/>
                <w:color w:val="000000"/>
              </w:rPr>
            </w:pPr>
            <w:r w:rsidRPr="00443B56">
              <w:rPr>
                <w:rFonts w:eastAsia="Times New Roman" w:cs="Arial"/>
                <w:color w:val="000000"/>
              </w:rPr>
              <w:t>I - II</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2,897,607</w:t>
            </w:r>
          </w:p>
        </w:tc>
        <w:tc>
          <w:tcPr>
            <w:tcW w:w="1587"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544,531 (18.79)</w:t>
            </w:r>
          </w:p>
        </w:tc>
        <w:tc>
          <w:tcPr>
            <w:tcW w:w="1435"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787,451 (27.18)</w:t>
            </w:r>
          </w:p>
        </w:tc>
        <w:tc>
          <w:tcPr>
            <w:tcW w:w="1435"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431,498 (79.24)</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368,568 (94.18)</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208,161 (96.33)</w:t>
            </w:r>
          </w:p>
        </w:tc>
      </w:tr>
      <w:tr w:rsidR="00443B56" w:rsidRPr="00443B56" w:rsidTr="00D60584">
        <w:trPr>
          <w:trHeight w:val="4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443B56">
            <w:pPr>
              <w:spacing w:after="0" w:line="240" w:lineRule="auto"/>
              <w:jc w:val="center"/>
              <w:rPr>
                <w:rFonts w:eastAsia="Times New Roman" w:cs="Arial"/>
                <w:color w:val="000000"/>
              </w:rPr>
            </w:pPr>
            <w:r w:rsidRPr="00443B56">
              <w:rPr>
                <w:rFonts w:eastAsia="Times New Roman" w:cs="Arial"/>
                <w:color w:val="000000"/>
              </w:rPr>
              <w:t>III</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1,127,027</w:t>
            </w:r>
          </w:p>
        </w:tc>
        <w:tc>
          <w:tcPr>
            <w:tcW w:w="1587"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454,956 (40.37)</w:t>
            </w:r>
          </w:p>
        </w:tc>
        <w:tc>
          <w:tcPr>
            <w:tcW w:w="1435"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521,175 (46.24)</w:t>
            </w:r>
          </w:p>
        </w:tc>
        <w:tc>
          <w:tcPr>
            <w:tcW w:w="1435"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360,651 (79.27)</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271,145 (95.57)</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188,977 (96.68)</w:t>
            </w:r>
          </w:p>
        </w:tc>
      </w:tr>
      <w:tr w:rsidR="00443B56" w:rsidRPr="00443B56" w:rsidTr="00D60584">
        <w:trPr>
          <w:trHeight w:val="4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443B56">
            <w:pPr>
              <w:spacing w:after="0" w:line="240" w:lineRule="auto"/>
              <w:jc w:val="center"/>
              <w:rPr>
                <w:rFonts w:eastAsia="Times New Roman" w:cs="Arial"/>
                <w:color w:val="000000"/>
              </w:rPr>
            </w:pPr>
            <w:r w:rsidRPr="00443B56">
              <w:rPr>
                <w:rFonts w:eastAsia="Times New Roman" w:cs="Arial"/>
                <w:color w:val="000000"/>
              </w:rPr>
              <w:t>IV</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167,062</w:t>
            </w:r>
          </w:p>
        </w:tc>
        <w:tc>
          <w:tcPr>
            <w:tcW w:w="1587"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86,472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(51.76)</w:t>
            </w:r>
          </w:p>
        </w:tc>
        <w:tc>
          <w:tcPr>
            <w:tcW w:w="1435"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89,045 (53.30)</w:t>
            </w:r>
          </w:p>
        </w:tc>
        <w:tc>
          <w:tcPr>
            <w:tcW w:w="1435"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67,875 (78.49)</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55,306 (95.58)</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42,568 (96.42)</w:t>
            </w:r>
          </w:p>
        </w:tc>
      </w:tr>
      <w:tr w:rsidR="00443B56" w:rsidRPr="00443B56" w:rsidTr="00D60584">
        <w:trPr>
          <w:trHeight w:val="4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443B56">
            <w:pPr>
              <w:spacing w:after="0" w:line="240" w:lineRule="auto"/>
              <w:jc w:val="center"/>
              <w:rPr>
                <w:rFonts w:eastAsia="Times New Roman" w:cs="Arial"/>
                <w:color w:val="000000"/>
              </w:rPr>
            </w:pPr>
            <w:r w:rsidRPr="00443B56">
              <w:rPr>
                <w:rFonts w:eastAsia="Times New Roman" w:cs="Arial"/>
                <w:color w:val="000000"/>
              </w:rPr>
              <w:t>V</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3,752</w:t>
            </w:r>
          </w:p>
        </w:tc>
        <w:tc>
          <w:tcPr>
            <w:tcW w:w="1587"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1,330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(35.45)</w:t>
            </w:r>
          </w:p>
        </w:tc>
        <w:tc>
          <w:tcPr>
            <w:tcW w:w="1435"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1,415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(37.71)</w:t>
            </w:r>
          </w:p>
        </w:tc>
        <w:tc>
          <w:tcPr>
            <w:tcW w:w="1435"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981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(73.76)</w:t>
            </w:r>
          </w:p>
        </w:tc>
        <w:tc>
          <w:tcPr>
            <w:tcW w:w="1466"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1,121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(91.81)</w:t>
            </w:r>
          </w:p>
        </w:tc>
        <w:tc>
          <w:tcPr>
            <w:tcW w:w="1466"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805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(94.15)</w:t>
            </w:r>
          </w:p>
        </w:tc>
      </w:tr>
      <w:tr w:rsidR="00443B56" w:rsidRPr="00443B56" w:rsidTr="00D60584">
        <w:trPr>
          <w:trHeight w:val="4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443B56">
            <w:pPr>
              <w:spacing w:after="0" w:line="240" w:lineRule="auto"/>
              <w:jc w:val="center"/>
              <w:rPr>
                <w:rFonts w:eastAsia="Times New Roman" w:cs="Arial"/>
                <w:color w:val="000000"/>
              </w:rPr>
            </w:pPr>
            <w:r w:rsidRPr="00443B56">
              <w:rPr>
                <w:rFonts w:eastAsia="Times New Roman" w:cs="Arial"/>
                <w:color w:val="000000"/>
              </w:rPr>
              <w:t>VI</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82</w:t>
            </w:r>
          </w:p>
        </w:tc>
        <w:tc>
          <w:tcPr>
            <w:tcW w:w="1587"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26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(31.71)</w:t>
            </w:r>
          </w:p>
        </w:tc>
        <w:tc>
          <w:tcPr>
            <w:tcW w:w="1435"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32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(39.02)</w:t>
            </w:r>
          </w:p>
        </w:tc>
        <w:tc>
          <w:tcPr>
            <w:tcW w:w="1435"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20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(76.92)</w:t>
            </w:r>
          </w:p>
        </w:tc>
        <w:tc>
          <w:tcPr>
            <w:tcW w:w="1466"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14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(82.35)</w:t>
            </w:r>
          </w:p>
        </w:tc>
        <w:tc>
          <w:tcPr>
            <w:tcW w:w="1466"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8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(80.00)</w:t>
            </w:r>
          </w:p>
        </w:tc>
      </w:tr>
    </w:tbl>
    <w:p w:rsidR="004F31AD" w:rsidRDefault="004F31AD" w:rsidP="0042121C">
      <w:pPr>
        <w:autoSpaceDE w:val="0"/>
        <w:autoSpaceDN w:val="0"/>
        <w:adjustRightInd w:val="0"/>
        <w:spacing w:after="0" w:line="240" w:lineRule="auto"/>
        <w:rPr>
          <w:rFonts w:cstheme="minorHAnsi"/>
          <w:b/>
          <w:bCs/>
          <w:u w:val="single"/>
        </w:rPr>
      </w:pPr>
    </w:p>
    <w:p w:rsidR="0090009D" w:rsidRDefault="0090009D" w:rsidP="004F31AD">
      <w:pPr>
        <w:autoSpaceDE w:val="0"/>
        <w:autoSpaceDN w:val="0"/>
        <w:adjustRightInd w:val="0"/>
        <w:spacing w:after="0" w:line="240" w:lineRule="auto"/>
        <w:rPr>
          <w:rFonts w:cstheme="minorHAnsi"/>
          <w:b/>
          <w:bCs/>
        </w:rPr>
      </w:pPr>
    </w:p>
    <w:p w:rsidR="0090009D" w:rsidRDefault="0090009D" w:rsidP="004F31AD">
      <w:pPr>
        <w:autoSpaceDE w:val="0"/>
        <w:autoSpaceDN w:val="0"/>
        <w:adjustRightInd w:val="0"/>
        <w:spacing w:after="0" w:line="240" w:lineRule="auto"/>
        <w:rPr>
          <w:rFonts w:cstheme="minorHAnsi"/>
          <w:b/>
          <w:bCs/>
        </w:rPr>
      </w:pPr>
    </w:p>
    <w:p w:rsidR="0090009D" w:rsidRDefault="0090009D" w:rsidP="004F31AD">
      <w:pPr>
        <w:autoSpaceDE w:val="0"/>
        <w:autoSpaceDN w:val="0"/>
        <w:adjustRightInd w:val="0"/>
        <w:spacing w:after="0" w:line="240" w:lineRule="auto"/>
        <w:rPr>
          <w:rFonts w:cstheme="minorHAnsi"/>
          <w:b/>
          <w:bCs/>
        </w:rPr>
      </w:pPr>
    </w:p>
    <w:p w:rsidR="0090009D" w:rsidRDefault="0090009D" w:rsidP="004F31AD">
      <w:pPr>
        <w:autoSpaceDE w:val="0"/>
        <w:autoSpaceDN w:val="0"/>
        <w:adjustRightInd w:val="0"/>
        <w:spacing w:after="0" w:line="240" w:lineRule="auto"/>
        <w:rPr>
          <w:rFonts w:cstheme="minorHAnsi"/>
          <w:b/>
          <w:bCs/>
        </w:rPr>
      </w:pPr>
    </w:p>
    <w:p w:rsidR="0090009D" w:rsidRDefault="0090009D" w:rsidP="004F31AD">
      <w:pPr>
        <w:autoSpaceDE w:val="0"/>
        <w:autoSpaceDN w:val="0"/>
        <w:adjustRightInd w:val="0"/>
        <w:spacing w:after="0" w:line="240" w:lineRule="auto"/>
        <w:rPr>
          <w:rFonts w:cstheme="minorHAnsi"/>
          <w:b/>
          <w:bCs/>
        </w:rPr>
      </w:pPr>
    </w:p>
    <w:p w:rsidR="0090009D" w:rsidRDefault="0090009D" w:rsidP="004F31AD">
      <w:pPr>
        <w:autoSpaceDE w:val="0"/>
        <w:autoSpaceDN w:val="0"/>
        <w:adjustRightInd w:val="0"/>
        <w:spacing w:after="0" w:line="240" w:lineRule="auto"/>
        <w:rPr>
          <w:rFonts w:cstheme="minorHAnsi"/>
          <w:b/>
          <w:bCs/>
        </w:rPr>
      </w:pPr>
    </w:p>
    <w:p w:rsidR="0090009D" w:rsidRDefault="0090009D" w:rsidP="004F31AD">
      <w:pPr>
        <w:autoSpaceDE w:val="0"/>
        <w:autoSpaceDN w:val="0"/>
        <w:adjustRightInd w:val="0"/>
        <w:spacing w:after="0" w:line="240" w:lineRule="auto"/>
        <w:rPr>
          <w:rFonts w:cstheme="minorHAnsi"/>
          <w:b/>
          <w:bCs/>
        </w:rPr>
      </w:pPr>
    </w:p>
    <w:p w:rsidR="0090009D" w:rsidRDefault="0090009D" w:rsidP="004F31AD">
      <w:pPr>
        <w:autoSpaceDE w:val="0"/>
        <w:autoSpaceDN w:val="0"/>
        <w:adjustRightInd w:val="0"/>
        <w:spacing w:after="0" w:line="240" w:lineRule="auto"/>
        <w:rPr>
          <w:rFonts w:cstheme="minorHAnsi"/>
          <w:b/>
          <w:bCs/>
        </w:rPr>
      </w:pPr>
    </w:p>
    <w:p w:rsidR="0090009D" w:rsidRDefault="0090009D" w:rsidP="004F31AD">
      <w:pPr>
        <w:autoSpaceDE w:val="0"/>
        <w:autoSpaceDN w:val="0"/>
        <w:adjustRightInd w:val="0"/>
        <w:spacing w:after="0" w:line="240" w:lineRule="auto"/>
        <w:rPr>
          <w:rFonts w:cstheme="minorHAnsi"/>
          <w:b/>
          <w:bCs/>
        </w:rPr>
      </w:pPr>
    </w:p>
    <w:p w:rsidR="004F31AD" w:rsidRPr="00064D6E" w:rsidRDefault="004F31AD" w:rsidP="004F31AD">
      <w:pPr>
        <w:autoSpaceDE w:val="0"/>
        <w:autoSpaceDN w:val="0"/>
        <w:adjustRightInd w:val="0"/>
        <w:spacing w:after="0" w:line="240" w:lineRule="auto"/>
        <w:rPr>
          <w:rFonts w:cstheme="minorHAnsi"/>
          <w:b/>
          <w:bCs/>
        </w:rPr>
      </w:pPr>
      <w:r>
        <w:rPr>
          <w:rFonts w:cstheme="minorHAnsi"/>
          <w:b/>
          <w:bCs/>
        </w:rPr>
        <w:lastRenderedPageBreak/>
        <w:t xml:space="preserve">TABLE #9 – NACOR Data </w:t>
      </w:r>
      <w:r w:rsidRPr="00064D6E">
        <w:rPr>
          <w:rFonts w:cstheme="minorHAnsi"/>
          <w:b/>
          <w:bCs/>
        </w:rPr>
        <w:t>Captured by Mean Income (estimated from patient ZIP code):</w:t>
      </w:r>
    </w:p>
    <w:tbl>
      <w:tblPr>
        <w:tblW w:w="9697" w:type="dxa"/>
        <w:tblInd w:w="93" w:type="dxa"/>
        <w:tblLook w:val="04A0" w:firstRow="1" w:lastRow="0" w:firstColumn="1" w:lastColumn="0" w:noHBand="0" w:noVBand="1"/>
      </w:tblPr>
      <w:tblGrid>
        <w:gridCol w:w="1161"/>
        <w:gridCol w:w="1152"/>
        <w:gridCol w:w="1610"/>
        <w:gridCol w:w="1421"/>
        <w:gridCol w:w="1421"/>
        <w:gridCol w:w="1466"/>
        <w:gridCol w:w="1466"/>
      </w:tblGrid>
      <w:tr w:rsidR="00443B56" w:rsidRPr="00443B56" w:rsidTr="00443B56">
        <w:trPr>
          <w:trHeight w:val="2040"/>
        </w:trPr>
        <w:tc>
          <w:tcPr>
            <w:tcW w:w="1152" w:type="dxa"/>
            <w:tcBorders>
              <w:top w:val="single" w:sz="4" w:space="0" w:color="auto"/>
              <w:left w:val="single" w:sz="4" w:space="0" w:color="auto"/>
              <w:bottom w:val="single" w:sz="4" w:space="0" w:color="auto"/>
              <w:right w:val="single" w:sz="4" w:space="0" w:color="auto"/>
            </w:tcBorders>
            <w:shd w:val="clear" w:color="000000" w:fill="F5F5F5"/>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Mean Income</w:t>
            </w:r>
          </w:p>
        </w:tc>
        <w:tc>
          <w:tcPr>
            <w:tcW w:w="1152" w:type="dxa"/>
            <w:tcBorders>
              <w:top w:val="single" w:sz="4" w:space="0" w:color="auto"/>
              <w:left w:val="nil"/>
              <w:bottom w:val="single" w:sz="4" w:space="0" w:color="auto"/>
              <w:right w:val="single" w:sz="4" w:space="0" w:color="auto"/>
            </w:tcBorders>
            <w:shd w:val="clear" w:color="000000" w:fill="F5F5F5"/>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Eligible Instances</w:t>
            </w:r>
          </w:p>
        </w:tc>
        <w:tc>
          <w:tcPr>
            <w:tcW w:w="1615" w:type="dxa"/>
            <w:tcBorders>
              <w:top w:val="single" w:sz="4" w:space="0" w:color="auto"/>
              <w:left w:val="nil"/>
              <w:bottom w:val="single" w:sz="4" w:space="0" w:color="auto"/>
              <w:right w:val="single" w:sz="4" w:space="0" w:color="auto"/>
            </w:tcBorders>
            <w:shd w:val="clear" w:color="000000" w:fill="F5F5F5"/>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Number (% of column B) Eligible Instances in which Medicare is the primary insurance</w:t>
            </w:r>
          </w:p>
        </w:tc>
        <w:tc>
          <w:tcPr>
            <w:tcW w:w="1423" w:type="dxa"/>
            <w:tcBorders>
              <w:top w:val="single" w:sz="4" w:space="0" w:color="auto"/>
              <w:left w:val="nil"/>
              <w:bottom w:val="single" w:sz="4" w:space="0" w:color="auto"/>
              <w:right w:val="single" w:sz="4" w:space="0" w:color="auto"/>
            </w:tcBorders>
            <w:shd w:val="clear" w:color="000000" w:fill="F5F5F5"/>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Reporting Numerator</w:t>
            </w:r>
            <w:r w:rsidRPr="00443B56">
              <w:rPr>
                <w:rFonts w:eastAsia="Times New Roman" w:cs="Arial"/>
                <w:b/>
                <w:bCs/>
                <w:color w:val="000000"/>
              </w:rPr>
              <w:br/>
              <w:t>(Reporting Rate)</w:t>
            </w:r>
          </w:p>
        </w:tc>
        <w:tc>
          <w:tcPr>
            <w:tcW w:w="1423" w:type="dxa"/>
            <w:tcBorders>
              <w:top w:val="single" w:sz="4" w:space="0" w:color="auto"/>
              <w:left w:val="nil"/>
              <w:bottom w:val="single" w:sz="4" w:space="0" w:color="auto"/>
              <w:right w:val="single" w:sz="4" w:space="0" w:color="auto"/>
            </w:tcBorders>
            <w:shd w:val="clear" w:color="000000" w:fill="F5F5F5"/>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 xml:space="preserve">Reporting Numerator </w:t>
            </w:r>
            <w:r w:rsidRPr="00443B56">
              <w:rPr>
                <w:rFonts w:eastAsia="Times New Roman" w:cs="Arial"/>
                <w:b/>
                <w:bCs/>
                <w:color w:val="000000"/>
              </w:rPr>
              <w:br/>
              <w:t>(Reporting Rate) in which Medicare is the primary insurance</w:t>
            </w:r>
          </w:p>
        </w:tc>
        <w:tc>
          <w:tcPr>
            <w:tcW w:w="1466" w:type="dxa"/>
            <w:tcBorders>
              <w:top w:val="single" w:sz="4" w:space="0" w:color="auto"/>
              <w:left w:val="nil"/>
              <w:bottom w:val="single" w:sz="4" w:space="0" w:color="auto"/>
              <w:right w:val="single" w:sz="4" w:space="0" w:color="auto"/>
            </w:tcBorders>
            <w:shd w:val="clear" w:color="000000" w:fill="F5F5F5"/>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Performance Met</w:t>
            </w:r>
            <w:r w:rsidRPr="00443B56">
              <w:rPr>
                <w:rFonts w:eastAsia="Times New Roman" w:cs="Arial"/>
                <w:b/>
                <w:bCs/>
                <w:color w:val="000000"/>
              </w:rPr>
              <w:br/>
              <w:t>(Performance Rate)</w:t>
            </w:r>
          </w:p>
        </w:tc>
        <w:tc>
          <w:tcPr>
            <w:tcW w:w="1466" w:type="dxa"/>
            <w:tcBorders>
              <w:top w:val="single" w:sz="4" w:space="0" w:color="auto"/>
              <w:left w:val="nil"/>
              <w:bottom w:val="single" w:sz="4" w:space="0" w:color="auto"/>
              <w:right w:val="single" w:sz="4" w:space="0" w:color="auto"/>
            </w:tcBorders>
            <w:shd w:val="clear" w:color="000000" w:fill="F5F5F5"/>
            <w:hideMark/>
          </w:tcPr>
          <w:p w:rsidR="00443B56" w:rsidRPr="00443B56" w:rsidRDefault="00443B56" w:rsidP="00443B56">
            <w:pPr>
              <w:spacing w:after="0" w:line="240" w:lineRule="auto"/>
              <w:jc w:val="center"/>
              <w:rPr>
                <w:rFonts w:eastAsia="Times New Roman" w:cs="Arial"/>
                <w:b/>
                <w:bCs/>
                <w:color w:val="000000"/>
              </w:rPr>
            </w:pPr>
            <w:r w:rsidRPr="00443B56">
              <w:rPr>
                <w:rFonts w:eastAsia="Times New Roman" w:cs="Arial"/>
                <w:b/>
                <w:bCs/>
                <w:color w:val="000000"/>
              </w:rPr>
              <w:t>Performance Met (Performance Rate) in which Medicare is the primary insurance</w:t>
            </w:r>
          </w:p>
        </w:tc>
      </w:tr>
      <w:tr w:rsidR="00443B56" w:rsidRPr="00443B56" w:rsidTr="00D60584">
        <w:trPr>
          <w:trHeight w:val="420"/>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center"/>
              <w:rPr>
                <w:rFonts w:eastAsia="Times New Roman" w:cs="Arial"/>
                <w:color w:val="000000"/>
              </w:rPr>
            </w:pPr>
            <w:r w:rsidRPr="00443B56">
              <w:rPr>
                <w:rFonts w:eastAsia="Times New Roman" w:cs="Arial"/>
                <w:color w:val="000000"/>
              </w:rPr>
              <w:t>Total</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4,559,243</w:t>
            </w:r>
          </w:p>
        </w:tc>
        <w:tc>
          <w:tcPr>
            <w:tcW w:w="1615"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1,146,376 (25.14)</w:t>
            </w:r>
          </w:p>
        </w:tc>
        <w:tc>
          <w:tcPr>
            <w:tcW w:w="1423"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1,465,124</w:t>
            </w:r>
          </w:p>
        </w:tc>
        <w:tc>
          <w:tcPr>
            <w:tcW w:w="1423"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881,272</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736,179</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454,026</w:t>
            </w:r>
          </w:p>
        </w:tc>
      </w:tr>
      <w:tr w:rsidR="00443B56" w:rsidRPr="00443B56" w:rsidTr="00D60584">
        <w:trPr>
          <w:trHeight w:val="420"/>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D60584" w:rsidP="00D60584">
            <w:pPr>
              <w:spacing w:after="0" w:line="240" w:lineRule="auto"/>
              <w:jc w:val="center"/>
              <w:rPr>
                <w:rFonts w:eastAsia="Times New Roman" w:cs="Arial"/>
                <w:color w:val="000000"/>
              </w:rPr>
            </w:pPr>
            <w:r>
              <w:rPr>
                <w:rFonts w:eastAsia="Times New Roman" w:cs="Arial"/>
                <w:color w:val="000000"/>
              </w:rPr>
              <w:t>&lt;</w:t>
            </w:r>
            <w:r w:rsidR="00443B56" w:rsidRPr="00443B56">
              <w:rPr>
                <w:rFonts w:eastAsia="Times New Roman" w:cs="Arial"/>
                <w:color w:val="000000"/>
              </w:rPr>
              <w:t>$20,000</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7,567</w:t>
            </w:r>
          </w:p>
        </w:tc>
        <w:tc>
          <w:tcPr>
            <w:tcW w:w="1615"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1,987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(26.26)</w:t>
            </w:r>
          </w:p>
        </w:tc>
        <w:tc>
          <w:tcPr>
            <w:tcW w:w="1423"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2,572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(33.99)</w:t>
            </w:r>
          </w:p>
        </w:tc>
        <w:tc>
          <w:tcPr>
            <w:tcW w:w="1423"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1,592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(80.12)</w:t>
            </w:r>
          </w:p>
        </w:tc>
        <w:tc>
          <w:tcPr>
            <w:tcW w:w="1466"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1,352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(96.71)</w:t>
            </w:r>
          </w:p>
        </w:tc>
        <w:tc>
          <w:tcPr>
            <w:tcW w:w="1466"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823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(98.33)</w:t>
            </w:r>
          </w:p>
        </w:tc>
      </w:tr>
      <w:tr w:rsidR="00443B56" w:rsidRPr="00443B56" w:rsidTr="00D60584">
        <w:trPr>
          <w:trHeight w:val="420"/>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D60584" w:rsidP="00D60584">
            <w:pPr>
              <w:spacing w:after="0" w:line="240" w:lineRule="auto"/>
              <w:jc w:val="center"/>
              <w:rPr>
                <w:rFonts w:eastAsia="Times New Roman" w:cs="Arial"/>
                <w:color w:val="000000"/>
              </w:rPr>
            </w:pPr>
            <w:r>
              <w:rPr>
                <w:rFonts w:eastAsia="Times New Roman" w:cs="Arial"/>
                <w:color w:val="000000"/>
              </w:rPr>
              <w:t>$20,000</w:t>
            </w:r>
            <w:r w:rsidR="00443B56" w:rsidRPr="00443B56">
              <w:rPr>
                <w:rFonts w:eastAsia="Times New Roman" w:cs="Arial"/>
                <w:color w:val="000000"/>
              </w:rPr>
              <w:t>- $39,999</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192,462</w:t>
            </w:r>
          </w:p>
        </w:tc>
        <w:tc>
          <w:tcPr>
            <w:tcW w:w="1615"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49,893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(25.92)</w:t>
            </w:r>
          </w:p>
        </w:tc>
        <w:tc>
          <w:tcPr>
            <w:tcW w:w="1423"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58,028 (30.15)</w:t>
            </w:r>
          </w:p>
        </w:tc>
        <w:tc>
          <w:tcPr>
            <w:tcW w:w="1423"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35,531 (71.21)</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30,095 (94.71)</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18,836 (97.33)</w:t>
            </w:r>
          </w:p>
        </w:tc>
      </w:tr>
      <w:tr w:rsidR="00443B56" w:rsidRPr="00443B56" w:rsidTr="00D60584">
        <w:trPr>
          <w:trHeight w:val="420"/>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D60584" w:rsidP="00D60584">
            <w:pPr>
              <w:spacing w:after="0" w:line="240" w:lineRule="auto"/>
              <w:jc w:val="center"/>
              <w:rPr>
                <w:rFonts w:eastAsia="Times New Roman" w:cs="Arial"/>
                <w:color w:val="000000"/>
              </w:rPr>
            </w:pPr>
            <w:r>
              <w:rPr>
                <w:rFonts w:eastAsia="Times New Roman" w:cs="Arial"/>
                <w:color w:val="000000"/>
              </w:rPr>
              <w:t>$40,000</w:t>
            </w:r>
            <w:r w:rsidR="00443B56" w:rsidRPr="00443B56">
              <w:rPr>
                <w:rFonts w:eastAsia="Times New Roman" w:cs="Arial"/>
                <w:color w:val="000000"/>
              </w:rPr>
              <w:t>- $59,999</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1,443,546</w:t>
            </w:r>
          </w:p>
        </w:tc>
        <w:tc>
          <w:tcPr>
            <w:tcW w:w="1615"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373,775 (25.89)</w:t>
            </w:r>
          </w:p>
        </w:tc>
        <w:tc>
          <w:tcPr>
            <w:tcW w:w="1423"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462,457 (32.04)</w:t>
            </w:r>
          </w:p>
        </w:tc>
        <w:tc>
          <w:tcPr>
            <w:tcW w:w="1423"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277,542 (74.25)</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241,683 (94.76)</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147,261 (96.84)</w:t>
            </w:r>
          </w:p>
        </w:tc>
      </w:tr>
      <w:tr w:rsidR="00443B56" w:rsidRPr="00443B56" w:rsidTr="00D60584">
        <w:trPr>
          <w:trHeight w:val="420"/>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center"/>
              <w:rPr>
                <w:rFonts w:eastAsia="Times New Roman" w:cs="Arial"/>
                <w:color w:val="000000"/>
              </w:rPr>
            </w:pPr>
            <w:r w:rsidRPr="00443B56">
              <w:rPr>
                <w:rFonts w:eastAsia="Times New Roman" w:cs="Arial"/>
                <w:color w:val="000000"/>
              </w:rPr>
              <w:t>$60,000- $99,999</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2,068,723</w:t>
            </w:r>
          </w:p>
        </w:tc>
        <w:tc>
          <w:tcPr>
            <w:tcW w:w="1615"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511,410 (24.72)</w:t>
            </w:r>
          </w:p>
        </w:tc>
        <w:tc>
          <w:tcPr>
            <w:tcW w:w="1423"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676,695 (32.71)</w:t>
            </w:r>
          </w:p>
        </w:tc>
        <w:tc>
          <w:tcPr>
            <w:tcW w:w="1423"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403,341 (78.87)</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328,784 (94.54)</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203,232 (96.22)</w:t>
            </w:r>
          </w:p>
        </w:tc>
      </w:tr>
      <w:tr w:rsidR="00443B56" w:rsidRPr="00443B56" w:rsidTr="00D60584">
        <w:trPr>
          <w:trHeight w:val="420"/>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D60584" w:rsidP="00D60584">
            <w:pPr>
              <w:spacing w:after="0" w:line="240" w:lineRule="auto"/>
              <w:jc w:val="center"/>
              <w:rPr>
                <w:rFonts w:eastAsia="Times New Roman" w:cs="Arial"/>
                <w:color w:val="000000"/>
              </w:rPr>
            </w:pPr>
            <w:r>
              <w:rPr>
                <w:rFonts w:eastAsia="Times New Roman" w:cs="Arial"/>
                <w:color w:val="000000"/>
              </w:rPr>
              <w:t>$100,000</w:t>
            </w:r>
            <w:r w:rsidR="00443B56" w:rsidRPr="00443B56">
              <w:rPr>
                <w:rFonts w:eastAsia="Times New Roman" w:cs="Arial"/>
                <w:color w:val="000000"/>
              </w:rPr>
              <w:t>+</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644,686</w:t>
            </w:r>
          </w:p>
        </w:tc>
        <w:tc>
          <w:tcPr>
            <w:tcW w:w="1615"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169,662 (26.32)</w:t>
            </w:r>
          </w:p>
        </w:tc>
        <w:tc>
          <w:tcPr>
            <w:tcW w:w="1423"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223,105 (34.61)</w:t>
            </w:r>
          </w:p>
        </w:tc>
        <w:tc>
          <w:tcPr>
            <w:tcW w:w="1423"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142,420 (83.94)</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106,033 (95.39)</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70,598 (96.28)</w:t>
            </w:r>
          </w:p>
        </w:tc>
      </w:tr>
      <w:tr w:rsidR="00443B56" w:rsidRPr="00443B56" w:rsidTr="00D60584">
        <w:trPr>
          <w:trHeight w:val="420"/>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center"/>
              <w:rPr>
                <w:rFonts w:eastAsia="Times New Roman" w:cs="Arial"/>
                <w:color w:val="000000"/>
              </w:rPr>
            </w:pPr>
            <w:r w:rsidRPr="00443B56">
              <w:rPr>
                <w:rFonts w:eastAsia="Times New Roman" w:cs="Arial"/>
                <w:color w:val="000000"/>
              </w:rPr>
              <w:t>Unknown</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202,259</w:t>
            </w:r>
          </w:p>
        </w:tc>
        <w:tc>
          <w:tcPr>
            <w:tcW w:w="1615"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39,649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(19.60)</w:t>
            </w:r>
          </w:p>
        </w:tc>
        <w:tc>
          <w:tcPr>
            <w:tcW w:w="1423"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42,267 (20.90)</w:t>
            </w:r>
          </w:p>
        </w:tc>
        <w:tc>
          <w:tcPr>
            <w:tcW w:w="1423"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20,846 (52.58)</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28,232 (98.31)</w:t>
            </w:r>
          </w:p>
        </w:tc>
        <w:tc>
          <w:tcPr>
            <w:tcW w:w="1466"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13,276 (98.82)</w:t>
            </w:r>
          </w:p>
        </w:tc>
      </w:tr>
    </w:tbl>
    <w:p w:rsidR="004F31AD" w:rsidRDefault="004F31AD" w:rsidP="0042121C">
      <w:pPr>
        <w:autoSpaceDE w:val="0"/>
        <w:autoSpaceDN w:val="0"/>
        <w:adjustRightInd w:val="0"/>
        <w:spacing w:after="0" w:line="240" w:lineRule="auto"/>
        <w:rPr>
          <w:rFonts w:cstheme="minorHAnsi"/>
          <w:b/>
          <w:bCs/>
          <w:u w:val="single"/>
        </w:rPr>
      </w:pPr>
    </w:p>
    <w:p w:rsidR="004F31AD" w:rsidRDefault="004F31AD" w:rsidP="004F31AD">
      <w:pPr>
        <w:autoSpaceDE w:val="0"/>
        <w:autoSpaceDN w:val="0"/>
        <w:adjustRightInd w:val="0"/>
        <w:spacing w:after="0" w:line="240" w:lineRule="auto"/>
        <w:rPr>
          <w:rFonts w:cstheme="minorHAnsi"/>
          <w:b/>
          <w:bCs/>
        </w:rPr>
      </w:pPr>
      <w:r w:rsidRPr="00BF468D">
        <w:rPr>
          <w:rFonts w:cstheme="minorHAnsi"/>
          <w:b/>
          <w:bCs/>
        </w:rPr>
        <w:t xml:space="preserve">TABLE #10 – </w:t>
      </w:r>
      <w:r>
        <w:rPr>
          <w:rFonts w:cstheme="minorHAnsi"/>
          <w:b/>
          <w:bCs/>
        </w:rPr>
        <w:t xml:space="preserve">NACOR Data </w:t>
      </w:r>
      <w:r w:rsidRPr="00BF468D">
        <w:rPr>
          <w:rFonts w:cstheme="minorHAnsi"/>
          <w:b/>
          <w:bCs/>
        </w:rPr>
        <w:t>Captured by Region:</w:t>
      </w:r>
    </w:p>
    <w:tbl>
      <w:tblPr>
        <w:tblW w:w="9734" w:type="dxa"/>
        <w:tblInd w:w="93" w:type="dxa"/>
        <w:tblLook w:val="04A0" w:firstRow="1" w:lastRow="0" w:firstColumn="1" w:lastColumn="0" w:noHBand="0" w:noVBand="1"/>
      </w:tblPr>
      <w:tblGrid>
        <w:gridCol w:w="1115"/>
        <w:gridCol w:w="1152"/>
        <w:gridCol w:w="1639"/>
        <w:gridCol w:w="1411"/>
        <w:gridCol w:w="1411"/>
        <w:gridCol w:w="1503"/>
        <w:gridCol w:w="1503"/>
      </w:tblGrid>
      <w:tr w:rsidR="00443B56" w:rsidRPr="00443B56" w:rsidTr="00D60584">
        <w:trPr>
          <w:trHeight w:val="2040"/>
        </w:trPr>
        <w:tc>
          <w:tcPr>
            <w:tcW w:w="1115" w:type="dxa"/>
            <w:tcBorders>
              <w:top w:val="single" w:sz="4" w:space="0" w:color="auto"/>
              <w:left w:val="single" w:sz="4" w:space="0" w:color="auto"/>
              <w:bottom w:val="single" w:sz="4" w:space="0" w:color="auto"/>
              <w:right w:val="single" w:sz="4" w:space="0" w:color="auto"/>
            </w:tcBorders>
            <w:shd w:val="clear" w:color="000000" w:fill="F5F5F5"/>
            <w:vAlign w:val="center"/>
            <w:hideMark/>
          </w:tcPr>
          <w:p w:rsidR="00443B56" w:rsidRPr="00443B56" w:rsidRDefault="00443B56" w:rsidP="00D60584">
            <w:pPr>
              <w:spacing w:after="0" w:line="240" w:lineRule="auto"/>
              <w:jc w:val="center"/>
              <w:rPr>
                <w:rFonts w:eastAsia="Times New Roman" w:cs="Arial"/>
                <w:b/>
                <w:bCs/>
                <w:color w:val="000000"/>
              </w:rPr>
            </w:pPr>
            <w:r w:rsidRPr="00443B56">
              <w:rPr>
                <w:rFonts w:eastAsia="Times New Roman" w:cs="Arial"/>
                <w:b/>
                <w:bCs/>
                <w:color w:val="000000"/>
              </w:rPr>
              <w:t>US Region</w:t>
            </w:r>
          </w:p>
        </w:tc>
        <w:tc>
          <w:tcPr>
            <w:tcW w:w="1152"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D60584">
            <w:pPr>
              <w:spacing w:after="0" w:line="240" w:lineRule="auto"/>
              <w:jc w:val="center"/>
              <w:rPr>
                <w:rFonts w:eastAsia="Times New Roman" w:cs="Arial"/>
                <w:b/>
                <w:bCs/>
                <w:color w:val="000000"/>
              </w:rPr>
            </w:pPr>
            <w:r w:rsidRPr="00443B56">
              <w:rPr>
                <w:rFonts w:eastAsia="Times New Roman" w:cs="Arial"/>
                <w:b/>
                <w:bCs/>
                <w:color w:val="000000"/>
              </w:rPr>
              <w:t>Eligible Instances</w:t>
            </w:r>
          </w:p>
        </w:tc>
        <w:tc>
          <w:tcPr>
            <w:tcW w:w="1639"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D60584">
            <w:pPr>
              <w:spacing w:after="0" w:line="240" w:lineRule="auto"/>
              <w:jc w:val="center"/>
              <w:rPr>
                <w:rFonts w:eastAsia="Times New Roman" w:cs="Arial"/>
                <w:b/>
                <w:bCs/>
                <w:color w:val="000000"/>
              </w:rPr>
            </w:pPr>
            <w:r w:rsidRPr="00443B56">
              <w:rPr>
                <w:rFonts w:eastAsia="Times New Roman" w:cs="Arial"/>
                <w:b/>
                <w:bCs/>
                <w:color w:val="000000"/>
              </w:rPr>
              <w:t>Number (%)</w:t>
            </w:r>
            <w:r>
              <w:rPr>
                <w:rFonts w:eastAsia="Times New Roman" w:cs="Arial"/>
                <w:b/>
                <w:bCs/>
                <w:color w:val="000000"/>
              </w:rPr>
              <w:t xml:space="preserve"> of</w:t>
            </w:r>
            <w:r w:rsidRPr="00443B56">
              <w:rPr>
                <w:rFonts w:eastAsia="Times New Roman" w:cs="Arial"/>
                <w:b/>
                <w:bCs/>
                <w:color w:val="000000"/>
              </w:rPr>
              <w:t xml:space="preserve"> Eligible Instances in which Medicare is the primary insurance</w:t>
            </w:r>
          </w:p>
        </w:tc>
        <w:tc>
          <w:tcPr>
            <w:tcW w:w="1411"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D60584">
            <w:pPr>
              <w:spacing w:after="0" w:line="240" w:lineRule="auto"/>
              <w:jc w:val="center"/>
              <w:rPr>
                <w:rFonts w:eastAsia="Times New Roman" w:cs="Arial"/>
                <w:b/>
                <w:bCs/>
                <w:color w:val="000000"/>
              </w:rPr>
            </w:pPr>
            <w:r w:rsidRPr="00443B56">
              <w:rPr>
                <w:rFonts w:eastAsia="Times New Roman" w:cs="Arial"/>
                <w:b/>
                <w:bCs/>
                <w:color w:val="000000"/>
              </w:rPr>
              <w:t>Reporting Numerator</w:t>
            </w:r>
            <w:r w:rsidRPr="00443B56">
              <w:rPr>
                <w:rFonts w:eastAsia="Times New Roman" w:cs="Arial"/>
                <w:b/>
                <w:bCs/>
                <w:color w:val="000000"/>
              </w:rPr>
              <w:br/>
              <w:t>(Reporting Rate)</w:t>
            </w:r>
          </w:p>
        </w:tc>
        <w:tc>
          <w:tcPr>
            <w:tcW w:w="1411"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D60584">
            <w:pPr>
              <w:spacing w:after="0" w:line="240" w:lineRule="auto"/>
              <w:jc w:val="center"/>
              <w:rPr>
                <w:rFonts w:eastAsia="Times New Roman" w:cs="Arial"/>
                <w:b/>
                <w:bCs/>
                <w:color w:val="000000"/>
              </w:rPr>
            </w:pPr>
            <w:r w:rsidRPr="00443B56">
              <w:rPr>
                <w:rFonts w:eastAsia="Times New Roman" w:cs="Arial"/>
                <w:b/>
                <w:bCs/>
                <w:color w:val="000000"/>
              </w:rPr>
              <w:t xml:space="preserve">Reporting Numerator </w:t>
            </w:r>
            <w:r w:rsidRPr="00443B56">
              <w:rPr>
                <w:rFonts w:eastAsia="Times New Roman" w:cs="Arial"/>
                <w:b/>
                <w:bCs/>
                <w:color w:val="000000"/>
              </w:rPr>
              <w:br/>
              <w:t>(Reporting Rate) in which Medicare is the primary insurance</w:t>
            </w:r>
          </w:p>
        </w:tc>
        <w:tc>
          <w:tcPr>
            <w:tcW w:w="1503"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D60584">
            <w:pPr>
              <w:spacing w:after="0" w:line="240" w:lineRule="auto"/>
              <w:jc w:val="center"/>
              <w:rPr>
                <w:rFonts w:eastAsia="Times New Roman" w:cs="Arial"/>
                <w:b/>
                <w:bCs/>
                <w:color w:val="000000"/>
              </w:rPr>
            </w:pPr>
            <w:r w:rsidRPr="00443B56">
              <w:rPr>
                <w:rFonts w:eastAsia="Times New Roman" w:cs="Arial"/>
                <w:b/>
                <w:bCs/>
                <w:color w:val="000000"/>
              </w:rPr>
              <w:t>Performance Met</w:t>
            </w:r>
            <w:r w:rsidRPr="00443B56">
              <w:rPr>
                <w:rFonts w:eastAsia="Times New Roman" w:cs="Arial"/>
                <w:b/>
                <w:bCs/>
                <w:color w:val="000000"/>
              </w:rPr>
              <w:br/>
              <w:t>(Performance Rate)</w:t>
            </w:r>
          </w:p>
        </w:tc>
        <w:tc>
          <w:tcPr>
            <w:tcW w:w="1503" w:type="dxa"/>
            <w:tcBorders>
              <w:top w:val="single" w:sz="4" w:space="0" w:color="auto"/>
              <w:left w:val="nil"/>
              <w:bottom w:val="single" w:sz="4" w:space="0" w:color="auto"/>
              <w:right w:val="single" w:sz="4" w:space="0" w:color="auto"/>
            </w:tcBorders>
            <w:shd w:val="clear" w:color="000000" w:fill="F5F5F5"/>
            <w:vAlign w:val="center"/>
            <w:hideMark/>
          </w:tcPr>
          <w:p w:rsidR="00443B56" w:rsidRPr="00443B56" w:rsidRDefault="00443B56" w:rsidP="00D60584">
            <w:pPr>
              <w:spacing w:after="0" w:line="240" w:lineRule="auto"/>
              <w:jc w:val="center"/>
              <w:rPr>
                <w:rFonts w:eastAsia="Times New Roman" w:cs="Arial"/>
                <w:b/>
                <w:bCs/>
                <w:color w:val="000000"/>
              </w:rPr>
            </w:pPr>
            <w:r w:rsidRPr="00443B56">
              <w:rPr>
                <w:rFonts w:eastAsia="Times New Roman" w:cs="Arial"/>
                <w:b/>
                <w:bCs/>
                <w:color w:val="000000"/>
              </w:rPr>
              <w:t>Performance Met (Performance Rate) in which Medicare is the primary insurance</w:t>
            </w:r>
          </w:p>
        </w:tc>
      </w:tr>
      <w:tr w:rsidR="00443B56" w:rsidRPr="00443B56" w:rsidTr="00D60584">
        <w:trPr>
          <w:trHeight w:val="420"/>
        </w:trPr>
        <w:tc>
          <w:tcPr>
            <w:tcW w:w="1115"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center"/>
              <w:rPr>
                <w:rFonts w:eastAsia="Times New Roman" w:cs="Arial"/>
                <w:color w:val="000000"/>
              </w:rPr>
            </w:pPr>
            <w:r w:rsidRPr="00443B56">
              <w:rPr>
                <w:rFonts w:eastAsia="Times New Roman" w:cs="Arial"/>
                <w:color w:val="000000"/>
              </w:rPr>
              <w:t>Total</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4,284,210</w:t>
            </w:r>
          </w:p>
        </w:tc>
        <w:tc>
          <w:tcPr>
            <w:tcW w:w="1639"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1,062,265 (24.79)</w:t>
            </w:r>
          </w:p>
        </w:tc>
        <w:tc>
          <w:tcPr>
            <w:tcW w:w="1411"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1,292,753</w:t>
            </w:r>
          </w:p>
        </w:tc>
        <w:tc>
          <w:tcPr>
            <w:tcW w:w="1411"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809,674</w:t>
            </w:r>
          </w:p>
        </w:tc>
        <w:tc>
          <w:tcPr>
            <w:tcW w:w="1503"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667,337</w:t>
            </w:r>
          </w:p>
        </w:tc>
        <w:tc>
          <w:tcPr>
            <w:tcW w:w="1503"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428,876</w:t>
            </w:r>
          </w:p>
        </w:tc>
      </w:tr>
      <w:tr w:rsidR="00443B56" w:rsidRPr="00443B56" w:rsidTr="00D60584">
        <w:trPr>
          <w:trHeight w:val="420"/>
        </w:trPr>
        <w:tc>
          <w:tcPr>
            <w:tcW w:w="1115"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center"/>
              <w:rPr>
                <w:rFonts w:eastAsia="Times New Roman" w:cs="Arial"/>
                <w:color w:val="000000"/>
              </w:rPr>
            </w:pPr>
            <w:r w:rsidRPr="00443B56">
              <w:rPr>
                <w:rFonts w:eastAsia="Times New Roman" w:cs="Arial"/>
                <w:color w:val="000000"/>
              </w:rPr>
              <w:t>Northeast</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391,157</w:t>
            </w:r>
          </w:p>
        </w:tc>
        <w:tc>
          <w:tcPr>
            <w:tcW w:w="1639"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85,223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(21.79)</w:t>
            </w:r>
          </w:p>
        </w:tc>
        <w:tc>
          <w:tcPr>
            <w:tcW w:w="1411"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141,500 (36.17)</w:t>
            </w:r>
          </w:p>
        </w:tc>
        <w:tc>
          <w:tcPr>
            <w:tcW w:w="1411"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69,913 (82.04)</w:t>
            </w:r>
          </w:p>
        </w:tc>
        <w:tc>
          <w:tcPr>
            <w:tcW w:w="1503"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67,136 (88.72)</w:t>
            </w:r>
          </w:p>
        </w:tc>
        <w:tc>
          <w:tcPr>
            <w:tcW w:w="1503"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30,089 (91.25)</w:t>
            </w:r>
          </w:p>
        </w:tc>
      </w:tr>
      <w:tr w:rsidR="00443B56" w:rsidRPr="00443B56" w:rsidTr="00D60584">
        <w:trPr>
          <w:trHeight w:val="420"/>
        </w:trPr>
        <w:tc>
          <w:tcPr>
            <w:tcW w:w="1115"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center"/>
              <w:rPr>
                <w:rFonts w:eastAsia="Times New Roman" w:cs="Arial"/>
                <w:color w:val="000000"/>
              </w:rPr>
            </w:pPr>
            <w:r w:rsidRPr="00443B56">
              <w:rPr>
                <w:rFonts w:eastAsia="Times New Roman" w:cs="Arial"/>
                <w:color w:val="000000"/>
              </w:rPr>
              <w:t>Midwest</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1,366,236</w:t>
            </w:r>
          </w:p>
        </w:tc>
        <w:tc>
          <w:tcPr>
            <w:tcW w:w="1639"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254,079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(18.60)</w:t>
            </w:r>
          </w:p>
        </w:tc>
        <w:tc>
          <w:tcPr>
            <w:tcW w:w="1411"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314,811 (23.04)</w:t>
            </w:r>
          </w:p>
        </w:tc>
        <w:tc>
          <w:tcPr>
            <w:tcW w:w="1411"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185,378 (72.96)</w:t>
            </w:r>
          </w:p>
        </w:tc>
        <w:tc>
          <w:tcPr>
            <w:tcW w:w="1503"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152,865 (93.99)</w:t>
            </w:r>
          </w:p>
        </w:tc>
        <w:tc>
          <w:tcPr>
            <w:tcW w:w="1503"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93,288 (95.81)</w:t>
            </w:r>
          </w:p>
        </w:tc>
      </w:tr>
      <w:tr w:rsidR="00443B56" w:rsidRPr="00443B56" w:rsidTr="00D60584">
        <w:trPr>
          <w:trHeight w:val="420"/>
        </w:trPr>
        <w:tc>
          <w:tcPr>
            <w:tcW w:w="1115"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center"/>
              <w:rPr>
                <w:rFonts w:eastAsia="Times New Roman" w:cs="Arial"/>
                <w:color w:val="000000"/>
              </w:rPr>
            </w:pPr>
            <w:r w:rsidRPr="00443B56">
              <w:rPr>
                <w:rFonts w:eastAsia="Times New Roman" w:cs="Arial"/>
                <w:color w:val="000000"/>
              </w:rPr>
              <w:t>South</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1,542,742</w:t>
            </w:r>
          </w:p>
        </w:tc>
        <w:tc>
          <w:tcPr>
            <w:tcW w:w="1639"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471,207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(30.54)</w:t>
            </w:r>
          </w:p>
        </w:tc>
        <w:tc>
          <w:tcPr>
            <w:tcW w:w="1411"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577,071 (37.41)</w:t>
            </w:r>
          </w:p>
        </w:tc>
        <w:tc>
          <w:tcPr>
            <w:tcW w:w="1411"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331,674 (70.39)</w:t>
            </w:r>
          </w:p>
        </w:tc>
        <w:tc>
          <w:tcPr>
            <w:tcW w:w="1503"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294,462 (97.20)</w:t>
            </w:r>
          </w:p>
        </w:tc>
        <w:tc>
          <w:tcPr>
            <w:tcW w:w="1503"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172,634 (98.34)</w:t>
            </w:r>
          </w:p>
        </w:tc>
      </w:tr>
      <w:tr w:rsidR="00443B56" w:rsidRPr="00443B56" w:rsidTr="00D60584">
        <w:trPr>
          <w:trHeight w:val="420"/>
        </w:trPr>
        <w:tc>
          <w:tcPr>
            <w:tcW w:w="1115" w:type="dxa"/>
            <w:tcBorders>
              <w:top w:val="nil"/>
              <w:left w:val="single" w:sz="4" w:space="0" w:color="auto"/>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center"/>
              <w:rPr>
                <w:rFonts w:eastAsia="Times New Roman" w:cs="Arial"/>
                <w:color w:val="000000"/>
              </w:rPr>
            </w:pPr>
            <w:r w:rsidRPr="00443B56">
              <w:rPr>
                <w:rFonts w:eastAsia="Times New Roman" w:cs="Arial"/>
                <w:color w:val="000000"/>
              </w:rPr>
              <w:t>West</w:t>
            </w:r>
          </w:p>
        </w:tc>
        <w:tc>
          <w:tcPr>
            <w:tcW w:w="1152" w:type="dxa"/>
            <w:tcBorders>
              <w:top w:val="nil"/>
              <w:left w:val="nil"/>
              <w:bottom w:val="single" w:sz="4" w:space="0" w:color="auto"/>
              <w:right w:val="single" w:sz="4" w:space="0" w:color="auto"/>
            </w:tcBorders>
            <w:shd w:val="clear" w:color="auto" w:fill="auto"/>
            <w:vAlign w:val="center"/>
            <w:hideMark/>
          </w:tcPr>
          <w:p w:rsidR="00443B56" w:rsidRPr="00443B56" w:rsidRDefault="00443B56" w:rsidP="00D60584">
            <w:pPr>
              <w:spacing w:after="0" w:line="240" w:lineRule="auto"/>
              <w:jc w:val="right"/>
              <w:rPr>
                <w:rFonts w:eastAsia="Times New Roman" w:cs="Arial"/>
                <w:color w:val="000000"/>
              </w:rPr>
            </w:pPr>
            <w:r w:rsidRPr="00443B56">
              <w:rPr>
                <w:rFonts w:eastAsia="Times New Roman" w:cs="Arial"/>
                <w:color w:val="000000"/>
              </w:rPr>
              <w:t>984,075</w:t>
            </w:r>
          </w:p>
        </w:tc>
        <w:tc>
          <w:tcPr>
            <w:tcW w:w="1639" w:type="dxa"/>
            <w:tcBorders>
              <w:top w:val="nil"/>
              <w:left w:val="nil"/>
              <w:bottom w:val="single" w:sz="4" w:space="0" w:color="auto"/>
              <w:right w:val="single" w:sz="4" w:space="0" w:color="auto"/>
            </w:tcBorders>
            <w:shd w:val="clear" w:color="auto" w:fill="auto"/>
            <w:hideMark/>
          </w:tcPr>
          <w:p w:rsidR="00443B56" w:rsidRDefault="00443B56" w:rsidP="00443B56">
            <w:pPr>
              <w:spacing w:after="0" w:line="240" w:lineRule="auto"/>
              <w:jc w:val="right"/>
              <w:rPr>
                <w:rFonts w:eastAsia="Times New Roman" w:cs="Arial"/>
                <w:color w:val="000000"/>
              </w:rPr>
            </w:pPr>
            <w:r w:rsidRPr="00443B56">
              <w:rPr>
                <w:rFonts w:eastAsia="Times New Roman" w:cs="Arial"/>
                <w:color w:val="000000"/>
              </w:rPr>
              <w:t xml:space="preserve">251,756 </w:t>
            </w:r>
          </w:p>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(25.58)</w:t>
            </w:r>
          </w:p>
        </w:tc>
        <w:tc>
          <w:tcPr>
            <w:tcW w:w="1411"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259,371 (26.36)</w:t>
            </w:r>
          </w:p>
        </w:tc>
        <w:tc>
          <w:tcPr>
            <w:tcW w:w="1411"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222,709 (88.46)</w:t>
            </w:r>
          </w:p>
        </w:tc>
        <w:tc>
          <w:tcPr>
            <w:tcW w:w="1503"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152,874 (98.82)</w:t>
            </w:r>
          </w:p>
        </w:tc>
        <w:tc>
          <w:tcPr>
            <w:tcW w:w="1503" w:type="dxa"/>
            <w:tcBorders>
              <w:top w:val="nil"/>
              <w:left w:val="nil"/>
              <w:bottom w:val="single" w:sz="4" w:space="0" w:color="auto"/>
              <w:right w:val="single" w:sz="4" w:space="0" w:color="auto"/>
            </w:tcBorders>
            <w:shd w:val="clear" w:color="auto" w:fill="auto"/>
            <w:hideMark/>
          </w:tcPr>
          <w:p w:rsidR="00443B56" w:rsidRPr="00443B56" w:rsidRDefault="00443B56" w:rsidP="00443B56">
            <w:pPr>
              <w:spacing w:after="0" w:line="240" w:lineRule="auto"/>
              <w:jc w:val="right"/>
              <w:rPr>
                <w:rFonts w:eastAsia="Times New Roman" w:cs="Arial"/>
                <w:color w:val="000000"/>
              </w:rPr>
            </w:pPr>
            <w:r w:rsidRPr="00443B56">
              <w:rPr>
                <w:rFonts w:eastAsia="Times New Roman" w:cs="Arial"/>
                <w:color w:val="000000"/>
              </w:rPr>
              <w:t>132,865 (98.74)</w:t>
            </w:r>
          </w:p>
        </w:tc>
      </w:tr>
    </w:tbl>
    <w:p w:rsidR="00443B56" w:rsidRPr="00BF468D" w:rsidRDefault="00443B56" w:rsidP="004F31AD">
      <w:pPr>
        <w:autoSpaceDE w:val="0"/>
        <w:autoSpaceDN w:val="0"/>
        <w:adjustRightInd w:val="0"/>
        <w:spacing w:after="0" w:line="240" w:lineRule="auto"/>
        <w:rPr>
          <w:rFonts w:cstheme="minorHAnsi"/>
          <w:b/>
          <w:bCs/>
        </w:rPr>
      </w:pPr>
    </w:p>
    <w:p w:rsidR="0090009D" w:rsidRDefault="0090009D" w:rsidP="0042121C">
      <w:pPr>
        <w:autoSpaceDE w:val="0"/>
        <w:autoSpaceDN w:val="0"/>
        <w:adjustRightInd w:val="0"/>
        <w:spacing w:after="0" w:line="240" w:lineRule="auto"/>
        <w:rPr>
          <w:rFonts w:eastAsia="Times New Roman" w:cs="Arial"/>
          <w:bCs/>
          <w:color w:val="000000"/>
        </w:rPr>
      </w:pPr>
    </w:p>
    <w:p w:rsidR="0090009D" w:rsidRDefault="0090009D" w:rsidP="0042121C">
      <w:pPr>
        <w:autoSpaceDE w:val="0"/>
        <w:autoSpaceDN w:val="0"/>
        <w:adjustRightInd w:val="0"/>
        <w:spacing w:after="0" w:line="240" w:lineRule="auto"/>
        <w:rPr>
          <w:rFonts w:eastAsia="Times New Roman" w:cs="Arial"/>
          <w:bCs/>
          <w:color w:val="000000"/>
        </w:rPr>
      </w:pPr>
    </w:p>
    <w:p w:rsidR="0042121C" w:rsidRPr="00A11A02" w:rsidRDefault="00A11A02" w:rsidP="0042121C">
      <w:pPr>
        <w:autoSpaceDE w:val="0"/>
        <w:autoSpaceDN w:val="0"/>
        <w:adjustRightInd w:val="0"/>
        <w:spacing w:after="0" w:line="240" w:lineRule="auto"/>
        <w:rPr>
          <w:rFonts w:cs="Arial"/>
          <w:bCs/>
        </w:rPr>
      </w:pPr>
      <w:r>
        <w:rPr>
          <w:rFonts w:eastAsia="Times New Roman" w:cs="Arial"/>
          <w:bCs/>
          <w:color w:val="000000"/>
        </w:rPr>
        <w:lastRenderedPageBreak/>
        <w:t>Tables #11, #12, and #13 display the minimum, maximum, mean, median, 1</w:t>
      </w:r>
      <w:r w:rsidRPr="00A11A02">
        <w:rPr>
          <w:rFonts w:eastAsia="Times New Roman" w:cs="Arial"/>
          <w:bCs/>
          <w:color w:val="000000"/>
          <w:vertAlign w:val="superscript"/>
        </w:rPr>
        <w:t>st</w:t>
      </w:r>
      <w:r>
        <w:rPr>
          <w:rFonts w:eastAsia="Times New Roman" w:cs="Arial"/>
          <w:bCs/>
          <w:color w:val="000000"/>
        </w:rPr>
        <w:t xml:space="preserve"> Quartile and 3</w:t>
      </w:r>
      <w:r w:rsidRPr="00A11A02">
        <w:rPr>
          <w:rFonts w:eastAsia="Times New Roman" w:cs="Arial"/>
          <w:bCs/>
          <w:color w:val="000000"/>
          <w:vertAlign w:val="superscript"/>
        </w:rPr>
        <w:t>rd</w:t>
      </w:r>
      <w:r>
        <w:rPr>
          <w:rFonts w:eastAsia="Times New Roman" w:cs="Arial"/>
          <w:bCs/>
          <w:color w:val="000000"/>
        </w:rPr>
        <w:t xml:space="preserve"> Quartile for testing the measure. The tables display eligible instances, eligible instances in which Medicare is the primary insurance, the reporting numerator </w:t>
      </w:r>
      <w:r w:rsidR="00F42CC5">
        <w:rPr>
          <w:rFonts w:eastAsia="Times New Roman" w:cs="Arial"/>
          <w:bCs/>
          <w:color w:val="000000"/>
        </w:rPr>
        <w:t xml:space="preserve">rate </w:t>
      </w:r>
      <w:r>
        <w:rPr>
          <w:rFonts w:eastAsia="Times New Roman" w:cs="Arial"/>
          <w:bCs/>
          <w:color w:val="000000"/>
        </w:rPr>
        <w:t>and if performance of the quality activity occurred.</w:t>
      </w:r>
    </w:p>
    <w:p w:rsidR="0042121C" w:rsidRPr="00AC78F6" w:rsidRDefault="0042121C" w:rsidP="0042121C">
      <w:pPr>
        <w:autoSpaceDE w:val="0"/>
        <w:autoSpaceDN w:val="0"/>
        <w:adjustRightInd w:val="0"/>
        <w:spacing w:after="0" w:line="240" w:lineRule="auto"/>
        <w:rPr>
          <w:rFonts w:cs="Arial"/>
          <w:b/>
          <w:bCs/>
          <w:u w:val="single"/>
        </w:rPr>
      </w:pPr>
    </w:p>
    <w:p w:rsidR="00A11A02" w:rsidRPr="008F271B" w:rsidRDefault="00A11A02" w:rsidP="00A11A02">
      <w:pPr>
        <w:autoSpaceDE w:val="0"/>
        <w:autoSpaceDN w:val="0"/>
        <w:adjustRightInd w:val="0"/>
        <w:spacing w:after="0" w:line="240" w:lineRule="auto"/>
        <w:rPr>
          <w:rFonts w:cs="Arial"/>
          <w:b/>
          <w:bCs/>
        </w:rPr>
      </w:pPr>
      <w:r>
        <w:rPr>
          <w:rFonts w:cs="Arial"/>
          <w:b/>
          <w:bCs/>
        </w:rPr>
        <w:t xml:space="preserve">TABLE #11: </w:t>
      </w:r>
      <w:r w:rsidR="0090009D">
        <w:rPr>
          <w:rFonts w:cs="Arial"/>
          <w:b/>
          <w:bCs/>
        </w:rPr>
        <w:t xml:space="preserve">Using NACOR data </w:t>
      </w:r>
      <w:r w:rsidR="0090009D">
        <w:rPr>
          <w:rFonts w:cs="Arial"/>
          <w:b/>
          <w:bCs/>
        </w:rPr>
        <w:t>–</w:t>
      </w:r>
      <w:r w:rsidR="0090009D">
        <w:rPr>
          <w:rFonts w:cs="Arial"/>
          <w:b/>
          <w:bCs/>
        </w:rPr>
        <w:t xml:space="preserve"> </w:t>
      </w:r>
      <w:r>
        <w:rPr>
          <w:rFonts w:cs="Arial"/>
          <w:b/>
          <w:bCs/>
        </w:rPr>
        <w:t>R</w:t>
      </w:r>
      <w:r w:rsidRPr="008F271B">
        <w:rPr>
          <w:rFonts w:cs="Arial"/>
          <w:b/>
          <w:bCs/>
        </w:rPr>
        <w:t xml:space="preserve">eporting </w:t>
      </w:r>
      <w:r>
        <w:rPr>
          <w:rFonts w:cs="Arial"/>
          <w:b/>
          <w:bCs/>
        </w:rPr>
        <w:t>by Anesthesia Practice</w:t>
      </w:r>
    </w:p>
    <w:tbl>
      <w:tblPr>
        <w:tblW w:w="10038" w:type="dxa"/>
        <w:tblInd w:w="93" w:type="dxa"/>
        <w:tblLook w:val="04A0" w:firstRow="1" w:lastRow="0" w:firstColumn="1" w:lastColumn="0" w:noHBand="0" w:noVBand="1"/>
      </w:tblPr>
      <w:tblGrid>
        <w:gridCol w:w="1440"/>
        <w:gridCol w:w="1388"/>
        <w:gridCol w:w="1392"/>
        <w:gridCol w:w="1403"/>
        <w:gridCol w:w="1403"/>
        <w:gridCol w:w="1506"/>
        <w:gridCol w:w="1506"/>
      </w:tblGrid>
      <w:tr w:rsidR="00A11A02" w:rsidRPr="00412017" w:rsidTr="00A11A02">
        <w:trPr>
          <w:trHeight w:val="2040"/>
        </w:trPr>
        <w:tc>
          <w:tcPr>
            <w:tcW w:w="1440" w:type="dxa"/>
            <w:tcBorders>
              <w:top w:val="single" w:sz="4" w:space="0" w:color="auto"/>
              <w:left w:val="single" w:sz="4" w:space="0" w:color="auto"/>
              <w:bottom w:val="single" w:sz="4" w:space="0" w:color="auto"/>
              <w:right w:val="single" w:sz="4" w:space="0" w:color="auto"/>
            </w:tcBorders>
            <w:shd w:val="clear" w:color="000000" w:fill="F5F5F5"/>
            <w:vAlign w:val="center"/>
            <w:hideMark/>
          </w:tcPr>
          <w:p w:rsidR="00A11A02" w:rsidRPr="00412017" w:rsidRDefault="00A11A02" w:rsidP="00F61653">
            <w:pPr>
              <w:spacing w:after="0" w:line="240" w:lineRule="auto"/>
              <w:jc w:val="center"/>
              <w:rPr>
                <w:rFonts w:eastAsia="Times New Roman" w:cs="Arial"/>
                <w:b/>
                <w:bCs/>
                <w:color w:val="000000"/>
              </w:rPr>
            </w:pPr>
          </w:p>
        </w:tc>
        <w:tc>
          <w:tcPr>
            <w:tcW w:w="1388" w:type="dxa"/>
            <w:tcBorders>
              <w:top w:val="single" w:sz="4" w:space="0" w:color="auto"/>
              <w:left w:val="nil"/>
              <w:bottom w:val="single" w:sz="4" w:space="0" w:color="auto"/>
              <w:right w:val="single" w:sz="4" w:space="0" w:color="auto"/>
            </w:tcBorders>
            <w:shd w:val="clear" w:color="000000" w:fill="F5F5F5"/>
            <w:vAlign w:val="center"/>
            <w:hideMark/>
          </w:tcPr>
          <w:p w:rsidR="00A11A02" w:rsidRPr="00412017" w:rsidRDefault="00A11A02" w:rsidP="00F61653">
            <w:pPr>
              <w:spacing w:after="0" w:line="240" w:lineRule="auto"/>
              <w:jc w:val="center"/>
              <w:rPr>
                <w:rFonts w:eastAsia="Times New Roman" w:cs="Arial"/>
                <w:b/>
                <w:bCs/>
                <w:color w:val="000000"/>
              </w:rPr>
            </w:pPr>
            <w:r w:rsidRPr="00412017">
              <w:rPr>
                <w:rFonts w:eastAsia="Times New Roman" w:cs="Arial"/>
                <w:b/>
                <w:bCs/>
                <w:color w:val="000000"/>
              </w:rPr>
              <w:t>Eligible Instances</w:t>
            </w:r>
          </w:p>
        </w:tc>
        <w:tc>
          <w:tcPr>
            <w:tcW w:w="1392" w:type="dxa"/>
            <w:tcBorders>
              <w:top w:val="single" w:sz="4" w:space="0" w:color="auto"/>
              <w:left w:val="nil"/>
              <w:bottom w:val="single" w:sz="4" w:space="0" w:color="auto"/>
              <w:right w:val="single" w:sz="4" w:space="0" w:color="auto"/>
            </w:tcBorders>
            <w:shd w:val="clear" w:color="000000" w:fill="F5F5F5"/>
            <w:vAlign w:val="center"/>
            <w:hideMark/>
          </w:tcPr>
          <w:p w:rsidR="00A11A02" w:rsidRPr="00412017" w:rsidRDefault="00A11A02" w:rsidP="00F61653">
            <w:pPr>
              <w:spacing w:after="0" w:line="240" w:lineRule="auto"/>
              <w:jc w:val="center"/>
              <w:rPr>
                <w:rFonts w:eastAsia="Times New Roman" w:cs="Arial"/>
                <w:b/>
                <w:bCs/>
                <w:color w:val="000000"/>
              </w:rPr>
            </w:pPr>
            <w:r>
              <w:rPr>
                <w:rFonts w:eastAsia="Times New Roman" w:cs="Arial"/>
                <w:b/>
                <w:bCs/>
                <w:color w:val="000000"/>
              </w:rPr>
              <w:t>Number (%</w:t>
            </w:r>
            <w:r w:rsidRPr="004D5FE2">
              <w:rPr>
                <w:rFonts w:eastAsia="Times New Roman" w:cs="Arial"/>
                <w:b/>
                <w:bCs/>
                <w:color w:val="000000"/>
              </w:rPr>
              <w:t>)</w:t>
            </w:r>
            <w:r>
              <w:rPr>
                <w:rFonts w:eastAsia="Times New Roman" w:cs="Arial"/>
                <w:b/>
                <w:bCs/>
                <w:color w:val="000000"/>
              </w:rPr>
              <w:t xml:space="preserve"> of</w:t>
            </w:r>
            <w:r w:rsidRPr="004D5FE2">
              <w:rPr>
                <w:rFonts w:eastAsia="Times New Roman" w:cs="Arial"/>
                <w:b/>
                <w:bCs/>
                <w:color w:val="000000"/>
              </w:rPr>
              <w:t xml:space="preserve"> Eligible</w:t>
            </w:r>
            <w:r w:rsidRPr="00412017">
              <w:rPr>
                <w:rFonts w:eastAsia="Times New Roman" w:cs="Arial"/>
                <w:b/>
                <w:bCs/>
                <w:color w:val="000000"/>
              </w:rPr>
              <w:t xml:space="preserve"> Instances in which Medicare is the primary insurance</w:t>
            </w:r>
          </w:p>
        </w:tc>
        <w:tc>
          <w:tcPr>
            <w:tcW w:w="1403" w:type="dxa"/>
            <w:tcBorders>
              <w:top w:val="single" w:sz="4" w:space="0" w:color="auto"/>
              <w:left w:val="nil"/>
              <w:bottom w:val="single" w:sz="4" w:space="0" w:color="auto"/>
              <w:right w:val="single" w:sz="4" w:space="0" w:color="auto"/>
            </w:tcBorders>
            <w:shd w:val="clear" w:color="000000" w:fill="F5F5F5"/>
            <w:vAlign w:val="center"/>
            <w:hideMark/>
          </w:tcPr>
          <w:p w:rsidR="00A11A02" w:rsidRPr="00412017" w:rsidRDefault="00A11A02" w:rsidP="00F61653">
            <w:pPr>
              <w:spacing w:after="0" w:line="240" w:lineRule="auto"/>
              <w:jc w:val="center"/>
              <w:rPr>
                <w:rFonts w:eastAsia="Times New Roman" w:cs="Arial"/>
                <w:b/>
                <w:bCs/>
                <w:color w:val="000000"/>
              </w:rPr>
            </w:pPr>
            <w:r w:rsidRPr="00412017">
              <w:rPr>
                <w:rFonts w:eastAsia="Times New Roman" w:cs="Arial"/>
                <w:b/>
                <w:bCs/>
                <w:color w:val="000000"/>
              </w:rPr>
              <w:t>Reporting Numerator</w:t>
            </w:r>
            <w:r w:rsidRPr="00412017">
              <w:rPr>
                <w:rFonts w:eastAsia="Times New Roman" w:cs="Arial"/>
                <w:b/>
                <w:bCs/>
                <w:color w:val="000000"/>
              </w:rPr>
              <w:br/>
              <w:t>(Reporting Rate)</w:t>
            </w:r>
          </w:p>
        </w:tc>
        <w:tc>
          <w:tcPr>
            <w:tcW w:w="1403" w:type="dxa"/>
            <w:tcBorders>
              <w:top w:val="single" w:sz="4" w:space="0" w:color="auto"/>
              <w:left w:val="nil"/>
              <w:bottom w:val="single" w:sz="4" w:space="0" w:color="auto"/>
              <w:right w:val="single" w:sz="4" w:space="0" w:color="auto"/>
            </w:tcBorders>
            <w:shd w:val="clear" w:color="000000" w:fill="F5F5F5"/>
            <w:vAlign w:val="center"/>
            <w:hideMark/>
          </w:tcPr>
          <w:p w:rsidR="00A11A02" w:rsidRPr="00412017" w:rsidRDefault="00A11A02" w:rsidP="00F61653">
            <w:pPr>
              <w:spacing w:after="0" w:line="240" w:lineRule="auto"/>
              <w:jc w:val="center"/>
              <w:rPr>
                <w:rFonts w:eastAsia="Times New Roman" w:cs="Arial"/>
                <w:b/>
                <w:bCs/>
                <w:color w:val="000000"/>
              </w:rPr>
            </w:pPr>
            <w:r w:rsidRPr="00412017">
              <w:rPr>
                <w:rFonts w:eastAsia="Times New Roman" w:cs="Arial"/>
                <w:b/>
                <w:bCs/>
                <w:color w:val="000000"/>
              </w:rPr>
              <w:t xml:space="preserve">Reporting Numerator </w:t>
            </w:r>
            <w:r w:rsidRPr="00412017">
              <w:rPr>
                <w:rFonts w:eastAsia="Times New Roman" w:cs="Arial"/>
                <w:b/>
                <w:bCs/>
                <w:color w:val="000000"/>
              </w:rPr>
              <w:br/>
              <w:t>(Reporting Rate) in which Medicare is the primary insurance</w:t>
            </w:r>
          </w:p>
        </w:tc>
        <w:tc>
          <w:tcPr>
            <w:tcW w:w="1506" w:type="dxa"/>
            <w:tcBorders>
              <w:top w:val="single" w:sz="4" w:space="0" w:color="auto"/>
              <w:left w:val="nil"/>
              <w:bottom w:val="single" w:sz="4" w:space="0" w:color="auto"/>
              <w:right w:val="single" w:sz="4" w:space="0" w:color="auto"/>
            </w:tcBorders>
            <w:shd w:val="clear" w:color="000000" w:fill="F5F5F5"/>
            <w:vAlign w:val="center"/>
            <w:hideMark/>
          </w:tcPr>
          <w:p w:rsidR="00A11A02" w:rsidRPr="00412017" w:rsidRDefault="00A11A02" w:rsidP="00F61653">
            <w:pPr>
              <w:spacing w:after="0" w:line="240" w:lineRule="auto"/>
              <w:jc w:val="center"/>
              <w:rPr>
                <w:rFonts w:eastAsia="Times New Roman" w:cs="Arial"/>
                <w:b/>
                <w:bCs/>
                <w:color w:val="000000"/>
              </w:rPr>
            </w:pPr>
            <w:r w:rsidRPr="00412017">
              <w:rPr>
                <w:rFonts w:eastAsia="Times New Roman" w:cs="Arial"/>
                <w:b/>
                <w:bCs/>
                <w:color w:val="000000"/>
              </w:rPr>
              <w:t>Performance Met</w:t>
            </w:r>
            <w:r w:rsidRPr="00412017">
              <w:rPr>
                <w:rFonts w:eastAsia="Times New Roman" w:cs="Arial"/>
                <w:b/>
                <w:bCs/>
                <w:color w:val="000000"/>
              </w:rPr>
              <w:br/>
              <w:t>(Performance Rate)</w:t>
            </w:r>
          </w:p>
        </w:tc>
        <w:tc>
          <w:tcPr>
            <w:tcW w:w="1506" w:type="dxa"/>
            <w:tcBorders>
              <w:top w:val="single" w:sz="4" w:space="0" w:color="auto"/>
              <w:left w:val="nil"/>
              <w:bottom w:val="single" w:sz="4" w:space="0" w:color="auto"/>
              <w:right w:val="single" w:sz="4" w:space="0" w:color="auto"/>
            </w:tcBorders>
            <w:shd w:val="clear" w:color="000000" w:fill="F5F5F5"/>
            <w:vAlign w:val="center"/>
            <w:hideMark/>
          </w:tcPr>
          <w:p w:rsidR="00A11A02" w:rsidRPr="00412017" w:rsidRDefault="00A11A02" w:rsidP="00F61653">
            <w:pPr>
              <w:spacing w:after="0" w:line="240" w:lineRule="auto"/>
              <w:jc w:val="center"/>
              <w:rPr>
                <w:rFonts w:eastAsia="Times New Roman" w:cs="Arial"/>
                <w:b/>
                <w:bCs/>
                <w:color w:val="000000"/>
              </w:rPr>
            </w:pPr>
            <w:r w:rsidRPr="00412017">
              <w:rPr>
                <w:rFonts w:eastAsia="Times New Roman" w:cs="Arial"/>
                <w:b/>
                <w:bCs/>
                <w:color w:val="000000"/>
              </w:rPr>
              <w:t>Performance Met (Performance Rate) in which Medicare is the primary insurance</w:t>
            </w:r>
          </w:p>
        </w:tc>
      </w:tr>
      <w:tr w:rsidR="00A11A02" w:rsidRPr="00412017" w:rsidTr="00A11A02">
        <w:trPr>
          <w:trHeight w:val="288"/>
        </w:trPr>
        <w:tc>
          <w:tcPr>
            <w:tcW w:w="1440" w:type="dxa"/>
            <w:tcBorders>
              <w:top w:val="nil"/>
              <w:left w:val="single" w:sz="4" w:space="0" w:color="auto"/>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center"/>
              <w:rPr>
                <w:rFonts w:eastAsia="Times New Roman" w:cs="Arial"/>
                <w:color w:val="000000"/>
              </w:rPr>
            </w:pPr>
            <w:r>
              <w:rPr>
                <w:rFonts w:eastAsia="Times New Roman" w:cs="Arial"/>
                <w:color w:val="000000"/>
              </w:rPr>
              <w:t>Min</w:t>
            </w:r>
          </w:p>
        </w:tc>
        <w:tc>
          <w:tcPr>
            <w:tcW w:w="1388" w:type="dxa"/>
            <w:tcBorders>
              <w:top w:val="nil"/>
              <w:left w:val="nil"/>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17</w:t>
            </w:r>
          </w:p>
        </w:tc>
        <w:tc>
          <w:tcPr>
            <w:tcW w:w="1392"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3</w:t>
            </w:r>
          </w:p>
        </w:tc>
        <w:tc>
          <w:tcPr>
            <w:tcW w:w="1403" w:type="dxa"/>
            <w:tcBorders>
              <w:top w:val="nil"/>
              <w:left w:val="nil"/>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2</w:t>
            </w:r>
          </w:p>
        </w:tc>
        <w:tc>
          <w:tcPr>
            <w:tcW w:w="1403" w:type="dxa"/>
            <w:tcBorders>
              <w:top w:val="nil"/>
              <w:left w:val="nil"/>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3</w:t>
            </w:r>
          </w:p>
        </w:tc>
        <w:tc>
          <w:tcPr>
            <w:tcW w:w="1506" w:type="dxa"/>
            <w:tcBorders>
              <w:top w:val="nil"/>
              <w:left w:val="nil"/>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2</w:t>
            </w:r>
          </w:p>
        </w:tc>
        <w:tc>
          <w:tcPr>
            <w:tcW w:w="1506" w:type="dxa"/>
            <w:tcBorders>
              <w:top w:val="nil"/>
              <w:left w:val="nil"/>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2</w:t>
            </w:r>
          </w:p>
        </w:tc>
      </w:tr>
      <w:tr w:rsidR="00A11A02" w:rsidRPr="00412017" w:rsidTr="00A11A02">
        <w:trPr>
          <w:trHeight w:val="288"/>
        </w:trPr>
        <w:tc>
          <w:tcPr>
            <w:tcW w:w="1440" w:type="dxa"/>
            <w:tcBorders>
              <w:top w:val="nil"/>
              <w:left w:val="single" w:sz="4" w:space="0" w:color="auto"/>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center"/>
              <w:rPr>
                <w:rFonts w:eastAsia="Times New Roman" w:cs="Arial"/>
                <w:color w:val="000000"/>
              </w:rPr>
            </w:pPr>
            <w:r>
              <w:rPr>
                <w:rFonts w:eastAsia="Times New Roman" w:cs="Arial"/>
                <w:color w:val="000000"/>
              </w:rPr>
              <w:t>Max</w:t>
            </w:r>
          </w:p>
        </w:tc>
        <w:tc>
          <w:tcPr>
            <w:tcW w:w="1388" w:type="dxa"/>
            <w:tcBorders>
              <w:top w:val="nil"/>
              <w:left w:val="nil"/>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339,076</w:t>
            </w:r>
          </w:p>
        </w:tc>
        <w:tc>
          <w:tcPr>
            <w:tcW w:w="1392"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62,062</w:t>
            </w:r>
          </w:p>
        </w:tc>
        <w:tc>
          <w:tcPr>
            <w:tcW w:w="1403"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144,903</w:t>
            </w:r>
          </w:p>
        </w:tc>
        <w:tc>
          <w:tcPr>
            <w:tcW w:w="1403"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52,039</w:t>
            </w:r>
          </w:p>
        </w:tc>
        <w:tc>
          <w:tcPr>
            <w:tcW w:w="1506"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58,625</w:t>
            </w:r>
          </w:p>
        </w:tc>
        <w:tc>
          <w:tcPr>
            <w:tcW w:w="1506"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26,597</w:t>
            </w:r>
          </w:p>
        </w:tc>
      </w:tr>
      <w:tr w:rsidR="00A11A02" w:rsidRPr="00412017" w:rsidTr="00A11A02">
        <w:trPr>
          <w:trHeight w:val="288"/>
        </w:trPr>
        <w:tc>
          <w:tcPr>
            <w:tcW w:w="1440" w:type="dxa"/>
            <w:tcBorders>
              <w:top w:val="nil"/>
              <w:left w:val="single" w:sz="4" w:space="0" w:color="auto"/>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center"/>
              <w:rPr>
                <w:rFonts w:eastAsia="Times New Roman" w:cs="Arial"/>
                <w:color w:val="000000"/>
              </w:rPr>
            </w:pPr>
            <w:r>
              <w:rPr>
                <w:rFonts w:eastAsia="Times New Roman" w:cs="Arial"/>
                <w:color w:val="000000"/>
              </w:rPr>
              <w:t>Mean</w:t>
            </w:r>
          </w:p>
        </w:tc>
        <w:tc>
          <w:tcPr>
            <w:tcW w:w="1388" w:type="dxa"/>
            <w:tcBorders>
              <w:top w:val="nil"/>
              <w:left w:val="nil"/>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42,261</w:t>
            </w:r>
          </w:p>
        </w:tc>
        <w:tc>
          <w:tcPr>
            <w:tcW w:w="1392"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12,863</w:t>
            </w:r>
          </w:p>
        </w:tc>
        <w:tc>
          <w:tcPr>
            <w:tcW w:w="1403"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13,636</w:t>
            </w:r>
          </w:p>
        </w:tc>
        <w:tc>
          <w:tcPr>
            <w:tcW w:w="1403"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9,905</w:t>
            </w:r>
          </w:p>
        </w:tc>
        <w:tc>
          <w:tcPr>
            <w:tcW w:w="1506"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6,906</w:t>
            </w:r>
          </w:p>
        </w:tc>
        <w:tc>
          <w:tcPr>
            <w:tcW w:w="1506"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5,096</w:t>
            </w:r>
          </w:p>
        </w:tc>
      </w:tr>
      <w:tr w:rsidR="00A11A02" w:rsidRPr="00412017" w:rsidTr="00A11A02">
        <w:trPr>
          <w:trHeight w:val="288"/>
        </w:trPr>
        <w:tc>
          <w:tcPr>
            <w:tcW w:w="1440" w:type="dxa"/>
            <w:tcBorders>
              <w:top w:val="nil"/>
              <w:left w:val="single" w:sz="4" w:space="0" w:color="auto"/>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center"/>
              <w:rPr>
                <w:rFonts w:eastAsia="Times New Roman" w:cs="Arial"/>
                <w:color w:val="000000"/>
              </w:rPr>
            </w:pPr>
            <w:r>
              <w:rPr>
                <w:rFonts w:eastAsia="Times New Roman" w:cs="Arial"/>
                <w:color w:val="000000"/>
              </w:rPr>
              <w:t>Median</w:t>
            </w:r>
          </w:p>
        </w:tc>
        <w:tc>
          <w:tcPr>
            <w:tcW w:w="1388" w:type="dxa"/>
            <w:tcBorders>
              <w:top w:val="nil"/>
              <w:left w:val="nil"/>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26,099</w:t>
            </w:r>
          </w:p>
        </w:tc>
        <w:tc>
          <w:tcPr>
            <w:tcW w:w="1392"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7,876</w:t>
            </w:r>
          </w:p>
        </w:tc>
        <w:tc>
          <w:tcPr>
            <w:tcW w:w="1403"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6,680</w:t>
            </w:r>
          </w:p>
        </w:tc>
        <w:tc>
          <w:tcPr>
            <w:tcW w:w="1403"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6,000</w:t>
            </w:r>
          </w:p>
        </w:tc>
        <w:tc>
          <w:tcPr>
            <w:tcW w:w="1506"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3,272</w:t>
            </w:r>
          </w:p>
        </w:tc>
        <w:tc>
          <w:tcPr>
            <w:tcW w:w="1506"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3,000</w:t>
            </w:r>
          </w:p>
        </w:tc>
      </w:tr>
      <w:tr w:rsidR="00A11A02" w:rsidRPr="00412017" w:rsidTr="00A11A02">
        <w:trPr>
          <w:trHeight w:val="288"/>
        </w:trPr>
        <w:tc>
          <w:tcPr>
            <w:tcW w:w="1440" w:type="dxa"/>
            <w:tcBorders>
              <w:top w:val="nil"/>
              <w:left w:val="single" w:sz="4" w:space="0" w:color="auto"/>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center"/>
              <w:rPr>
                <w:rFonts w:eastAsia="Times New Roman" w:cs="Arial"/>
                <w:color w:val="000000"/>
              </w:rPr>
            </w:pPr>
            <w:r>
              <w:rPr>
                <w:rFonts w:eastAsia="Times New Roman" w:cs="Arial"/>
                <w:color w:val="000000"/>
              </w:rPr>
              <w:t>1</w:t>
            </w:r>
            <w:r w:rsidRPr="008F271B">
              <w:rPr>
                <w:rFonts w:eastAsia="Times New Roman" w:cs="Arial"/>
                <w:color w:val="000000"/>
                <w:vertAlign w:val="superscript"/>
              </w:rPr>
              <w:t>st</w:t>
            </w:r>
            <w:r>
              <w:rPr>
                <w:rFonts w:eastAsia="Times New Roman" w:cs="Arial"/>
                <w:color w:val="000000"/>
              </w:rPr>
              <w:t xml:space="preserve"> Quartile</w:t>
            </w:r>
          </w:p>
        </w:tc>
        <w:tc>
          <w:tcPr>
            <w:tcW w:w="1388" w:type="dxa"/>
            <w:tcBorders>
              <w:top w:val="nil"/>
              <w:left w:val="nil"/>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10,062</w:t>
            </w:r>
          </w:p>
        </w:tc>
        <w:tc>
          <w:tcPr>
            <w:tcW w:w="1392"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3,077</w:t>
            </w:r>
          </w:p>
        </w:tc>
        <w:tc>
          <w:tcPr>
            <w:tcW w:w="1403"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2,384</w:t>
            </w:r>
          </w:p>
        </w:tc>
        <w:tc>
          <w:tcPr>
            <w:tcW w:w="1403"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2,171</w:t>
            </w:r>
          </w:p>
        </w:tc>
        <w:tc>
          <w:tcPr>
            <w:tcW w:w="1506"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1,049</w:t>
            </w:r>
          </w:p>
        </w:tc>
        <w:tc>
          <w:tcPr>
            <w:tcW w:w="1506"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1,007</w:t>
            </w:r>
          </w:p>
        </w:tc>
      </w:tr>
      <w:tr w:rsidR="00A11A02" w:rsidRPr="00412017" w:rsidTr="00A11A02">
        <w:trPr>
          <w:trHeight w:val="288"/>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A11A02" w:rsidRDefault="00A11A02" w:rsidP="00F61653">
            <w:pPr>
              <w:spacing w:after="0" w:line="240" w:lineRule="auto"/>
              <w:jc w:val="center"/>
              <w:rPr>
                <w:rFonts w:eastAsia="Times New Roman" w:cs="Arial"/>
                <w:color w:val="000000"/>
              </w:rPr>
            </w:pPr>
            <w:r>
              <w:rPr>
                <w:rFonts w:eastAsia="Times New Roman" w:cs="Arial"/>
                <w:color w:val="000000"/>
              </w:rPr>
              <w:t>3</w:t>
            </w:r>
            <w:r w:rsidRPr="008F271B">
              <w:rPr>
                <w:rFonts w:eastAsia="Times New Roman" w:cs="Arial"/>
                <w:color w:val="000000"/>
                <w:vertAlign w:val="superscript"/>
              </w:rPr>
              <w:t>rd</w:t>
            </w:r>
            <w:r>
              <w:rPr>
                <w:rFonts w:eastAsia="Times New Roman" w:cs="Arial"/>
                <w:color w:val="000000"/>
              </w:rPr>
              <w:t xml:space="preserve"> Quartile</w:t>
            </w:r>
          </w:p>
        </w:tc>
        <w:tc>
          <w:tcPr>
            <w:tcW w:w="1388" w:type="dxa"/>
            <w:tcBorders>
              <w:top w:val="single" w:sz="4" w:space="0" w:color="auto"/>
              <w:left w:val="nil"/>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53,983</w:t>
            </w:r>
          </w:p>
        </w:tc>
        <w:tc>
          <w:tcPr>
            <w:tcW w:w="1392" w:type="dxa"/>
            <w:tcBorders>
              <w:top w:val="single" w:sz="4" w:space="0" w:color="auto"/>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17,063</w:t>
            </w:r>
          </w:p>
        </w:tc>
        <w:tc>
          <w:tcPr>
            <w:tcW w:w="1403" w:type="dxa"/>
            <w:tcBorders>
              <w:top w:val="single" w:sz="4" w:space="0" w:color="auto"/>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14,906</w:t>
            </w:r>
          </w:p>
        </w:tc>
        <w:tc>
          <w:tcPr>
            <w:tcW w:w="1403" w:type="dxa"/>
            <w:tcBorders>
              <w:top w:val="single" w:sz="4" w:space="0" w:color="auto"/>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13,618</w:t>
            </w:r>
          </w:p>
        </w:tc>
        <w:tc>
          <w:tcPr>
            <w:tcW w:w="1506" w:type="dxa"/>
            <w:tcBorders>
              <w:top w:val="single" w:sz="4" w:space="0" w:color="auto"/>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8,602</w:t>
            </w:r>
          </w:p>
        </w:tc>
        <w:tc>
          <w:tcPr>
            <w:tcW w:w="1506" w:type="dxa"/>
            <w:tcBorders>
              <w:top w:val="single" w:sz="4" w:space="0" w:color="auto"/>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7,135</w:t>
            </w:r>
          </w:p>
        </w:tc>
      </w:tr>
    </w:tbl>
    <w:p w:rsidR="0042121C" w:rsidRPr="00AC78F6" w:rsidRDefault="0042121C" w:rsidP="0042121C">
      <w:pPr>
        <w:autoSpaceDE w:val="0"/>
        <w:autoSpaceDN w:val="0"/>
        <w:adjustRightInd w:val="0"/>
        <w:spacing w:after="0" w:line="240" w:lineRule="auto"/>
        <w:rPr>
          <w:rFonts w:cs="Arial"/>
          <w:bCs/>
        </w:rPr>
      </w:pPr>
    </w:p>
    <w:p w:rsidR="00A11A02" w:rsidRPr="008F271B" w:rsidRDefault="00A11A02" w:rsidP="00A11A02">
      <w:pPr>
        <w:autoSpaceDE w:val="0"/>
        <w:autoSpaceDN w:val="0"/>
        <w:adjustRightInd w:val="0"/>
        <w:spacing w:after="0" w:line="240" w:lineRule="auto"/>
        <w:rPr>
          <w:rFonts w:cs="Arial"/>
          <w:b/>
          <w:bCs/>
        </w:rPr>
      </w:pPr>
      <w:r>
        <w:rPr>
          <w:rFonts w:cs="Arial"/>
          <w:b/>
          <w:bCs/>
        </w:rPr>
        <w:t xml:space="preserve">TABLE #12: </w:t>
      </w:r>
      <w:r w:rsidR="0090009D">
        <w:rPr>
          <w:rFonts w:cs="Arial"/>
          <w:b/>
          <w:bCs/>
        </w:rPr>
        <w:t xml:space="preserve">Using NACOR data – </w:t>
      </w:r>
      <w:r>
        <w:rPr>
          <w:rFonts w:cs="Arial"/>
          <w:b/>
          <w:bCs/>
        </w:rPr>
        <w:t>R</w:t>
      </w:r>
      <w:r w:rsidRPr="008F271B">
        <w:rPr>
          <w:rFonts w:cs="Arial"/>
          <w:b/>
          <w:bCs/>
        </w:rPr>
        <w:t xml:space="preserve">eporting </w:t>
      </w:r>
      <w:r>
        <w:rPr>
          <w:rFonts w:cs="Arial"/>
          <w:b/>
          <w:bCs/>
        </w:rPr>
        <w:t>by Facility</w:t>
      </w:r>
    </w:p>
    <w:tbl>
      <w:tblPr>
        <w:tblW w:w="10038" w:type="dxa"/>
        <w:tblInd w:w="93" w:type="dxa"/>
        <w:tblLook w:val="04A0" w:firstRow="1" w:lastRow="0" w:firstColumn="1" w:lastColumn="0" w:noHBand="0" w:noVBand="1"/>
      </w:tblPr>
      <w:tblGrid>
        <w:gridCol w:w="1440"/>
        <w:gridCol w:w="1388"/>
        <w:gridCol w:w="1392"/>
        <w:gridCol w:w="1403"/>
        <w:gridCol w:w="1403"/>
        <w:gridCol w:w="1506"/>
        <w:gridCol w:w="1506"/>
      </w:tblGrid>
      <w:tr w:rsidR="00A11A02" w:rsidRPr="00412017" w:rsidTr="00F61653">
        <w:trPr>
          <w:trHeight w:val="2040"/>
        </w:trPr>
        <w:tc>
          <w:tcPr>
            <w:tcW w:w="1440" w:type="dxa"/>
            <w:tcBorders>
              <w:top w:val="single" w:sz="4" w:space="0" w:color="auto"/>
              <w:left w:val="single" w:sz="4" w:space="0" w:color="auto"/>
              <w:bottom w:val="single" w:sz="4" w:space="0" w:color="auto"/>
              <w:right w:val="single" w:sz="4" w:space="0" w:color="auto"/>
            </w:tcBorders>
            <w:shd w:val="clear" w:color="000000" w:fill="F5F5F5"/>
            <w:vAlign w:val="center"/>
            <w:hideMark/>
          </w:tcPr>
          <w:p w:rsidR="00A11A02" w:rsidRPr="00412017" w:rsidRDefault="00A11A02" w:rsidP="00F61653">
            <w:pPr>
              <w:spacing w:after="0" w:line="240" w:lineRule="auto"/>
              <w:jc w:val="center"/>
              <w:rPr>
                <w:rFonts w:eastAsia="Times New Roman" w:cs="Arial"/>
                <w:b/>
                <w:bCs/>
                <w:color w:val="000000"/>
              </w:rPr>
            </w:pPr>
          </w:p>
        </w:tc>
        <w:tc>
          <w:tcPr>
            <w:tcW w:w="1388" w:type="dxa"/>
            <w:tcBorders>
              <w:top w:val="single" w:sz="4" w:space="0" w:color="auto"/>
              <w:left w:val="nil"/>
              <w:bottom w:val="single" w:sz="4" w:space="0" w:color="auto"/>
              <w:right w:val="single" w:sz="4" w:space="0" w:color="auto"/>
            </w:tcBorders>
            <w:shd w:val="clear" w:color="000000" w:fill="F5F5F5"/>
            <w:vAlign w:val="center"/>
            <w:hideMark/>
          </w:tcPr>
          <w:p w:rsidR="00A11A02" w:rsidRPr="00412017" w:rsidRDefault="00A11A02" w:rsidP="00F61653">
            <w:pPr>
              <w:spacing w:after="0" w:line="240" w:lineRule="auto"/>
              <w:jc w:val="center"/>
              <w:rPr>
                <w:rFonts w:eastAsia="Times New Roman" w:cs="Arial"/>
                <w:b/>
                <w:bCs/>
                <w:color w:val="000000"/>
              </w:rPr>
            </w:pPr>
            <w:r w:rsidRPr="00412017">
              <w:rPr>
                <w:rFonts w:eastAsia="Times New Roman" w:cs="Arial"/>
                <w:b/>
                <w:bCs/>
                <w:color w:val="000000"/>
              </w:rPr>
              <w:t>Eligible Instances</w:t>
            </w:r>
          </w:p>
        </w:tc>
        <w:tc>
          <w:tcPr>
            <w:tcW w:w="1392" w:type="dxa"/>
            <w:tcBorders>
              <w:top w:val="single" w:sz="4" w:space="0" w:color="auto"/>
              <w:left w:val="nil"/>
              <w:bottom w:val="single" w:sz="4" w:space="0" w:color="auto"/>
              <w:right w:val="single" w:sz="4" w:space="0" w:color="auto"/>
            </w:tcBorders>
            <w:shd w:val="clear" w:color="000000" w:fill="F5F5F5"/>
            <w:vAlign w:val="center"/>
            <w:hideMark/>
          </w:tcPr>
          <w:p w:rsidR="00A11A02" w:rsidRPr="00412017" w:rsidRDefault="00A11A02" w:rsidP="00F61653">
            <w:pPr>
              <w:spacing w:after="0" w:line="240" w:lineRule="auto"/>
              <w:jc w:val="center"/>
              <w:rPr>
                <w:rFonts w:eastAsia="Times New Roman" w:cs="Arial"/>
                <w:b/>
                <w:bCs/>
                <w:color w:val="000000"/>
              </w:rPr>
            </w:pPr>
            <w:r>
              <w:rPr>
                <w:rFonts w:eastAsia="Times New Roman" w:cs="Arial"/>
                <w:b/>
                <w:bCs/>
                <w:color w:val="000000"/>
              </w:rPr>
              <w:t>Number (%</w:t>
            </w:r>
            <w:r w:rsidRPr="004D5FE2">
              <w:rPr>
                <w:rFonts w:eastAsia="Times New Roman" w:cs="Arial"/>
                <w:b/>
                <w:bCs/>
                <w:color w:val="000000"/>
              </w:rPr>
              <w:t>)</w:t>
            </w:r>
            <w:r>
              <w:rPr>
                <w:rFonts w:eastAsia="Times New Roman" w:cs="Arial"/>
                <w:b/>
                <w:bCs/>
                <w:color w:val="000000"/>
              </w:rPr>
              <w:t xml:space="preserve"> of</w:t>
            </w:r>
            <w:r w:rsidRPr="004D5FE2">
              <w:rPr>
                <w:rFonts w:eastAsia="Times New Roman" w:cs="Arial"/>
                <w:b/>
                <w:bCs/>
                <w:color w:val="000000"/>
              </w:rPr>
              <w:t xml:space="preserve"> Eligible</w:t>
            </w:r>
            <w:r w:rsidRPr="00412017">
              <w:rPr>
                <w:rFonts w:eastAsia="Times New Roman" w:cs="Arial"/>
                <w:b/>
                <w:bCs/>
                <w:color w:val="000000"/>
              </w:rPr>
              <w:t xml:space="preserve"> Instances in which Medicare is the primary insurance</w:t>
            </w:r>
          </w:p>
        </w:tc>
        <w:tc>
          <w:tcPr>
            <w:tcW w:w="1403" w:type="dxa"/>
            <w:tcBorders>
              <w:top w:val="single" w:sz="4" w:space="0" w:color="auto"/>
              <w:left w:val="nil"/>
              <w:bottom w:val="single" w:sz="4" w:space="0" w:color="auto"/>
              <w:right w:val="single" w:sz="4" w:space="0" w:color="auto"/>
            </w:tcBorders>
            <w:shd w:val="clear" w:color="000000" w:fill="F5F5F5"/>
            <w:vAlign w:val="center"/>
            <w:hideMark/>
          </w:tcPr>
          <w:p w:rsidR="00A11A02" w:rsidRPr="00412017" w:rsidRDefault="00A11A02" w:rsidP="00F61653">
            <w:pPr>
              <w:spacing w:after="0" w:line="240" w:lineRule="auto"/>
              <w:jc w:val="center"/>
              <w:rPr>
                <w:rFonts w:eastAsia="Times New Roman" w:cs="Arial"/>
                <w:b/>
                <w:bCs/>
                <w:color w:val="000000"/>
              </w:rPr>
            </w:pPr>
            <w:r w:rsidRPr="00412017">
              <w:rPr>
                <w:rFonts w:eastAsia="Times New Roman" w:cs="Arial"/>
                <w:b/>
                <w:bCs/>
                <w:color w:val="000000"/>
              </w:rPr>
              <w:t>Reporting Numerator</w:t>
            </w:r>
            <w:r w:rsidRPr="00412017">
              <w:rPr>
                <w:rFonts w:eastAsia="Times New Roman" w:cs="Arial"/>
                <w:b/>
                <w:bCs/>
                <w:color w:val="000000"/>
              </w:rPr>
              <w:br/>
              <w:t>(Reporting Rate)</w:t>
            </w:r>
          </w:p>
        </w:tc>
        <w:tc>
          <w:tcPr>
            <w:tcW w:w="1403" w:type="dxa"/>
            <w:tcBorders>
              <w:top w:val="single" w:sz="4" w:space="0" w:color="auto"/>
              <w:left w:val="nil"/>
              <w:bottom w:val="single" w:sz="4" w:space="0" w:color="auto"/>
              <w:right w:val="single" w:sz="4" w:space="0" w:color="auto"/>
            </w:tcBorders>
            <w:shd w:val="clear" w:color="000000" w:fill="F5F5F5"/>
            <w:vAlign w:val="center"/>
            <w:hideMark/>
          </w:tcPr>
          <w:p w:rsidR="00A11A02" w:rsidRPr="00412017" w:rsidRDefault="00A11A02" w:rsidP="00F61653">
            <w:pPr>
              <w:spacing w:after="0" w:line="240" w:lineRule="auto"/>
              <w:jc w:val="center"/>
              <w:rPr>
                <w:rFonts w:eastAsia="Times New Roman" w:cs="Arial"/>
                <w:b/>
                <w:bCs/>
                <w:color w:val="000000"/>
              </w:rPr>
            </w:pPr>
            <w:r w:rsidRPr="00412017">
              <w:rPr>
                <w:rFonts w:eastAsia="Times New Roman" w:cs="Arial"/>
                <w:b/>
                <w:bCs/>
                <w:color w:val="000000"/>
              </w:rPr>
              <w:t xml:space="preserve">Reporting Numerator </w:t>
            </w:r>
            <w:r w:rsidRPr="00412017">
              <w:rPr>
                <w:rFonts w:eastAsia="Times New Roman" w:cs="Arial"/>
                <w:b/>
                <w:bCs/>
                <w:color w:val="000000"/>
              </w:rPr>
              <w:br/>
              <w:t>(Reporting Rate) in which Medicare is the primary insurance</w:t>
            </w:r>
          </w:p>
        </w:tc>
        <w:tc>
          <w:tcPr>
            <w:tcW w:w="1506" w:type="dxa"/>
            <w:tcBorders>
              <w:top w:val="single" w:sz="4" w:space="0" w:color="auto"/>
              <w:left w:val="nil"/>
              <w:bottom w:val="single" w:sz="4" w:space="0" w:color="auto"/>
              <w:right w:val="single" w:sz="4" w:space="0" w:color="auto"/>
            </w:tcBorders>
            <w:shd w:val="clear" w:color="000000" w:fill="F5F5F5"/>
            <w:vAlign w:val="center"/>
            <w:hideMark/>
          </w:tcPr>
          <w:p w:rsidR="00A11A02" w:rsidRPr="00412017" w:rsidRDefault="00A11A02" w:rsidP="00F61653">
            <w:pPr>
              <w:spacing w:after="0" w:line="240" w:lineRule="auto"/>
              <w:jc w:val="center"/>
              <w:rPr>
                <w:rFonts w:eastAsia="Times New Roman" w:cs="Arial"/>
                <w:b/>
                <w:bCs/>
                <w:color w:val="000000"/>
              </w:rPr>
            </w:pPr>
            <w:r w:rsidRPr="00412017">
              <w:rPr>
                <w:rFonts w:eastAsia="Times New Roman" w:cs="Arial"/>
                <w:b/>
                <w:bCs/>
                <w:color w:val="000000"/>
              </w:rPr>
              <w:t>Performance Met</w:t>
            </w:r>
            <w:r w:rsidRPr="00412017">
              <w:rPr>
                <w:rFonts w:eastAsia="Times New Roman" w:cs="Arial"/>
                <w:b/>
                <w:bCs/>
                <w:color w:val="000000"/>
              </w:rPr>
              <w:br/>
              <w:t>(Performance Rate)</w:t>
            </w:r>
          </w:p>
        </w:tc>
        <w:tc>
          <w:tcPr>
            <w:tcW w:w="1506" w:type="dxa"/>
            <w:tcBorders>
              <w:top w:val="single" w:sz="4" w:space="0" w:color="auto"/>
              <w:left w:val="nil"/>
              <w:bottom w:val="single" w:sz="4" w:space="0" w:color="auto"/>
              <w:right w:val="single" w:sz="4" w:space="0" w:color="auto"/>
            </w:tcBorders>
            <w:shd w:val="clear" w:color="000000" w:fill="F5F5F5"/>
            <w:vAlign w:val="center"/>
            <w:hideMark/>
          </w:tcPr>
          <w:p w:rsidR="00A11A02" w:rsidRPr="00412017" w:rsidRDefault="00A11A02" w:rsidP="00F61653">
            <w:pPr>
              <w:spacing w:after="0" w:line="240" w:lineRule="auto"/>
              <w:jc w:val="center"/>
              <w:rPr>
                <w:rFonts w:eastAsia="Times New Roman" w:cs="Arial"/>
                <w:b/>
                <w:bCs/>
                <w:color w:val="000000"/>
              </w:rPr>
            </w:pPr>
            <w:r w:rsidRPr="00412017">
              <w:rPr>
                <w:rFonts w:eastAsia="Times New Roman" w:cs="Arial"/>
                <w:b/>
                <w:bCs/>
                <w:color w:val="000000"/>
              </w:rPr>
              <w:t>Performance Met (Performance Rate) in which Medicare is the primary insurance</w:t>
            </w:r>
          </w:p>
        </w:tc>
      </w:tr>
      <w:tr w:rsidR="00A11A02" w:rsidRPr="00412017" w:rsidTr="00F61653">
        <w:trPr>
          <w:trHeight w:val="288"/>
        </w:trPr>
        <w:tc>
          <w:tcPr>
            <w:tcW w:w="1440" w:type="dxa"/>
            <w:tcBorders>
              <w:top w:val="nil"/>
              <w:left w:val="single" w:sz="4" w:space="0" w:color="auto"/>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center"/>
              <w:rPr>
                <w:rFonts w:eastAsia="Times New Roman" w:cs="Arial"/>
                <w:color w:val="000000"/>
              </w:rPr>
            </w:pPr>
            <w:r>
              <w:rPr>
                <w:rFonts w:eastAsia="Times New Roman" w:cs="Arial"/>
                <w:color w:val="000000"/>
              </w:rPr>
              <w:t>Min</w:t>
            </w:r>
          </w:p>
        </w:tc>
        <w:tc>
          <w:tcPr>
            <w:tcW w:w="1388" w:type="dxa"/>
            <w:tcBorders>
              <w:top w:val="nil"/>
              <w:left w:val="nil"/>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1</w:t>
            </w:r>
          </w:p>
        </w:tc>
        <w:tc>
          <w:tcPr>
            <w:tcW w:w="1392"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1</w:t>
            </w:r>
          </w:p>
        </w:tc>
        <w:tc>
          <w:tcPr>
            <w:tcW w:w="1403" w:type="dxa"/>
            <w:tcBorders>
              <w:top w:val="nil"/>
              <w:left w:val="nil"/>
              <w:bottom w:val="single" w:sz="4" w:space="0" w:color="auto"/>
              <w:right w:val="single" w:sz="4" w:space="0" w:color="auto"/>
            </w:tcBorders>
            <w:shd w:val="clear" w:color="auto" w:fill="auto"/>
            <w:vAlign w:val="center"/>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2</w:t>
            </w:r>
          </w:p>
        </w:tc>
        <w:tc>
          <w:tcPr>
            <w:tcW w:w="1403" w:type="dxa"/>
            <w:tcBorders>
              <w:top w:val="nil"/>
              <w:left w:val="nil"/>
              <w:bottom w:val="single" w:sz="4" w:space="0" w:color="auto"/>
              <w:right w:val="single" w:sz="4" w:space="0" w:color="auto"/>
            </w:tcBorders>
            <w:shd w:val="clear" w:color="auto" w:fill="auto"/>
            <w:vAlign w:val="center"/>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1</w:t>
            </w:r>
          </w:p>
        </w:tc>
        <w:tc>
          <w:tcPr>
            <w:tcW w:w="1506" w:type="dxa"/>
            <w:tcBorders>
              <w:top w:val="nil"/>
              <w:left w:val="nil"/>
              <w:bottom w:val="single" w:sz="4" w:space="0" w:color="auto"/>
              <w:right w:val="single" w:sz="4" w:space="0" w:color="auto"/>
            </w:tcBorders>
            <w:shd w:val="clear" w:color="auto" w:fill="auto"/>
            <w:vAlign w:val="center"/>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1</w:t>
            </w:r>
          </w:p>
        </w:tc>
        <w:tc>
          <w:tcPr>
            <w:tcW w:w="1506" w:type="dxa"/>
            <w:tcBorders>
              <w:top w:val="nil"/>
              <w:left w:val="nil"/>
              <w:bottom w:val="single" w:sz="4" w:space="0" w:color="auto"/>
              <w:right w:val="single" w:sz="4" w:space="0" w:color="auto"/>
            </w:tcBorders>
            <w:shd w:val="clear" w:color="auto" w:fill="auto"/>
            <w:vAlign w:val="center"/>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1</w:t>
            </w:r>
          </w:p>
        </w:tc>
      </w:tr>
      <w:tr w:rsidR="00A11A02" w:rsidRPr="00412017" w:rsidTr="00F61653">
        <w:trPr>
          <w:trHeight w:val="288"/>
        </w:trPr>
        <w:tc>
          <w:tcPr>
            <w:tcW w:w="1440" w:type="dxa"/>
            <w:tcBorders>
              <w:top w:val="nil"/>
              <w:left w:val="single" w:sz="4" w:space="0" w:color="auto"/>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center"/>
              <w:rPr>
                <w:rFonts w:eastAsia="Times New Roman" w:cs="Arial"/>
                <w:color w:val="000000"/>
              </w:rPr>
            </w:pPr>
            <w:r>
              <w:rPr>
                <w:rFonts w:eastAsia="Times New Roman" w:cs="Arial"/>
                <w:color w:val="000000"/>
              </w:rPr>
              <w:t>Max</w:t>
            </w:r>
          </w:p>
        </w:tc>
        <w:tc>
          <w:tcPr>
            <w:tcW w:w="1388" w:type="dxa"/>
            <w:tcBorders>
              <w:top w:val="nil"/>
              <w:left w:val="nil"/>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286,465</w:t>
            </w:r>
          </w:p>
        </w:tc>
        <w:tc>
          <w:tcPr>
            <w:tcW w:w="1392"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87,714</w:t>
            </w:r>
          </w:p>
        </w:tc>
        <w:tc>
          <w:tcPr>
            <w:tcW w:w="1403" w:type="dxa"/>
            <w:tcBorders>
              <w:top w:val="nil"/>
              <w:left w:val="nil"/>
              <w:bottom w:val="single" w:sz="4" w:space="0" w:color="auto"/>
              <w:right w:val="single" w:sz="4" w:space="0" w:color="auto"/>
            </w:tcBorders>
            <w:shd w:val="clear" w:color="auto" w:fill="auto"/>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144,903</w:t>
            </w:r>
          </w:p>
        </w:tc>
        <w:tc>
          <w:tcPr>
            <w:tcW w:w="1403" w:type="dxa"/>
            <w:tcBorders>
              <w:top w:val="nil"/>
              <w:left w:val="nil"/>
              <w:bottom w:val="single" w:sz="4" w:space="0" w:color="auto"/>
              <w:right w:val="single" w:sz="4" w:space="0" w:color="auto"/>
            </w:tcBorders>
            <w:shd w:val="clear" w:color="auto" w:fill="auto"/>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74,209</w:t>
            </w:r>
          </w:p>
        </w:tc>
        <w:tc>
          <w:tcPr>
            <w:tcW w:w="1506" w:type="dxa"/>
            <w:tcBorders>
              <w:top w:val="nil"/>
              <w:left w:val="nil"/>
              <w:bottom w:val="single" w:sz="4" w:space="0" w:color="auto"/>
              <w:right w:val="single" w:sz="4" w:space="0" w:color="auto"/>
            </w:tcBorders>
            <w:shd w:val="clear" w:color="auto" w:fill="auto"/>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70,090</w:t>
            </w:r>
          </w:p>
        </w:tc>
        <w:tc>
          <w:tcPr>
            <w:tcW w:w="1506" w:type="dxa"/>
            <w:tcBorders>
              <w:top w:val="nil"/>
              <w:left w:val="nil"/>
              <w:bottom w:val="single" w:sz="4" w:space="0" w:color="auto"/>
              <w:right w:val="single" w:sz="4" w:space="0" w:color="auto"/>
            </w:tcBorders>
            <w:shd w:val="clear" w:color="auto" w:fill="auto"/>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26,358</w:t>
            </w:r>
          </w:p>
        </w:tc>
      </w:tr>
      <w:tr w:rsidR="00A11A02" w:rsidRPr="00412017" w:rsidTr="00F61653">
        <w:trPr>
          <w:trHeight w:val="288"/>
        </w:trPr>
        <w:tc>
          <w:tcPr>
            <w:tcW w:w="1440" w:type="dxa"/>
            <w:tcBorders>
              <w:top w:val="nil"/>
              <w:left w:val="single" w:sz="4" w:space="0" w:color="auto"/>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center"/>
              <w:rPr>
                <w:rFonts w:eastAsia="Times New Roman" w:cs="Arial"/>
                <w:color w:val="000000"/>
              </w:rPr>
            </w:pPr>
            <w:r>
              <w:rPr>
                <w:rFonts w:eastAsia="Times New Roman" w:cs="Arial"/>
                <w:color w:val="000000"/>
              </w:rPr>
              <w:t>Mean</w:t>
            </w:r>
          </w:p>
        </w:tc>
        <w:tc>
          <w:tcPr>
            <w:tcW w:w="1388" w:type="dxa"/>
            <w:tcBorders>
              <w:top w:val="nil"/>
              <w:left w:val="nil"/>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6,878</w:t>
            </w:r>
          </w:p>
        </w:tc>
        <w:tc>
          <w:tcPr>
            <w:tcW w:w="1392"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2,124</w:t>
            </w:r>
          </w:p>
        </w:tc>
        <w:tc>
          <w:tcPr>
            <w:tcW w:w="1403" w:type="dxa"/>
            <w:tcBorders>
              <w:top w:val="nil"/>
              <w:left w:val="nil"/>
              <w:bottom w:val="single" w:sz="4" w:space="0" w:color="auto"/>
              <w:right w:val="single" w:sz="4" w:space="0" w:color="auto"/>
            </w:tcBorders>
            <w:shd w:val="clear" w:color="auto" w:fill="auto"/>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13,636</w:t>
            </w:r>
          </w:p>
        </w:tc>
        <w:tc>
          <w:tcPr>
            <w:tcW w:w="1403" w:type="dxa"/>
            <w:tcBorders>
              <w:top w:val="nil"/>
              <w:left w:val="nil"/>
              <w:bottom w:val="single" w:sz="4" w:space="0" w:color="auto"/>
              <w:right w:val="single" w:sz="4" w:space="0" w:color="auto"/>
            </w:tcBorders>
            <w:shd w:val="clear" w:color="auto" w:fill="auto"/>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1,644</w:t>
            </w:r>
          </w:p>
        </w:tc>
        <w:tc>
          <w:tcPr>
            <w:tcW w:w="1506" w:type="dxa"/>
            <w:tcBorders>
              <w:top w:val="nil"/>
              <w:left w:val="nil"/>
              <w:bottom w:val="single" w:sz="4" w:space="0" w:color="auto"/>
              <w:right w:val="single" w:sz="4" w:space="0" w:color="auto"/>
            </w:tcBorders>
            <w:shd w:val="clear" w:color="auto" w:fill="auto"/>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1,247</w:t>
            </w:r>
          </w:p>
        </w:tc>
        <w:tc>
          <w:tcPr>
            <w:tcW w:w="1506" w:type="dxa"/>
            <w:tcBorders>
              <w:top w:val="nil"/>
              <w:left w:val="nil"/>
              <w:bottom w:val="single" w:sz="4" w:space="0" w:color="auto"/>
              <w:right w:val="single" w:sz="4" w:space="0" w:color="auto"/>
            </w:tcBorders>
            <w:shd w:val="clear" w:color="auto" w:fill="auto"/>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919</w:t>
            </w:r>
          </w:p>
        </w:tc>
      </w:tr>
      <w:tr w:rsidR="00A11A02" w:rsidRPr="00412017" w:rsidTr="00F61653">
        <w:trPr>
          <w:trHeight w:val="288"/>
        </w:trPr>
        <w:tc>
          <w:tcPr>
            <w:tcW w:w="1440" w:type="dxa"/>
            <w:tcBorders>
              <w:top w:val="nil"/>
              <w:left w:val="single" w:sz="4" w:space="0" w:color="auto"/>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center"/>
              <w:rPr>
                <w:rFonts w:eastAsia="Times New Roman" w:cs="Arial"/>
                <w:color w:val="000000"/>
              </w:rPr>
            </w:pPr>
            <w:r>
              <w:rPr>
                <w:rFonts w:eastAsia="Times New Roman" w:cs="Arial"/>
                <w:color w:val="000000"/>
              </w:rPr>
              <w:t>Median</w:t>
            </w:r>
          </w:p>
        </w:tc>
        <w:tc>
          <w:tcPr>
            <w:tcW w:w="1388" w:type="dxa"/>
            <w:tcBorders>
              <w:top w:val="nil"/>
              <w:left w:val="nil"/>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2,134</w:t>
            </w:r>
          </w:p>
        </w:tc>
        <w:tc>
          <w:tcPr>
            <w:tcW w:w="1392"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577</w:t>
            </w:r>
          </w:p>
        </w:tc>
        <w:tc>
          <w:tcPr>
            <w:tcW w:w="1403" w:type="dxa"/>
            <w:tcBorders>
              <w:top w:val="nil"/>
              <w:left w:val="nil"/>
              <w:bottom w:val="single" w:sz="4" w:space="0" w:color="auto"/>
              <w:right w:val="single" w:sz="4" w:space="0" w:color="auto"/>
            </w:tcBorders>
            <w:shd w:val="clear" w:color="auto" w:fill="auto"/>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559</w:t>
            </w:r>
          </w:p>
        </w:tc>
        <w:tc>
          <w:tcPr>
            <w:tcW w:w="1403" w:type="dxa"/>
            <w:tcBorders>
              <w:top w:val="nil"/>
              <w:left w:val="nil"/>
              <w:bottom w:val="single" w:sz="4" w:space="0" w:color="auto"/>
              <w:right w:val="single" w:sz="4" w:space="0" w:color="auto"/>
            </w:tcBorders>
            <w:shd w:val="clear" w:color="auto" w:fill="auto"/>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412</w:t>
            </w:r>
          </w:p>
        </w:tc>
        <w:tc>
          <w:tcPr>
            <w:tcW w:w="1506" w:type="dxa"/>
            <w:tcBorders>
              <w:top w:val="nil"/>
              <w:left w:val="nil"/>
              <w:bottom w:val="single" w:sz="4" w:space="0" w:color="auto"/>
              <w:right w:val="single" w:sz="4" w:space="0" w:color="auto"/>
            </w:tcBorders>
            <w:shd w:val="clear" w:color="auto" w:fill="auto"/>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222</w:t>
            </w:r>
          </w:p>
        </w:tc>
        <w:tc>
          <w:tcPr>
            <w:tcW w:w="1506" w:type="dxa"/>
            <w:tcBorders>
              <w:top w:val="nil"/>
              <w:left w:val="nil"/>
              <w:bottom w:val="single" w:sz="4" w:space="0" w:color="auto"/>
              <w:right w:val="single" w:sz="4" w:space="0" w:color="auto"/>
            </w:tcBorders>
            <w:shd w:val="clear" w:color="auto" w:fill="auto"/>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118</w:t>
            </w:r>
          </w:p>
        </w:tc>
      </w:tr>
      <w:tr w:rsidR="00A11A02" w:rsidRPr="00412017" w:rsidTr="00F61653">
        <w:trPr>
          <w:trHeight w:val="288"/>
        </w:trPr>
        <w:tc>
          <w:tcPr>
            <w:tcW w:w="1440" w:type="dxa"/>
            <w:tcBorders>
              <w:top w:val="nil"/>
              <w:left w:val="single" w:sz="4" w:space="0" w:color="auto"/>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center"/>
              <w:rPr>
                <w:rFonts w:eastAsia="Times New Roman" w:cs="Arial"/>
                <w:color w:val="000000"/>
              </w:rPr>
            </w:pPr>
            <w:r>
              <w:rPr>
                <w:rFonts w:eastAsia="Times New Roman" w:cs="Arial"/>
                <w:color w:val="000000"/>
              </w:rPr>
              <w:t>1</w:t>
            </w:r>
            <w:r w:rsidRPr="008F271B">
              <w:rPr>
                <w:rFonts w:eastAsia="Times New Roman" w:cs="Arial"/>
                <w:color w:val="000000"/>
                <w:vertAlign w:val="superscript"/>
              </w:rPr>
              <w:t>st</w:t>
            </w:r>
            <w:r>
              <w:rPr>
                <w:rFonts w:eastAsia="Times New Roman" w:cs="Arial"/>
                <w:color w:val="000000"/>
              </w:rPr>
              <w:t xml:space="preserve"> Quartile</w:t>
            </w:r>
          </w:p>
        </w:tc>
        <w:tc>
          <w:tcPr>
            <w:tcW w:w="1388" w:type="dxa"/>
            <w:tcBorders>
              <w:top w:val="nil"/>
              <w:left w:val="nil"/>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312</w:t>
            </w:r>
          </w:p>
        </w:tc>
        <w:tc>
          <w:tcPr>
            <w:tcW w:w="1392" w:type="dxa"/>
            <w:tcBorders>
              <w:top w:val="nil"/>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92</w:t>
            </w:r>
          </w:p>
        </w:tc>
        <w:tc>
          <w:tcPr>
            <w:tcW w:w="1403" w:type="dxa"/>
            <w:tcBorders>
              <w:top w:val="nil"/>
              <w:left w:val="nil"/>
              <w:bottom w:val="single" w:sz="4" w:space="0" w:color="auto"/>
              <w:right w:val="single" w:sz="4" w:space="0" w:color="auto"/>
            </w:tcBorders>
            <w:shd w:val="clear" w:color="auto" w:fill="auto"/>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56</w:t>
            </w:r>
          </w:p>
        </w:tc>
        <w:tc>
          <w:tcPr>
            <w:tcW w:w="1403" w:type="dxa"/>
            <w:tcBorders>
              <w:top w:val="nil"/>
              <w:left w:val="nil"/>
              <w:bottom w:val="single" w:sz="4" w:space="0" w:color="auto"/>
              <w:right w:val="single" w:sz="4" w:space="0" w:color="auto"/>
            </w:tcBorders>
            <w:shd w:val="clear" w:color="auto" w:fill="auto"/>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62</w:t>
            </w:r>
          </w:p>
        </w:tc>
        <w:tc>
          <w:tcPr>
            <w:tcW w:w="1506" w:type="dxa"/>
            <w:tcBorders>
              <w:top w:val="nil"/>
              <w:left w:val="nil"/>
              <w:bottom w:val="single" w:sz="4" w:space="0" w:color="auto"/>
              <w:right w:val="single" w:sz="4" w:space="0" w:color="auto"/>
            </w:tcBorders>
            <w:shd w:val="clear" w:color="auto" w:fill="auto"/>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20</w:t>
            </w:r>
          </w:p>
        </w:tc>
        <w:tc>
          <w:tcPr>
            <w:tcW w:w="1506" w:type="dxa"/>
            <w:tcBorders>
              <w:top w:val="nil"/>
              <w:left w:val="nil"/>
              <w:bottom w:val="single" w:sz="4" w:space="0" w:color="auto"/>
              <w:right w:val="single" w:sz="4" w:space="0" w:color="auto"/>
            </w:tcBorders>
            <w:shd w:val="clear" w:color="auto" w:fill="auto"/>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17</w:t>
            </w:r>
          </w:p>
        </w:tc>
      </w:tr>
      <w:tr w:rsidR="00A11A02" w:rsidRPr="00412017" w:rsidTr="00F61653">
        <w:trPr>
          <w:trHeight w:val="288"/>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A11A02" w:rsidRDefault="00A11A02" w:rsidP="00F61653">
            <w:pPr>
              <w:spacing w:after="0" w:line="240" w:lineRule="auto"/>
              <w:jc w:val="center"/>
              <w:rPr>
                <w:rFonts w:eastAsia="Times New Roman" w:cs="Arial"/>
                <w:color w:val="000000"/>
              </w:rPr>
            </w:pPr>
            <w:r>
              <w:rPr>
                <w:rFonts w:eastAsia="Times New Roman" w:cs="Arial"/>
                <w:color w:val="000000"/>
              </w:rPr>
              <w:t>3</w:t>
            </w:r>
            <w:r w:rsidRPr="008F271B">
              <w:rPr>
                <w:rFonts w:eastAsia="Times New Roman" w:cs="Arial"/>
                <w:color w:val="000000"/>
                <w:vertAlign w:val="superscript"/>
              </w:rPr>
              <w:t>rd</w:t>
            </w:r>
            <w:r>
              <w:rPr>
                <w:rFonts w:eastAsia="Times New Roman" w:cs="Arial"/>
                <w:color w:val="000000"/>
              </w:rPr>
              <w:t xml:space="preserve"> Quartile</w:t>
            </w:r>
          </w:p>
        </w:tc>
        <w:tc>
          <w:tcPr>
            <w:tcW w:w="1388" w:type="dxa"/>
            <w:tcBorders>
              <w:top w:val="single" w:sz="4" w:space="0" w:color="auto"/>
              <w:left w:val="nil"/>
              <w:bottom w:val="single" w:sz="4" w:space="0" w:color="auto"/>
              <w:right w:val="single" w:sz="4" w:space="0" w:color="auto"/>
            </w:tcBorders>
            <w:shd w:val="clear" w:color="auto" w:fill="auto"/>
            <w:vAlign w:val="center"/>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7,569</w:t>
            </w:r>
          </w:p>
        </w:tc>
        <w:tc>
          <w:tcPr>
            <w:tcW w:w="1392" w:type="dxa"/>
            <w:tcBorders>
              <w:top w:val="single" w:sz="4" w:space="0" w:color="auto"/>
              <w:left w:val="nil"/>
              <w:bottom w:val="single" w:sz="4" w:space="0" w:color="auto"/>
              <w:right w:val="single" w:sz="4" w:space="0" w:color="auto"/>
            </w:tcBorders>
            <w:shd w:val="clear" w:color="auto" w:fill="auto"/>
          </w:tcPr>
          <w:p w:rsidR="00A11A02" w:rsidRPr="00412017" w:rsidRDefault="00A11A02" w:rsidP="00F61653">
            <w:pPr>
              <w:spacing w:after="0" w:line="240" w:lineRule="auto"/>
              <w:jc w:val="right"/>
              <w:rPr>
                <w:rFonts w:eastAsia="Times New Roman" w:cs="Arial"/>
                <w:color w:val="000000"/>
              </w:rPr>
            </w:pPr>
            <w:r>
              <w:rPr>
                <w:rFonts w:eastAsia="Times New Roman" w:cs="Arial"/>
                <w:color w:val="000000"/>
              </w:rPr>
              <w:t>2,346</w:t>
            </w:r>
          </w:p>
        </w:tc>
        <w:tc>
          <w:tcPr>
            <w:tcW w:w="1403" w:type="dxa"/>
            <w:tcBorders>
              <w:top w:val="single" w:sz="4" w:space="0" w:color="auto"/>
              <w:left w:val="nil"/>
              <w:bottom w:val="single" w:sz="4" w:space="0" w:color="auto"/>
              <w:right w:val="single" w:sz="4" w:space="0" w:color="auto"/>
            </w:tcBorders>
            <w:shd w:val="clear" w:color="auto" w:fill="auto"/>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2,067</w:t>
            </w:r>
          </w:p>
        </w:tc>
        <w:tc>
          <w:tcPr>
            <w:tcW w:w="1403" w:type="dxa"/>
            <w:tcBorders>
              <w:top w:val="single" w:sz="4" w:space="0" w:color="auto"/>
              <w:left w:val="nil"/>
              <w:bottom w:val="single" w:sz="4" w:space="0" w:color="auto"/>
              <w:right w:val="single" w:sz="4" w:space="0" w:color="auto"/>
            </w:tcBorders>
            <w:shd w:val="clear" w:color="auto" w:fill="auto"/>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1,642</w:t>
            </w:r>
          </w:p>
        </w:tc>
        <w:tc>
          <w:tcPr>
            <w:tcW w:w="1506" w:type="dxa"/>
            <w:tcBorders>
              <w:top w:val="single" w:sz="4" w:space="0" w:color="auto"/>
              <w:left w:val="nil"/>
              <w:bottom w:val="single" w:sz="4" w:space="0" w:color="auto"/>
              <w:right w:val="single" w:sz="4" w:space="0" w:color="auto"/>
            </w:tcBorders>
            <w:shd w:val="clear" w:color="auto" w:fill="auto"/>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1,001</w:t>
            </w:r>
          </w:p>
        </w:tc>
        <w:tc>
          <w:tcPr>
            <w:tcW w:w="1506" w:type="dxa"/>
            <w:tcBorders>
              <w:top w:val="single" w:sz="4" w:space="0" w:color="auto"/>
              <w:left w:val="nil"/>
              <w:bottom w:val="single" w:sz="4" w:space="0" w:color="auto"/>
              <w:right w:val="single" w:sz="4" w:space="0" w:color="auto"/>
            </w:tcBorders>
            <w:shd w:val="clear" w:color="auto" w:fill="auto"/>
          </w:tcPr>
          <w:p w:rsidR="00A11A02" w:rsidRPr="00412017" w:rsidRDefault="00892E79" w:rsidP="00F61653">
            <w:pPr>
              <w:spacing w:after="0" w:line="240" w:lineRule="auto"/>
              <w:jc w:val="right"/>
              <w:rPr>
                <w:rFonts w:eastAsia="Times New Roman" w:cs="Arial"/>
                <w:color w:val="000000"/>
              </w:rPr>
            </w:pPr>
            <w:r>
              <w:rPr>
                <w:rFonts w:eastAsia="Times New Roman" w:cs="Arial"/>
                <w:color w:val="000000"/>
              </w:rPr>
              <w:t>874</w:t>
            </w:r>
          </w:p>
        </w:tc>
      </w:tr>
    </w:tbl>
    <w:p w:rsidR="0042121C" w:rsidRDefault="0042121C" w:rsidP="0042121C">
      <w:pPr>
        <w:autoSpaceDE w:val="0"/>
        <w:autoSpaceDN w:val="0"/>
        <w:adjustRightInd w:val="0"/>
        <w:spacing w:after="0" w:line="240" w:lineRule="auto"/>
        <w:rPr>
          <w:rFonts w:cs="Arial"/>
          <w:bCs/>
        </w:rPr>
      </w:pPr>
    </w:p>
    <w:p w:rsidR="0090009D" w:rsidRDefault="0090009D" w:rsidP="0042121C">
      <w:pPr>
        <w:autoSpaceDE w:val="0"/>
        <w:autoSpaceDN w:val="0"/>
        <w:adjustRightInd w:val="0"/>
        <w:spacing w:after="0" w:line="240" w:lineRule="auto"/>
        <w:rPr>
          <w:rFonts w:cs="Arial"/>
          <w:bCs/>
        </w:rPr>
      </w:pPr>
    </w:p>
    <w:p w:rsidR="0090009D" w:rsidRDefault="0090009D" w:rsidP="0042121C">
      <w:pPr>
        <w:autoSpaceDE w:val="0"/>
        <w:autoSpaceDN w:val="0"/>
        <w:adjustRightInd w:val="0"/>
        <w:spacing w:after="0" w:line="240" w:lineRule="auto"/>
        <w:rPr>
          <w:rFonts w:cs="Arial"/>
          <w:bCs/>
        </w:rPr>
      </w:pPr>
    </w:p>
    <w:p w:rsidR="0090009D" w:rsidRDefault="0090009D" w:rsidP="0042121C">
      <w:pPr>
        <w:autoSpaceDE w:val="0"/>
        <w:autoSpaceDN w:val="0"/>
        <w:adjustRightInd w:val="0"/>
        <w:spacing w:after="0" w:line="240" w:lineRule="auto"/>
        <w:rPr>
          <w:rFonts w:cs="Arial"/>
          <w:bCs/>
        </w:rPr>
      </w:pPr>
    </w:p>
    <w:p w:rsidR="0090009D" w:rsidRDefault="0090009D" w:rsidP="0042121C">
      <w:pPr>
        <w:autoSpaceDE w:val="0"/>
        <w:autoSpaceDN w:val="0"/>
        <w:adjustRightInd w:val="0"/>
        <w:spacing w:after="0" w:line="240" w:lineRule="auto"/>
        <w:rPr>
          <w:rFonts w:cs="Arial"/>
          <w:bCs/>
        </w:rPr>
      </w:pPr>
    </w:p>
    <w:p w:rsidR="0090009D" w:rsidRDefault="0090009D" w:rsidP="0042121C">
      <w:pPr>
        <w:autoSpaceDE w:val="0"/>
        <w:autoSpaceDN w:val="0"/>
        <w:adjustRightInd w:val="0"/>
        <w:spacing w:after="0" w:line="240" w:lineRule="auto"/>
        <w:rPr>
          <w:rFonts w:cs="Arial"/>
          <w:bCs/>
        </w:rPr>
      </w:pPr>
    </w:p>
    <w:p w:rsidR="0090009D" w:rsidRDefault="0090009D" w:rsidP="0042121C">
      <w:pPr>
        <w:autoSpaceDE w:val="0"/>
        <w:autoSpaceDN w:val="0"/>
        <w:adjustRightInd w:val="0"/>
        <w:spacing w:after="0" w:line="240" w:lineRule="auto"/>
        <w:rPr>
          <w:rFonts w:cs="Arial"/>
          <w:bCs/>
        </w:rPr>
      </w:pPr>
    </w:p>
    <w:p w:rsidR="0090009D" w:rsidRDefault="0090009D" w:rsidP="0042121C">
      <w:pPr>
        <w:autoSpaceDE w:val="0"/>
        <w:autoSpaceDN w:val="0"/>
        <w:adjustRightInd w:val="0"/>
        <w:spacing w:after="0" w:line="240" w:lineRule="auto"/>
        <w:rPr>
          <w:rFonts w:cs="Arial"/>
          <w:bCs/>
        </w:rPr>
      </w:pPr>
    </w:p>
    <w:p w:rsidR="0090009D" w:rsidRDefault="0090009D" w:rsidP="0042121C">
      <w:pPr>
        <w:autoSpaceDE w:val="0"/>
        <w:autoSpaceDN w:val="0"/>
        <w:adjustRightInd w:val="0"/>
        <w:spacing w:after="0" w:line="240" w:lineRule="auto"/>
        <w:rPr>
          <w:rFonts w:cs="Arial"/>
          <w:bCs/>
        </w:rPr>
      </w:pPr>
    </w:p>
    <w:p w:rsidR="0090009D" w:rsidRDefault="0090009D" w:rsidP="0042121C">
      <w:pPr>
        <w:autoSpaceDE w:val="0"/>
        <w:autoSpaceDN w:val="0"/>
        <w:adjustRightInd w:val="0"/>
        <w:spacing w:after="0" w:line="240" w:lineRule="auto"/>
        <w:rPr>
          <w:rFonts w:cs="Arial"/>
          <w:bCs/>
        </w:rPr>
      </w:pPr>
    </w:p>
    <w:p w:rsidR="0090009D" w:rsidRDefault="0090009D" w:rsidP="0042121C">
      <w:pPr>
        <w:autoSpaceDE w:val="0"/>
        <w:autoSpaceDN w:val="0"/>
        <w:adjustRightInd w:val="0"/>
        <w:spacing w:after="0" w:line="240" w:lineRule="auto"/>
        <w:rPr>
          <w:rFonts w:cs="Arial"/>
          <w:bCs/>
        </w:rPr>
      </w:pPr>
    </w:p>
    <w:p w:rsidR="00892E79" w:rsidRDefault="00202CD3" w:rsidP="00892E79">
      <w:pPr>
        <w:autoSpaceDE w:val="0"/>
        <w:autoSpaceDN w:val="0"/>
        <w:adjustRightInd w:val="0"/>
        <w:spacing w:after="0" w:line="240" w:lineRule="auto"/>
        <w:rPr>
          <w:rFonts w:cs="Arial"/>
          <w:b/>
          <w:bCs/>
        </w:rPr>
      </w:pPr>
      <w:r>
        <w:rPr>
          <w:rFonts w:cs="Arial"/>
          <w:b/>
          <w:bCs/>
        </w:rPr>
        <w:lastRenderedPageBreak/>
        <w:t>TABLE #13</w:t>
      </w:r>
      <w:r w:rsidR="00892E79">
        <w:rPr>
          <w:rFonts w:cs="Arial"/>
          <w:b/>
          <w:bCs/>
        </w:rPr>
        <w:t xml:space="preserve">: </w:t>
      </w:r>
      <w:r w:rsidR="0090009D">
        <w:rPr>
          <w:rFonts w:cs="Arial"/>
          <w:b/>
          <w:bCs/>
        </w:rPr>
        <w:t xml:space="preserve">Using NACOR data </w:t>
      </w:r>
      <w:r w:rsidR="0090009D">
        <w:rPr>
          <w:rFonts w:cs="Arial"/>
          <w:b/>
          <w:bCs/>
        </w:rPr>
        <w:t>–</w:t>
      </w:r>
      <w:r w:rsidR="00892E79" w:rsidRPr="008F271B">
        <w:rPr>
          <w:rFonts w:cs="Arial"/>
          <w:b/>
          <w:bCs/>
        </w:rPr>
        <w:t xml:space="preserve"> </w:t>
      </w:r>
      <w:r w:rsidR="00892E79">
        <w:rPr>
          <w:rFonts w:cs="Arial"/>
          <w:b/>
          <w:bCs/>
        </w:rPr>
        <w:t>R</w:t>
      </w:r>
      <w:r w:rsidR="00892E79" w:rsidRPr="008F271B">
        <w:rPr>
          <w:rFonts w:cs="Arial"/>
          <w:b/>
          <w:bCs/>
        </w:rPr>
        <w:t xml:space="preserve">eporting </w:t>
      </w:r>
      <w:r w:rsidR="00892E79">
        <w:rPr>
          <w:rFonts w:cs="Arial"/>
          <w:b/>
          <w:bCs/>
        </w:rPr>
        <w:t>by Provider</w:t>
      </w:r>
    </w:p>
    <w:tbl>
      <w:tblPr>
        <w:tblW w:w="10038" w:type="dxa"/>
        <w:tblInd w:w="93" w:type="dxa"/>
        <w:tblLook w:val="04A0" w:firstRow="1" w:lastRow="0" w:firstColumn="1" w:lastColumn="0" w:noHBand="0" w:noVBand="1"/>
      </w:tblPr>
      <w:tblGrid>
        <w:gridCol w:w="1440"/>
        <w:gridCol w:w="1388"/>
        <w:gridCol w:w="1392"/>
        <w:gridCol w:w="1403"/>
        <w:gridCol w:w="1403"/>
        <w:gridCol w:w="1506"/>
        <w:gridCol w:w="1506"/>
      </w:tblGrid>
      <w:tr w:rsidR="00892E79" w:rsidRPr="00412017" w:rsidTr="00F61653">
        <w:trPr>
          <w:trHeight w:val="2040"/>
        </w:trPr>
        <w:tc>
          <w:tcPr>
            <w:tcW w:w="1440" w:type="dxa"/>
            <w:tcBorders>
              <w:top w:val="single" w:sz="4" w:space="0" w:color="auto"/>
              <w:left w:val="single" w:sz="4" w:space="0" w:color="auto"/>
              <w:bottom w:val="single" w:sz="4" w:space="0" w:color="auto"/>
              <w:right w:val="single" w:sz="4" w:space="0" w:color="auto"/>
            </w:tcBorders>
            <w:shd w:val="clear" w:color="000000" w:fill="F5F5F5"/>
            <w:vAlign w:val="center"/>
            <w:hideMark/>
          </w:tcPr>
          <w:p w:rsidR="00892E79" w:rsidRPr="00412017" w:rsidRDefault="00892E79" w:rsidP="00F61653">
            <w:pPr>
              <w:spacing w:after="0" w:line="240" w:lineRule="auto"/>
              <w:jc w:val="center"/>
              <w:rPr>
                <w:rFonts w:eastAsia="Times New Roman" w:cs="Arial"/>
                <w:b/>
                <w:bCs/>
                <w:color w:val="000000"/>
              </w:rPr>
            </w:pPr>
          </w:p>
        </w:tc>
        <w:tc>
          <w:tcPr>
            <w:tcW w:w="1388" w:type="dxa"/>
            <w:tcBorders>
              <w:top w:val="single" w:sz="4" w:space="0" w:color="auto"/>
              <w:left w:val="nil"/>
              <w:bottom w:val="single" w:sz="4" w:space="0" w:color="auto"/>
              <w:right w:val="single" w:sz="4" w:space="0" w:color="auto"/>
            </w:tcBorders>
            <w:shd w:val="clear" w:color="000000" w:fill="F5F5F5"/>
            <w:vAlign w:val="center"/>
            <w:hideMark/>
          </w:tcPr>
          <w:p w:rsidR="00892E79" w:rsidRPr="00412017" w:rsidRDefault="00892E79" w:rsidP="00F61653">
            <w:pPr>
              <w:spacing w:after="0" w:line="240" w:lineRule="auto"/>
              <w:jc w:val="center"/>
              <w:rPr>
                <w:rFonts w:eastAsia="Times New Roman" w:cs="Arial"/>
                <w:b/>
                <w:bCs/>
                <w:color w:val="000000"/>
              </w:rPr>
            </w:pPr>
            <w:r w:rsidRPr="00412017">
              <w:rPr>
                <w:rFonts w:eastAsia="Times New Roman" w:cs="Arial"/>
                <w:b/>
                <w:bCs/>
                <w:color w:val="000000"/>
              </w:rPr>
              <w:t>Eligible Instances</w:t>
            </w:r>
          </w:p>
        </w:tc>
        <w:tc>
          <w:tcPr>
            <w:tcW w:w="1392" w:type="dxa"/>
            <w:tcBorders>
              <w:top w:val="single" w:sz="4" w:space="0" w:color="auto"/>
              <w:left w:val="nil"/>
              <w:bottom w:val="single" w:sz="4" w:space="0" w:color="auto"/>
              <w:right w:val="single" w:sz="4" w:space="0" w:color="auto"/>
            </w:tcBorders>
            <w:shd w:val="clear" w:color="000000" w:fill="F5F5F5"/>
            <w:vAlign w:val="center"/>
            <w:hideMark/>
          </w:tcPr>
          <w:p w:rsidR="00892E79" w:rsidRPr="00412017" w:rsidRDefault="00892E79" w:rsidP="00F61653">
            <w:pPr>
              <w:spacing w:after="0" w:line="240" w:lineRule="auto"/>
              <w:jc w:val="center"/>
              <w:rPr>
                <w:rFonts w:eastAsia="Times New Roman" w:cs="Arial"/>
                <w:b/>
                <w:bCs/>
                <w:color w:val="000000"/>
              </w:rPr>
            </w:pPr>
            <w:r>
              <w:rPr>
                <w:rFonts w:eastAsia="Times New Roman" w:cs="Arial"/>
                <w:b/>
                <w:bCs/>
                <w:color w:val="000000"/>
              </w:rPr>
              <w:t>Number (%</w:t>
            </w:r>
            <w:r w:rsidRPr="004D5FE2">
              <w:rPr>
                <w:rFonts w:eastAsia="Times New Roman" w:cs="Arial"/>
                <w:b/>
                <w:bCs/>
                <w:color w:val="000000"/>
              </w:rPr>
              <w:t>)</w:t>
            </w:r>
            <w:r>
              <w:rPr>
                <w:rFonts w:eastAsia="Times New Roman" w:cs="Arial"/>
                <w:b/>
                <w:bCs/>
                <w:color w:val="000000"/>
              </w:rPr>
              <w:t xml:space="preserve"> of</w:t>
            </w:r>
            <w:r w:rsidRPr="004D5FE2">
              <w:rPr>
                <w:rFonts w:eastAsia="Times New Roman" w:cs="Arial"/>
                <w:b/>
                <w:bCs/>
                <w:color w:val="000000"/>
              </w:rPr>
              <w:t xml:space="preserve"> Eligible</w:t>
            </w:r>
            <w:r w:rsidRPr="00412017">
              <w:rPr>
                <w:rFonts w:eastAsia="Times New Roman" w:cs="Arial"/>
                <w:b/>
                <w:bCs/>
                <w:color w:val="000000"/>
              </w:rPr>
              <w:t xml:space="preserve"> Instances in which Medicare is the primary insurance</w:t>
            </w:r>
          </w:p>
        </w:tc>
        <w:tc>
          <w:tcPr>
            <w:tcW w:w="1403" w:type="dxa"/>
            <w:tcBorders>
              <w:top w:val="single" w:sz="4" w:space="0" w:color="auto"/>
              <w:left w:val="nil"/>
              <w:bottom w:val="single" w:sz="4" w:space="0" w:color="auto"/>
              <w:right w:val="single" w:sz="4" w:space="0" w:color="auto"/>
            </w:tcBorders>
            <w:shd w:val="clear" w:color="000000" w:fill="F5F5F5"/>
            <w:vAlign w:val="center"/>
            <w:hideMark/>
          </w:tcPr>
          <w:p w:rsidR="00892E79" w:rsidRPr="00412017" w:rsidRDefault="00892E79" w:rsidP="00F61653">
            <w:pPr>
              <w:spacing w:after="0" w:line="240" w:lineRule="auto"/>
              <w:jc w:val="center"/>
              <w:rPr>
                <w:rFonts w:eastAsia="Times New Roman" w:cs="Arial"/>
                <w:b/>
                <w:bCs/>
                <w:color w:val="000000"/>
              </w:rPr>
            </w:pPr>
            <w:r w:rsidRPr="00412017">
              <w:rPr>
                <w:rFonts w:eastAsia="Times New Roman" w:cs="Arial"/>
                <w:b/>
                <w:bCs/>
                <w:color w:val="000000"/>
              </w:rPr>
              <w:t>Reporting Numerator</w:t>
            </w:r>
            <w:r w:rsidRPr="00412017">
              <w:rPr>
                <w:rFonts w:eastAsia="Times New Roman" w:cs="Arial"/>
                <w:b/>
                <w:bCs/>
                <w:color w:val="000000"/>
              </w:rPr>
              <w:br/>
              <w:t>(Reporting Rate)</w:t>
            </w:r>
          </w:p>
        </w:tc>
        <w:tc>
          <w:tcPr>
            <w:tcW w:w="1403" w:type="dxa"/>
            <w:tcBorders>
              <w:top w:val="single" w:sz="4" w:space="0" w:color="auto"/>
              <w:left w:val="nil"/>
              <w:bottom w:val="single" w:sz="4" w:space="0" w:color="auto"/>
              <w:right w:val="single" w:sz="4" w:space="0" w:color="auto"/>
            </w:tcBorders>
            <w:shd w:val="clear" w:color="000000" w:fill="F5F5F5"/>
            <w:vAlign w:val="center"/>
            <w:hideMark/>
          </w:tcPr>
          <w:p w:rsidR="00892E79" w:rsidRPr="00412017" w:rsidRDefault="00892E79" w:rsidP="00F61653">
            <w:pPr>
              <w:spacing w:after="0" w:line="240" w:lineRule="auto"/>
              <w:jc w:val="center"/>
              <w:rPr>
                <w:rFonts w:eastAsia="Times New Roman" w:cs="Arial"/>
                <w:b/>
                <w:bCs/>
                <w:color w:val="000000"/>
              </w:rPr>
            </w:pPr>
            <w:r w:rsidRPr="00412017">
              <w:rPr>
                <w:rFonts w:eastAsia="Times New Roman" w:cs="Arial"/>
                <w:b/>
                <w:bCs/>
                <w:color w:val="000000"/>
              </w:rPr>
              <w:t xml:space="preserve">Reporting Numerator </w:t>
            </w:r>
            <w:r w:rsidRPr="00412017">
              <w:rPr>
                <w:rFonts w:eastAsia="Times New Roman" w:cs="Arial"/>
                <w:b/>
                <w:bCs/>
                <w:color w:val="000000"/>
              </w:rPr>
              <w:br/>
              <w:t>(Reporting Rate) in which Medicare is the primary insurance</w:t>
            </w:r>
          </w:p>
        </w:tc>
        <w:tc>
          <w:tcPr>
            <w:tcW w:w="1506" w:type="dxa"/>
            <w:tcBorders>
              <w:top w:val="single" w:sz="4" w:space="0" w:color="auto"/>
              <w:left w:val="nil"/>
              <w:bottom w:val="single" w:sz="4" w:space="0" w:color="auto"/>
              <w:right w:val="single" w:sz="4" w:space="0" w:color="auto"/>
            </w:tcBorders>
            <w:shd w:val="clear" w:color="000000" w:fill="F5F5F5"/>
            <w:vAlign w:val="center"/>
            <w:hideMark/>
          </w:tcPr>
          <w:p w:rsidR="00892E79" w:rsidRPr="00412017" w:rsidRDefault="00892E79" w:rsidP="00F61653">
            <w:pPr>
              <w:spacing w:after="0" w:line="240" w:lineRule="auto"/>
              <w:jc w:val="center"/>
              <w:rPr>
                <w:rFonts w:eastAsia="Times New Roman" w:cs="Arial"/>
                <w:b/>
                <w:bCs/>
                <w:color w:val="000000"/>
              </w:rPr>
            </w:pPr>
            <w:r w:rsidRPr="00412017">
              <w:rPr>
                <w:rFonts w:eastAsia="Times New Roman" w:cs="Arial"/>
                <w:b/>
                <w:bCs/>
                <w:color w:val="000000"/>
              </w:rPr>
              <w:t>Performance Met</w:t>
            </w:r>
            <w:r w:rsidRPr="00412017">
              <w:rPr>
                <w:rFonts w:eastAsia="Times New Roman" w:cs="Arial"/>
                <w:b/>
                <w:bCs/>
                <w:color w:val="000000"/>
              </w:rPr>
              <w:br/>
              <w:t>(Performance Rate)</w:t>
            </w:r>
          </w:p>
        </w:tc>
        <w:tc>
          <w:tcPr>
            <w:tcW w:w="1506" w:type="dxa"/>
            <w:tcBorders>
              <w:top w:val="single" w:sz="4" w:space="0" w:color="auto"/>
              <w:left w:val="nil"/>
              <w:bottom w:val="single" w:sz="4" w:space="0" w:color="auto"/>
              <w:right w:val="single" w:sz="4" w:space="0" w:color="auto"/>
            </w:tcBorders>
            <w:shd w:val="clear" w:color="000000" w:fill="F5F5F5"/>
            <w:vAlign w:val="center"/>
            <w:hideMark/>
          </w:tcPr>
          <w:p w:rsidR="00892E79" w:rsidRPr="00412017" w:rsidRDefault="00892E79" w:rsidP="00F61653">
            <w:pPr>
              <w:spacing w:after="0" w:line="240" w:lineRule="auto"/>
              <w:jc w:val="center"/>
              <w:rPr>
                <w:rFonts w:eastAsia="Times New Roman" w:cs="Arial"/>
                <w:b/>
                <w:bCs/>
                <w:color w:val="000000"/>
              </w:rPr>
            </w:pPr>
            <w:r w:rsidRPr="00412017">
              <w:rPr>
                <w:rFonts w:eastAsia="Times New Roman" w:cs="Arial"/>
                <w:b/>
                <w:bCs/>
                <w:color w:val="000000"/>
              </w:rPr>
              <w:t>Performance Met (Performance Rate) in which Medicare is the primary insurance</w:t>
            </w:r>
          </w:p>
        </w:tc>
      </w:tr>
      <w:tr w:rsidR="00892E79" w:rsidRPr="00412017" w:rsidTr="00F61653">
        <w:trPr>
          <w:trHeight w:val="288"/>
        </w:trPr>
        <w:tc>
          <w:tcPr>
            <w:tcW w:w="1440" w:type="dxa"/>
            <w:tcBorders>
              <w:top w:val="nil"/>
              <w:left w:val="single" w:sz="4" w:space="0" w:color="auto"/>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center"/>
              <w:rPr>
                <w:rFonts w:eastAsia="Times New Roman" w:cs="Arial"/>
                <w:color w:val="000000"/>
              </w:rPr>
            </w:pPr>
            <w:r>
              <w:rPr>
                <w:rFonts w:eastAsia="Times New Roman" w:cs="Arial"/>
                <w:color w:val="000000"/>
              </w:rPr>
              <w:t>Min</w:t>
            </w:r>
          </w:p>
        </w:tc>
        <w:tc>
          <w:tcPr>
            <w:tcW w:w="1388" w:type="dxa"/>
            <w:tcBorders>
              <w:top w:val="nil"/>
              <w:left w:val="nil"/>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1</w:t>
            </w:r>
          </w:p>
        </w:tc>
        <w:tc>
          <w:tcPr>
            <w:tcW w:w="1392"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1</w:t>
            </w:r>
          </w:p>
        </w:tc>
        <w:tc>
          <w:tcPr>
            <w:tcW w:w="1403" w:type="dxa"/>
            <w:tcBorders>
              <w:top w:val="nil"/>
              <w:left w:val="nil"/>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1</w:t>
            </w:r>
          </w:p>
        </w:tc>
        <w:tc>
          <w:tcPr>
            <w:tcW w:w="1403" w:type="dxa"/>
            <w:tcBorders>
              <w:top w:val="nil"/>
              <w:left w:val="nil"/>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1</w:t>
            </w:r>
          </w:p>
        </w:tc>
        <w:tc>
          <w:tcPr>
            <w:tcW w:w="1506" w:type="dxa"/>
            <w:tcBorders>
              <w:top w:val="nil"/>
              <w:left w:val="nil"/>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1</w:t>
            </w:r>
          </w:p>
        </w:tc>
        <w:tc>
          <w:tcPr>
            <w:tcW w:w="1506" w:type="dxa"/>
            <w:tcBorders>
              <w:top w:val="nil"/>
              <w:left w:val="nil"/>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1</w:t>
            </w:r>
          </w:p>
        </w:tc>
      </w:tr>
      <w:tr w:rsidR="00892E79" w:rsidRPr="00412017" w:rsidTr="00F61653">
        <w:trPr>
          <w:trHeight w:val="288"/>
        </w:trPr>
        <w:tc>
          <w:tcPr>
            <w:tcW w:w="1440" w:type="dxa"/>
            <w:tcBorders>
              <w:top w:val="nil"/>
              <w:left w:val="single" w:sz="4" w:space="0" w:color="auto"/>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center"/>
              <w:rPr>
                <w:rFonts w:eastAsia="Times New Roman" w:cs="Arial"/>
                <w:color w:val="000000"/>
              </w:rPr>
            </w:pPr>
            <w:r>
              <w:rPr>
                <w:rFonts w:eastAsia="Times New Roman" w:cs="Arial"/>
                <w:color w:val="000000"/>
              </w:rPr>
              <w:t>Max</w:t>
            </w:r>
          </w:p>
        </w:tc>
        <w:tc>
          <w:tcPr>
            <w:tcW w:w="1388" w:type="dxa"/>
            <w:tcBorders>
              <w:top w:val="nil"/>
              <w:left w:val="nil"/>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34,086</w:t>
            </w:r>
          </w:p>
        </w:tc>
        <w:tc>
          <w:tcPr>
            <w:tcW w:w="1392"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8,767</w:t>
            </w:r>
          </w:p>
        </w:tc>
        <w:tc>
          <w:tcPr>
            <w:tcW w:w="1403"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8,052</w:t>
            </w:r>
          </w:p>
        </w:tc>
        <w:tc>
          <w:tcPr>
            <w:tcW w:w="1403"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8,8026</w:t>
            </w:r>
          </w:p>
        </w:tc>
        <w:tc>
          <w:tcPr>
            <w:tcW w:w="1506"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6,636</w:t>
            </w:r>
          </w:p>
        </w:tc>
        <w:tc>
          <w:tcPr>
            <w:tcW w:w="1506"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6,614</w:t>
            </w:r>
          </w:p>
        </w:tc>
      </w:tr>
      <w:tr w:rsidR="00892E79" w:rsidRPr="00412017" w:rsidTr="00F61653">
        <w:trPr>
          <w:trHeight w:val="288"/>
        </w:trPr>
        <w:tc>
          <w:tcPr>
            <w:tcW w:w="1440" w:type="dxa"/>
            <w:tcBorders>
              <w:top w:val="nil"/>
              <w:left w:val="single" w:sz="4" w:space="0" w:color="auto"/>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center"/>
              <w:rPr>
                <w:rFonts w:eastAsia="Times New Roman" w:cs="Arial"/>
                <w:color w:val="000000"/>
              </w:rPr>
            </w:pPr>
            <w:r>
              <w:rPr>
                <w:rFonts w:eastAsia="Times New Roman" w:cs="Arial"/>
                <w:color w:val="000000"/>
              </w:rPr>
              <w:t>Mean</w:t>
            </w:r>
          </w:p>
        </w:tc>
        <w:tc>
          <w:tcPr>
            <w:tcW w:w="1388" w:type="dxa"/>
            <w:tcBorders>
              <w:top w:val="nil"/>
              <w:left w:val="nil"/>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802</w:t>
            </w:r>
          </w:p>
        </w:tc>
        <w:tc>
          <w:tcPr>
            <w:tcW w:w="1392"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259</w:t>
            </w:r>
          </w:p>
        </w:tc>
        <w:tc>
          <w:tcPr>
            <w:tcW w:w="1403"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251</w:t>
            </w:r>
          </w:p>
        </w:tc>
        <w:tc>
          <w:tcPr>
            <w:tcW w:w="1403"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199</w:t>
            </w:r>
          </w:p>
        </w:tc>
        <w:tc>
          <w:tcPr>
            <w:tcW w:w="1506"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137</w:t>
            </w:r>
          </w:p>
        </w:tc>
        <w:tc>
          <w:tcPr>
            <w:tcW w:w="1506"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112</w:t>
            </w:r>
          </w:p>
        </w:tc>
      </w:tr>
      <w:tr w:rsidR="00892E79" w:rsidRPr="00412017" w:rsidTr="00F61653">
        <w:trPr>
          <w:trHeight w:val="288"/>
        </w:trPr>
        <w:tc>
          <w:tcPr>
            <w:tcW w:w="1440" w:type="dxa"/>
            <w:tcBorders>
              <w:top w:val="nil"/>
              <w:left w:val="single" w:sz="4" w:space="0" w:color="auto"/>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center"/>
              <w:rPr>
                <w:rFonts w:eastAsia="Times New Roman" w:cs="Arial"/>
                <w:color w:val="000000"/>
              </w:rPr>
            </w:pPr>
            <w:r>
              <w:rPr>
                <w:rFonts w:eastAsia="Times New Roman" w:cs="Arial"/>
                <w:color w:val="000000"/>
              </w:rPr>
              <w:t>Median</w:t>
            </w:r>
          </w:p>
        </w:tc>
        <w:tc>
          <w:tcPr>
            <w:tcW w:w="1388" w:type="dxa"/>
            <w:tcBorders>
              <w:top w:val="nil"/>
              <w:left w:val="nil"/>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441</w:t>
            </w:r>
          </w:p>
        </w:tc>
        <w:tc>
          <w:tcPr>
            <w:tcW w:w="1392"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140</w:t>
            </w:r>
          </w:p>
        </w:tc>
        <w:tc>
          <w:tcPr>
            <w:tcW w:w="1403"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127</w:t>
            </w:r>
          </w:p>
        </w:tc>
        <w:tc>
          <w:tcPr>
            <w:tcW w:w="1403"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110</w:t>
            </w:r>
          </w:p>
        </w:tc>
        <w:tc>
          <w:tcPr>
            <w:tcW w:w="1506"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75</w:t>
            </w:r>
          </w:p>
        </w:tc>
        <w:tc>
          <w:tcPr>
            <w:tcW w:w="1506"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63</w:t>
            </w:r>
          </w:p>
        </w:tc>
      </w:tr>
      <w:tr w:rsidR="00892E79" w:rsidRPr="00412017" w:rsidTr="00F61653">
        <w:trPr>
          <w:trHeight w:val="288"/>
        </w:trPr>
        <w:tc>
          <w:tcPr>
            <w:tcW w:w="1440" w:type="dxa"/>
            <w:tcBorders>
              <w:top w:val="nil"/>
              <w:left w:val="single" w:sz="4" w:space="0" w:color="auto"/>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center"/>
              <w:rPr>
                <w:rFonts w:eastAsia="Times New Roman" w:cs="Arial"/>
                <w:color w:val="000000"/>
              </w:rPr>
            </w:pPr>
            <w:r>
              <w:rPr>
                <w:rFonts w:eastAsia="Times New Roman" w:cs="Arial"/>
                <w:color w:val="000000"/>
              </w:rPr>
              <w:t>1</w:t>
            </w:r>
            <w:r w:rsidRPr="008F271B">
              <w:rPr>
                <w:rFonts w:eastAsia="Times New Roman" w:cs="Arial"/>
                <w:color w:val="000000"/>
                <w:vertAlign w:val="superscript"/>
              </w:rPr>
              <w:t>st</w:t>
            </w:r>
            <w:r>
              <w:rPr>
                <w:rFonts w:eastAsia="Times New Roman" w:cs="Arial"/>
                <w:color w:val="000000"/>
              </w:rPr>
              <w:t xml:space="preserve"> Quartile</w:t>
            </w:r>
          </w:p>
        </w:tc>
        <w:tc>
          <w:tcPr>
            <w:tcW w:w="1388" w:type="dxa"/>
            <w:tcBorders>
              <w:top w:val="nil"/>
              <w:left w:val="nil"/>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117</w:t>
            </w:r>
          </w:p>
        </w:tc>
        <w:tc>
          <w:tcPr>
            <w:tcW w:w="1392"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46</w:t>
            </w:r>
          </w:p>
        </w:tc>
        <w:tc>
          <w:tcPr>
            <w:tcW w:w="1403"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40</w:t>
            </w:r>
          </w:p>
        </w:tc>
        <w:tc>
          <w:tcPr>
            <w:tcW w:w="1403"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31</w:t>
            </w:r>
          </w:p>
        </w:tc>
        <w:tc>
          <w:tcPr>
            <w:tcW w:w="1506"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22</w:t>
            </w:r>
          </w:p>
        </w:tc>
        <w:tc>
          <w:tcPr>
            <w:tcW w:w="1506"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17</w:t>
            </w:r>
          </w:p>
        </w:tc>
      </w:tr>
      <w:tr w:rsidR="00892E79" w:rsidRPr="00412017" w:rsidTr="00F61653">
        <w:trPr>
          <w:trHeight w:val="288"/>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892E79" w:rsidRDefault="00892E79" w:rsidP="00F61653">
            <w:pPr>
              <w:spacing w:after="0" w:line="240" w:lineRule="auto"/>
              <w:jc w:val="center"/>
              <w:rPr>
                <w:rFonts w:eastAsia="Times New Roman" w:cs="Arial"/>
                <w:color w:val="000000"/>
              </w:rPr>
            </w:pPr>
            <w:r>
              <w:rPr>
                <w:rFonts w:eastAsia="Times New Roman" w:cs="Arial"/>
                <w:color w:val="000000"/>
              </w:rPr>
              <w:t>3</w:t>
            </w:r>
            <w:r w:rsidRPr="008F271B">
              <w:rPr>
                <w:rFonts w:eastAsia="Times New Roman" w:cs="Arial"/>
                <w:color w:val="000000"/>
                <w:vertAlign w:val="superscript"/>
              </w:rPr>
              <w:t>rd</w:t>
            </w:r>
            <w:r>
              <w:rPr>
                <w:rFonts w:eastAsia="Times New Roman" w:cs="Arial"/>
                <w:color w:val="000000"/>
              </w:rPr>
              <w:t xml:space="preserve"> Quartile</w:t>
            </w:r>
          </w:p>
        </w:tc>
        <w:tc>
          <w:tcPr>
            <w:tcW w:w="1388" w:type="dxa"/>
            <w:tcBorders>
              <w:top w:val="single" w:sz="4" w:space="0" w:color="auto"/>
              <w:left w:val="nil"/>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1,060</w:t>
            </w:r>
          </w:p>
        </w:tc>
        <w:tc>
          <w:tcPr>
            <w:tcW w:w="1392" w:type="dxa"/>
            <w:tcBorders>
              <w:top w:val="single" w:sz="4" w:space="0" w:color="auto"/>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333</w:t>
            </w:r>
          </w:p>
        </w:tc>
        <w:tc>
          <w:tcPr>
            <w:tcW w:w="1403" w:type="dxa"/>
            <w:tcBorders>
              <w:top w:val="single" w:sz="4" w:space="0" w:color="auto"/>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319</w:t>
            </w:r>
          </w:p>
        </w:tc>
        <w:tc>
          <w:tcPr>
            <w:tcW w:w="1403" w:type="dxa"/>
            <w:tcBorders>
              <w:top w:val="single" w:sz="4" w:space="0" w:color="auto"/>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250</w:t>
            </w:r>
          </w:p>
        </w:tc>
        <w:tc>
          <w:tcPr>
            <w:tcW w:w="1506" w:type="dxa"/>
            <w:tcBorders>
              <w:top w:val="single" w:sz="4" w:space="0" w:color="auto"/>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183</w:t>
            </w:r>
          </w:p>
        </w:tc>
        <w:tc>
          <w:tcPr>
            <w:tcW w:w="1506" w:type="dxa"/>
            <w:tcBorders>
              <w:top w:val="single" w:sz="4" w:space="0" w:color="auto"/>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140</w:t>
            </w:r>
          </w:p>
        </w:tc>
      </w:tr>
    </w:tbl>
    <w:p w:rsidR="0042121C" w:rsidRDefault="0042121C" w:rsidP="0042121C">
      <w:pPr>
        <w:autoSpaceDE w:val="0"/>
        <w:autoSpaceDN w:val="0"/>
        <w:adjustRightInd w:val="0"/>
        <w:spacing w:after="0" w:line="240" w:lineRule="auto"/>
        <w:rPr>
          <w:rFonts w:cstheme="minorHAnsi"/>
          <w:bCs/>
        </w:rPr>
      </w:pPr>
    </w:p>
    <w:p w:rsidR="00F42CC5" w:rsidRDefault="00202CD3" w:rsidP="0042121C">
      <w:pPr>
        <w:autoSpaceDE w:val="0"/>
        <w:autoSpaceDN w:val="0"/>
        <w:adjustRightInd w:val="0"/>
        <w:spacing w:after="0" w:line="240" w:lineRule="auto"/>
        <w:rPr>
          <w:rFonts w:cstheme="minorHAnsi"/>
          <w:bCs/>
        </w:rPr>
      </w:pPr>
      <w:r>
        <w:rPr>
          <w:rFonts w:cstheme="minorHAnsi"/>
          <w:bCs/>
        </w:rPr>
        <w:t>Table #14</w:t>
      </w:r>
      <w:r w:rsidR="00F42CC5">
        <w:rPr>
          <w:rFonts w:cstheme="minorHAnsi"/>
          <w:bCs/>
        </w:rPr>
        <w:t xml:space="preserve"> displays eligible instances, reporting rate and performance rate acc</w:t>
      </w:r>
      <w:r>
        <w:rPr>
          <w:rFonts w:cstheme="minorHAnsi"/>
          <w:bCs/>
        </w:rPr>
        <w:t xml:space="preserve">ording the facility type. Table #15 </w:t>
      </w:r>
      <w:r w:rsidR="00F42CC5">
        <w:rPr>
          <w:rFonts w:cstheme="minorHAnsi"/>
          <w:bCs/>
        </w:rPr>
        <w:t>below displays eligible instances in which Medicare is the primary insurance, reporting rate and performance rate. Data and graphs related to this data are located in the addendum documents.</w:t>
      </w:r>
    </w:p>
    <w:p w:rsidR="00F42CC5" w:rsidRPr="00C90ED7" w:rsidRDefault="00F42CC5" w:rsidP="0042121C">
      <w:pPr>
        <w:autoSpaceDE w:val="0"/>
        <w:autoSpaceDN w:val="0"/>
        <w:adjustRightInd w:val="0"/>
        <w:spacing w:after="0" w:line="240" w:lineRule="auto"/>
        <w:rPr>
          <w:rFonts w:cstheme="minorHAnsi"/>
          <w:bCs/>
        </w:rPr>
      </w:pPr>
    </w:p>
    <w:p w:rsidR="00892E79" w:rsidRDefault="00202CD3" w:rsidP="00DB3627">
      <w:pPr>
        <w:autoSpaceDE w:val="0"/>
        <w:autoSpaceDN w:val="0"/>
        <w:adjustRightInd w:val="0"/>
        <w:spacing w:after="0" w:line="240" w:lineRule="auto"/>
        <w:rPr>
          <w:rFonts w:cstheme="minorHAnsi"/>
          <w:b/>
          <w:bCs/>
        </w:rPr>
      </w:pPr>
      <w:r>
        <w:rPr>
          <w:rFonts w:cstheme="minorHAnsi"/>
          <w:b/>
          <w:bCs/>
        </w:rPr>
        <w:t>TABLE #14</w:t>
      </w:r>
      <w:r w:rsidR="00892E79">
        <w:rPr>
          <w:rFonts w:cstheme="minorHAnsi"/>
          <w:b/>
          <w:bCs/>
        </w:rPr>
        <w:t xml:space="preserve"> – NACOR Eligible Instances Reporting by Facility Type</w:t>
      </w:r>
    </w:p>
    <w:tbl>
      <w:tblPr>
        <w:tblW w:w="9504" w:type="dxa"/>
        <w:tblInd w:w="93" w:type="dxa"/>
        <w:tblLook w:val="04A0" w:firstRow="1" w:lastRow="0" w:firstColumn="1" w:lastColumn="0" w:noHBand="0" w:noVBand="1"/>
      </w:tblPr>
      <w:tblGrid>
        <w:gridCol w:w="4752"/>
        <w:gridCol w:w="1584"/>
        <w:gridCol w:w="1584"/>
        <w:gridCol w:w="1584"/>
      </w:tblGrid>
      <w:tr w:rsidR="00892E79" w:rsidRPr="00412017" w:rsidTr="00EB366E">
        <w:trPr>
          <w:trHeight w:val="1152"/>
        </w:trPr>
        <w:tc>
          <w:tcPr>
            <w:tcW w:w="4752" w:type="dxa"/>
            <w:tcBorders>
              <w:top w:val="single" w:sz="4" w:space="0" w:color="auto"/>
              <w:left w:val="single" w:sz="4" w:space="0" w:color="auto"/>
              <w:bottom w:val="single" w:sz="4" w:space="0" w:color="auto"/>
              <w:right w:val="single" w:sz="4" w:space="0" w:color="auto"/>
            </w:tcBorders>
            <w:shd w:val="clear" w:color="000000" w:fill="F5F5F5"/>
            <w:vAlign w:val="center"/>
            <w:hideMark/>
          </w:tcPr>
          <w:p w:rsidR="00892E79" w:rsidRPr="00412017" w:rsidRDefault="00892E79" w:rsidP="00F61653">
            <w:pPr>
              <w:spacing w:after="0" w:line="240" w:lineRule="auto"/>
              <w:jc w:val="center"/>
              <w:rPr>
                <w:rFonts w:eastAsia="Times New Roman" w:cs="Arial"/>
                <w:b/>
                <w:bCs/>
                <w:color w:val="000000"/>
              </w:rPr>
            </w:pPr>
            <w:r>
              <w:rPr>
                <w:rFonts w:eastAsia="Times New Roman" w:cs="Arial"/>
                <w:b/>
                <w:bCs/>
                <w:color w:val="000000"/>
              </w:rPr>
              <w:t>Facility Type</w:t>
            </w:r>
          </w:p>
        </w:tc>
        <w:tc>
          <w:tcPr>
            <w:tcW w:w="1584" w:type="dxa"/>
            <w:tcBorders>
              <w:top w:val="single" w:sz="4" w:space="0" w:color="auto"/>
              <w:left w:val="nil"/>
              <w:bottom w:val="single" w:sz="4" w:space="0" w:color="auto"/>
              <w:right w:val="single" w:sz="4" w:space="0" w:color="auto"/>
            </w:tcBorders>
            <w:shd w:val="clear" w:color="000000" w:fill="F5F5F5"/>
            <w:vAlign w:val="center"/>
            <w:hideMark/>
          </w:tcPr>
          <w:p w:rsidR="00892E79" w:rsidRPr="00412017" w:rsidRDefault="00892E79" w:rsidP="00F61653">
            <w:pPr>
              <w:spacing w:after="0" w:line="240" w:lineRule="auto"/>
              <w:jc w:val="center"/>
              <w:rPr>
                <w:rFonts w:eastAsia="Times New Roman" w:cs="Arial"/>
                <w:b/>
                <w:bCs/>
                <w:color w:val="000000"/>
              </w:rPr>
            </w:pPr>
            <w:r w:rsidRPr="00412017">
              <w:rPr>
                <w:rFonts w:eastAsia="Times New Roman" w:cs="Arial"/>
                <w:b/>
                <w:bCs/>
                <w:color w:val="000000"/>
              </w:rPr>
              <w:t>Eligible Instances</w:t>
            </w:r>
          </w:p>
        </w:tc>
        <w:tc>
          <w:tcPr>
            <w:tcW w:w="1584" w:type="dxa"/>
            <w:tcBorders>
              <w:top w:val="single" w:sz="4" w:space="0" w:color="auto"/>
              <w:left w:val="nil"/>
              <w:bottom w:val="single" w:sz="4" w:space="0" w:color="auto"/>
              <w:right w:val="single" w:sz="4" w:space="0" w:color="auto"/>
            </w:tcBorders>
            <w:shd w:val="clear" w:color="000000" w:fill="F5F5F5"/>
            <w:vAlign w:val="center"/>
            <w:hideMark/>
          </w:tcPr>
          <w:p w:rsidR="00892E79" w:rsidRPr="00412017" w:rsidRDefault="00892E79" w:rsidP="00F61653">
            <w:pPr>
              <w:spacing w:after="0" w:line="240" w:lineRule="auto"/>
              <w:jc w:val="center"/>
              <w:rPr>
                <w:rFonts w:eastAsia="Times New Roman" w:cs="Arial"/>
                <w:b/>
                <w:bCs/>
                <w:color w:val="000000"/>
              </w:rPr>
            </w:pPr>
            <w:r w:rsidRPr="00412017">
              <w:rPr>
                <w:rFonts w:eastAsia="Times New Roman" w:cs="Arial"/>
                <w:b/>
                <w:bCs/>
                <w:color w:val="000000"/>
              </w:rPr>
              <w:t>Reporting Numerator</w:t>
            </w:r>
            <w:r w:rsidRPr="00412017">
              <w:rPr>
                <w:rFonts w:eastAsia="Times New Roman" w:cs="Arial"/>
                <w:b/>
                <w:bCs/>
                <w:color w:val="000000"/>
              </w:rPr>
              <w:br/>
              <w:t>(Reporting Rate)</w:t>
            </w:r>
          </w:p>
        </w:tc>
        <w:tc>
          <w:tcPr>
            <w:tcW w:w="1584" w:type="dxa"/>
            <w:tcBorders>
              <w:top w:val="single" w:sz="4" w:space="0" w:color="auto"/>
              <w:left w:val="nil"/>
              <w:bottom w:val="single" w:sz="4" w:space="0" w:color="auto"/>
              <w:right w:val="single" w:sz="4" w:space="0" w:color="auto"/>
            </w:tcBorders>
            <w:shd w:val="clear" w:color="000000" w:fill="F5F5F5"/>
            <w:vAlign w:val="center"/>
            <w:hideMark/>
          </w:tcPr>
          <w:p w:rsidR="00892E79" w:rsidRPr="00412017" w:rsidRDefault="00892E79" w:rsidP="00F61653">
            <w:pPr>
              <w:spacing w:after="0" w:line="240" w:lineRule="auto"/>
              <w:jc w:val="center"/>
              <w:rPr>
                <w:rFonts w:eastAsia="Times New Roman" w:cs="Arial"/>
                <w:b/>
                <w:bCs/>
                <w:color w:val="000000"/>
              </w:rPr>
            </w:pPr>
            <w:r w:rsidRPr="00412017">
              <w:rPr>
                <w:rFonts w:eastAsia="Times New Roman" w:cs="Arial"/>
                <w:b/>
                <w:bCs/>
                <w:color w:val="000000"/>
              </w:rPr>
              <w:t>Performance Met</w:t>
            </w:r>
            <w:r w:rsidRPr="00412017">
              <w:rPr>
                <w:rFonts w:eastAsia="Times New Roman" w:cs="Arial"/>
                <w:b/>
                <w:bCs/>
                <w:color w:val="000000"/>
              </w:rPr>
              <w:br/>
              <w:t>(Performance Rate)</w:t>
            </w:r>
          </w:p>
        </w:tc>
      </w:tr>
      <w:tr w:rsidR="00892E79" w:rsidRPr="00412017" w:rsidTr="00EB366E">
        <w:trPr>
          <w:trHeight w:val="288"/>
        </w:trPr>
        <w:tc>
          <w:tcPr>
            <w:tcW w:w="4752" w:type="dxa"/>
            <w:tcBorders>
              <w:top w:val="nil"/>
              <w:left w:val="single" w:sz="4" w:space="0" w:color="auto"/>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Small Community Hospital (less than 100 beds)</w:t>
            </w:r>
          </w:p>
        </w:tc>
        <w:tc>
          <w:tcPr>
            <w:tcW w:w="1584" w:type="dxa"/>
            <w:tcBorders>
              <w:top w:val="nil"/>
              <w:left w:val="nil"/>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147</w:t>
            </w:r>
            <w:r w:rsidR="003044D8">
              <w:rPr>
                <w:rFonts w:eastAsia="Times New Roman" w:cs="Arial"/>
                <w:color w:val="000000"/>
              </w:rPr>
              <w:t>,</w:t>
            </w:r>
            <w:r>
              <w:rPr>
                <w:rFonts w:eastAsia="Times New Roman" w:cs="Arial"/>
                <w:color w:val="000000"/>
              </w:rPr>
              <w:t>727</w:t>
            </w:r>
          </w:p>
        </w:tc>
        <w:tc>
          <w:tcPr>
            <w:tcW w:w="1584" w:type="dxa"/>
            <w:tcBorders>
              <w:top w:val="nil"/>
              <w:left w:val="nil"/>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45</w:t>
            </w:r>
            <w:r w:rsidR="003044D8">
              <w:rPr>
                <w:rFonts w:eastAsia="Times New Roman" w:cs="Arial"/>
                <w:color w:val="000000"/>
              </w:rPr>
              <w:t>,</w:t>
            </w:r>
            <w:r>
              <w:rPr>
                <w:rFonts w:eastAsia="Times New Roman" w:cs="Arial"/>
                <w:color w:val="000000"/>
              </w:rPr>
              <w:t>948</w:t>
            </w:r>
          </w:p>
        </w:tc>
        <w:tc>
          <w:tcPr>
            <w:tcW w:w="1584" w:type="dxa"/>
            <w:tcBorders>
              <w:top w:val="nil"/>
              <w:left w:val="nil"/>
              <w:bottom w:val="single" w:sz="4" w:space="0" w:color="auto"/>
              <w:right w:val="single" w:sz="4" w:space="0" w:color="auto"/>
            </w:tcBorders>
            <w:shd w:val="clear" w:color="auto" w:fill="auto"/>
            <w:vAlign w:val="center"/>
          </w:tcPr>
          <w:p w:rsidR="00892E79" w:rsidRPr="00412017" w:rsidRDefault="003044D8" w:rsidP="00F61653">
            <w:pPr>
              <w:spacing w:after="0" w:line="240" w:lineRule="auto"/>
              <w:jc w:val="right"/>
              <w:rPr>
                <w:rFonts w:eastAsia="Times New Roman" w:cs="Arial"/>
                <w:color w:val="000000"/>
              </w:rPr>
            </w:pPr>
            <w:r>
              <w:rPr>
                <w:rFonts w:eastAsia="Times New Roman" w:cs="Arial"/>
                <w:color w:val="000000"/>
              </w:rPr>
              <w:t>22,432</w:t>
            </w:r>
          </w:p>
        </w:tc>
      </w:tr>
      <w:tr w:rsidR="00892E79" w:rsidRPr="00412017" w:rsidTr="00EB366E">
        <w:trPr>
          <w:trHeight w:val="288"/>
        </w:trPr>
        <w:tc>
          <w:tcPr>
            <w:tcW w:w="4752" w:type="dxa"/>
            <w:tcBorders>
              <w:top w:val="nil"/>
              <w:left w:val="single" w:sz="4" w:space="0" w:color="auto"/>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University Hospital</w:t>
            </w:r>
          </w:p>
        </w:tc>
        <w:tc>
          <w:tcPr>
            <w:tcW w:w="1584"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238</w:t>
            </w:r>
            <w:r w:rsidR="003044D8">
              <w:rPr>
                <w:rFonts w:eastAsia="Times New Roman" w:cs="Arial"/>
                <w:color w:val="000000"/>
              </w:rPr>
              <w:t>,</w:t>
            </w:r>
            <w:r>
              <w:rPr>
                <w:rFonts w:eastAsia="Times New Roman" w:cs="Arial"/>
                <w:color w:val="000000"/>
              </w:rPr>
              <w:t>434</w:t>
            </w:r>
          </w:p>
        </w:tc>
        <w:tc>
          <w:tcPr>
            <w:tcW w:w="1584"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62</w:t>
            </w:r>
            <w:r w:rsidR="003044D8">
              <w:rPr>
                <w:rFonts w:eastAsia="Times New Roman" w:cs="Arial"/>
                <w:color w:val="000000"/>
              </w:rPr>
              <w:t>,</w:t>
            </w:r>
            <w:r>
              <w:rPr>
                <w:rFonts w:eastAsia="Times New Roman" w:cs="Arial"/>
                <w:color w:val="000000"/>
              </w:rPr>
              <w:t>851</w:t>
            </w:r>
          </w:p>
        </w:tc>
        <w:tc>
          <w:tcPr>
            <w:tcW w:w="1584" w:type="dxa"/>
            <w:tcBorders>
              <w:top w:val="nil"/>
              <w:left w:val="nil"/>
              <w:bottom w:val="single" w:sz="4" w:space="0" w:color="auto"/>
              <w:right w:val="single" w:sz="4" w:space="0" w:color="auto"/>
            </w:tcBorders>
            <w:shd w:val="clear" w:color="auto" w:fill="auto"/>
          </w:tcPr>
          <w:p w:rsidR="00892E79" w:rsidRPr="00412017" w:rsidRDefault="003044D8" w:rsidP="00F61653">
            <w:pPr>
              <w:spacing w:after="0" w:line="240" w:lineRule="auto"/>
              <w:jc w:val="right"/>
              <w:rPr>
                <w:rFonts w:eastAsia="Times New Roman" w:cs="Arial"/>
                <w:color w:val="000000"/>
              </w:rPr>
            </w:pPr>
            <w:r>
              <w:rPr>
                <w:rFonts w:eastAsia="Times New Roman" w:cs="Arial"/>
                <w:color w:val="000000"/>
              </w:rPr>
              <w:t>39,645</w:t>
            </w:r>
          </w:p>
        </w:tc>
      </w:tr>
      <w:tr w:rsidR="00892E79" w:rsidRPr="00412017" w:rsidTr="00EB366E">
        <w:trPr>
          <w:trHeight w:val="288"/>
        </w:trPr>
        <w:tc>
          <w:tcPr>
            <w:tcW w:w="4752" w:type="dxa"/>
            <w:tcBorders>
              <w:top w:val="nil"/>
              <w:left w:val="single" w:sz="4" w:space="0" w:color="auto"/>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Large Community Hospital (over 500 beds)</w:t>
            </w:r>
          </w:p>
        </w:tc>
        <w:tc>
          <w:tcPr>
            <w:tcW w:w="1584"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713</w:t>
            </w:r>
            <w:r w:rsidR="003044D8">
              <w:rPr>
                <w:rFonts w:eastAsia="Times New Roman" w:cs="Arial"/>
                <w:color w:val="000000"/>
              </w:rPr>
              <w:t>,</w:t>
            </w:r>
            <w:r>
              <w:rPr>
                <w:rFonts w:eastAsia="Times New Roman" w:cs="Arial"/>
                <w:color w:val="000000"/>
              </w:rPr>
              <w:t>618</w:t>
            </w:r>
          </w:p>
        </w:tc>
        <w:tc>
          <w:tcPr>
            <w:tcW w:w="1584"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192</w:t>
            </w:r>
            <w:r w:rsidR="003044D8">
              <w:rPr>
                <w:rFonts w:eastAsia="Times New Roman" w:cs="Arial"/>
                <w:color w:val="000000"/>
              </w:rPr>
              <w:t>,</w:t>
            </w:r>
            <w:r>
              <w:rPr>
                <w:rFonts w:eastAsia="Times New Roman" w:cs="Arial"/>
                <w:color w:val="000000"/>
              </w:rPr>
              <w:t>876</w:t>
            </w:r>
          </w:p>
        </w:tc>
        <w:tc>
          <w:tcPr>
            <w:tcW w:w="1584" w:type="dxa"/>
            <w:tcBorders>
              <w:top w:val="nil"/>
              <w:left w:val="nil"/>
              <w:bottom w:val="single" w:sz="4" w:space="0" w:color="auto"/>
              <w:right w:val="single" w:sz="4" w:space="0" w:color="auto"/>
            </w:tcBorders>
            <w:shd w:val="clear" w:color="auto" w:fill="auto"/>
          </w:tcPr>
          <w:p w:rsidR="00892E79" w:rsidRPr="00412017" w:rsidRDefault="003044D8" w:rsidP="00F61653">
            <w:pPr>
              <w:spacing w:after="0" w:line="240" w:lineRule="auto"/>
              <w:jc w:val="right"/>
              <w:rPr>
                <w:rFonts w:eastAsia="Times New Roman" w:cs="Arial"/>
                <w:color w:val="000000"/>
              </w:rPr>
            </w:pPr>
            <w:r>
              <w:rPr>
                <w:rFonts w:eastAsia="Times New Roman" w:cs="Arial"/>
                <w:color w:val="000000"/>
              </w:rPr>
              <w:t>71,671</w:t>
            </w:r>
          </w:p>
        </w:tc>
      </w:tr>
      <w:tr w:rsidR="00892E79" w:rsidRPr="00412017" w:rsidTr="00EB366E">
        <w:trPr>
          <w:trHeight w:val="288"/>
        </w:trPr>
        <w:tc>
          <w:tcPr>
            <w:tcW w:w="4752" w:type="dxa"/>
            <w:tcBorders>
              <w:top w:val="nil"/>
              <w:left w:val="single" w:sz="4" w:space="0" w:color="auto"/>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Other</w:t>
            </w:r>
          </w:p>
        </w:tc>
        <w:tc>
          <w:tcPr>
            <w:tcW w:w="1584"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961</w:t>
            </w:r>
            <w:r w:rsidR="003044D8">
              <w:rPr>
                <w:rFonts w:eastAsia="Times New Roman" w:cs="Arial"/>
                <w:color w:val="000000"/>
              </w:rPr>
              <w:t>,</w:t>
            </w:r>
            <w:r>
              <w:rPr>
                <w:rFonts w:eastAsia="Times New Roman" w:cs="Arial"/>
                <w:color w:val="000000"/>
              </w:rPr>
              <w:t>988</w:t>
            </w:r>
          </w:p>
        </w:tc>
        <w:tc>
          <w:tcPr>
            <w:tcW w:w="1584"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242</w:t>
            </w:r>
            <w:r w:rsidR="003044D8">
              <w:rPr>
                <w:rFonts w:eastAsia="Times New Roman" w:cs="Arial"/>
                <w:color w:val="000000"/>
              </w:rPr>
              <w:t>,</w:t>
            </w:r>
            <w:r>
              <w:rPr>
                <w:rFonts w:eastAsia="Times New Roman" w:cs="Arial"/>
                <w:color w:val="000000"/>
              </w:rPr>
              <w:t>803</w:t>
            </w:r>
          </w:p>
        </w:tc>
        <w:tc>
          <w:tcPr>
            <w:tcW w:w="1584" w:type="dxa"/>
            <w:tcBorders>
              <w:top w:val="nil"/>
              <w:left w:val="nil"/>
              <w:bottom w:val="single" w:sz="4" w:space="0" w:color="auto"/>
              <w:right w:val="single" w:sz="4" w:space="0" w:color="auto"/>
            </w:tcBorders>
            <w:shd w:val="clear" w:color="auto" w:fill="auto"/>
          </w:tcPr>
          <w:p w:rsidR="00892E79" w:rsidRPr="00412017" w:rsidRDefault="003044D8" w:rsidP="00F61653">
            <w:pPr>
              <w:spacing w:after="0" w:line="240" w:lineRule="auto"/>
              <w:jc w:val="right"/>
              <w:rPr>
                <w:rFonts w:eastAsia="Times New Roman" w:cs="Arial"/>
                <w:color w:val="000000"/>
              </w:rPr>
            </w:pPr>
            <w:r>
              <w:rPr>
                <w:rFonts w:eastAsia="Times New Roman" w:cs="Arial"/>
                <w:color w:val="000000"/>
              </w:rPr>
              <w:t>125,799</w:t>
            </w:r>
          </w:p>
        </w:tc>
      </w:tr>
      <w:tr w:rsidR="00892E79" w:rsidRPr="00412017" w:rsidTr="00EB366E">
        <w:trPr>
          <w:trHeight w:val="288"/>
        </w:trPr>
        <w:tc>
          <w:tcPr>
            <w:tcW w:w="4752" w:type="dxa"/>
            <w:tcBorders>
              <w:top w:val="nil"/>
              <w:left w:val="single" w:sz="4" w:space="0" w:color="auto"/>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Unknown</w:t>
            </w:r>
          </w:p>
        </w:tc>
        <w:tc>
          <w:tcPr>
            <w:tcW w:w="1584"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1</w:t>
            </w:r>
            <w:r w:rsidR="003044D8">
              <w:rPr>
                <w:rFonts w:eastAsia="Times New Roman" w:cs="Arial"/>
                <w:color w:val="000000"/>
              </w:rPr>
              <w:t>,</w:t>
            </w:r>
            <w:r>
              <w:rPr>
                <w:rFonts w:eastAsia="Times New Roman" w:cs="Arial"/>
                <w:color w:val="000000"/>
              </w:rPr>
              <w:t>194</w:t>
            </w:r>
            <w:r w:rsidR="003044D8">
              <w:rPr>
                <w:rFonts w:eastAsia="Times New Roman" w:cs="Arial"/>
                <w:color w:val="000000"/>
              </w:rPr>
              <w:t>,</w:t>
            </w:r>
            <w:r>
              <w:rPr>
                <w:rFonts w:eastAsia="Times New Roman" w:cs="Arial"/>
                <w:color w:val="000000"/>
              </w:rPr>
              <w:t>649</w:t>
            </w:r>
          </w:p>
        </w:tc>
        <w:tc>
          <w:tcPr>
            <w:tcW w:w="1584" w:type="dxa"/>
            <w:tcBorders>
              <w:top w:val="nil"/>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446</w:t>
            </w:r>
            <w:r w:rsidR="003044D8">
              <w:rPr>
                <w:rFonts w:eastAsia="Times New Roman" w:cs="Arial"/>
                <w:color w:val="000000"/>
              </w:rPr>
              <w:t>,</w:t>
            </w:r>
            <w:r>
              <w:rPr>
                <w:rFonts w:eastAsia="Times New Roman" w:cs="Arial"/>
                <w:color w:val="000000"/>
              </w:rPr>
              <w:t>631</w:t>
            </w:r>
          </w:p>
        </w:tc>
        <w:tc>
          <w:tcPr>
            <w:tcW w:w="1584" w:type="dxa"/>
            <w:tcBorders>
              <w:top w:val="nil"/>
              <w:left w:val="nil"/>
              <w:bottom w:val="single" w:sz="4" w:space="0" w:color="auto"/>
              <w:right w:val="single" w:sz="4" w:space="0" w:color="auto"/>
            </w:tcBorders>
            <w:shd w:val="clear" w:color="auto" w:fill="auto"/>
          </w:tcPr>
          <w:p w:rsidR="00892E79" w:rsidRPr="00412017" w:rsidRDefault="003044D8" w:rsidP="00F61653">
            <w:pPr>
              <w:spacing w:after="0" w:line="240" w:lineRule="auto"/>
              <w:jc w:val="right"/>
              <w:rPr>
                <w:rFonts w:eastAsia="Times New Roman" w:cs="Arial"/>
                <w:color w:val="000000"/>
              </w:rPr>
            </w:pPr>
            <w:r>
              <w:rPr>
                <w:rFonts w:eastAsia="Times New Roman" w:cs="Arial"/>
                <w:color w:val="000000"/>
              </w:rPr>
              <w:t>243,381</w:t>
            </w:r>
          </w:p>
        </w:tc>
      </w:tr>
      <w:tr w:rsidR="00892E79" w:rsidRPr="00412017" w:rsidTr="00EB366E">
        <w:trPr>
          <w:trHeight w:val="288"/>
        </w:trPr>
        <w:tc>
          <w:tcPr>
            <w:tcW w:w="4752" w:type="dxa"/>
            <w:tcBorders>
              <w:top w:val="single" w:sz="4" w:space="0" w:color="auto"/>
              <w:left w:val="single" w:sz="4" w:space="0" w:color="auto"/>
              <w:bottom w:val="single" w:sz="4" w:space="0" w:color="auto"/>
              <w:right w:val="single" w:sz="4" w:space="0" w:color="auto"/>
            </w:tcBorders>
            <w:shd w:val="clear" w:color="auto" w:fill="auto"/>
            <w:vAlign w:val="center"/>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Medium Community Hospital (100-500 beds)</w:t>
            </w:r>
          </w:p>
        </w:tc>
        <w:tc>
          <w:tcPr>
            <w:tcW w:w="1584" w:type="dxa"/>
            <w:tcBorders>
              <w:top w:val="single" w:sz="4" w:space="0" w:color="auto"/>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1</w:t>
            </w:r>
            <w:r w:rsidR="003044D8">
              <w:rPr>
                <w:rFonts w:eastAsia="Times New Roman" w:cs="Arial"/>
                <w:color w:val="000000"/>
              </w:rPr>
              <w:t>,</w:t>
            </w:r>
            <w:r>
              <w:rPr>
                <w:rFonts w:eastAsia="Times New Roman" w:cs="Arial"/>
                <w:color w:val="000000"/>
              </w:rPr>
              <w:t>434</w:t>
            </w:r>
            <w:r w:rsidR="003044D8">
              <w:rPr>
                <w:rFonts w:eastAsia="Times New Roman" w:cs="Arial"/>
                <w:color w:val="000000"/>
              </w:rPr>
              <w:t>,</w:t>
            </w:r>
            <w:r>
              <w:rPr>
                <w:rFonts w:eastAsia="Times New Roman" w:cs="Arial"/>
                <w:color w:val="000000"/>
              </w:rPr>
              <w:t>560</w:t>
            </w:r>
          </w:p>
        </w:tc>
        <w:tc>
          <w:tcPr>
            <w:tcW w:w="1584" w:type="dxa"/>
            <w:tcBorders>
              <w:top w:val="single" w:sz="4" w:space="0" w:color="auto"/>
              <w:left w:val="nil"/>
              <w:bottom w:val="single" w:sz="4" w:space="0" w:color="auto"/>
              <w:right w:val="single" w:sz="4" w:space="0" w:color="auto"/>
            </w:tcBorders>
            <w:shd w:val="clear" w:color="auto" w:fill="auto"/>
          </w:tcPr>
          <w:p w:rsidR="00892E79" w:rsidRPr="00412017" w:rsidRDefault="00892E79" w:rsidP="00F61653">
            <w:pPr>
              <w:spacing w:after="0" w:line="240" w:lineRule="auto"/>
              <w:jc w:val="right"/>
              <w:rPr>
                <w:rFonts w:eastAsia="Times New Roman" w:cs="Arial"/>
                <w:color w:val="000000"/>
              </w:rPr>
            </w:pPr>
            <w:r>
              <w:rPr>
                <w:rFonts w:eastAsia="Times New Roman" w:cs="Arial"/>
                <w:color w:val="000000"/>
              </w:rPr>
              <w:t>552</w:t>
            </w:r>
            <w:r w:rsidR="003044D8">
              <w:rPr>
                <w:rFonts w:eastAsia="Times New Roman" w:cs="Arial"/>
                <w:color w:val="000000"/>
              </w:rPr>
              <w:t>,</w:t>
            </w:r>
            <w:r>
              <w:rPr>
                <w:rFonts w:eastAsia="Times New Roman" w:cs="Arial"/>
                <w:color w:val="000000"/>
              </w:rPr>
              <w:t>551</w:t>
            </w:r>
          </w:p>
        </w:tc>
        <w:tc>
          <w:tcPr>
            <w:tcW w:w="1584" w:type="dxa"/>
            <w:tcBorders>
              <w:top w:val="single" w:sz="4" w:space="0" w:color="auto"/>
              <w:left w:val="nil"/>
              <w:bottom w:val="single" w:sz="4" w:space="0" w:color="auto"/>
              <w:right w:val="single" w:sz="4" w:space="0" w:color="auto"/>
            </w:tcBorders>
            <w:shd w:val="clear" w:color="auto" w:fill="auto"/>
          </w:tcPr>
          <w:p w:rsidR="00892E79" w:rsidRPr="00412017" w:rsidRDefault="003044D8" w:rsidP="00F61653">
            <w:pPr>
              <w:spacing w:after="0" w:line="240" w:lineRule="auto"/>
              <w:jc w:val="right"/>
              <w:rPr>
                <w:rFonts w:eastAsia="Times New Roman" w:cs="Arial"/>
                <w:color w:val="000000"/>
              </w:rPr>
            </w:pPr>
            <w:r>
              <w:rPr>
                <w:rFonts w:eastAsia="Times New Roman" w:cs="Arial"/>
                <w:color w:val="000000"/>
              </w:rPr>
              <w:t>256,787</w:t>
            </w:r>
          </w:p>
        </w:tc>
      </w:tr>
    </w:tbl>
    <w:p w:rsidR="003044D8" w:rsidRDefault="003044D8" w:rsidP="00E37E1B">
      <w:pPr>
        <w:autoSpaceDE w:val="0"/>
        <w:autoSpaceDN w:val="0"/>
        <w:adjustRightInd w:val="0"/>
        <w:spacing w:after="0" w:line="240" w:lineRule="auto"/>
        <w:rPr>
          <w:rFonts w:cstheme="minorHAnsi"/>
          <w:b/>
          <w:bCs/>
        </w:rPr>
      </w:pPr>
    </w:p>
    <w:p w:rsidR="003044D8" w:rsidRDefault="00202CD3" w:rsidP="003044D8">
      <w:pPr>
        <w:autoSpaceDE w:val="0"/>
        <w:autoSpaceDN w:val="0"/>
        <w:adjustRightInd w:val="0"/>
        <w:spacing w:after="0" w:line="240" w:lineRule="auto"/>
        <w:rPr>
          <w:rFonts w:cstheme="minorHAnsi"/>
          <w:b/>
          <w:bCs/>
        </w:rPr>
      </w:pPr>
      <w:r>
        <w:rPr>
          <w:rFonts w:cstheme="minorHAnsi"/>
          <w:b/>
          <w:bCs/>
        </w:rPr>
        <w:t>TABLE #15</w:t>
      </w:r>
      <w:r w:rsidR="003044D8">
        <w:rPr>
          <w:rFonts w:cstheme="minorHAnsi"/>
          <w:b/>
          <w:bCs/>
        </w:rPr>
        <w:t xml:space="preserve"> – NACOR Eligible Medicare Instances Reporting by Facility Type</w:t>
      </w:r>
    </w:p>
    <w:tbl>
      <w:tblPr>
        <w:tblW w:w="9720" w:type="dxa"/>
        <w:tblInd w:w="93" w:type="dxa"/>
        <w:tblLook w:val="04A0" w:firstRow="1" w:lastRow="0" w:firstColumn="1" w:lastColumn="0" w:noHBand="0" w:noVBand="1"/>
      </w:tblPr>
      <w:tblGrid>
        <w:gridCol w:w="4608"/>
        <w:gridCol w:w="1944"/>
        <w:gridCol w:w="1584"/>
        <w:gridCol w:w="1584"/>
      </w:tblGrid>
      <w:tr w:rsidR="003044D8" w:rsidRPr="00412017" w:rsidTr="00EB366E">
        <w:trPr>
          <w:trHeight w:val="1152"/>
        </w:trPr>
        <w:tc>
          <w:tcPr>
            <w:tcW w:w="4608" w:type="dxa"/>
            <w:tcBorders>
              <w:top w:val="single" w:sz="4" w:space="0" w:color="auto"/>
              <w:left w:val="single" w:sz="4" w:space="0" w:color="auto"/>
              <w:bottom w:val="single" w:sz="4" w:space="0" w:color="auto"/>
              <w:right w:val="single" w:sz="4" w:space="0" w:color="auto"/>
            </w:tcBorders>
            <w:shd w:val="clear" w:color="000000" w:fill="F5F5F5"/>
            <w:vAlign w:val="center"/>
            <w:hideMark/>
          </w:tcPr>
          <w:p w:rsidR="003044D8" w:rsidRPr="00412017" w:rsidRDefault="003044D8" w:rsidP="00F61653">
            <w:pPr>
              <w:spacing w:after="0" w:line="240" w:lineRule="auto"/>
              <w:jc w:val="center"/>
              <w:rPr>
                <w:rFonts w:eastAsia="Times New Roman" w:cs="Arial"/>
                <w:b/>
                <w:bCs/>
                <w:color w:val="000000"/>
              </w:rPr>
            </w:pPr>
            <w:r>
              <w:rPr>
                <w:rFonts w:eastAsia="Times New Roman" w:cs="Arial"/>
                <w:b/>
                <w:bCs/>
                <w:color w:val="000000"/>
              </w:rPr>
              <w:t>Facility Type</w:t>
            </w:r>
          </w:p>
        </w:tc>
        <w:tc>
          <w:tcPr>
            <w:tcW w:w="1944" w:type="dxa"/>
            <w:tcBorders>
              <w:top w:val="single" w:sz="4" w:space="0" w:color="auto"/>
              <w:left w:val="nil"/>
              <w:bottom w:val="single" w:sz="4" w:space="0" w:color="auto"/>
              <w:right w:val="single" w:sz="4" w:space="0" w:color="auto"/>
            </w:tcBorders>
            <w:shd w:val="clear" w:color="000000" w:fill="F5F5F5"/>
            <w:vAlign w:val="center"/>
            <w:hideMark/>
          </w:tcPr>
          <w:p w:rsidR="003044D8" w:rsidRPr="00412017" w:rsidRDefault="003044D8" w:rsidP="00F61653">
            <w:pPr>
              <w:spacing w:after="0" w:line="240" w:lineRule="auto"/>
              <w:jc w:val="center"/>
              <w:rPr>
                <w:rFonts w:eastAsia="Times New Roman" w:cs="Arial"/>
                <w:b/>
                <w:bCs/>
                <w:color w:val="000000"/>
              </w:rPr>
            </w:pPr>
            <w:r w:rsidRPr="00412017">
              <w:rPr>
                <w:rFonts w:eastAsia="Times New Roman" w:cs="Arial"/>
                <w:b/>
                <w:bCs/>
                <w:color w:val="000000"/>
              </w:rPr>
              <w:t>Eligible Instances</w:t>
            </w:r>
            <w:r>
              <w:rPr>
                <w:rFonts w:eastAsia="Times New Roman" w:cs="Arial"/>
                <w:b/>
                <w:bCs/>
                <w:color w:val="000000"/>
              </w:rPr>
              <w:t xml:space="preserve"> in which Medicare is the primary insurance</w:t>
            </w:r>
          </w:p>
        </w:tc>
        <w:tc>
          <w:tcPr>
            <w:tcW w:w="1584" w:type="dxa"/>
            <w:tcBorders>
              <w:top w:val="single" w:sz="4" w:space="0" w:color="auto"/>
              <w:left w:val="nil"/>
              <w:bottom w:val="single" w:sz="4" w:space="0" w:color="auto"/>
              <w:right w:val="single" w:sz="4" w:space="0" w:color="auto"/>
            </w:tcBorders>
            <w:shd w:val="clear" w:color="000000" w:fill="F5F5F5"/>
            <w:vAlign w:val="center"/>
            <w:hideMark/>
          </w:tcPr>
          <w:p w:rsidR="003044D8" w:rsidRPr="00412017" w:rsidRDefault="003044D8" w:rsidP="00F61653">
            <w:pPr>
              <w:spacing w:after="0" w:line="240" w:lineRule="auto"/>
              <w:jc w:val="center"/>
              <w:rPr>
                <w:rFonts w:eastAsia="Times New Roman" w:cs="Arial"/>
                <w:b/>
                <w:bCs/>
                <w:color w:val="000000"/>
              </w:rPr>
            </w:pPr>
            <w:r w:rsidRPr="00412017">
              <w:rPr>
                <w:rFonts w:eastAsia="Times New Roman" w:cs="Arial"/>
                <w:b/>
                <w:bCs/>
                <w:color w:val="000000"/>
              </w:rPr>
              <w:t>Reporting Numerator</w:t>
            </w:r>
            <w:r w:rsidRPr="00412017">
              <w:rPr>
                <w:rFonts w:eastAsia="Times New Roman" w:cs="Arial"/>
                <w:b/>
                <w:bCs/>
                <w:color w:val="000000"/>
              </w:rPr>
              <w:br/>
              <w:t>(Reporting Rate)</w:t>
            </w:r>
          </w:p>
        </w:tc>
        <w:tc>
          <w:tcPr>
            <w:tcW w:w="1584" w:type="dxa"/>
            <w:tcBorders>
              <w:top w:val="single" w:sz="4" w:space="0" w:color="auto"/>
              <w:left w:val="nil"/>
              <w:bottom w:val="single" w:sz="4" w:space="0" w:color="auto"/>
              <w:right w:val="single" w:sz="4" w:space="0" w:color="auto"/>
            </w:tcBorders>
            <w:shd w:val="clear" w:color="000000" w:fill="F5F5F5"/>
            <w:vAlign w:val="center"/>
            <w:hideMark/>
          </w:tcPr>
          <w:p w:rsidR="003044D8" w:rsidRPr="00412017" w:rsidRDefault="003044D8" w:rsidP="00F61653">
            <w:pPr>
              <w:spacing w:after="0" w:line="240" w:lineRule="auto"/>
              <w:jc w:val="center"/>
              <w:rPr>
                <w:rFonts w:eastAsia="Times New Roman" w:cs="Arial"/>
                <w:b/>
                <w:bCs/>
                <w:color w:val="000000"/>
              </w:rPr>
            </w:pPr>
            <w:r w:rsidRPr="00412017">
              <w:rPr>
                <w:rFonts w:eastAsia="Times New Roman" w:cs="Arial"/>
                <w:b/>
                <w:bCs/>
                <w:color w:val="000000"/>
              </w:rPr>
              <w:t>Performance Met</w:t>
            </w:r>
            <w:r w:rsidRPr="00412017">
              <w:rPr>
                <w:rFonts w:eastAsia="Times New Roman" w:cs="Arial"/>
                <w:b/>
                <w:bCs/>
                <w:color w:val="000000"/>
              </w:rPr>
              <w:br/>
              <w:t>(Performance Rate)</w:t>
            </w:r>
          </w:p>
        </w:tc>
      </w:tr>
      <w:tr w:rsidR="003044D8" w:rsidRPr="00412017" w:rsidTr="00EB366E">
        <w:trPr>
          <w:trHeight w:val="288"/>
        </w:trPr>
        <w:tc>
          <w:tcPr>
            <w:tcW w:w="4608" w:type="dxa"/>
            <w:tcBorders>
              <w:top w:val="nil"/>
              <w:left w:val="single" w:sz="4" w:space="0" w:color="auto"/>
              <w:bottom w:val="single" w:sz="4" w:space="0" w:color="auto"/>
              <w:right w:val="single" w:sz="4" w:space="0" w:color="auto"/>
            </w:tcBorders>
            <w:shd w:val="clear" w:color="auto" w:fill="auto"/>
            <w:vAlign w:val="center"/>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Small Community Hospital (less than 100 beds)</w:t>
            </w:r>
          </w:p>
        </w:tc>
        <w:tc>
          <w:tcPr>
            <w:tcW w:w="1944" w:type="dxa"/>
            <w:tcBorders>
              <w:top w:val="nil"/>
              <w:left w:val="nil"/>
              <w:bottom w:val="single" w:sz="4" w:space="0" w:color="auto"/>
              <w:right w:val="single" w:sz="4" w:space="0" w:color="auto"/>
            </w:tcBorders>
            <w:shd w:val="clear" w:color="auto" w:fill="auto"/>
            <w:vAlign w:val="center"/>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39,505</w:t>
            </w:r>
          </w:p>
        </w:tc>
        <w:tc>
          <w:tcPr>
            <w:tcW w:w="1584" w:type="dxa"/>
            <w:tcBorders>
              <w:top w:val="nil"/>
              <w:left w:val="nil"/>
              <w:bottom w:val="single" w:sz="4" w:space="0" w:color="auto"/>
              <w:right w:val="single" w:sz="4" w:space="0" w:color="auto"/>
            </w:tcBorders>
            <w:shd w:val="clear" w:color="auto" w:fill="auto"/>
            <w:vAlign w:val="center"/>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26,878</w:t>
            </w:r>
          </w:p>
        </w:tc>
        <w:tc>
          <w:tcPr>
            <w:tcW w:w="1584" w:type="dxa"/>
            <w:tcBorders>
              <w:top w:val="nil"/>
              <w:left w:val="nil"/>
              <w:bottom w:val="single" w:sz="4" w:space="0" w:color="auto"/>
              <w:right w:val="single" w:sz="4" w:space="0" w:color="auto"/>
            </w:tcBorders>
            <w:shd w:val="clear" w:color="auto" w:fill="auto"/>
            <w:vAlign w:val="center"/>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16,527</w:t>
            </w:r>
          </w:p>
        </w:tc>
      </w:tr>
      <w:tr w:rsidR="003044D8" w:rsidRPr="00412017" w:rsidTr="00EB366E">
        <w:trPr>
          <w:trHeight w:val="288"/>
        </w:trPr>
        <w:tc>
          <w:tcPr>
            <w:tcW w:w="4608" w:type="dxa"/>
            <w:tcBorders>
              <w:top w:val="nil"/>
              <w:left w:val="single" w:sz="4" w:space="0" w:color="auto"/>
              <w:bottom w:val="single" w:sz="4" w:space="0" w:color="auto"/>
              <w:right w:val="single" w:sz="4" w:space="0" w:color="auto"/>
            </w:tcBorders>
            <w:shd w:val="clear" w:color="auto" w:fill="auto"/>
            <w:vAlign w:val="center"/>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University Hospital</w:t>
            </w:r>
          </w:p>
        </w:tc>
        <w:tc>
          <w:tcPr>
            <w:tcW w:w="1944" w:type="dxa"/>
            <w:tcBorders>
              <w:top w:val="nil"/>
              <w:left w:val="nil"/>
              <w:bottom w:val="single" w:sz="4" w:space="0" w:color="auto"/>
              <w:right w:val="single" w:sz="4" w:space="0" w:color="auto"/>
            </w:tcBorders>
            <w:shd w:val="clear" w:color="auto" w:fill="auto"/>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42,599</w:t>
            </w:r>
          </w:p>
        </w:tc>
        <w:tc>
          <w:tcPr>
            <w:tcW w:w="1584" w:type="dxa"/>
            <w:tcBorders>
              <w:top w:val="nil"/>
              <w:left w:val="nil"/>
              <w:bottom w:val="single" w:sz="4" w:space="0" w:color="auto"/>
              <w:right w:val="single" w:sz="4" w:space="0" w:color="auto"/>
            </w:tcBorders>
            <w:shd w:val="clear" w:color="auto" w:fill="auto"/>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33,836</w:t>
            </w:r>
          </w:p>
        </w:tc>
        <w:tc>
          <w:tcPr>
            <w:tcW w:w="1584" w:type="dxa"/>
            <w:tcBorders>
              <w:top w:val="nil"/>
              <w:left w:val="nil"/>
              <w:bottom w:val="single" w:sz="4" w:space="0" w:color="auto"/>
              <w:right w:val="single" w:sz="4" w:space="0" w:color="auto"/>
            </w:tcBorders>
            <w:shd w:val="clear" w:color="auto" w:fill="auto"/>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18,068</w:t>
            </w:r>
          </w:p>
        </w:tc>
      </w:tr>
      <w:tr w:rsidR="003044D8" w:rsidRPr="00412017" w:rsidTr="00EB366E">
        <w:trPr>
          <w:trHeight w:val="288"/>
        </w:trPr>
        <w:tc>
          <w:tcPr>
            <w:tcW w:w="4608" w:type="dxa"/>
            <w:tcBorders>
              <w:top w:val="nil"/>
              <w:left w:val="single" w:sz="4" w:space="0" w:color="auto"/>
              <w:bottom w:val="single" w:sz="4" w:space="0" w:color="auto"/>
              <w:right w:val="single" w:sz="4" w:space="0" w:color="auto"/>
            </w:tcBorders>
            <w:shd w:val="clear" w:color="auto" w:fill="auto"/>
            <w:vAlign w:val="center"/>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Large Community Hospital (over 500 beds)</w:t>
            </w:r>
          </w:p>
        </w:tc>
        <w:tc>
          <w:tcPr>
            <w:tcW w:w="1944" w:type="dxa"/>
            <w:tcBorders>
              <w:top w:val="nil"/>
              <w:left w:val="nil"/>
              <w:bottom w:val="single" w:sz="4" w:space="0" w:color="auto"/>
              <w:right w:val="single" w:sz="4" w:space="0" w:color="auto"/>
            </w:tcBorders>
            <w:shd w:val="clear" w:color="auto" w:fill="auto"/>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159,542</w:t>
            </w:r>
          </w:p>
        </w:tc>
        <w:tc>
          <w:tcPr>
            <w:tcW w:w="1584" w:type="dxa"/>
            <w:tcBorders>
              <w:top w:val="nil"/>
              <w:left w:val="nil"/>
              <w:bottom w:val="single" w:sz="4" w:space="0" w:color="auto"/>
              <w:right w:val="single" w:sz="4" w:space="0" w:color="auto"/>
            </w:tcBorders>
            <w:shd w:val="clear" w:color="auto" w:fill="auto"/>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104,616</w:t>
            </w:r>
          </w:p>
        </w:tc>
        <w:tc>
          <w:tcPr>
            <w:tcW w:w="1584" w:type="dxa"/>
            <w:tcBorders>
              <w:top w:val="nil"/>
              <w:left w:val="nil"/>
              <w:bottom w:val="single" w:sz="4" w:space="0" w:color="auto"/>
              <w:right w:val="single" w:sz="4" w:space="0" w:color="auto"/>
            </w:tcBorders>
            <w:shd w:val="clear" w:color="auto" w:fill="auto"/>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41,479</w:t>
            </w:r>
          </w:p>
        </w:tc>
      </w:tr>
      <w:tr w:rsidR="003044D8" w:rsidRPr="00412017" w:rsidTr="00EB366E">
        <w:trPr>
          <w:trHeight w:val="288"/>
        </w:trPr>
        <w:tc>
          <w:tcPr>
            <w:tcW w:w="4608" w:type="dxa"/>
            <w:tcBorders>
              <w:top w:val="nil"/>
              <w:left w:val="single" w:sz="4" w:space="0" w:color="auto"/>
              <w:bottom w:val="single" w:sz="4" w:space="0" w:color="auto"/>
              <w:right w:val="single" w:sz="4" w:space="0" w:color="auto"/>
            </w:tcBorders>
            <w:shd w:val="clear" w:color="auto" w:fill="auto"/>
            <w:vAlign w:val="center"/>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Other</w:t>
            </w:r>
          </w:p>
        </w:tc>
        <w:tc>
          <w:tcPr>
            <w:tcW w:w="1944" w:type="dxa"/>
            <w:tcBorders>
              <w:top w:val="nil"/>
              <w:left w:val="nil"/>
              <w:bottom w:val="single" w:sz="4" w:space="0" w:color="auto"/>
              <w:right w:val="single" w:sz="4" w:space="0" w:color="auto"/>
            </w:tcBorders>
            <w:shd w:val="clear" w:color="auto" w:fill="auto"/>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198,586</w:t>
            </w:r>
          </w:p>
        </w:tc>
        <w:tc>
          <w:tcPr>
            <w:tcW w:w="1584" w:type="dxa"/>
            <w:tcBorders>
              <w:top w:val="nil"/>
              <w:left w:val="nil"/>
              <w:bottom w:val="single" w:sz="4" w:space="0" w:color="auto"/>
              <w:right w:val="single" w:sz="4" w:space="0" w:color="auto"/>
            </w:tcBorders>
            <w:shd w:val="clear" w:color="auto" w:fill="auto"/>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142,602</w:t>
            </w:r>
          </w:p>
        </w:tc>
        <w:tc>
          <w:tcPr>
            <w:tcW w:w="1584" w:type="dxa"/>
            <w:tcBorders>
              <w:top w:val="nil"/>
              <w:left w:val="nil"/>
              <w:bottom w:val="single" w:sz="4" w:space="0" w:color="auto"/>
              <w:right w:val="single" w:sz="4" w:space="0" w:color="auto"/>
            </w:tcBorders>
            <w:shd w:val="clear" w:color="auto" w:fill="auto"/>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68,507</w:t>
            </w:r>
          </w:p>
        </w:tc>
      </w:tr>
      <w:tr w:rsidR="003044D8" w:rsidRPr="00412017" w:rsidTr="00EB366E">
        <w:trPr>
          <w:trHeight w:val="288"/>
        </w:trPr>
        <w:tc>
          <w:tcPr>
            <w:tcW w:w="4608" w:type="dxa"/>
            <w:tcBorders>
              <w:top w:val="nil"/>
              <w:left w:val="single" w:sz="4" w:space="0" w:color="auto"/>
              <w:bottom w:val="single" w:sz="4" w:space="0" w:color="auto"/>
              <w:right w:val="single" w:sz="4" w:space="0" w:color="auto"/>
            </w:tcBorders>
            <w:shd w:val="clear" w:color="auto" w:fill="auto"/>
            <w:vAlign w:val="center"/>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Unknown</w:t>
            </w:r>
          </w:p>
        </w:tc>
        <w:tc>
          <w:tcPr>
            <w:tcW w:w="1944" w:type="dxa"/>
            <w:tcBorders>
              <w:top w:val="nil"/>
              <w:left w:val="nil"/>
              <w:bottom w:val="single" w:sz="4" w:space="0" w:color="auto"/>
              <w:right w:val="single" w:sz="4" w:space="0" w:color="auto"/>
            </w:tcBorders>
            <w:shd w:val="clear" w:color="auto" w:fill="auto"/>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300,585</w:t>
            </w:r>
          </w:p>
        </w:tc>
        <w:tc>
          <w:tcPr>
            <w:tcW w:w="1584" w:type="dxa"/>
            <w:tcBorders>
              <w:top w:val="nil"/>
              <w:left w:val="nil"/>
              <w:bottom w:val="single" w:sz="4" w:space="0" w:color="auto"/>
              <w:right w:val="single" w:sz="4" w:space="0" w:color="auto"/>
            </w:tcBorders>
            <w:shd w:val="clear" w:color="auto" w:fill="auto"/>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256,453</w:t>
            </w:r>
          </w:p>
        </w:tc>
        <w:tc>
          <w:tcPr>
            <w:tcW w:w="1584" w:type="dxa"/>
            <w:tcBorders>
              <w:top w:val="nil"/>
              <w:left w:val="nil"/>
              <w:bottom w:val="single" w:sz="4" w:space="0" w:color="auto"/>
              <w:right w:val="single" w:sz="4" w:space="0" w:color="auto"/>
            </w:tcBorders>
            <w:shd w:val="clear" w:color="auto" w:fill="auto"/>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121,164</w:t>
            </w:r>
          </w:p>
        </w:tc>
      </w:tr>
      <w:tr w:rsidR="003044D8" w:rsidRPr="00412017" w:rsidTr="00EB366E">
        <w:trPr>
          <w:trHeight w:val="288"/>
        </w:trPr>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Medium Community Hospital (100-500 beds)</w:t>
            </w:r>
          </w:p>
        </w:tc>
        <w:tc>
          <w:tcPr>
            <w:tcW w:w="1944" w:type="dxa"/>
            <w:tcBorders>
              <w:top w:val="single" w:sz="4" w:space="0" w:color="auto"/>
              <w:left w:val="nil"/>
              <w:bottom w:val="single" w:sz="4" w:space="0" w:color="auto"/>
              <w:right w:val="single" w:sz="4" w:space="0" w:color="auto"/>
            </w:tcBorders>
            <w:shd w:val="clear" w:color="auto" w:fill="auto"/>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442,620</w:t>
            </w:r>
          </w:p>
        </w:tc>
        <w:tc>
          <w:tcPr>
            <w:tcW w:w="1584" w:type="dxa"/>
            <w:tcBorders>
              <w:top w:val="single" w:sz="4" w:space="0" w:color="auto"/>
              <w:left w:val="nil"/>
              <w:bottom w:val="single" w:sz="4" w:space="0" w:color="auto"/>
              <w:right w:val="single" w:sz="4" w:space="0" w:color="auto"/>
            </w:tcBorders>
            <w:shd w:val="clear" w:color="auto" w:fill="auto"/>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346,911</w:t>
            </w:r>
          </w:p>
        </w:tc>
        <w:tc>
          <w:tcPr>
            <w:tcW w:w="1584" w:type="dxa"/>
            <w:tcBorders>
              <w:top w:val="single" w:sz="4" w:space="0" w:color="auto"/>
              <w:left w:val="nil"/>
              <w:bottom w:val="single" w:sz="4" w:space="0" w:color="auto"/>
              <w:right w:val="single" w:sz="4" w:space="0" w:color="auto"/>
            </w:tcBorders>
            <w:shd w:val="clear" w:color="auto" w:fill="auto"/>
          </w:tcPr>
          <w:p w:rsidR="003044D8" w:rsidRPr="00412017" w:rsidRDefault="003044D8" w:rsidP="00F61653">
            <w:pPr>
              <w:spacing w:after="0" w:line="240" w:lineRule="auto"/>
              <w:jc w:val="right"/>
              <w:rPr>
                <w:rFonts w:eastAsia="Times New Roman" w:cs="Arial"/>
                <w:color w:val="000000"/>
              </w:rPr>
            </w:pPr>
            <w:r>
              <w:rPr>
                <w:rFonts w:eastAsia="Times New Roman" w:cs="Arial"/>
                <w:color w:val="000000"/>
              </w:rPr>
              <w:t>203,134</w:t>
            </w:r>
          </w:p>
        </w:tc>
      </w:tr>
    </w:tbl>
    <w:p w:rsidR="003044D8" w:rsidRDefault="003044D8" w:rsidP="00E37E1B">
      <w:pPr>
        <w:autoSpaceDE w:val="0"/>
        <w:autoSpaceDN w:val="0"/>
        <w:adjustRightInd w:val="0"/>
        <w:spacing w:after="0" w:line="240" w:lineRule="auto"/>
        <w:rPr>
          <w:rFonts w:cstheme="minorHAnsi"/>
          <w:b/>
          <w:bCs/>
        </w:rPr>
      </w:pPr>
    </w:p>
    <w:p w:rsidR="003044D8" w:rsidRDefault="003044D8" w:rsidP="00E37E1B">
      <w:pPr>
        <w:autoSpaceDE w:val="0"/>
        <w:autoSpaceDN w:val="0"/>
        <w:adjustRightInd w:val="0"/>
        <w:spacing w:after="0" w:line="240" w:lineRule="auto"/>
        <w:rPr>
          <w:rFonts w:cstheme="minorHAnsi"/>
          <w:b/>
          <w:bCs/>
        </w:rPr>
      </w:pPr>
    </w:p>
    <w:p w:rsidR="00E37E1B" w:rsidRDefault="002B5016" w:rsidP="00E37E1B">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7</w:t>
      </w:r>
      <w:r w:rsidR="00E310B9" w:rsidRPr="00F42CC5">
        <w:rPr>
          <w:rFonts w:cstheme="minorHAnsi"/>
          <w:b/>
          <w:bCs/>
        </w:rPr>
        <w:t xml:space="preserve">. </w:t>
      </w:r>
      <w:r w:rsidR="000574AB" w:rsidRPr="00F42CC5">
        <w:rPr>
          <w:rFonts w:cstheme="minorHAnsi"/>
          <w:b/>
          <w:bCs/>
        </w:rPr>
        <w:t>If there are differences in the data</w:t>
      </w:r>
      <w:r w:rsidR="009726E1" w:rsidRPr="00F42CC5">
        <w:rPr>
          <w:rFonts w:cstheme="minorHAnsi"/>
          <w:b/>
          <w:bCs/>
        </w:rPr>
        <w:t xml:space="preserve"> or sample</w:t>
      </w:r>
      <w:r w:rsidR="000574AB" w:rsidRPr="00F42CC5">
        <w:rPr>
          <w:rFonts w:cstheme="minorHAnsi"/>
          <w:b/>
          <w:bCs/>
        </w:rPr>
        <w:t xml:space="preserve"> used for different </w:t>
      </w:r>
      <w:r w:rsidR="000968F8" w:rsidRPr="00F42CC5">
        <w:rPr>
          <w:rFonts w:cstheme="minorHAnsi"/>
          <w:b/>
          <w:bCs/>
        </w:rPr>
        <w:t>aspects</w:t>
      </w:r>
      <w:r w:rsidR="000574AB" w:rsidRPr="00F42CC5">
        <w:rPr>
          <w:rFonts w:cstheme="minorHAnsi"/>
          <w:b/>
          <w:bCs/>
        </w:rPr>
        <w:t xml:space="preserve"> of testing (e.</w:t>
      </w:r>
      <w:r w:rsidR="000574AB" w:rsidRPr="00A25024">
        <w:rPr>
          <w:rFonts w:cstheme="minorHAnsi"/>
          <w:b/>
          <w:bCs/>
        </w:rPr>
        <w:t>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A9014D" w:rsidRDefault="00A9014D" w:rsidP="00E37E1B">
      <w:pPr>
        <w:autoSpaceDE w:val="0"/>
        <w:autoSpaceDN w:val="0"/>
        <w:adjustRightInd w:val="0"/>
        <w:spacing w:after="0" w:line="240" w:lineRule="auto"/>
        <w:rPr>
          <w:rFonts w:cstheme="minorHAnsi"/>
          <w:bCs/>
        </w:rPr>
      </w:pPr>
    </w:p>
    <w:p w:rsidR="00E37E1B" w:rsidRDefault="003D245E" w:rsidP="00E37E1B">
      <w:pPr>
        <w:autoSpaceDE w:val="0"/>
        <w:autoSpaceDN w:val="0"/>
        <w:adjustRightInd w:val="0"/>
        <w:spacing w:after="0" w:line="240" w:lineRule="auto"/>
        <w:rPr>
          <w:rFonts w:cstheme="minorHAnsi"/>
          <w:bCs/>
        </w:rPr>
      </w:pPr>
      <w:r>
        <w:rPr>
          <w:rFonts w:cstheme="minorHAnsi"/>
          <w:bCs/>
        </w:rPr>
        <w:t xml:space="preserve">All descriptions and testing were carried out on the full sample from NACOR (stratified by Medicare vs. non-Medicare payor) and the </w:t>
      </w:r>
      <w:r w:rsidR="00463A1C" w:rsidRPr="00E20297">
        <w:rPr>
          <w:rFonts w:cstheme="minorHAnsi"/>
          <w:bCs/>
        </w:rPr>
        <w:t>Medicare Limited Data Set Carrier SAF – 5% File</w:t>
      </w:r>
      <w:r>
        <w:rPr>
          <w:rFonts w:cstheme="minorHAnsi"/>
          <w:bCs/>
        </w:rPr>
        <w:t xml:space="preserve">.  </w:t>
      </w: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rsidR="008C54A9" w:rsidRPr="00A25024" w:rsidRDefault="008C54A9" w:rsidP="00DB3627">
      <w:pPr>
        <w:autoSpaceDE w:val="0"/>
        <w:autoSpaceDN w:val="0"/>
        <w:adjustRightInd w:val="0"/>
        <w:spacing w:after="0" w:line="240" w:lineRule="auto"/>
        <w:rPr>
          <w:rFonts w:cstheme="minorHAnsi"/>
          <w:b/>
          <w:bCs/>
        </w:rPr>
      </w:pPr>
    </w:p>
    <w:p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F42CC5">
        <w:rPr>
          <w:rFonts w:cstheme="minorHAnsi"/>
          <w:b/>
          <w:bCs/>
        </w:rPr>
        <w:t>What level of reliability testing was conducted</w:t>
      </w:r>
      <w:r w:rsidR="000574AB" w:rsidRPr="00F42CC5">
        <w:rPr>
          <w:rFonts w:cstheme="minorHAnsi"/>
          <w:bCs/>
        </w:rPr>
        <w:t>?</w:t>
      </w:r>
      <w:r w:rsidR="00D50704" w:rsidRPr="00F42CC5">
        <w:rPr>
          <w:rFonts w:cstheme="minorHAnsi"/>
          <w:bCs/>
        </w:rPr>
        <w:t xml:space="preserve"> (</w:t>
      </w:r>
      <w:r w:rsidR="00E310B9" w:rsidRPr="00F42CC5">
        <w:rPr>
          <w:rFonts w:cstheme="minorHAnsi"/>
          <w:bCs/>
          <w:i/>
        </w:rPr>
        <w:t>may</w:t>
      </w:r>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D36489" w:rsidRPr="00A25024">
        <w:rPr>
          <w:rFonts w:cstheme="minorHAnsi"/>
          <w:b/>
          <w:bCs/>
        </w:rPr>
        <w:t>data</w:t>
      </w:r>
      <w:r w:rsidR="007422FD" w:rsidRPr="00A25024">
        <w:rPr>
          <w:rFonts w:cstheme="minorHAnsi"/>
          <w:b/>
          <w:bCs/>
        </w:rPr>
        <w:t xml:space="preserve"> elements</w:t>
      </w:r>
      <w:r w:rsidR="00E310B9" w:rsidRPr="00A25024">
        <w:rPr>
          <w:rFonts w:cstheme="minorHAnsi"/>
          <w:b/>
          <w:bCs/>
        </w:rPr>
        <w:t xml:space="preserve"> used in the measure</w:t>
      </w:r>
      <w:r w:rsidR="00E310B9" w:rsidRPr="00A25024">
        <w:rPr>
          <w:rFonts w:cstheme="minorHAnsi"/>
          <w:bCs/>
        </w:rPr>
        <w:t xml:space="preserve"> (</w:t>
      </w:r>
      <w:r w:rsidR="00E310B9" w:rsidRPr="00756FDB">
        <w:rPr>
          <w:rFonts w:cstheme="minorHAnsi"/>
          <w:bCs/>
          <w:i/>
        </w:rPr>
        <w:t>e.g., inter-abstractor reliability</w:t>
      </w:r>
      <w:r w:rsidR="000414E8">
        <w:rPr>
          <w:rFonts w:cstheme="minorHAnsi"/>
          <w:bCs/>
          <w:i/>
        </w:rPr>
        <w:t>; data element reliability</w:t>
      </w:r>
      <w:r w:rsidR="000414E8" w:rsidRPr="000414E8">
        <w:rPr>
          <w:rFonts w:cstheme="minorHAnsi"/>
          <w:bCs/>
          <w:i/>
        </w:rPr>
        <w:t xml:space="preserve"> must address ALL critical data elements</w:t>
      </w:r>
      <w:proofErr w:type="gramStart"/>
      <w:r w:rsidR="000414E8">
        <w:rPr>
          <w:rFonts w:cstheme="minorHAnsi"/>
          <w:bCs/>
        </w:rPr>
        <w:t>)</w:t>
      </w:r>
      <w:r w:rsidR="00CA06D8" w:rsidRPr="00A25024">
        <w:rPr>
          <w:rFonts w:cstheme="minorHAnsi"/>
          <w:bCs/>
        </w:rPr>
        <w:t xml:space="preserve">  </w:t>
      </w:r>
      <w:proofErr w:type="gramEnd"/>
      <w:r w:rsidR="00D1754D"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42121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P</w:t>
      </w:r>
      <w:r w:rsidR="00D1754D" w:rsidRPr="00A25024">
        <w:rPr>
          <w:rFonts w:cstheme="minorHAnsi"/>
          <w:b/>
          <w:bCs/>
        </w:rPr>
        <w:t xml:space="preserve">erformance </w:t>
      </w:r>
      <w:r w:rsidR="00CA06D8" w:rsidRPr="00A25024">
        <w:rPr>
          <w:rFonts w:cstheme="minorHAnsi"/>
          <w:b/>
          <w:bCs/>
        </w:rPr>
        <w:t>measure score</w:t>
      </w:r>
      <w:r w:rsidR="0011342F" w:rsidRPr="00A25024">
        <w:rPr>
          <w:rFonts w:cstheme="minorHAnsi"/>
          <w:bCs/>
        </w:rPr>
        <w:t xml:space="preserve"> (</w:t>
      </w:r>
      <w:r w:rsidR="00E310B9" w:rsidRPr="00A25024">
        <w:rPr>
          <w:rFonts w:cstheme="minorHAnsi"/>
          <w:bCs/>
        </w:rPr>
        <w:t xml:space="preserve">e.g., </w:t>
      </w:r>
      <w:r w:rsidR="0011342F" w:rsidRPr="00A25024">
        <w:rPr>
          <w:rFonts w:cstheme="minorHAnsi"/>
          <w:bCs/>
          <w:i/>
        </w:rPr>
        <w:t>signal-to-noise</w:t>
      </w:r>
      <w:r w:rsidR="000414E8">
        <w:rPr>
          <w:rFonts w:cstheme="minorHAnsi"/>
          <w:bCs/>
          <w:i/>
        </w:rPr>
        <w:t xml:space="preserve"> analysis</w:t>
      </w:r>
      <w:r w:rsidR="0011342F" w:rsidRPr="00A25024">
        <w:rPr>
          <w:rFonts w:cstheme="minorHAnsi"/>
          <w:bCs/>
        </w:rPr>
        <w:t>)</w:t>
      </w:r>
      <w:r w:rsidR="00DA7277" w:rsidRPr="00A25024">
        <w:rPr>
          <w:rFonts w:cstheme="minorHAnsi"/>
          <w:bCs/>
        </w:rPr>
        <w:br/>
      </w:r>
      <w:r w:rsidR="00D50704" w:rsidRPr="00A25024">
        <w:rPr>
          <w:rFonts w:cstheme="minorHAnsi"/>
          <w:bCs/>
          <w:u w:val="single"/>
        </w:rPr>
        <w:br/>
      </w:r>
      <w:r>
        <w:rPr>
          <w:rFonts w:cstheme="minorHAnsi"/>
          <w:b/>
          <w:bCs/>
        </w:rPr>
        <w:t>2a2.</w:t>
      </w:r>
      <w:r w:rsidR="008C54A9" w:rsidRPr="00A25024">
        <w:rPr>
          <w:rFonts w:cstheme="minorHAnsi"/>
          <w:b/>
          <w:bCs/>
        </w:rPr>
        <w:t>2</w:t>
      </w:r>
      <w:r w:rsidR="008C54A9" w:rsidRPr="00F42CC5">
        <w:rPr>
          <w:rFonts w:cstheme="minorHAnsi"/>
          <w:b/>
          <w:bCs/>
        </w:rPr>
        <w:t xml:space="preserve">. For each level checked above, describe the method of </w:t>
      </w:r>
      <w:r w:rsidR="000968F8" w:rsidRPr="00F42CC5">
        <w:rPr>
          <w:rFonts w:cstheme="minorHAnsi"/>
          <w:b/>
          <w:bCs/>
        </w:rPr>
        <w:t xml:space="preserve">reliability </w:t>
      </w:r>
      <w:r w:rsidR="008C54A9" w:rsidRPr="00F42CC5">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8C54A9" w:rsidRDefault="008C54A9" w:rsidP="008C54A9">
      <w:pPr>
        <w:autoSpaceDE w:val="0"/>
        <w:autoSpaceDN w:val="0"/>
        <w:adjustRightInd w:val="0"/>
        <w:spacing w:after="0" w:line="240" w:lineRule="auto"/>
        <w:rPr>
          <w:rFonts w:cstheme="minorHAnsi"/>
          <w:bCs/>
        </w:rPr>
      </w:pPr>
    </w:p>
    <w:p w:rsidR="00622B89" w:rsidRDefault="003D245E" w:rsidP="00622B89">
      <w:pPr>
        <w:autoSpaceDE w:val="0"/>
        <w:autoSpaceDN w:val="0"/>
        <w:adjustRightInd w:val="0"/>
        <w:spacing w:after="0" w:line="240" w:lineRule="auto"/>
        <w:rPr>
          <w:rFonts w:cstheme="minorHAnsi"/>
          <w:bCs/>
        </w:rPr>
      </w:pPr>
      <w:r>
        <w:rPr>
          <w:rFonts w:cstheme="minorHAnsi"/>
          <w:bCs/>
        </w:rPr>
        <w:t xml:space="preserve">As illustrated in the tables above, there are differences in </w:t>
      </w:r>
      <w:r w:rsidRPr="0090009D">
        <w:rPr>
          <w:rFonts w:cstheme="minorHAnsi"/>
          <w:bCs/>
        </w:rPr>
        <w:t>reporting this</w:t>
      </w:r>
      <w:r>
        <w:rPr>
          <w:rFonts w:cstheme="minorHAnsi"/>
          <w:bCs/>
        </w:rPr>
        <w:t xml:space="preserve"> measure between the 5% file and NACOR, and between Medicare and non-Medicare beneficiaries.  This is to be expected, given that the incentives for reporting this measure at present apply to CMS submission for eligible patients only.  The steadily increasing rate of reporting in each year surveyed reveals growing use of this measure by anesthesia practices, and steadily increasing ability to report it to CMS and NACOR. </w:t>
      </w:r>
    </w:p>
    <w:p w:rsidR="003D245E" w:rsidRDefault="003D245E" w:rsidP="00622B89">
      <w:pPr>
        <w:autoSpaceDE w:val="0"/>
        <w:autoSpaceDN w:val="0"/>
        <w:adjustRightInd w:val="0"/>
        <w:spacing w:after="0" w:line="240" w:lineRule="auto"/>
        <w:rPr>
          <w:rFonts w:cstheme="minorHAnsi"/>
          <w:bCs/>
        </w:rPr>
      </w:pPr>
    </w:p>
    <w:p w:rsidR="003D245E" w:rsidRPr="00A25024" w:rsidRDefault="003D245E" w:rsidP="00622B89">
      <w:pPr>
        <w:autoSpaceDE w:val="0"/>
        <w:autoSpaceDN w:val="0"/>
        <w:adjustRightInd w:val="0"/>
        <w:spacing w:after="0" w:line="240" w:lineRule="auto"/>
        <w:rPr>
          <w:rFonts w:cstheme="minorHAnsi"/>
          <w:bCs/>
        </w:rPr>
      </w:pPr>
      <w:r>
        <w:rPr>
          <w:rFonts w:cstheme="minorHAnsi"/>
          <w:bCs/>
        </w:rPr>
        <w:t xml:space="preserve">Performance on the measure is virtually identical in the NACOR and CMS </w:t>
      </w:r>
      <w:proofErr w:type="gramStart"/>
      <w:r>
        <w:rPr>
          <w:rFonts w:cstheme="minorHAnsi"/>
          <w:bCs/>
        </w:rPr>
        <w:t>samples,</w:t>
      </w:r>
      <w:proofErr w:type="gramEnd"/>
      <w:r>
        <w:rPr>
          <w:rFonts w:cstheme="minorHAnsi"/>
          <w:bCs/>
        </w:rPr>
        <w:t xml:space="preserve"> with a steady rise from 2010-2013 from about 92% success to about 97% success.  This illustrates strong reliability in reporting and scoring this measure consistently.  </w:t>
      </w:r>
    </w:p>
    <w:p w:rsidR="00622B89" w:rsidRDefault="00622B89" w:rsidP="008C54A9">
      <w:pPr>
        <w:autoSpaceDE w:val="0"/>
        <w:autoSpaceDN w:val="0"/>
        <w:adjustRightInd w:val="0"/>
        <w:spacing w:after="0" w:line="240" w:lineRule="auto"/>
        <w:rPr>
          <w:rFonts w:cstheme="minorHAnsi"/>
          <w:bCs/>
        </w:rPr>
      </w:pPr>
    </w:p>
    <w:p w:rsidR="00622B89" w:rsidRPr="00A25024" w:rsidRDefault="00622B89" w:rsidP="008C54A9">
      <w:pPr>
        <w:autoSpaceDE w:val="0"/>
        <w:autoSpaceDN w:val="0"/>
        <w:adjustRightInd w:val="0"/>
        <w:spacing w:after="0" w:line="240" w:lineRule="auto"/>
        <w:rPr>
          <w:rFonts w:cstheme="minorHAnsi"/>
          <w:bCs/>
        </w:rPr>
      </w:pPr>
    </w:p>
    <w:p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F42CC5">
        <w:rPr>
          <w:rFonts w:cstheme="minorHAnsi"/>
          <w:b/>
          <w:bCs/>
        </w:rPr>
        <w:t>3. For each level checked above, w</w:t>
      </w:r>
      <w:r w:rsidR="00900DBF" w:rsidRPr="00F42CC5">
        <w:rPr>
          <w:rFonts w:cstheme="minorHAnsi"/>
          <w:b/>
          <w:bCs/>
        </w:rPr>
        <w:t>hat were the statistical results</w:t>
      </w:r>
      <w:r w:rsidR="007422FD" w:rsidRPr="00F42CC5">
        <w:rPr>
          <w:rFonts w:cstheme="minorHAnsi"/>
          <w:b/>
          <w:bCs/>
        </w:rPr>
        <w:t xml:space="preserve"> from reliability testing</w:t>
      </w:r>
      <w:r w:rsidR="00900DBF" w:rsidRPr="00F42CC5">
        <w:rPr>
          <w:rFonts w:cstheme="minorHAnsi"/>
          <w:bCs/>
        </w:rPr>
        <w:t>?</w:t>
      </w:r>
      <w:r w:rsidR="00B037BA" w:rsidRPr="00F42CC5">
        <w:rPr>
          <w:rFonts w:cstheme="minorHAnsi"/>
          <w:bCs/>
        </w:rPr>
        <w:t xml:space="preserve"> </w:t>
      </w:r>
      <w:r w:rsidR="00AA5213" w:rsidRPr="00F42CC5">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rsidR="00622B89" w:rsidRDefault="0090009D" w:rsidP="008C54A9">
      <w:pPr>
        <w:autoSpaceDE w:val="0"/>
        <w:autoSpaceDN w:val="0"/>
        <w:adjustRightInd w:val="0"/>
        <w:spacing w:after="0" w:line="240" w:lineRule="auto"/>
        <w:rPr>
          <w:rFonts w:cstheme="minorHAnsi"/>
          <w:bCs/>
        </w:rPr>
      </w:pPr>
      <w:r>
        <w:rPr>
          <w:rFonts w:cstheme="minorHAnsi"/>
          <w:bCs/>
        </w:rPr>
        <w:t>This</w:t>
      </w:r>
      <w:r w:rsidR="00622B89">
        <w:rPr>
          <w:rFonts w:cstheme="minorHAnsi"/>
          <w:bCs/>
        </w:rPr>
        <w:t xml:space="preserve"> question is not applicable since the measure score confirms accurate translation of the provider’s documentation into a digital capture </w:t>
      </w:r>
      <w:r w:rsidR="00622B89" w:rsidRPr="00F42CC5">
        <w:rPr>
          <w:rFonts w:cstheme="minorHAnsi"/>
          <w:bCs/>
        </w:rPr>
        <w:t>system. Data from the Medicare Limited Data Set Carrier SAF – 5% File and NACOR confirm that the measure score is precise.</w:t>
      </w:r>
      <w:r w:rsidR="00622B89">
        <w:rPr>
          <w:rFonts w:cstheme="minorHAnsi"/>
          <w:bCs/>
        </w:rPr>
        <w:t xml:space="preserve">  </w:t>
      </w:r>
    </w:p>
    <w:p w:rsidR="00622B89" w:rsidRPr="00A25024" w:rsidRDefault="00622B89" w:rsidP="008C54A9">
      <w:pPr>
        <w:autoSpaceDE w:val="0"/>
        <w:autoSpaceDN w:val="0"/>
        <w:adjustRightInd w:val="0"/>
        <w:spacing w:after="0" w:line="240" w:lineRule="auto"/>
        <w:rPr>
          <w:rFonts w:cstheme="minorHAnsi"/>
          <w:bCs/>
        </w:rPr>
      </w:pPr>
    </w:p>
    <w:p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F42CC5">
        <w:rPr>
          <w:rFonts w:cstheme="minorHAnsi"/>
          <w:b/>
          <w:bCs/>
        </w:rPr>
        <w:t xml:space="preserve">What </w:t>
      </w:r>
      <w:r w:rsidR="000B2DF7" w:rsidRPr="00F42CC5">
        <w:rPr>
          <w:rFonts w:cstheme="minorHAnsi"/>
          <w:b/>
          <w:bCs/>
        </w:rPr>
        <w:t>is your interpretation of the results in terms of</w:t>
      </w:r>
      <w:r w:rsidR="007422FD" w:rsidRPr="00F42CC5">
        <w:rPr>
          <w:rFonts w:cstheme="minorHAnsi"/>
          <w:b/>
          <w:bCs/>
        </w:rPr>
        <w:t xml:space="preserve"> demonstrating reliability</w:t>
      </w:r>
      <w:r w:rsidR="007422FD" w:rsidRPr="00F42CC5">
        <w:rPr>
          <w:rFonts w:cstheme="minorHAnsi"/>
          <w:bCs/>
        </w:rPr>
        <w:t xml:space="preserve">? </w:t>
      </w:r>
      <w:r w:rsidR="000B2DF7" w:rsidRPr="00F42CC5">
        <w:rPr>
          <w:rFonts w:cstheme="minorHAnsi"/>
          <w:bCs/>
        </w:rPr>
        <w:t>(i</w:t>
      </w:r>
      <w:r w:rsidR="000B2DF7" w:rsidRPr="00F42CC5">
        <w:rPr>
          <w:rFonts w:cstheme="minorHAnsi"/>
          <w:bCs/>
          <w:i/>
        </w:rPr>
        <w:t>.</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rsidR="00622B89" w:rsidRDefault="008B1163" w:rsidP="00622B89">
      <w:pPr>
        <w:autoSpaceDE w:val="0"/>
        <w:autoSpaceDN w:val="0"/>
        <w:adjustRightInd w:val="0"/>
        <w:spacing w:after="0" w:line="240" w:lineRule="auto"/>
        <w:rPr>
          <w:rFonts w:cstheme="minorHAnsi"/>
          <w:bCs/>
        </w:rPr>
      </w:pPr>
      <w:r>
        <w:rPr>
          <w:rFonts w:cstheme="minorHAnsi"/>
          <w:bCs/>
        </w:rPr>
        <w:t xml:space="preserve">When reported, performance on this measure has improved from adequate (92%) to exceptional (97%) over four years.  This is consistent with anesthesia clinical practice, in which it should be possible to keep all but exceptional patients warm throughout the course of any major surgery.  The ability to do so is one factor which has increased the safety of anesthesia to the point where major adverse events such as perioperative myocardial infarctions and significant postoperative infections are vanishingly rare. </w:t>
      </w:r>
    </w:p>
    <w:p w:rsidR="008B1163" w:rsidRDefault="008B1163" w:rsidP="00622B89">
      <w:pPr>
        <w:autoSpaceDE w:val="0"/>
        <w:autoSpaceDN w:val="0"/>
        <w:adjustRightInd w:val="0"/>
        <w:spacing w:after="0" w:line="240" w:lineRule="auto"/>
        <w:rPr>
          <w:rFonts w:cstheme="minorHAnsi"/>
          <w:bCs/>
        </w:rPr>
      </w:pPr>
    </w:p>
    <w:p w:rsidR="008B1163" w:rsidRDefault="008B1163" w:rsidP="00622B89">
      <w:pPr>
        <w:autoSpaceDE w:val="0"/>
        <w:autoSpaceDN w:val="0"/>
        <w:adjustRightInd w:val="0"/>
        <w:spacing w:after="0" w:line="240" w:lineRule="auto"/>
        <w:rPr>
          <w:rFonts w:cstheme="minorHAnsi"/>
          <w:bCs/>
        </w:rPr>
      </w:pPr>
      <w:r>
        <w:rPr>
          <w:rFonts w:cstheme="minorHAnsi"/>
          <w:bCs/>
        </w:rPr>
        <w:t xml:space="preserve">The data illustrate that reliable reporting of this measure is both possible and feasible through existing mechanisms (chart abstraction into electronic claims submission/automated registry extracts).  The greater gap in this measure is seen in the number of practices and providers not yet reporting.  Maintenance of this measure is indicated until this gap is closed.  </w:t>
      </w:r>
    </w:p>
    <w:p w:rsidR="00622B89" w:rsidRPr="00A25024" w:rsidRDefault="00622B89" w:rsidP="00DB3627">
      <w:pPr>
        <w:autoSpaceDE w:val="0"/>
        <w:autoSpaceDN w:val="0"/>
        <w:adjustRightInd w:val="0"/>
        <w:spacing w:after="0" w:line="240" w:lineRule="auto"/>
        <w:rPr>
          <w:rFonts w:cstheme="minorHAnsi"/>
          <w:bCs/>
        </w:rPr>
      </w:pP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622B8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E61053"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622B8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E61053"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622B8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622B8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D50704" w:rsidRPr="00A25024" w:rsidRDefault="00D50704" w:rsidP="00DB3627">
      <w:pPr>
        <w:autoSpaceDE w:val="0"/>
        <w:autoSpaceDN w:val="0"/>
        <w:adjustRightInd w:val="0"/>
        <w:spacing w:after="0" w:line="240" w:lineRule="auto"/>
        <w:rPr>
          <w:rFonts w:cstheme="minorHAnsi"/>
          <w:bCs/>
        </w:rPr>
      </w:pPr>
    </w:p>
    <w:p w:rsidR="00833325" w:rsidRPr="00A25024"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2. For each level 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rsidR="00622B89" w:rsidRPr="005C6BD5" w:rsidRDefault="00622B89" w:rsidP="00622B89">
      <w:pPr>
        <w:autoSpaceDE w:val="0"/>
        <w:autoSpaceDN w:val="0"/>
        <w:adjustRightInd w:val="0"/>
        <w:spacing w:after="0" w:line="240" w:lineRule="auto"/>
        <w:rPr>
          <w:rFonts w:cstheme="minorHAnsi"/>
          <w:b/>
          <w:bCs/>
          <w:u w:val="single"/>
        </w:rPr>
      </w:pPr>
      <w:r w:rsidRPr="00F42CC5">
        <w:rPr>
          <w:rFonts w:cstheme="minorHAnsi"/>
          <w:b/>
          <w:bCs/>
          <w:u w:val="single"/>
        </w:rPr>
        <w:t>CRITICAL DATA ELEMENTS</w:t>
      </w:r>
    </w:p>
    <w:p w:rsidR="00622B89" w:rsidRDefault="00622B89" w:rsidP="00622B89">
      <w:pPr>
        <w:autoSpaceDE w:val="0"/>
        <w:autoSpaceDN w:val="0"/>
        <w:adjustRightInd w:val="0"/>
        <w:spacing w:after="0" w:line="240" w:lineRule="auto"/>
        <w:rPr>
          <w:rFonts w:cstheme="minorHAnsi"/>
          <w:bCs/>
        </w:rPr>
      </w:pPr>
      <w:r w:rsidRPr="004642E1">
        <w:rPr>
          <w:rFonts w:cstheme="minorHAnsi"/>
          <w:bCs/>
        </w:rPr>
        <w:t xml:space="preserve">NACOR data </w:t>
      </w:r>
      <w:r>
        <w:rPr>
          <w:rFonts w:cstheme="minorHAnsi"/>
          <w:bCs/>
        </w:rPr>
        <w:t xml:space="preserve">is imported directly from existing electronic sources.  As data files are translated into the system they undergo a series of quality checks, as well as both automated and manual review.  Key metrics are compared to previous reports from the same practice as well as to benchmarks established in the broader registry, and outliers are identified and followed up with the sending practice.  </w:t>
      </w:r>
    </w:p>
    <w:p w:rsidR="00622B89" w:rsidRDefault="00622B89" w:rsidP="00622B89">
      <w:pPr>
        <w:autoSpaceDE w:val="0"/>
        <w:autoSpaceDN w:val="0"/>
        <w:adjustRightInd w:val="0"/>
        <w:spacing w:after="0" w:line="240" w:lineRule="auto"/>
        <w:rPr>
          <w:rFonts w:cstheme="minorHAnsi"/>
          <w:bCs/>
        </w:rPr>
      </w:pPr>
    </w:p>
    <w:p w:rsidR="00622B89" w:rsidRDefault="00622B89" w:rsidP="00622B89">
      <w:pPr>
        <w:autoSpaceDE w:val="0"/>
        <w:autoSpaceDN w:val="0"/>
        <w:adjustRightInd w:val="0"/>
        <w:spacing w:after="0" w:line="240" w:lineRule="auto"/>
        <w:rPr>
          <w:rFonts w:cstheme="minorHAnsi"/>
          <w:bCs/>
        </w:rPr>
      </w:pPr>
      <w:r>
        <w:rPr>
          <w:rFonts w:cstheme="minorHAnsi"/>
          <w:bCs/>
        </w:rPr>
        <w:t xml:space="preserve">While these steps can insure the integrity of electronic transmission of existing information, they do not validate the primary creation of those data or their abstraction into a billing or quality management system.  The first step is </w:t>
      </w:r>
      <w:r w:rsidR="008B1163">
        <w:rPr>
          <w:rFonts w:cstheme="minorHAnsi"/>
          <w:bCs/>
        </w:rPr>
        <w:t xml:space="preserve">relatively straightforward: postoperative temperature is a vital sign which is recorded in the medical record in a consistent format and location, and can be easily abstracted.  In electronic healthcare records this is a structured data element with near universal synchronicity in definition across multiple software platforms.  Documentation of exceptions and conditions applying to this measure is only mildly more difficult: case duration is recorded in multiple locations in the anesthesia and nursing records and is translated to a structured filed in electronic records.  The most challenging element of documentation in the original measure is noting the use of warming devices </w:t>
      </w:r>
      <w:r w:rsidR="00680443">
        <w:rPr>
          <w:rFonts w:cstheme="minorHAnsi"/>
          <w:bCs/>
        </w:rPr>
        <w:t xml:space="preserve">by the anesthesia team.  Primary documentation may take many different forms on paper records, and this element may be structured in different ways (or not at all) in electronic records.  By eliminating the need for this documentation in the revised measure, we believe that more practices will be better able to report it in a reliable and valid fashion.  </w:t>
      </w:r>
    </w:p>
    <w:p w:rsidR="00622B89" w:rsidRDefault="00622B89" w:rsidP="00622B89">
      <w:pPr>
        <w:autoSpaceDE w:val="0"/>
        <w:autoSpaceDN w:val="0"/>
        <w:adjustRightInd w:val="0"/>
        <w:spacing w:after="0" w:line="240" w:lineRule="auto"/>
        <w:rPr>
          <w:rFonts w:cstheme="minorHAnsi"/>
          <w:bCs/>
        </w:rPr>
      </w:pPr>
    </w:p>
    <w:p w:rsidR="00622B89" w:rsidRDefault="00622B89" w:rsidP="00622B89">
      <w:pPr>
        <w:autoSpaceDE w:val="0"/>
        <w:autoSpaceDN w:val="0"/>
        <w:adjustRightInd w:val="0"/>
        <w:spacing w:after="0" w:line="240" w:lineRule="auto"/>
        <w:rPr>
          <w:rFonts w:cstheme="minorHAnsi"/>
          <w:bCs/>
        </w:rPr>
      </w:pPr>
      <w:r>
        <w:rPr>
          <w:rFonts w:cstheme="minorHAnsi"/>
          <w:bCs/>
        </w:rPr>
        <w:t xml:space="preserve">The second stage of validation, confirming accurate translation of the provider’s documentation into a digital capture system, is commonly assessed by retrospective random audits which compare the local medical record to the information captured in the national registry.  NACOR has provisions in place for just such auditing, which will begin in the coming year.  NACOR audits may take on a different form than those conducted by older registries, as NACOR is designed to move electronic data directly from the medical record to the registry, without the need for human abstractors.  </w:t>
      </w:r>
    </w:p>
    <w:p w:rsidR="00833325" w:rsidRDefault="00833325" w:rsidP="00DB3627">
      <w:pPr>
        <w:autoSpaceDE w:val="0"/>
        <w:autoSpaceDN w:val="0"/>
        <w:adjustRightInd w:val="0"/>
        <w:spacing w:after="0" w:line="240" w:lineRule="auto"/>
        <w:rPr>
          <w:rFonts w:cstheme="minorHAnsi"/>
          <w:bCs/>
        </w:rPr>
      </w:pPr>
    </w:p>
    <w:p w:rsidR="00622B89" w:rsidRDefault="00622B89" w:rsidP="00DB3627">
      <w:pPr>
        <w:autoSpaceDE w:val="0"/>
        <w:autoSpaceDN w:val="0"/>
        <w:adjustRightInd w:val="0"/>
        <w:spacing w:after="0" w:line="240" w:lineRule="auto"/>
        <w:rPr>
          <w:b/>
          <w:u w:val="single"/>
        </w:rPr>
      </w:pPr>
      <w:r w:rsidRPr="00F42CC5">
        <w:rPr>
          <w:b/>
          <w:u w:val="single"/>
        </w:rPr>
        <w:t>PERFORMANCE MEASURE SCORE – SYSTEMATIC REVIEW OF FACE VALIDITY</w:t>
      </w:r>
    </w:p>
    <w:p w:rsidR="00622B89" w:rsidRDefault="00622B89" w:rsidP="00622B89">
      <w:pPr>
        <w:spacing w:after="0" w:line="240" w:lineRule="auto"/>
      </w:pPr>
      <w:r>
        <w:t>As part of the measure maintenance for NQF #0454, American Society of Anesthesiologists (ASA) solicited a Measure Expert Panel (MEP) that consisted of 26 experts to perform face validity testing on the measure. The names of MEP members have been provided in application question Ad.2.</w:t>
      </w:r>
    </w:p>
    <w:p w:rsidR="00622B89" w:rsidRDefault="00622B89" w:rsidP="00622B89">
      <w:pPr>
        <w:spacing w:after="0" w:line="240" w:lineRule="auto"/>
      </w:pPr>
    </w:p>
    <w:p w:rsidR="00622B89" w:rsidRDefault="00622B89" w:rsidP="00622B89">
      <w:pPr>
        <w:spacing w:after="0" w:line="240" w:lineRule="auto"/>
      </w:pPr>
      <w:r>
        <w:t xml:space="preserve">The MEP reviewed NQF #0454 measure specifications and members were asked to rate their agreement with the following statement: “The scores obtained from the measure as specified will provide an accurate reflection of quality and can be used to distinguish good and poor </w:t>
      </w:r>
      <w:r w:rsidRPr="00F42CC5">
        <w:t>quality.” The MEP was advised to take into consideration the proposed measure changes that ASA seeks and as described in application question S.3 during the measure maintenance process.</w:t>
      </w:r>
    </w:p>
    <w:p w:rsidR="00622B89" w:rsidRDefault="00622B89" w:rsidP="00622B89">
      <w:pPr>
        <w:spacing w:after="0" w:line="240" w:lineRule="auto"/>
      </w:pPr>
    </w:p>
    <w:p w:rsidR="00622B89" w:rsidRPr="00F42CC5" w:rsidRDefault="00622B89" w:rsidP="00F42CC5">
      <w:pPr>
        <w:spacing w:after="0" w:line="240" w:lineRule="auto"/>
      </w:pPr>
      <w:r>
        <w:t xml:space="preserve">MEP members were able to rate their agreement on a </w:t>
      </w:r>
      <w:r w:rsidRPr="00801C65">
        <w:t>five-point</w:t>
      </w:r>
      <w:r>
        <w:t xml:space="preserve"> rating scale: Strongly Disagree, Disagree, Neither Agree nor D</w:t>
      </w:r>
      <w:r w:rsidR="00F42CC5">
        <w:t>isagree, Agree, Strongly Agree.</w:t>
      </w:r>
    </w:p>
    <w:p w:rsidR="00622B89" w:rsidRPr="00A25024" w:rsidRDefault="00622B89" w:rsidP="00DB3627">
      <w:pPr>
        <w:autoSpaceDE w:val="0"/>
        <w:autoSpaceDN w:val="0"/>
        <w:adjustRightInd w:val="0"/>
        <w:spacing w:after="0" w:line="240" w:lineRule="auto"/>
        <w:rPr>
          <w:rFonts w:cstheme="minorHAnsi"/>
          <w:bCs/>
        </w:rPr>
      </w:pPr>
    </w:p>
    <w:p w:rsidR="007422FD"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rsidR="004F31AD" w:rsidRDefault="004F31AD" w:rsidP="004F31AD">
      <w:pPr>
        <w:autoSpaceDE w:val="0"/>
        <w:autoSpaceDN w:val="0"/>
        <w:adjustRightInd w:val="0"/>
        <w:spacing w:after="0" w:line="240" w:lineRule="auto"/>
        <w:rPr>
          <w:b/>
          <w:u w:val="single"/>
        </w:rPr>
      </w:pPr>
      <w:r w:rsidRPr="00944A99">
        <w:rPr>
          <w:b/>
          <w:u w:val="single"/>
        </w:rPr>
        <w:t>PERFORMANCE MEASURE SCORE –</w:t>
      </w:r>
      <w:r>
        <w:rPr>
          <w:b/>
          <w:u w:val="single"/>
        </w:rPr>
        <w:t xml:space="preserve"> </w:t>
      </w:r>
      <w:r w:rsidRPr="00944A99">
        <w:rPr>
          <w:b/>
          <w:u w:val="single"/>
        </w:rPr>
        <w:t>VALIDITY</w:t>
      </w:r>
      <w:r>
        <w:rPr>
          <w:b/>
          <w:u w:val="single"/>
        </w:rPr>
        <w:t xml:space="preserve"> TESTING</w:t>
      </w:r>
    </w:p>
    <w:p w:rsidR="004F31AD" w:rsidRDefault="004F31AD" w:rsidP="004F31AD">
      <w:pPr>
        <w:autoSpaceDE w:val="0"/>
        <w:autoSpaceDN w:val="0"/>
        <w:adjustRightInd w:val="0"/>
        <w:spacing w:after="0" w:line="240" w:lineRule="auto"/>
        <w:rPr>
          <w:rFonts w:cstheme="minorHAnsi"/>
          <w:bCs/>
        </w:rPr>
      </w:pPr>
      <w:r w:rsidRPr="00E20297">
        <w:t xml:space="preserve">Using the </w:t>
      </w:r>
      <w:r w:rsidRPr="00E20297">
        <w:rPr>
          <w:rFonts w:cstheme="minorHAnsi"/>
          <w:bCs/>
        </w:rPr>
        <w:t xml:space="preserve">Medicare Limited Data Set Carrier SAF – 5% File for 2012, a t-test was conducted to see if there was a significant difference between those that reported </w:t>
      </w:r>
      <w:r w:rsidR="0079035B" w:rsidRPr="00E20297">
        <w:rPr>
          <w:rFonts w:cstheme="minorHAnsi"/>
          <w:bCs/>
        </w:rPr>
        <w:t>maintenance of normothermia and those that did not</w:t>
      </w:r>
      <w:r w:rsidRPr="00E20297">
        <w:rPr>
          <w:rFonts w:cstheme="minorHAnsi"/>
          <w:bCs/>
        </w:rPr>
        <w:t xml:space="preserve">. </w:t>
      </w:r>
      <w:proofErr w:type="gramStart"/>
      <w:r w:rsidR="002A4AF6" w:rsidRPr="00E20297">
        <w:rPr>
          <w:rFonts w:cstheme="minorHAnsi"/>
          <w:bCs/>
        </w:rPr>
        <w:t xml:space="preserve">The t-test showed significance </w:t>
      </w:r>
      <w:r w:rsidR="0079035B" w:rsidRPr="00E20297">
        <w:rPr>
          <w:rFonts w:cstheme="minorHAnsi"/>
          <w:bCs/>
        </w:rPr>
        <w:t xml:space="preserve">in age, End Stage Renal Disease </w:t>
      </w:r>
      <w:r w:rsidR="00E61053">
        <w:rPr>
          <w:rFonts w:cstheme="minorHAnsi"/>
          <w:bCs/>
        </w:rPr>
        <w:t xml:space="preserve">(ESRD) </w:t>
      </w:r>
      <w:r w:rsidR="0079035B" w:rsidRPr="00E20297">
        <w:rPr>
          <w:rFonts w:cstheme="minorHAnsi"/>
          <w:bCs/>
        </w:rPr>
        <w:t>and those who died.</w:t>
      </w:r>
      <w:proofErr w:type="gramEnd"/>
      <w:r w:rsidR="0079035B" w:rsidRPr="00E20297">
        <w:rPr>
          <w:rFonts w:cstheme="minorHAnsi"/>
          <w:bCs/>
        </w:rPr>
        <w:t xml:space="preserve"> </w:t>
      </w:r>
      <w:r w:rsidRPr="00E20297">
        <w:rPr>
          <w:rFonts w:cstheme="minorHAnsi"/>
          <w:bCs/>
        </w:rPr>
        <w:t>Those that re</w:t>
      </w:r>
      <w:r w:rsidR="002A4AF6" w:rsidRPr="00E20297">
        <w:rPr>
          <w:rFonts w:cstheme="minorHAnsi"/>
          <w:bCs/>
        </w:rPr>
        <w:t xml:space="preserve">ported maintenance of normothermia </w:t>
      </w:r>
      <w:r w:rsidRPr="00E20297">
        <w:rPr>
          <w:rFonts w:cstheme="minorHAnsi"/>
          <w:bCs/>
        </w:rPr>
        <w:t>were slightly older, more likely to have End Stage Renal Disease, and more likely to be dead</w:t>
      </w:r>
      <w:r w:rsidR="002A4AF6" w:rsidRPr="00E20297">
        <w:rPr>
          <w:rFonts w:cstheme="minorHAnsi"/>
          <w:bCs/>
        </w:rPr>
        <w:t>. There was no significant differences between gender and race</w:t>
      </w:r>
      <w:r w:rsidRPr="00E20297">
        <w:rPr>
          <w:rFonts w:cstheme="minorHAnsi"/>
          <w:bCs/>
        </w:rPr>
        <w:t>.</w:t>
      </w:r>
      <w:r w:rsidR="00680443">
        <w:rPr>
          <w:rFonts w:cstheme="minorHAnsi"/>
          <w:bCs/>
        </w:rPr>
        <w:t xml:space="preserve">  These findings most likely reflect reporting of this measure by larger hospitals caring for a higher risk surgical population, as these are the facilities with the resources to be early adapters in reporting.  </w:t>
      </w:r>
    </w:p>
    <w:p w:rsidR="004F31AD" w:rsidRDefault="004F31AD" w:rsidP="004F31AD">
      <w:pPr>
        <w:autoSpaceDE w:val="0"/>
        <w:autoSpaceDN w:val="0"/>
        <w:adjustRightInd w:val="0"/>
        <w:spacing w:after="0" w:line="240" w:lineRule="auto"/>
        <w:rPr>
          <w:rFonts w:cstheme="minorHAnsi"/>
          <w:bCs/>
        </w:rPr>
      </w:pPr>
    </w:p>
    <w:p w:rsidR="004F31AD" w:rsidRPr="00372183" w:rsidRDefault="004F31AD" w:rsidP="004F31AD">
      <w:pPr>
        <w:spacing w:after="0" w:line="240" w:lineRule="auto"/>
        <w:jc w:val="center"/>
        <w:rPr>
          <w:b/>
          <w:sz w:val="24"/>
          <w:szCs w:val="24"/>
        </w:rPr>
      </w:pPr>
      <w:r w:rsidRPr="00372183">
        <w:rPr>
          <w:b/>
          <w:sz w:val="24"/>
          <w:szCs w:val="24"/>
        </w:rPr>
        <w:t xml:space="preserve">Perioperative Temperature Management: </w:t>
      </w:r>
    </w:p>
    <w:p w:rsidR="004F31AD" w:rsidRPr="00372183" w:rsidRDefault="004F31AD" w:rsidP="004F31AD">
      <w:pPr>
        <w:spacing w:after="0" w:line="240" w:lineRule="auto"/>
        <w:jc w:val="center"/>
        <w:rPr>
          <w:b/>
          <w:sz w:val="24"/>
          <w:szCs w:val="24"/>
        </w:rPr>
      </w:pPr>
      <w:proofErr w:type="gramStart"/>
      <w:r w:rsidRPr="00372183">
        <w:rPr>
          <w:b/>
          <w:sz w:val="24"/>
          <w:szCs w:val="24"/>
        </w:rPr>
        <w:t>Comparison of Mean Characteristics for patients</w:t>
      </w:r>
      <w:r w:rsidR="0079035B" w:rsidRPr="00372183">
        <w:rPr>
          <w:b/>
          <w:sz w:val="24"/>
          <w:szCs w:val="24"/>
        </w:rPr>
        <w:t xml:space="preserve"> when perioperative </w:t>
      </w:r>
      <w:proofErr w:type="spellStart"/>
      <w:r w:rsidR="0079035B" w:rsidRPr="00372183">
        <w:rPr>
          <w:b/>
          <w:sz w:val="24"/>
          <w:szCs w:val="24"/>
        </w:rPr>
        <w:t>normothermia</w:t>
      </w:r>
      <w:proofErr w:type="spellEnd"/>
      <w:r w:rsidR="0079035B" w:rsidRPr="00372183">
        <w:rPr>
          <w:b/>
          <w:sz w:val="24"/>
          <w:szCs w:val="24"/>
        </w:rPr>
        <w:t xml:space="preserve"> was </w:t>
      </w:r>
      <w:r w:rsidR="00F822A2">
        <w:rPr>
          <w:b/>
          <w:sz w:val="24"/>
          <w:szCs w:val="24"/>
        </w:rPr>
        <w:t>report</w:t>
      </w:r>
      <w:r w:rsidR="0079035B" w:rsidRPr="00372183">
        <w:rPr>
          <w:b/>
          <w:sz w:val="24"/>
          <w:szCs w:val="24"/>
        </w:rPr>
        <w:t xml:space="preserve">ed and those instances when </w:t>
      </w:r>
      <w:proofErr w:type="spellStart"/>
      <w:r w:rsidR="0079035B" w:rsidRPr="00372183">
        <w:rPr>
          <w:b/>
          <w:sz w:val="24"/>
          <w:szCs w:val="24"/>
        </w:rPr>
        <w:t>normothermia</w:t>
      </w:r>
      <w:proofErr w:type="spellEnd"/>
      <w:r w:rsidR="0079035B" w:rsidRPr="00372183">
        <w:rPr>
          <w:b/>
          <w:sz w:val="24"/>
          <w:szCs w:val="24"/>
        </w:rPr>
        <w:t xml:space="preserve"> was not </w:t>
      </w:r>
      <w:r w:rsidR="00F822A2">
        <w:rPr>
          <w:b/>
          <w:sz w:val="24"/>
          <w:szCs w:val="24"/>
        </w:rPr>
        <w:t>report</w:t>
      </w:r>
      <w:r w:rsidR="0079035B" w:rsidRPr="00372183">
        <w:rPr>
          <w:b/>
          <w:sz w:val="24"/>
          <w:szCs w:val="24"/>
        </w:rPr>
        <w:t>ed</w:t>
      </w:r>
      <w:r w:rsidRPr="00372183">
        <w:rPr>
          <w:b/>
          <w:sz w:val="24"/>
          <w:szCs w:val="24"/>
        </w:rPr>
        <w:t>.</w:t>
      </w:r>
      <w:proofErr w:type="gramEnd"/>
      <w:r w:rsidRPr="00372183">
        <w:rPr>
          <w:b/>
          <w:sz w:val="24"/>
          <w:szCs w:val="24"/>
        </w:rPr>
        <w:t xml:space="preserve"> </w:t>
      </w:r>
    </w:p>
    <w:p w:rsidR="004F31AD" w:rsidRPr="00372183" w:rsidRDefault="004F31AD" w:rsidP="004F31AD">
      <w:pPr>
        <w:spacing w:after="0" w:line="240" w:lineRule="auto"/>
        <w:jc w:val="center"/>
      </w:pPr>
      <w:r w:rsidRPr="00372183">
        <w:t xml:space="preserve">Based on </w:t>
      </w:r>
      <w:r w:rsidR="0079035B" w:rsidRPr="00372183">
        <w:t xml:space="preserve">2012 </w:t>
      </w:r>
      <w:r w:rsidRPr="00372183">
        <w:t>Medicare 5% Sample Claims Files</w:t>
      </w:r>
    </w:p>
    <w:p w:rsidR="004F31AD" w:rsidRDefault="004F31AD" w:rsidP="004F31AD">
      <w:pPr>
        <w:spacing w:after="0" w:line="240" w:lineRule="auto"/>
        <w:jc w:val="center"/>
        <w:rPr>
          <w:b/>
          <w:sz w:val="24"/>
        </w:rPr>
      </w:pPr>
    </w:p>
    <w:p w:rsidR="004F31AD" w:rsidRPr="005C6BD5" w:rsidRDefault="004F31AD" w:rsidP="004F31AD">
      <w:pPr>
        <w:spacing w:after="0" w:line="240" w:lineRule="auto"/>
        <w:jc w:val="center"/>
        <w:rPr>
          <w:b/>
          <w:sz w:val="24"/>
        </w:rPr>
      </w:pPr>
      <w:r>
        <w:rPr>
          <w:b/>
          <w:sz w:val="24"/>
        </w:rPr>
        <w:t>2012</w:t>
      </w:r>
    </w:p>
    <w:p w:rsidR="004F31AD" w:rsidRDefault="004F31AD" w:rsidP="004F31AD">
      <w:pPr>
        <w:spacing w:after="0" w:line="240" w:lineRule="auto"/>
        <w:rPr>
          <w:sz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8"/>
        <w:gridCol w:w="1814"/>
        <w:gridCol w:w="1814"/>
        <w:gridCol w:w="1814"/>
        <w:gridCol w:w="1596"/>
      </w:tblGrid>
      <w:tr w:rsidR="0079035B" w:rsidTr="008A3570">
        <w:tc>
          <w:tcPr>
            <w:tcW w:w="2538" w:type="dxa"/>
            <w:tcBorders>
              <w:top w:val="single" w:sz="12" w:space="0" w:color="auto"/>
            </w:tcBorders>
          </w:tcPr>
          <w:p w:rsidR="004F31AD" w:rsidRPr="00CC257A" w:rsidRDefault="004F31AD" w:rsidP="008A3570">
            <w:pPr>
              <w:spacing w:before="60"/>
              <w:rPr>
                <w:b/>
              </w:rPr>
            </w:pPr>
          </w:p>
        </w:tc>
        <w:tc>
          <w:tcPr>
            <w:tcW w:w="5442" w:type="dxa"/>
            <w:gridSpan w:val="3"/>
            <w:tcBorders>
              <w:top w:val="single" w:sz="12" w:space="0" w:color="auto"/>
              <w:bottom w:val="single" w:sz="6" w:space="0" w:color="auto"/>
            </w:tcBorders>
          </w:tcPr>
          <w:p w:rsidR="004F31AD" w:rsidRPr="00CC257A" w:rsidRDefault="004F31AD" w:rsidP="008A3570">
            <w:pPr>
              <w:spacing w:before="60"/>
              <w:jc w:val="center"/>
              <w:rPr>
                <w:b/>
              </w:rPr>
            </w:pPr>
            <w:r>
              <w:rPr>
                <w:b/>
              </w:rPr>
              <w:t>Mean or Proportion</w:t>
            </w:r>
          </w:p>
        </w:tc>
        <w:tc>
          <w:tcPr>
            <w:tcW w:w="1596" w:type="dxa"/>
            <w:tcBorders>
              <w:top w:val="single" w:sz="12" w:space="0" w:color="auto"/>
            </w:tcBorders>
          </w:tcPr>
          <w:p w:rsidR="004F31AD" w:rsidRPr="00CC257A" w:rsidRDefault="004F31AD" w:rsidP="008A3570">
            <w:pPr>
              <w:spacing w:before="60"/>
              <w:rPr>
                <w:b/>
              </w:rPr>
            </w:pPr>
          </w:p>
        </w:tc>
      </w:tr>
      <w:tr w:rsidR="0079035B" w:rsidTr="008A3570">
        <w:tc>
          <w:tcPr>
            <w:tcW w:w="2538" w:type="dxa"/>
            <w:tcBorders>
              <w:bottom w:val="single" w:sz="6" w:space="0" w:color="auto"/>
            </w:tcBorders>
          </w:tcPr>
          <w:p w:rsidR="004F31AD" w:rsidRDefault="004F31AD" w:rsidP="008A3570">
            <w:pPr>
              <w:rPr>
                <w:b/>
              </w:rPr>
            </w:pPr>
          </w:p>
          <w:p w:rsidR="004F31AD" w:rsidRPr="00CC257A" w:rsidRDefault="004F31AD" w:rsidP="008A3570">
            <w:pPr>
              <w:rPr>
                <w:b/>
              </w:rPr>
            </w:pPr>
            <w:r w:rsidRPr="00CC257A">
              <w:rPr>
                <w:b/>
              </w:rPr>
              <w:t>Patient Characteristic</w:t>
            </w:r>
          </w:p>
        </w:tc>
        <w:tc>
          <w:tcPr>
            <w:tcW w:w="1814" w:type="dxa"/>
            <w:tcBorders>
              <w:top w:val="single" w:sz="6" w:space="0" w:color="auto"/>
              <w:bottom w:val="single" w:sz="6" w:space="0" w:color="auto"/>
            </w:tcBorders>
          </w:tcPr>
          <w:p w:rsidR="004F31AD" w:rsidRPr="00CC257A" w:rsidRDefault="004F31AD" w:rsidP="008A3570">
            <w:pPr>
              <w:jc w:val="center"/>
              <w:rPr>
                <w:b/>
              </w:rPr>
            </w:pPr>
            <w:r w:rsidRPr="00C02B4B">
              <w:rPr>
                <w:b/>
              </w:rPr>
              <w:t>All Cases</w:t>
            </w:r>
          </w:p>
        </w:tc>
        <w:tc>
          <w:tcPr>
            <w:tcW w:w="1814" w:type="dxa"/>
            <w:tcBorders>
              <w:top w:val="single" w:sz="6" w:space="0" w:color="auto"/>
              <w:bottom w:val="single" w:sz="6" w:space="0" w:color="auto"/>
            </w:tcBorders>
          </w:tcPr>
          <w:p w:rsidR="004F31AD" w:rsidRPr="00CC257A" w:rsidRDefault="0079035B" w:rsidP="008A3570">
            <w:pPr>
              <w:jc w:val="center"/>
              <w:rPr>
                <w:b/>
              </w:rPr>
            </w:pPr>
            <w:r>
              <w:rPr>
                <w:b/>
              </w:rPr>
              <w:t xml:space="preserve">Perioperative </w:t>
            </w:r>
            <w:proofErr w:type="spellStart"/>
            <w:r>
              <w:rPr>
                <w:b/>
              </w:rPr>
              <w:t>Normothermia</w:t>
            </w:r>
            <w:proofErr w:type="spellEnd"/>
            <w:r>
              <w:rPr>
                <w:b/>
              </w:rPr>
              <w:t xml:space="preserve"> Maintained</w:t>
            </w:r>
          </w:p>
        </w:tc>
        <w:tc>
          <w:tcPr>
            <w:tcW w:w="1814" w:type="dxa"/>
            <w:tcBorders>
              <w:top w:val="single" w:sz="6" w:space="0" w:color="auto"/>
              <w:bottom w:val="single" w:sz="6" w:space="0" w:color="auto"/>
            </w:tcBorders>
          </w:tcPr>
          <w:p w:rsidR="004F31AD" w:rsidRPr="00CC257A" w:rsidRDefault="0079035B" w:rsidP="0079035B">
            <w:pPr>
              <w:jc w:val="center"/>
              <w:rPr>
                <w:b/>
              </w:rPr>
            </w:pPr>
            <w:r>
              <w:rPr>
                <w:b/>
              </w:rPr>
              <w:t xml:space="preserve">Perioperative </w:t>
            </w:r>
            <w:proofErr w:type="spellStart"/>
            <w:r>
              <w:rPr>
                <w:b/>
              </w:rPr>
              <w:t>Normothermia</w:t>
            </w:r>
            <w:proofErr w:type="spellEnd"/>
            <w:r>
              <w:rPr>
                <w:b/>
              </w:rPr>
              <w:t xml:space="preserve"> Not Maintained</w:t>
            </w:r>
          </w:p>
        </w:tc>
        <w:tc>
          <w:tcPr>
            <w:tcW w:w="1596" w:type="dxa"/>
            <w:tcBorders>
              <w:bottom w:val="single" w:sz="6" w:space="0" w:color="auto"/>
            </w:tcBorders>
          </w:tcPr>
          <w:p w:rsidR="004F31AD" w:rsidRDefault="004F31AD" w:rsidP="008A3570">
            <w:pPr>
              <w:jc w:val="right"/>
              <w:rPr>
                <w:b/>
                <w:i/>
              </w:rPr>
            </w:pPr>
          </w:p>
          <w:p w:rsidR="004F31AD" w:rsidRPr="00CC257A" w:rsidRDefault="004F31AD" w:rsidP="008A3570">
            <w:pPr>
              <w:jc w:val="center"/>
              <w:rPr>
                <w:b/>
              </w:rPr>
            </w:pPr>
            <w:r w:rsidRPr="00CC257A">
              <w:rPr>
                <w:b/>
                <w:i/>
              </w:rPr>
              <w:t>P</w:t>
            </w:r>
            <w:r w:rsidRPr="00CC257A">
              <w:rPr>
                <w:b/>
              </w:rPr>
              <w:t>-Value</w:t>
            </w:r>
          </w:p>
        </w:tc>
      </w:tr>
      <w:tr w:rsidR="0079035B" w:rsidTr="008A3570">
        <w:tc>
          <w:tcPr>
            <w:tcW w:w="2538" w:type="dxa"/>
            <w:tcBorders>
              <w:top w:val="single" w:sz="6" w:space="0" w:color="auto"/>
            </w:tcBorders>
          </w:tcPr>
          <w:p w:rsidR="004F31AD" w:rsidRPr="00CC257A" w:rsidRDefault="004F31AD" w:rsidP="008A3570">
            <w:pPr>
              <w:spacing w:before="120"/>
            </w:pPr>
            <w:r>
              <w:t>Age (years)</w:t>
            </w:r>
          </w:p>
        </w:tc>
        <w:tc>
          <w:tcPr>
            <w:tcW w:w="1814" w:type="dxa"/>
            <w:tcBorders>
              <w:top w:val="single" w:sz="6" w:space="0" w:color="auto"/>
            </w:tcBorders>
          </w:tcPr>
          <w:p w:rsidR="004F31AD" w:rsidRPr="00CC257A" w:rsidRDefault="0079035B" w:rsidP="008A3570">
            <w:pPr>
              <w:tabs>
                <w:tab w:val="decimal" w:pos="936"/>
              </w:tabs>
              <w:spacing w:before="120"/>
            </w:pPr>
            <w:r>
              <w:t>70.45</w:t>
            </w:r>
          </w:p>
        </w:tc>
        <w:tc>
          <w:tcPr>
            <w:tcW w:w="1814" w:type="dxa"/>
            <w:tcBorders>
              <w:top w:val="single" w:sz="6" w:space="0" w:color="auto"/>
            </w:tcBorders>
          </w:tcPr>
          <w:p w:rsidR="004F31AD" w:rsidRPr="00CC257A" w:rsidRDefault="0079035B" w:rsidP="008A3570">
            <w:pPr>
              <w:tabs>
                <w:tab w:val="decimal" w:pos="936"/>
              </w:tabs>
              <w:spacing w:before="120"/>
            </w:pPr>
            <w:r>
              <w:t>70.57</w:t>
            </w:r>
          </w:p>
        </w:tc>
        <w:tc>
          <w:tcPr>
            <w:tcW w:w="1814" w:type="dxa"/>
            <w:tcBorders>
              <w:top w:val="single" w:sz="6" w:space="0" w:color="auto"/>
            </w:tcBorders>
          </w:tcPr>
          <w:p w:rsidR="004F31AD" w:rsidRPr="00CC257A" w:rsidRDefault="0079035B" w:rsidP="008A3570">
            <w:pPr>
              <w:tabs>
                <w:tab w:val="decimal" w:pos="936"/>
              </w:tabs>
              <w:spacing w:before="120"/>
            </w:pPr>
            <w:r>
              <w:t>70.40</w:t>
            </w:r>
          </w:p>
        </w:tc>
        <w:tc>
          <w:tcPr>
            <w:tcW w:w="1596" w:type="dxa"/>
            <w:tcBorders>
              <w:top w:val="single" w:sz="6" w:space="0" w:color="auto"/>
            </w:tcBorders>
          </w:tcPr>
          <w:p w:rsidR="004F31AD" w:rsidRPr="00CC257A" w:rsidRDefault="0079035B" w:rsidP="008A3570">
            <w:pPr>
              <w:tabs>
                <w:tab w:val="decimal" w:pos="660"/>
              </w:tabs>
              <w:spacing w:before="120"/>
            </w:pPr>
            <w:r>
              <w:t>&lt;.01</w:t>
            </w:r>
          </w:p>
        </w:tc>
      </w:tr>
      <w:tr w:rsidR="0079035B" w:rsidTr="008A3570">
        <w:tc>
          <w:tcPr>
            <w:tcW w:w="2538" w:type="dxa"/>
            <w:tcBorders>
              <w:bottom w:val="single" w:sz="4" w:space="0" w:color="auto"/>
            </w:tcBorders>
          </w:tcPr>
          <w:p w:rsidR="004F31AD" w:rsidRDefault="004F31AD" w:rsidP="008A3570">
            <w:pPr>
              <w:spacing w:before="60"/>
            </w:pPr>
            <w:r>
              <w:t>Proportion:</w:t>
            </w:r>
          </w:p>
        </w:tc>
        <w:tc>
          <w:tcPr>
            <w:tcW w:w="1814" w:type="dxa"/>
          </w:tcPr>
          <w:p w:rsidR="004F31AD" w:rsidRDefault="004F31AD" w:rsidP="008A3570">
            <w:pPr>
              <w:tabs>
                <w:tab w:val="decimal" w:pos="702"/>
              </w:tabs>
              <w:spacing w:before="60"/>
            </w:pPr>
          </w:p>
        </w:tc>
        <w:tc>
          <w:tcPr>
            <w:tcW w:w="1814" w:type="dxa"/>
          </w:tcPr>
          <w:p w:rsidR="004F31AD" w:rsidRDefault="004F31AD" w:rsidP="008A3570">
            <w:pPr>
              <w:tabs>
                <w:tab w:val="decimal" w:pos="702"/>
              </w:tabs>
              <w:spacing w:before="60"/>
            </w:pPr>
          </w:p>
        </w:tc>
        <w:tc>
          <w:tcPr>
            <w:tcW w:w="1814" w:type="dxa"/>
          </w:tcPr>
          <w:p w:rsidR="004F31AD" w:rsidRDefault="004F31AD" w:rsidP="008A3570">
            <w:pPr>
              <w:tabs>
                <w:tab w:val="decimal" w:pos="702"/>
              </w:tabs>
              <w:spacing w:before="60"/>
            </w:pPr>
          </w:p>
        </w:tc>
        <w:tc>
          <w:tcPr>
            <w:tcW w:w="1596" w:type="dxa"/>
          </w:tcPr>
          <w:p w:rsidR="004F31AD" w:rsidRDefault="004F31AD" w:rsidP="008A3570">
            <w:pPr>
              <w:tabs>
                <w:tab w:val="decimal" w:pos="702"/>
              </w:tabs>
              <w:spacing w:before="60"/>
            </w:pPr>
          </w:p>
        </w:tc>
      </w:tr>
      <w:tr w:rsidR="0079035B" w:rsidTr="008A3570">
        <w:tc>
          <w:tcPr>
            <w:tcW w:w="2538" w:type="dxa"/>
            <w:tcBorders>
              <w:top w:val="single" w:sz="4" w:space="0" w:color="auto"/>
            </w:tcBorders>
          </w:tcPr>
          <w:p w:rsidR="004F31AD" w:rsidRPr="00C02B4B" w:rsidRDefault="004F31AD" w:rsidP="008A3570">
            <w:r w:rsidRPr="00C02B4B">
              <w:t xml:space="preserve"> </w:t>
            </w:r>
            <w:r>
              <w:t>M</w:t>
            </w:r>
            <w:r w:rsidRPr="00C02B4B">
              <w:t>ale</w:t>
            </w:r>
          </w:p>
        </w:tc>
        <w:tc>
          <w:tcPr>
            <w:tcW w:w="1814" w:type="dxa"/>
          </w:tcPr>
          <w:p w:rsidR="004F31AD" w:rsidRPr="00C02B4B" w:rsidRDefault="0079035B" w:rsidP="008A3570">
            <w:pPr>
              <w:tabs>
                <w:tab w:val="decimal" w:pos="702"/>
              </w:tabs>
            </w:pPr>
            <w:r>
              <w:t>.436</w:t>
            </w:r>
          </w:p>
        </w:tc>
        <w:tc>
          <w:tcPr>
            <w:tcW w:w="1814" w:type="dxa"/>
          </w:tcPr>
          <w:p w:rsidR="004F31AD" w:rsidRPr="00CC257A" w:rsidRDefault="0079035B" w:rsidP="008A3570">
            <w:pPr>
              <w:tabs>
                <w:tab w:val="decimal" w:pos="702"/>
              </w:tabs>
            </w:pPr>
            <w:r>
              <w:t>.437</w:t>
            </w:r>
          </w:p>
        </w:tc>
        <w:tc>
          <w:tcPr>
            <w:tcW w:w="1814" w:type="dxa"/>
          </w:tcPr>
          <w:p w:rsidR="004F31AD" w:rsidRPr="00CC257A" w:rsidRDefault="0079035B" w:rsidP="008A3570">
            <w:pPr>
              <w:tabs>
                <w:tab w:val="decimal" w:pos="702"/>
              </w:tabs>
            </w:pPr>
            <w:r>
              <w:t>.436</w:t>
            </w:r>
          </w:p>
        </w:tc>
        <w:tc>
          <w:tcPr>
            <w:tcW w:w="1596" w:type="dxa"/>
          </w:tcPr>
          <w:p w:rsidR="004F31AD" w:rsidRPr="00CC257A" w:rsidRDefault="0079035B" w:rsidP="008A3570">
            <w:pPr>
              <w:tabs>
                <w:tab w:val="decimal" w:pos="702"/>
              </w:tabs>
            </w:pPr>
            <w:r>
              <w:t>.47</w:t>
            </w:r>
          </w:p>
        </w:tc>
      </w:tr>
      <w:tr w:rsidR="0079035B" w:rsidTr="008A3570">
        <w:tc>
          <w:tcPr>
            <w:tcW w:w="2538" w:type="dxa"/>
          </w:tcPr>
          <w:p w:rsidR="004F31AD" w:rsidRPr="00C02B4B" w:rsidRDefault="004F31AD" w:rsidP="008A3570">
            <w:r w:rsidRPr="00C02B4B">
              <w:t xml:space="preserve">     Non-White</w:t>
            </w:r>
          </w:p>
        </w:tc>
        <w:tc>
          <w:tcPr>
            <w:tcW w:w="1814" w:type="dxa"/>
          </w:tcPr>
          <w:p w:rsidR="004F31AD" w:rsidRPr="00C02B4B" w:rsidRDefault="0079035B" w:rsidP="008A3570">
            <w:pPr>
              <w:tabs>
                <w:tab w:val="decimal" w:pos="702"/>
              </w:tabs>
            </w:pPr>
            <w:r>
              <w:t>.150</w:t>
            </w:r>
          </w:p>
        </w:tc>
        <w:tc>
          <w:tcPr>
            <w:tcW w:w="1814" w:type="dxa"/>
          </w:tcPr>
          <w:p w:rsidR="004F31AD" w:rsidRPr="00CC257A" w:rsidRDefault="0079035B" w:rsidP="008A3570">
            <w:pPr>
              <w:tabs>
                <w:tab w:val="decimal" w:pos="702"/>
              </w:tabs>
            </w:pPr>
            <w:r>
              <w:t>.151</w:t>
            </w:r>
          </w:p>
        </w:tc>
        <w:tc>
          <w:tcPr>
            <w:tcW w:w="1814" w:type="dxa"/>
          </w:tcPr>
          <w:p w:rsidR="004F31AD" w:rsidRPr="00CC257A" w:rsidRDefault="0079035B" w:rsidP="008A3570">
            <w:pPr>
              <w:tabs>
                <w:tab w:val="decimal" w:pos="702"/>
              </w:tabs>
            </w:pPr>
            <w:r>
              <w:t>.150</w:t>
            </w:r>
          </w:p>
        </w:tc>
        <w:tc>
          <w:tcPr>
            <w:tcW w:w="1596" w:type="dxa"/>
          </w:tcPr>
          <w:p w:rsidR="004F31AD" w:rsidRPr="00CC257A" w:rsidRDefault="0079035B" w:rsidP="008A3570">
            <w:pPr>
              <w:tabs>
                <w:tab w:val="decimal" w:pos="702"/>
              </w:tabs>
            </w:pPr>
            <w:r>
              <w:t>.58</w:t>
            </w:r>
          </w:p>
        </w:tc>
      </w:tr>
      <w:tr w:rsidR="0079035B" w:rsidTr="008A3570">
        <w:tc>
          <w:tcPr>
            <w:tcW w:w="2538" w:type="dxa"/>
          </w:tcPr>
          <w:p w:rsidR="004F31AD" w:rsidRPr="00C02B4B" w:rsidRDefault="004F31AD" w:rsidP="008A3570">
            <w:r w:rsidRPr="00C02B4B">
              <w:t xml:space="preserve">     ESRD</w:t>
            </w:r>
          </w:p>
        </w:tc>
        <w:tc>
          <w:tcPr>
            <w:tcW w:w="1814" w:type="dxa"/>
          </w:tcPr>
          <w:p w:rsidR="004F31AD" w:rsidRPr="00C02B4B" w:rsidRDefault="0079035B" w:rsidP="008A3570">
            <w:pPr>
              <w:tabs>
                <w:tab w:val="decimal" w:pos="702"/>
              </w:tabs>
            </w:pPr>
            <w:r>
              <w:t>.040</w:t>
            </w:r>
          </w:p>
        </w:tc>
        <w:tc>
          <w:tcPr>
            <w:tcW w:w="1814" w:type="dxa"/>
          </w:tcPr>
          <w:p w:rsidR="004F31AD" w:rsidRPr="00CC257A" w:rsidRDefault="0079035B" w:rsidP="008A3570">
            <w:pPr>
              <w:tabs>
                <w:tab w:val="decimal" w:pos="702"/>
              </w:tabs>
            </w:pPr>
            <w:r>
              <w:t>.047</w:t>
            </w:r>
          </w:p>
        </w:tc>
        <w:tc>
          <w:tcPr>
            <w:tcW w:w="1814" w:type="dxa"/>
          </w:tcPr>
          <w:p w:rsidR="004F31AD" w:rsidRPr="00CC257A" w:rsidRDefault="0079035B" w:rsidP="008A3570">
            <w:pPr>
              <w:tabs>
                <w:tab w:val="decimal" w:pos="702"/>
              </w:tabs>
            </w:pPr>
            <w:r>
              <w:t>.036</w:t>
            </w:r>
          </w:p>
        </w:tc>
        <w:tc>
          <w:tcPr>
            <w:tcW w:w="1596" w:type="dxa"/>
          </w:tcPr>
          <w:p w:rsidR="004F31AD" w:rsidRPr="00CC257A" w:rsidRDefault="0079035B" w:rsidP="008A3570">
            <w:pPr>
              <w:tabs>
                <w:tab w:val="decimal" w:pos="702"/>
              </w:tabs>
            </w:pPr>
            <w:r>
              <w:t>&lt;.01</w:t>
            </w:r>
          </w:p>
        </w:tc>
      </w:tr>
      <w:tr w:rsidR="0079035B" w:rsidTr="008A3570">
        <w:tc>
          <w:tcPr>
            <w:tcW w:w="2538" w:type="dxa"/>
            <w:tcBorders>
              <w:bottom w:val="single" w:sz="6" w:space="0" w:color="auto"/>
            </w:tcBorders>
          </w:tcPr>
          <w:p w:rsidR="004F31AD" w:rsidRPr="00C02B4B" w:rsidRDefault="004F31AD" w:rsidP="008A3570">
            <w:pPr>
              <w:spacing w:after="60"/>
            </w:pPr>
            <w:r w:rsidRPr="00C02B4B">
              <w:t xml:space="preserve">     Died</w:t>
            </w:r>
          </w:p>
        </w:tc>
        <w:tc>
          <w:tcPr>
            <w:tcW w:w="1814" w:type="dxa"/>
            <w:tcBorders>
              <w:bottom w:val="single" w:sz="6" w:space="0" w:color="auto"/>
            </w:tcBorders>
          </w:tcPr>
          <w:p w:rsidR="004F31AD" w:rsidRPr="00C02B4B" w:rsidRDefault="0079035B" w:rsidP="008A3570">
            <w:pPr>
              <w:tabs>
                <w:tab w:val="decimal" w:pos="702"/>
              </w:tabs>
              <w:spacing w:after="60"/>
            </w:pPr>
            <w:r>
              <w:t>.073</w:t>
            </w:r>
          </w:p>
        </w:tc>
        <w:tc>
          <w:tcPr>
            <w:tcW w:w="1814" w:type="dxa"/>
            <w:tcBorders>
              <w:bottom w:val="single" w:sz="6" w:space="0" w:color="auto"/>
            </w:tcBorders>
          </w:tcPr>
          <w:p w:rsidR="004F31AD" w:rsidRPr="00CC257A" w:rsidRDefault="0079035B" w:rsidP="008A3570">
            <w:pPr>
              <w:tabs>
                <w:tab w:val="decimal" w:pos="702"/>
              </w:tabs>
              <w:spacing w:after="60"/>
            </w:pPr>
            <w:r>
              <w:t>.083</w:t>
            </w:r>
          </w:p>
        </w:tc>
        <w:tc>
          <w:tcPr>
            <w:tcW w:w="1814" w:type="dxa"/>
            <w:tcBorders>
              <w:bottom w:val="single" w:sz="6" w:space="0" w:color="auto"/>
            </w:tcBorders>
          </w:tcPr>
          <w:p w:rsidR="004F31AD" w:rsidRPr="00CC257A" w:rsidRDefault="0079035B" w:rsidP="008A3570">
            <w:pPr>
              <w:tabs>
                <w:tab w:val="decimal" w:pos="702"/>
              </w:tabs>
              <w:spacing w:after="60"/>
            </w:pPr>
            <w:r>
              <w:t>.069</w:t>
            </w:r>
          </w:p>
        </w:tc>
        <w:tc>
          <w:tcPr>
            <w:tcW w:w="1596" w:type="dxa"/>
            <w:tcBorders>
              <w:bottom w:val="single" w:sz="6" w:space="0" w:color="auto"/>
            </w:tcBorders>
          </w:tcPr>
          <w:p w:rsidR="004F31AD" w:rsidRPr="00CC257A" w:rsidRDefault="0079035B" w:rsidP="008A3570">
            <w:pPr>
              <w:tabs>
                <w:tab w:val="decimal" w:pos="702"/>
              </w:tabs>
              <w:spacing w:after="60"/>
            </w:pPr>
            <w:r>
              <w:t>&lt;.01</w:t>
            </w:r>
          </w:p>
        </w:tc>
      </w:tr>
    </w:tbl>
    <w:p w:rsidR="004F31AD" w:rsidRPr="00AB5433" w:rsidRDefault="004F31AD" w:rsidP="004F31AD">
      <w:pPr>
        <w:spacing w:after="0" w:line="240" w:lineRule="auto"/>
        <w:rPr>
          <w:sz w:val="24"/>
        </w:rPr>
      </w:pPr>
    </w:p>
    <w:p w:rsidR="00622B89" w:rsidRDefault="00622B89" w:rsidP="00092566">
      <w:pPr>
        <w:autoSpaceDE w:val="0"/>
        <w:autoSpaceDN w:val="0"/>
        <w:adjustRightInd w:val="0"/>
        <w:spacing w:after="0" w:line="240" w:lineRule="auto"/>
        <w:rPr>
          <w:rFonts w:cstheme="minorHAnsi"/>
          <w:bCs/>
        </w:rPr>
      </w:pPr>
    </w:p>
    <w:p w:rsidR="00622B89" w:rsidRPr="004F31AD" w:rsidRDefault="00622B89" w:rsidP="00622B89">
      <w:pPr>
        <w:spacing w:after="0" w:line="240" w:lineRule="auto"/>
        <w:rPr>
          <w:b/>
          <w:u w:val="single"/>
        </w:rPr>
      </w:pPr>
      <w:r w:rsidRPr="004F31AD">
        <w:rPr>
          <w:b/>
          <w:u w:val="single"/>
        </w:rPr>
        <w:lastRenderedPageBreak/>
        <w:t>PERFORMANCE MEASURE SCORE – SYSTEMATIC REVIEW OF FACE VALIDITY</w:t>
      </w:r>
    </w:p>
    <w:p w:rsidR="00622B89" w:rsidRPr="004F31AD" w:rsidRDefault="00622B89" w:rsidP="00622B89">
      <w:pPr>
        <w:autoSpaceDE w:val="0"/>
        <w:autoSpaceDN w:val="0"/>
        <w:adjustRightInd w:val="0"/>
        <w:spacing w:after="0" w:line="240" w:lineRule="auto"/>
        <w:rPr>
          <w:rFonts w:cstheme="minorHAnsi"/>
          <w:bCs/>
        </w:rPr>
      </w:pPr>
      <w:r w:rsidRPr="004F31AD">
        <w:rPr>
          <w:rFonts w:cstheme="minorHAnsi"/>
          <w:bCs/>
        </w:rPr>
        <w:t xml:space="preserve">The results of the face validity assessment indicate that members expressed general agreement with the statement: “The scores obtained from the measure as specified will provide an accurate reflection of quality and can be used to distinguish good and poor quality.” </w:t>
      </w:r>
    </w:p>
    <w:p w:rsidR="00622B89" w:rsidRPr="004F31AD" w:rsidRDefault="00622B89" w:rsidP="00622B89">
      <w:pPr>
        <w:autoSpaceDE w:val="0"/>
        <w:autoSpaceDN w:val="0"/>
        <w:adjustRightInd w:val="0"/>
        <w:spacing w:after="0" w:line="240" w:lineRule="auto"/>
        <w:rPr>
          <w:rFonts w:cstheme="minorHAnsi"/>
          <w:bCs/>
        </w:rPr>
      </w:pPr>
    </w:p>
    <w:p w:rsidR="00622B89" w:rsidRPr="004F31AD" w:rsidRDefault="00622B89" w:rsidP="00622B89">
      <w:pPr>
        <w:autoSpaceDE w:val="0"/>
        <w:autoSpaceDN w:val="0"/>
        <w:adjustRightInd w:val="0"/>
        <w:spacing w:after="0" w:line="240" w:lineRule="auto"/>
        <w:rPr>
          <w:rFonts w:cstheme="minorHAnsi"/>
          <w:bCs/>
        </w:rPr>
      </w:pPr>
      <w:r w:rsidRPr="004F31AD">
        <w:rPr>
          <w:rFonts w:cstheme="minorHAnsi"/>
          <w:bCs/>
        </w:rPr>
        <w:t>The results of the expert panel rating of the validity statement were as follows: N = 26; Mean rating = 3.73 and 65% of respondents either agree or strongly agree that this measure can accurately distinguish good and poor quality.</w:t>
      </w:r>
    </w:p>
    <w:p w:rsidR="00622B89" w:rsidRPr="004F31AD" w:rsidRDefault="00622B89" w:rsidP="00622B89">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4788"/>
        <w:gridCol w:w="4788"/>
      </w:tblGrid>
      <w:tr w:rsidR="00622B89" w:rsidRPr="004F31AD" w:rsidTr="004F31AD">
        <w:trPr>
          <w:trHeight w:val="288"/>
        </w:trPr>
        <w:tc>
          <w:tcPr>
            <w:tcW w:w="4788" w:type="dxa"/>
          </w:tcPr>
          <w:p w:rsidR="00622B89" w:rsidRPr="004F31AD" w:rsidRDefault="00622B89" w:rsidP="00E20297">
            <w:r w:rsidRPr="004F31AD">
              <w:t>Rating Scale</w:t>
            </w:r>
          </w:p>
        </w:tc>
        <w:tc>
          <w:tcPr>
            <w:tcW w:w="4788" w:type="dxa"/>
          </w:tcPr>
          <w:p w:rsidR="00622B89" w:rsidRPr="004F31AD" w:rsidRDefault="00622B89" w:rsidP="00E20297">
            <w:r w:rsidRPr="004F31AD">
              <w:t>Number who selected the rating</w:t>
            </w:r>
          </w:p>
        </w:tc>
      </w:tr>
      <w:tr w:rsidR="00622B89" w:rsidRPr="004F31AD" w:rsidTr="004F31AD">
        <w:trPr>
          <w:trHeight w:val="288"/>
        </w:trPr>
        <w:tc>
          <w:tcPr>
            <w:tcW w:w="4788" w:type="dxa"/>
          </w:tcPr>
          <w:p w:rsidR="00622B89" w:rsidRPr="004F31AD" w:rsidRDefault="00622B89" w:rsidP="00E20297">
            <w:r w:rsidRPr="004F31AD">
              <w:t>1 – Strongly Disagree</w:t>
            </w:r>
          </w:p>
        </w:tc>
        <w:tc>
          <w:tcPr>
            <w:tcW w:w="4788" w:type="dxa"/>
          </w:tcPr>
          <w:p w:rsidR="00622B89" w:rsidRPr="004F31AD" w:rsidRDefault="00622B89" w:rsidP="00E20297">
            <w:r w:rsidRPr="004F31AD">
              <w:t>1</w:t>
            </w:r>
          </w:p>
        </w:tc>
      </w:tr>
      <w:tr w:rsidR="00622B89" w:rsidRPr="004F31AD" w:rsidTr="004F31AD">
        <w:trPr>
          <w:trHeight w:val="288"/>
        </w:trPr>
        <w:tc>
          <w:tcPr>
            <w:tcW w:w="4788" w:type="dxa"/>
          </w:tcPr>
          <w:p w:rsidR="00622B89" w:rsidRPr="004F31AD" w:rsidRDefault="00622B89" w:rsidP="00E20297">
            <w:r w:rsidRPr="004F31AD">
              <w:t>2 – Disagree</w:t>
            </w:r>
          </w:p>
        </w:tc>
        <w:tc>
          <w:tcPr>
            <w:tcW w:w="4788" w:type="dxa"/>
          </w:tcPr>
          <w:p w:rsidR="00622B89" w:rsidRPr="004F31AD" w:rsidRDefault="00622B89" w:rsidP="00E20297">
            <w:r w:rsidRPr="004F31AD">
              <w:t>3</w:t>
            </w:r>
          </w:p>
        </w:tc>
      </w:tr>
      <w:tr w:rsidR="00622B89" w:rsidRPr="004F31AD" w:rsidTr="004F31AD">
        <w:trPr>
          <w:trHeight w:val="288"/>
        </w:trPr>
        <w:tc>
          <w:tcPr>
            <w:tcW w:w="4788" w:type="dxa"/>
          </w:tcPr>
          <w:p w:rsidR="00622B89" w:rsidRPr="004F31AD" w:rsidRDefault="00622B89" w:rsidP="00E20297">
            <w:r w:rsidRPr="004F31AD">
              <w:t>3 – Neither Agree nor Disagree</w:t>
            </w:r>
          </w:p>
        </w:tc>
        <w:tc>
          <w:tcPr>
            <w:tcW w:w="4788" w:type="dxa"/>
          </w:tcPr>
          <w:p w:rsidR="00622B89" w:rsidRPr="004F31AD" w:rsidRDefault="00622B89" w:rsidP="00E20297">
            <w:r w:rsidRPr="004F31AD">
              <w:t>5</w:t>
            </w:r>
          </w:p>
        </w:tc>
      </w:tr>
      <w:tr w:rsidR="00622B89" w:rsidRPr="004F31AD" w:rsidTr="004F31AD">
        <w:trPr>
          <w:trHeight w:val="288"/>
        </w:trPr>
        <w:tc>
          <w:tcPr>
            <w:tcW w:w="4788" w:type="dxa"/>
          </w:tcPr>
          <w:p w:rsidR="00622B89" w:rsidRPr="004F31AD" w:rsidRDefault="00622B89" w:rsidP="00E20297">
            <w:r w:rsidRPr="004F31AD">
              <w:t>4 – Agree</w:t>
            </w:r>
          </w:p>
        </w:tc>
        <w:tc>
          <w:tcPr>
            <w:tcW w:w="4788" w:type="dxa"/>
          </w:tcPr>
          <w:p w:rsidR="00622B89" w:rsidRPr="004F31AD" w:rsidRDefault="00622B89" w:rsidP="00E20297">
            <w:r w:rsidRPr="004F31AD">
              <w:t>8</w:t>
            </w:r>
          </w:p>
        </w:tc>
      </w:tr>
      <w:tr w:rsidR="00622B89" w:rsidRPr="004F31AD" w:rsidTr="004F31AD">
        <w:trPr>
          <w:trHeight w:val="288"/>
        </w:trPr>
        <w:tc>
          <w:tcPr>
            <w:tcW w:w="4788" w:type="dxa"/>
          </w:tcPr>
          <w:p w:rsidR="00622B89" w:rsidRPr="004F31AD" w:rsidRDefault="00622B89" w:rsidP="00E20297">
            <w:r w:rsidRPr="004F31AD">
              <w:t>5 – Strongly Agree</w:t>
            </w:r>
          </w:p>
        </w:tc>
        <w:tc>
          <w:tcPr>
            <w:tcW w:w="4788" w:type="dxa"/>
          </w:tcPr>
          <w:p w:rsidR="00622B89" w:rsidRPr="004F31AD" w:rsidRDefault="00622B89" w:rsidP="00E20297">
            <w:r w:rsidRPr="004F31AD">
              <w:t>9</w:t>
            </w:r>
          </w:p>
        </w:tc>
      </w:tr>
      <w:tr w:rsidR="00622B89" w:rsidRPr="004F31AD" w:rsidTr="004F31AD">
        <w:trPr>
          <w:trHeight w:val="288"/>
        </w:trPr>
        <w:tc>
          <w:tcPr>
            <w:tcW w:w="4788" w:type="dxa"/>
            <w:vAlign w:val="center"/>
          </w:tcPr>
          <w:p w:rsidR="00622B89" w:rsidRPr="004F31AD" w:rsidRDefault="00622B89" w:rsidP="00E20297">
            <w:pPr>
              <w:jc w:val="right"/>
            </w:pPr>
            <w:r w:rsidRPr="004F31AD">
              <w:t>Total Members:</w:t>
            </w:r>
          </w:p>
        </w:tc>
        <w:tc>
          <w:tcPr>
            <w:tcW w:w="4788" w:type="dxa"/>
          </w:tcPr>
          <w:p w:rsidR="00622B89" w:rsidRPr="004F31AD" w:rsidRDefault="00622B89" w:rsidP="00E20297">
            <w:r w:rsidRPr="004F31AD">
              <w:t>26</w:t>
            </w:r>
          </w:p>
        </w:tc>
      </w:tr>
      <w:tr w:rsidR="00622B89" w:rsidTr="004F31AD">
        <w:trPr>
          <w:trHeight w:val="288"/>
        </w:trPr>
        <w:tc>
          <w:tcPr>
            <w:tcW w:w="4788" w:type="dxa"/>
            <w:vAlign w:val="center"/>
          </w:tcPr>
          <w:p w:rsidR="00622B89" w:rsidRPr="004F31AD" w:rsidRDefault="00622B89" w:rsidP="00E20297">
            <w:pPr>
              <w:jc w:val="right"/>
            </w:pPr>
            <w:r w:rsidRPr="004F31AD">
              <w:t>Mean Score:</w:t>
            </w:r>
          </w:p>
        </w:tc>
        <w:tc>
          <w:tcPr>
            <w:tcW w:w="4788" w:type="dxa"/>
          </w:tcPr>
          <w:p w:rsidR="00622B89" w:rsidRDefault="00622B89" w:rsidP="00E20297">
            <w:r w:rsidRPr="004F31AD">
              <w:t>3.73</w:t>
            </w:r>
          </w:p>
        </w:tc>
      </w:tr>
    </w:tbl>
    <w:p w:rsidR="00622B89" w:rsidRPr="00092566" w:rsidRDefault="00622B89" w:rsidP="00092566">
      <w:pPr>
        <w:autoSpaceDE w:val="0"/>
        <w:autoSpaceDN w:val="0"/>
        <w:adjustRightInd w:val="0"/>
        <w:spacing w:after="0" w:line="240" w:lineRule="auto"/>
        <w:rPr>
          <w:rFonts w:cstheme="minorHAnsi"/>
          <w:bCs/>
        </w:rPr>
      </w:pPr>
    </w:p>
    <w:p w:rsidR="007422FD"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rsidR="00680443" w:rsidRDefault="00680443" w:rsidP="00DB3627">
      <w:pPr>
        <w:autoSpaceDE w:val="0"/>
        <w:autoSpaceDN w:val="0"/>
        <w:adjustRightInd w:val="0"/>
        <w:spacing w:after="0" w:line="240" w:lineRule="auto"/>
        <w:rPr>
          <w:rFonts w:cstheme="minorHAnsi"/>
          <w:bCs/>
        </w:rPr>
      </w:pPr>
      <w:r>
        <w:rPr>
          <w:rFonts w:cstheme="minorHAnsi"/>
          <w:bCs/>
        </w:rPr>
        <w:t>Anesthesiologists believe that maintenance of intraoperative normothermia is associated with improved outcomes.  The science behind this concept is convincing, and the exhortation to preserve patient temperature can be seen in tex</w:t>
      </w:r>
      <w:r w:rsidR="00E61053">
        <w:rPr>
          <w:rFonts w:cstheme="minorHAnsi"/>
          <w:bCs/>
        </w:rPr>
        <w:t>tbooks reaching back more than four</w:t>
      </w:r>
      <w:r>
        <w:rPr>
          <w:rFonts w:cstheme="minorHAnsi"/>
          <w:bCs/>
        </w:rPr>
        <w:t xml:space="preserve"> decades.  This evidence has been summarized above.  Warm patients are more comfortable and have a lower metabolic demand than patients who have become hypothermic.  This translates to a reduced risk for demand-based myocardial ischemia and more normal functioning of the immune and coagulation systems.  Warm patients are less likely to develop postoperati</w:t>
      </w:r>
      <w:r w:rsidR="00E61053">
        <w:rPr>
          <w:rFonts w:cstheme="minorHAnsi"/>
          <w:bCs/>
        </w:rPr>
        <w:t>ve infections (either systemic,</w:t>
      </w:r>
      <w:r>
        <w:rPr>
          <w:rFonts w:cstheme="minorHAnsi"/>
          <w:bCs/>
        </w:rPr>
        <w:t xml:space="preserve"> pneumonia or local wound infections) and less likely to require transfusion.  </w:t>
      </w:r>
    </w:p>
    <w:p w:rsidR="00680443" w:rsidRDefault="00680443" w:rsidP="00DB3627">
      <w:pPr>
        <w:autoSpaceDE w:val="0"/>
        <w:autoSpaceDN w:val="0"/>
        <w:adjustRightInd w:val="0"/>
        <w:spacing w:after="0" w:line="240" w:lineRule="auto"/>
        <w:rPr>
          <w:rFonts w:cstheme="minorHAnsi"/>
          <w:bCs/>
        </w:rPr>
      </w:pPr>
    </w:p>
    <w:p w:rsidR="00680443" w:rsidRPr="00A25024" w:rsidRDefault="00680443" w:rsidP="00DB3627">
      <w:pPr>
        <w:autoSpaceDE w:val="0"/>
        <w:autoSpaceDN w:val="0"/>
        <w:adjustRightInd w:val="0"/>
        <w:spacing w:after="0" w:line="240" w:lineRule="auto"/>
        <w:rPr>
          <w:rFonts w:cstheme="minorHAnsi"/>
          <w:bCs/>
        </w:rPr>
      </w:pPr>
      <w:r>
        <w:rPr>
          <w:rFonts w:cstheme="minorHAnsi"/>
          <w:bCs/>
        </w:rPr>
        <w:t xml:space="preserve">The study of face validity reported above supports this understanding, as well as the idea that this measure adequately captures the desired clinical management, can be used to judge individual performance, and will be a useful tool in anesthesia quality management. </w:t>
      </w: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833325"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1. </w:t>
      </w:r>
      <w:r w:rsidR="00A25024" w:rsidRPr="00F42CC5">
        <w:rPr>
          <w:rFonts w:cstheme="minorHAnsi"/>
          <w:b/>
          <w:bCs/>
        </w:rPr>
        <w:t>Describe the method of</w:t>
      </w:r>
      <w:r w:rsidR="00E672D6" w:rsidRPr="00F42CC5">
        <w:rPr>
          <w:rFonts w:cstheme="minorHAnsi"/>
          <w:b/>
          <w:bCs/>
        </w:rPr>
        <w:t xml:space="preserve"> </w:t>
      </w:r>
      <w:r w:rsidR="005333CC" w:rsidRPr="00F42CC5">
        <w:rPr>
          <w:rFonts w:cstheme="minorHAnsi"/>
          <w:b/>
          <w:bCs/>
        </w:rPr>
        <w:t>testing</w:t>
      </w:r>
      <w:r w:rsidR="00833325" w:rsidRPr="00F42CC5">
        <w:rPr>
          <w:rFonts w:cstheme="minorHAnsi"/>
          <w:b/>
          <w:bCs/>
        </w:rPr>
        <w:t xml:space="preserve"> </w:t>
      </w:r>
      <w:r w:rsidR="004B6CEE" w:rsidRPr="00F42CC5">
        <w:rPr>
          <w:rFonts w:cstheme="minorHAnsi"/>
          <w:b/>
          <w:bCs/>
        </w:rPr>
        <w:t xml:space="preserve">exclusions </w:t>
      </w:r>
      <w:r w:rsidR="00A25024" w:rsidRPr="00F42CC5">
        <w:rPr>
          <w:rFonts w:cstheme="minorHAnsi"/>
          <w:b/>
          <w:bCs/>
        </w:rPr>
        <w:t>and what it tests</w:t>
      </w:r>
      <w:r w:rsidR="00833325" w:rsidRPr="00F42CC5">
        <w:rPr>
          <w:rFonts w:cstheme="minorHAnsi"/>
          <w:bCs/>
        </w:rPr>
        <w:t xml:space="preserve"> (</w:t>
      </w:r>
      <w:r w:rsidR="00A25024" w:rsidRPr="00F42CC5">
        <w:rPr>
          <w:rFonts w:cstheme="minorHAnsi"/>
          <w:bCs/>
          <w:i/>
        </w:rPr>
        <w:t>describe</w:t>
      </w:r>
      <w:r w:rsidR="00A25024" w:rsidRPr="00A25024">
        <w:rPr>
          <w:rFonts w:cstheme="minorHAnsi"/>
          <w:bCs/>
          <w:i/>
        </w:rPr>
        <w:t xml:space="preserv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622B89">
        <w:rPr>
          <w:rFonts w:cstheme="minorHAnsi"/>
          <w:bCs/>
        </w:rPr>
        <w:t>)</w:t>
      </w:r>
      <w:r w:rsidR="00622B89">
        <w:rPr>
          <w:rFonts w:cstheme="minorHAnsi"/>
          <w:bCs/>
        </w:rPr>
        <w:br/>
      </w:r>
    </w:p>
    <w:p w:rsidR="00622B89" w:rsidRPr="00680443" w:rsidRDefault="002257C0" w:rsidP="00DB3627">
      <w:pPr>
        <w:autoSpaceDE w:val="0"/>
        <w:autoSpaceDN w:val="0"/>
        <w:adjustRightInd w:val="0"/>
        <w:spacing w:after="0" w:line="240" w:lineRule="auto"/>
        <w:rPr>
          <w:rFonts w:cstheme="minorHAnsi"/>
          <w:bCs/>
        </w:rPr>
      </w:pPr>
      <w:r w:rsidRPr="00680443">
        <w:rPr>
          <w:rFonts w:cstheme="minorHAnsi"/>
          <w:bCs/>
        </w:rPr>
        <w:t>The testing for the measure allowed for exclusions of one of the following medical reason(s) for not using active warming intraoperatively for the purpose of maintaining normothermia OR achieving at least one body temperature equal to or greater than 36 degrees Centigrade (or 96.8 degrees Fahrenheit) recorded within the 30 minu</w:t>
      </w:r>
      <w:r w:rsidR="00E61053">
        <w:rPr>
          <w:rFonts w:cstheme="minorHAnsi"/>
          <w:bCs/>
        </w:rPr>
        <w:t>tes immediately before or the 15</w:t>
      </w:r>
      <w:r w:rsidRPr="00680443">
        <w:rPr>
          <w:rFonts w:cstheme="minorHAnsi"/>
          <w:bCs/>
        </w:rPr>
        <w:t xml:space="preserve"> minutes immediately after anesthesia end time: intentional hypothermia or not indicated due to anesthetic technique: peripheral nerve block without general anesthesia OR monitored anesthesia care.</w:t>
      </w:r>
    </w:p>
    <w:p w:rsidR="002257C0" w:rsidRPr="00680443" w:rsidRDefault="002257C0" w:rsidP="00DB3627">
      <w:pPr>
        <w:autoSpaceDE w:val="0"/>
        <w:autoSpaceDN w:val="0"/>
        <w:adjustRightInd w:val="0"/>
        <w:spacing w:after="0" w:line="240" w:lineRule="auto"/>
        <w:rPr>
          <w:rFonts w:cstheme="minorHAnsi"/>
          <w:bCs/>
        </w:rPr>
      </w:pPr>
    </w:p>
    <w:p w:rsidR="002257C0" w:rsidRDefault="002257C0" w:rsidP="00DB3627">
      <w:pPr>
        <w:autoSpaceDE w:val="0"/>
        <w:autoSpaceDN w:val="0"/>
        <w:adjustRightInd w:val="0"/>
        <w:spacing w:after="0" w:line="240" w:lineRule="auto"/>
        <w:rPr>
          <w:rFonts w:cstheme="minorHAnsi"/>
          <w:bCs/>
        </w:rPr>
      </w:pPr>
      <w:r w:rsidRPr="00680443">
        <w:rPr>
          <w:rFonts w:cstheme="minorHAnsi"/>
          <w:bCs/>
        </w:rPr>
        <w:t>Measure testing also excluded codes that were determined as not applicable by the AMA-PCPI® Anesthesiology and Critical Care Workgroup. The AMA-PCPI workgroup excluded the following codes for Cardiopulmonary bypass: 00561, 00562, 00563, 00566, 00567 and 00580. The AMA-PCPI workgroup excluded the following codes for Regional nerve block: 01958, 01960, 01967, 01191, and 01192. The AMA-PCPI workgroup also excluded Monitored anesthesia care, including any CPT code with –QS modifier.</w:t>
      </w:r>
    </w:p>
    <w:p w:rsidR="007740F6" w:rsidRDefault="007740F6" w:rsidP="00DB3627">
      <w:pPr>
        <w:autoSpaceDE w:val="0"/>
        <w:autoSpaceDN w:val="0"/>
        <w:adjustRightInd w:val="0"/>
        <w:spacing w:after="0" w:line="240" w:lineRule="auto"/>
        <w:rPr>
          <w:rFonts w:cstheme="minorHAnsi"/>
          <w:bCs/>
        </w:rPr>
      </w:pPr>
    </w:p>
    <w:p w:rsidR="007740F6" w:rsidRDefault="007740F6" w:rsidP="00DB3627">
      <w:pPr>
        <w:autoSpaceDE w:val="0"/>
        <w:autoSpaceDN w:val="0"/>
        <w:adjustRightInd w:val="0"/>
        <w:spacing w:after="0" w:line="240" w:lineRule="auto"/>
        <w:rPr>
          <w:rFonts w:cstheme="minorHAnsi"/>
          <w:bCs/>
        </w:rPr>
      </w:pPr>
      <w:r>
        <w:rPr>
          <w:rFonts w:cstheme="minorHAnsi"/>
          <w:bCs/>
        </w:rPr>
        <w:t xml:space="preserve">Hypothermia is a deliberate medical technique in selected cases in which reduction of metabolic rate can better preserve myocardial or brain tissue at risk for ischemic injury.  The reason for exclusion of </w:t>
      </w:r>
      <w:proofErr w:type="gramStart"/>
      <w:r>
        <w:rPr>
          <w:rFonts w:cstheme="minorHAnsi"/>
          <w:bCs/>
        </w:rPr>
        <w:t>these</w:t>
      </w:r>
      <w:proofErr w:type="gramEnd"/>
      <w:r>
        <w:rPr>
          <w:rFonts w:cstheme="minorHAnsi"/>
          <w:bCs/>
        </w:rPr>
        <w:t xml:space="preserve"> rare, but high acuity, cases from this measure is obvious.  General and neuraxial (spinal or epidural) anesthesia reduce reflex warming responses over a large region of the body, and thus create the risk for perioperative hypothermia and the need for active management on the part of the anesthesia provider; these are the cases for which this measure is intended.  Cases involving only regional anesthesia (a single limb or less) or moderate to deep sedation do not impair the patient’s normal thermoregulatory control, and do not pose a substantial risk.  The same is true for major cases lasting less than one hour.  Reflexes are impaired, but there is insufficient time for the patient to become uncomfortable.  </w:t>
      </w:r>
    </w:p>
    <w:p w:rsidR="007740F6" w:rsidRDefault="007740F6" w:rsidP="00DB3627">
      <w:pPr>
        <w:autoSpaceDE w:val="0"/>
        <w:autoSpaceDN w:val="0"/>
        <w:adjustRightInd w:val="0"/>
        <w:spacing w:after="0" w:line="240" w:lineRule="auto"/>
        <w:rPr>
          <w:rFonts w:cstheme="minorHAnsi"/>
          <w:bCs/>
        </w:rPr>
      </w:pPr>
    </w:p>
    <w:p w:rsidR="007740F6" w:rsidRDefault="007740F6" w:rsidP="00DB3627">
      <w:pPr>
        <w:autoSpaceDE w:val="0"/>
        <w:autoSpaceDN w:val="0"/>
        <w:adjustRightInd w:val="0"/>
        <w:spacing w:after="0" w:line="240" w:lineRule="auto"/>
        <w:rPr>
          <w:rFonts w:cstheme="minorHAnsi"/>
          <w:bCs/>
        </w:rPr>
      </w:pPr>
      <w:r>
        <w:rPr>
          <w:rFonts w:cstheme="minorHAnsi"/>
          <w:bCs/>
        </w:rPr>
        <w:t xml:space="preserve">In both NACOR and CMS these exclusions apply to approximately 75% of all anesthetics performed, the majority being brief cases or not involving general or neuraxial anesthesia.  Put differently, this measure applies to 25% of all anesthesia cases and is eligible for reporting by the vast majority of anesthesia professionals.  </w:t>
      </w:r>
    </w:p>
    <w:p w:rsidR="007740F6" w:rsidRDefault="007740F6" w:rsidP="00DB3627">
      <w:pPr>
        <w:autoSpaceDE w:val="0"/>
        <w:autoSpaceDN w:val="0"/>
        <w:adjustRightInd w:val="0"/>
        <w:spacing w:after="0" w:line="240" w:lineRule="auto"/>
        <w:rPr>
          <w:rFonts w:cstheme="minorHAnsi"/>
          <w:bCs/>
        </w:rPr>
      </w:pPr>
    </w:p>
    <w:p w:rsidR="007422FD" w:rsidRDefault="00092566" w:rsidP="00092566">
      <w:pPr>
        <w:autoSpaceDE w:val="0"/>
        <w:autoSpaceDN w:val="0"/>
        <w:adjustRightInd w:val="0"/>
        <w:spacing w:after="0" w:line="240" w:lineRule="auto"/>
        <w:rPr>
          <w:rFonts w:cstheme="minorHAnsi"/>
          <w:bCs/>
        </w:rPr>
      </w:pPr>
      <w:r w:rsidRPr="00F42CC5">
        <w:rPr>
          <w:rFonts w:cstheme="minorHAnsi"/>
          <w:b/>
          <w:bCs/>
        </w:rPr>
        <w:t>2b3.</w:t>
      </w:r>
      <w:r w:rsidR="00A25024" w:rsidRPr="00F42CC5">
        <w:rPr>
          <w:rFonts w:cstheme="minorHAnsi"/>
          <w:b/>
          <w:bCs/>
        </w:rPr>
        <w:t xml:space="preserve">2. </w:t>
      </w:r>
      <w:r w:rsidR="00833325" w:rsidRPr="00F42CC5">
        <w:rPr>
          <w:rFonts w:cstheme="minorHAnsi"/>
          <w:b/>
          <w:bCs/>
        </w:rPr>
        <w:t xml:space="preserve">What were the statistical results </w:t>
      </w:r>
      <w:r w:rsidR="007422FD" w:rsidRPr="00F42CC5">
        <w:rPr>
          <w:rFonts w:cstheme="minorHAnsi"/>
          <w:b/>
          <w:bCs/>
        </w:rPr>
        <w:t>from testing exclusions</w:t>
      </w:r>
      <w:r w:rsidR="00833325" w:rsidRPr="00F42CC5">
        <w:rPr>
          <w:rFonts w:cstheme="minorHAnsi"/>
          <w:bCs/>
        </w:rPr>
        <w:t>?</w:t>
      </w:r>
      <w:r w:rsidR="000B2DF7" w:rsidRPr="00F42CC5">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rsidR="00781208" w:rsidRDefault="00781208" w:rsidP="00092566">
      <w:pPr>
        <w:autoSpaceDE w:val="0"/>
        <w:autoSpaceDN w:val="0"/>
        <w:adjustRightInd w:val="0"/>
        <w:spacing w:after="0" w:line="240" w:lineRule="auto"/>
        <w:rPr>
          <w:rFonts w:cstheme="minorHAnsi"/>
          <w:bCs/>
        </w:rPr>
      </w:pPr>
      <w:r w:rsidRPr="00781208">
        <w:rPr>
          <w:rFonts w:cstheme="minorHAnsi"/>
          <w:bCs/>
        </w:rPr>
        <w:t xml:space="preserve">The CMS and NACOR data are remarkably consistent in showing that cases reported </w:t>
      </w:r>
      <w:r>
        <w:rPr>
          <w:rFonts w:cstheme="minorHAnsi"/>
          <w:bCs/>
        </w:rPr>
        <w:t xml:space="preserve">as not meeting performance are variable by practice and provider, but not variable by patient age, sex, or ASA physical status (acuity).  There is a trend towards reduced performance in the Northeast census region, for which we do not have an explanation.  There is a notable lack of any socioeconomic trend towards increased exclusion of cases in areas with lower median family income.  </w:t>
      </w:r>
    </w:p>
    <w:p w:rsidR="008B7762" w:rsidRDefault="008B7762" w:rsidP="00092566">
      <w:pPr>
        <w:autoSpaceDE w:val="0"/>
        <w:autoSpaceDN w:val="0"/>
        <w:adjustRightInd w:val="0"/>
        <w:spacing w:after="0" w:line="240" w:lineRule="auto"/>
        <w:rPr>
          <w:rFonts w:cstheme="minorHAnsi"/>
          <w:bCs/>
        </w:rPr>
      </w:pPr>
    </w:p>
    <w:p w:rsidR="00092566" w:rsidRPr="00092566" w:rsidRDefault="00092566" w:rsidP="00092566">
      <w:pPr>
        <w:autoSpaceDE w:val="0"/>
        <w:autoSpaceDN w:val="0"/>
        <w:adjustRightInd w:val="0"/>
        <w:spacing w:after="0" w:line="240" w:lineRule="auto"/>
        <w:rPr>
          <w:rFonts w:cstheme="minorHAnsi"/>
          <w:bCs/>
        </w:rPr>
      </w:pPr>
    </w:p>
    <w:p w:rsidR="007422FD" w:rsidRDefault="00092566" w:rsidP="00DB3627">
      <w:pPr>
        <w:autoSpaceDE w:val="0"/>
        <w:autoSpaceDN w:val="0"/>
        <w:adjustRightInd w:val="0"/>
        <w:spacing w:after="0" w:line="240" w:lineRule="auto"/>
        <w:rPr>
          <w:rFonts w:cstheme="minorHAnsi"/>
          <w:bCs/>
        </w:rPr>
      </w:pPr>
      <w:r w:rsidRPr="00F42CC5">
        <w:rPr>
          <w:rFonts w:cstheme="minorHAnsi"/>
          <w:b/>
          <w:bCs/>
        </w:rPr>
        <w:t>2b3.</w:t>
      </w:r>
      <w:r w:rsidR="00A25024" w:rsidRPr="00F42CC5">
        <w:rPr>
          <w:rFonts w:cstheme="minorHAnsi"/>
          <w:b/>
          <w:bCs/>
        </w:rPr>
        <w:t xml:space="preserve">3. </w:t>
      </w:r>
      <w:r w:rsidR="000B2DF7" w:rsidRPr="00F42CC5">
        <w:rPr>
          <w:rFonts w:cstheme="minorHAnsi"/>
          <w:b/>
          <w:bCs/>
        </w:rPr>
        <w:t xml:space="preserve">What is your interpretation of the results </w:t>
      </w:r>
      <w:r w:rsidR="007422FD" w:rsidRPr="00F42CC5">
        <w:rPr>
          <w:rFonts w:cstheme="minorHAnsi"/>
          <w:b/>
          <w:bCs/>
        </w:rPr>
        <w:t xml:space="preserve">in terms of </w:t>
      </w:r>
      <w:r w:rsidR="00713394" w:rsidRPr="00F42CC5">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 xml:space="preserve">If patient preference is </w:t>
      </w:r>
      <w:proofErr w:type="gramStart"/>
      <w:r w:rsidR="00713394" w:rsidRPr="00A25024">
        <w:rPr>
          <w:rFonts w:cstheme="minorHAnsi"/>
          <w:b/>
          <w:bCs/>
          <w:i/>
        </w:rPr>
        <w:t>an exclusion</w:t>
      </w:r>
      <w:proofErr w:type="gramEnd"/>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rsidR="00781208" w:rsidRDefault="00781208" w:rsidP="00DB3627">
      <w:pPr>
        <w:autoSpaceDE w:val="0"/>
        <w:autoSpaceDN w:val="0"/>
        <w:adjustRightInd w:val="0"/>
        <w:spacing w:after="0" w:line="240" w:lineRule="auto"/>
        <w:rPr>
          <w:rFonts w:cstheme="minorHAnsi"/>
          <w:bCs/>
        </w:rPr>
      </w:pPr>
      <w:r>
        <w:rPr>
          <w:rFonts w:cstheme="minorHAnsi"/>
          <w:bCs/>
        </w:rPr>
        <w:t xml:space="preserve">The exclusions to reporting this measure are all physiologically based, and consistent with accepted scientific evidence.  Exclusions by case type are easily managed through interpretation of the CPT codes already reported by practices and providers.  Exclusion by anesthesia type and duration are similarly easy to parse from existing administrative documentation. Exclusion through use of active warming technology was problematic to report, and has now been eliminated from this measure. </w:t>
      </w:r>
    </w:p>
    <w:p w:rsidR="00781208" w:rsidRPr="00A25024" w:rsidRDefault="00781208" w:rsidP="00DB3627">
      <w:pPr>
        <w:autoSpaceDE w:val="0"/>
        <w:autoSpaceDN w:val="0"/>
        <w:adjustRightInd w:val="0"/>
        <w:spacing w:after="0" w:line="240" w:lineRule="auto"/>
        <w:rPr>
          <w:rFonts w:cstheme="minorHAnsi"/>
          <w:bCs/>
        </w:rPr>
      </w:pP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lastRenderedPageBreak/>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rsidR="00033038" w:rsidRPr="005232D6" w:rsidRDefault="00E61053"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2257C0">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E61053"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rsidR="00743E46" w:rsidRPr="005232D6" w:rsidRDefault="00E61053"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E61053"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092566"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rsidR="00F241CB" w:rsidRPr="00A25024" w:rsidRDefault="00F241CB" w:rsidP="00092566">
      <w:pPr>
        <w:autoSpaceDE w:val="0"/>
        <w:autoSpaceDN w:val="0"/>
        <w:adjustRightInd w:val="0"/>
        <w:spacing w:after="0" w:line="240" w:lineRule="auto"/>
        <w:rPr>
          <w:rFonts w:cstheme="minorHAnsi"/>
          <w:bCs/>
        </w:rPr>
      </w:pPr>
      <w:r>
        <w:rPr>
          <w:rFonts w:cstheme="minorHAnsi"/>
          <w:bCs/>
        </w:rPr>
        <w:t xml:space="preserve">While some patients are clearly harder to keep warm than others, prevailing clinical opinion in anesthesia is that it should be possible to achieve normothermia in nearly every elective surgical patient.  The most obvious exceptions to this have been eliminated from this measure through the exclusions listed above.  This is born out in the statistics presented above, which show little variation in performance based on a variety of patient characteristics.  Also excluded are emergency cases, in which the patient is more likely to start out hypothermic, and in which the surgical field or fields may make it harder to maintain the patient’s temperature.  </w:t>
      </w:r>
    </w:p>
    <w:p w:rsidR="00092566" w:rsidRPr="00A25024" w:rsidRDefault="00092566" w:rsidP="00092566">
      <w:pPr>
        <w:pStyle w:val="ListParagraph"/>
        <w:autoSpaceDE w:val="0"/>
        <w:autoSpaceDN w:val="0"/>
        <w:adjustRightInd w:val="0"/>
        <w:spacing w:after="0" w:line="240" w:lineRule="auto"/>
        <w:ind w:left="360"/>
        <w:rPr>
          <w:rFonts w:cstheme="minorHAnsi"/>
          <w:bCs/>
        </w:rPr>
      </w:pPr>
    </w:p>
    <w:p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p>
    <w:p w:rsidR="00001D73" w:rsidRDefault="00F241CB" w:rsidP="00001D73">
      <w:pPr>
        <w:autoSpaceDE w:val="0"/>
        <w:autoSpaceDN w:val="0"/>
        <w:adjustRightInd w:val="0"/>
        <w:spacing w:after="0" w:line="240" w:lineRule="auto"/>
        <w:rPr>
          <w:rFonts w:cstheme="minorHAnsi"/>
          <w:bCs/>
        </w:rPr>
      </w:pPr>
      <w:r>
        <w:rPr>
          <w:rFonts w:cstheme="minorHAnsi"/>
          <w:bCs/>
        </w:rPr>
        <w:t>The patient and facility risk factors presented above are the most likely to be used in any risk adjustment model.  As performance on this measure shows little variation across these factors, it is unlikely that risk adjustment would improve the reliability of this measure.</w:t>
      </w:r>
    </w:p>
    <w:p w:rsidR="00F241CB" w:rsidRPr="00001D73" w:rsidRDefault="00F241CB" w:rsidP="00001D73">
      <w:pPr>
        <w:autoSpaceDE w:val="0"/>
        <w:autoSpaceDN w:val="0"/>
        <w:adjustRightInd w:val="0"/>
        <w:spacing w:after="0" w:line="240" w:lineRule="auto"/>
        <w:rPr>
          <w:rFonts w:cstheme="minorHAnsi"/>
          <w:bCs/>
        </w:rPr>
      </w:pPr>
    </w:p>
    <w:p w:rsidR="00092566" w:rsidRDefault="00092566" w:rsidP="00001D73">
      <w:pPr>
        <w:autoSpaceDE w:val="0"/>
        <w:autoSpaceDN w:val="0"/>
        <w:adjustRightInd w:val="0"/>
        <w:spacing w:after="0" w:line="240" w:lineRule="auto"/>
        <w:rPr>
          <w:rFonts w:cstheme="minorHAnsi"/>
          <w:b/>
          <w:bCs/>
        </w:rPr>
      </w:pPr>
      <w:r>
        <w:rPr>
          <w:rFonts w:cstheme="minorHAnsi"/>
          <w:b/>
          <w:bCs/>
        </w:rPr>
        <w:t xml:space="preserve">2b4.4. </w:t>
      </w:r>
      <w:r w:rsidRPr="00A25024">
        <w:rPr>
          <w:rFonts w:cstheme="minorHAnsi"/>
          <w:b/>
          <w:bCs/>
        </w:rPr>
        <w:t>What were the statistical results of the analyses used to select risk factors?</w:t>
      </w:r>
      <w:r w:rsidR="00001D73">
        <w:rPr>
          <w:rFonts w:cstheme="minorHAnsi"/>
          <w:b/>
          <w:bCs/>
        </w:rPr>
        <w:br/>
      </w:r>
    </w:p>
    <w:p w:rsidR="00F241CB" w:rsidRPr="00F241CB" w:rsidRDefault="00F241CB" w:rsidP="00001D73">
      <w:pPr>
        <w:autoSpaceDE w:val="0"/>
        <w:autoSpaceDN w:val="0"/>
        <w:adjustRightInd w:val="0"/>
        <w:spacing w:after="0" w:line="240" w:lineRule="auto"/>
        <w:rPr>
          <w:rFonts w:cstheme="minorHAnsi"/>
          <w:bCs/>
        </w:rPr>
      </w:pPr>
      <w:r w:rsidRPr="00F241CB">
        <w:rPr>
          <w:rFonts w:cstheme="minorHAnsi"/>
          <w:bCs/>
        </w:rPr>
        <w:t xml:space="preserve">Not applicable. </w:t>
      </w:r>
    </w:p>
    <w:p w:rsidR="00001D73" w:rsidRPr="00001D73" w:rsidRDefault="00001D73" w:rsidP="00001D73">
      <w:pPr>
        <w:autoSpaceDE w:val="0"/>
        <w:autoSpaceDN w:val="0"/>
        <w:adjustRightInd w:val="0"/>
        <w:spacing w:after="0" w:line="240" w:lineRule="auto"/>
        <w:rPr>
          <w:rFonts w:cstheme="minorHAnsi"/>
          <w:b/>
          <w:bCs/>
        </w:rPr>
      </w:pPr>
    </w:p>
    <w:p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rsidR="00092566" w:rsidRDefault="00F241CB" w:rsidP="00092566">
      <w:pPr>
        <w:autoSpaceDE w:val="0"/>
        <w:autoSpaceDN w:val="0"/>
        <w:adjustRightInd w:val="0"/>
        <w:spacing w:after="0" w:line="240" w:lineRule="auto"/>
        <w:rPr>
          <w:rFonts w:cstheme="minorHAnsi"/>
          <w:bCs/>
        </w:rPr>
      </w:pPr>
      <w:r>
        <w:rPr>
          <w:rFonts w:cstheme="minorHAnsi"/>
          <w:bCs/>
        </w:rPr>
        <w:t xml:space="preserve">Not applicable. </w:t>
      </w:r>
    </w:p>
    <w:p w:rsidR="00F241CB" w:rsidRPr="00A25024" w:rsidRDefault="00F241CB" w:rsidP="00092566">
      <w:pPr>
        <w:autoSpaceDE w:val="0"/>
        <w:autoSpaceDN w:val="0"/>
        <w:adjustRightInd w:val="0"/>
        <w:spacing w:after="0" w:line="240" w:lineRule="auto"/>
        <w:rPr>
          <w:rFonts w:cstheme="minorHAnsi"/>
          <w:bCs/>
        </w:rPr>
      </w:pP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743E46" w:rsidRPr="00743E46">
        <w:rPr>
          <w:rFonts w:cstheme="minorHAnsi"/>
          <w:b/>
          <w:bCs/>
          <w:i/>
          <w:highlight w:val="green"/>
        </w:rPr>
        <w:t xml:space="preserve">if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rsidR="00743E46" w:rsidRDefault="00743E46" w:rsidP="00092566">
      <w:pPr>
        <w:autoSpaceDE w:val="0"/>
        <w:autoSpaceDN w:val="0"/>
        <w:adjustRightInd w:val="0"/>
        <w:spacing w:after="0" w:line="240" w:lineRule="auto"/>
        <w:rPr>
          <w:rFonts w:cstheme="minorHAnsi"/>
          <w:b/>
        </w:rPr>
      </w:pPr>
      <w:r>
        <w:rPr>
          <w:rFonts w:cstheme="minorHAnsi"/>
          <w:b/>
          <w:bCs/>
        </w:rPr>
        <w:lastRenderedPageBreak/>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092566" w:rsidRPr="00A25024">
        <w:rPr>
          <w:rFonts w:cstheme="minorHAnsi"/>
        </w:rPr>
        <w:br/>
      </w:r>
    </w:p>
    <w:p w:rsidR="00092566" w:rsidRPr="00A25024" w:rsidRDefault="00743E46" w:rsidP="00092566">
      <w:pPr>
        <w:autoSpaceDE w:val="0"/>
        <w:autoSpaceDN w:val="0"/>
        <w:adjustRightInd w:val="0"/>
        <w:spacing w:after="0" w:line="240" w:lineRule="auto"/>
        <w:rPr>
          <w:rFonts w:cstheme="minorHAnsi"/>
          <w:bCs/>
        </w:rPr>
      </w:pPr>
      <w:bookmarkStart w:id="12" w:name="question2b49"/>
      <w:bookmarkEnd w:id="12"/>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092566" w:rsidRPr="00A25024" w:rsidRDefault="00092566" w:rsidP="00092566">
      <w:pPr>
        <w:pStyle w:val="ListParagraph"/>
        <w:rPr>
          <w:rFonts w:cstheme="minorHAnsi"/>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rsidR="00092566" w:rsidRPr="00A25024" w:rsidRDefault="00092566" w:rsidP="00092566">
      <w:pPr>
        <w:spacing w:after="0" w:line="240" w:lineRule="auto"/>
        <w:rPr>
          <w:rFonts w:cstheme="minorHAnsi"/>
        </w:rPr>
      </w:pPr>
    </w:p>
    <w:p w:rsidR="00021170" w:rsidRPr="009B1A15" w:rsidRDefault="00092566" w:rsidP="009B1A15">
      <w:pPr>
        <w:spacing w:after="0" w:line="240" w:lineRule="auto"/>
        <w:rPr>
          <w:rFonts w:cstheme="minorHAnsi"/>
        </w:rPr>
      </w:pPr>
      <w:proofErr w:type="gramStart"/>
      <w:r w:rsidRPr="00A25024">
        <w:rPr>
          <w:rFonts w:cstheme="minorHAnsi"/>
          <w:highlight w:val="green"/>
        </w:rPr>
        <w:t>*</w:t>
      </w:r>
      <w:r w:rsidR="009B1A15" w:rsidRPr="009B1A15">
        <w:rPr>
          <w:rFonts w:cstheme="minorHAnsi"/>
          <w:b/>
          <w:highlight w:val="green"/>
        </w:rPr>
        <w:t>2b4.11.</w:t>
      </w:r>
      <w:proofErr w:type="gramEnd"/>
      <w:r w:rsidR="009B1A15">
        <w:rPr>
          <w:rFonts w:cstheme="minorHAnsi"/>
          <w:highlight w:val="green"/>
        </w:rPr>
        <w:t xml:space="preserve"> </w:t>
      </w:r>
      <w:r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Pr="00A25024">
        <w:rPr>
          <w:rFonts w:cstheme="minorHAnsi"/>
          <w:b/>
        </w:rPr>
        <w:t xml:space="preserve"> </w:t>
      </w:r>
      <w:r w:rsidRPr="00A25024">
        <w:rPr>
          <w:rFonts w:cstheme="minorHAnsi"/>
        </w:rPr>
        <w:t>(</w:t>
      </w:r>
      <w:r w:rsidRPr="00A25024">
        <w:rPr>
          <w:rFonts w:cstheme="minorHAnsi"/>
          <w:i/>
          <w:u w:val="single"/>
        </w:rPr>
        <w:t>not required</w:t>
      </w:r>
      <w:r w:rsidRPr="00A25024">
        <w:rPr>
          <w:rFonts w:cstheme="minorHAnsi"/>
          <w:i/>
        </w:rPr>
        <w:t>, but would provide additional support of adequacy</w:t>
      </w:r>
      <w:r>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9B1A15">
        <w:rPr>
          <w:rFonts w:cstheme="minorHAnsi"/>
        </w:rPr>
        <w:t>)</w:t>
      </w:r>
    </w:p>
    <w:p w:rsidR="003755CB" w:rsidRDefault="003755CB" w:rsidP="00D61410">
      <w:pPr>
        <w:autoSpaceDE w:val="0"/>
        <w:autoSpaceDN w:val="0"/>
        <w:adjustRightInd w:val="0"/>
        <w:spacing w:after="0" w:line="240" w:lineRule="auto"/>
        <w:rPr>
          <w:rFonts w:cstheme="minorHAnsi"/>
          <w:b/>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rsidR="00D61410" w:rsidRDefault="00D61410" w:rsidP="00D61410">
      <w:pPr>
        <w:autoSpaceDE w:val="0"/>
        <w:autoSpaceDN w:val="0"/>
        <w:adjustRightInd w:val="0"/>
        <w:spacing w:after="0" w:line="240" w:lineRule="auto"/>
        <w:rPr>
          <w:rFonts w:cstheme="minorHAnsi"/>
          <w:bCs/>
        </w:rPr>
      </w:pPr>
      <w:r>
        <w:rPr>
          <w:rFonts w:cstheme="minorHAnsi"/>
          <w:b/>
          <w:bCs/>
        </w:rPr>
        <w:t>2b5.1</w:t>
      </w:r>
      <w:r w:rsidRPr="00F42CC5">
        <w:rPr>
          <w:rFonts w:cstheme="minorHAnsi"/>
          <w:b/>
          <w:bCs/>
        </w:rPr>
        <w:t>. Describe the method for determining if statistically significant and clinically/practically</w:t>
      </w:r>
      <w:r w:rsidRPr="00A25024">
        <w:rPr>
          <w:rFonts w:cstheme="minorHAnsi"/>
          <w:b/>
          <w:bCs/>
        </w:rPr>
        <w:t xml:space="preserve">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rsidR="00D61410" w:rsidRDefault="00C90FC4" w:rsidP="00D61410">
      <w:pPr>
        <w:autoSpaceDE w:val="0"/>
        <w:autoSpaceDN w:val="0"/>
        <w:adjustRightInd w:val="0"/>
        <w:spacing w:after="0" w:line="240" w:lineRule="auto"/>
        <w:rPr>
          <w:rFonts w:cstheme="minorHAnsi"/>
          <w:bCs/>
        </w:rPr>
      </w:pPr>
      <w:r>
        <w:rPr>
          <w:rFonts w:cstheme="minorHAnsi"/>
          <w:bCs/>
        </w:rPr>
        <w:t xml:space="preserve">At present we have performed only simple descriptions of measure reporting and performance and graphical analysis of trends (see tables above).  With millions of cases included in both NACOR and the </w:t>
      </w:r>
      <w:r w:rsidR="00E61053" w:rsidRPr="00F42CC5">
        <w:rPr>
          <w:rFonts w:cstheme="minorHAnsi"/>
          <w:bCs/>
        </w:rPr>
        <w:t>Medicare Limited Data Set Carrier SAF – 5% File</w:t>
      </w:r>
      <w:r>
        <w:rPr>
          <w:rFonts w:cstheme="minorHAnsi"/>
          <w:bCs/>
        </w:rPr>
        <w:t>, we have deliberately sought only visible and clinically relevant differences in reporting and performance, because traditional statistical testing runs the risk of reporting mathematic differences that are not actually relevant to improving clinical performance.</w:t>
      </w:r>
    </w:p>
    <w:p w:rsidR="00C90FC4" w:rsidRPr="00A25024" w:rsidRDefault="00C90FC4" w:rsidP="00D61410">
      <w:pPr>
        <w:autoSpaceDE w:val="0"/>
        <w:autoSpaceDN w:val="0"/>
        <w:adjustRightInd w:val="0"/>
        <w:spacing w:after="0" w:line="240" w:lineRule="auto"/>
        <w:rPr>
          <w:rFonts w:cstheme="minorHAnsi"/>
          <w:bCs/>
        </w:rPr>
      </w:pPr>
    </w:p>
    <w:p w:rsidR="00D61410" w:rsidRDefault="00D61410" w:rsidP="00D61410">
      <w:pPr>
        <w:autoSpaceDE w:val="0"/>
        <w:autoSpaceDN w:val="0"/>
        <w:adjustRightInd w:val="0"/>
        <w:spacing w:after="0" w:line="240" w:lineRule="auto"/>
        <w:rPr>
          <w:rFonts w:cstheme="minorHAnsi"/>
          <w:bCs/>
        </w:rPr>
      </w:pPr>
      <w:r>
        <w:rPr>
          <w:rFonts w:cstheme="minorHAnsi"/>
          <w:b/>
          <w:bCs/>
        </w:rPr>
        <w:t>2b5.2</w:t>
      </w:r>
      <w:r w:rsidRPr="00F42CC5">
        <w:rPr>
          <w:rFonts w:cstheme="minorHAnsi"/>
          <w:b/>
          <w:bCs/>
        </w:rPr>
        <w:t xml:space="preserve">. What were the statistical results from testing the ability to identify </w:t>
      </w:r>
      <w:r w:rsidR="001E69DC" w:rsidRPr="00F42CC5">
        <w:rPr>
          <w:rFonts w:cstheme="minorHAnsi"/>
          <w:b/>
          <w:bCs/>
        </w:rPr>
        <w:t>statistically significant</w:t>
      </w:r>
      <w:r w:rsidR="001E69DC">
        <w:rPr>
          <w:rFonts w:cstheme="minorHAnsi"/>
          <w:b/>
          <w:bCs/>
        </w:rPr>
        <w:t xml:space="preserve">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bookmarkStart w:id="14" w:name="_GoBack"/>
      <w:bookmarkEnd w:id="14"/>
      <w:r w:rsidRPr="00A25024">
        <w:rPr>
          <w:rFonts w:cstheme="minorHAnsi"/>
          <w:bCs/>
        </w:rPr>
        <w:br/>
      </w:r>
    </w:p>
    <w:p w:rsidR="00D75CC5" w:rsidRPr="00D75CC5" w:rsidRDefault="00D75CC5" w:rsidP="00D75CC5">
      <w:pPr>
        <w:autoSpaceDE w:val="0"/>
        <w:autoSpaceDN w:val="0"/>
        <w:adjustRightInd w:val="0"/>
        <w:spacing w:after="0" w:line="240" w:lineRule="auto"/>
        <w:rPr>
          <w:rFonts w:cstheme="minorHAnsi"/>
          <w:bCs/>
        </w:rPr>
      </w:pPr>
      <w:r w:rsidRPr="00D75CC5">
        <w:rPr>
          <w:rFonts w:cstheme="minorHAnsi"/>
          <w:bCs/>
        </w:rPr>
        <w:t>At the practice, facility and individual level we see enormous variability in reporting of this measure, ranging from 0 to 100% of eligible cases.  This is the most significant gap.</w:t>
      </w:r>
    </w:p>
    <w:p w:rsidR="00D75CC5" w:rsidRPr="00D75CC5" w:rsidRDefault="00D75CC5" w:rsidP="00D75CC5">
      <w:pPr>
        <w:autoSpaceDE w:val="0"/>
        <w:autoSpaceDN w:val="0"/>
        <w:adjustRightInd w:val="0"/>
        <w:spacing w:after="0" w:line="240" w:lineRule="auto"/>
        <w:rPr>
          <w:rFonts w:cstheme="minorHAnsi"/>
          <w:bCs/>
        </w:rPr>
      </w:pPr>
    </w:p>
    <w:p w:rsidR="00D75CC5" w:rsidRPr="00D75CC5" w:rsidRDefault="00D75CC5" w:rsidP="00D75CC5">
      <w:pPr>
        <w:autoSpaceDE w:val="0"/>
        <w:autoSpaceDN w:val="0"/>
        <w:adjustRightInd w:val="0"/>
        <w:spacing w:after="0" w:line="240" w:lineRule="auto"/>
        <w:rPr>
          <w:rFonts w:cstheme="minorHAnsi"/>
          <w:bCs/>
        </w:rPr>
      </w:pPr>
      <w:r w:rsidRPr="00D75CC5">
        <w:rPr>
          <w:rFonts w:cstheme="minorHAnsi"/>
          <w:bCs/>
        </w:rPr>
        <w:t xml:space="preserve">Variability in performance among those entities who report is much more limited, and is clustered in the vicinity of 90% and up.  This is not surprising given the incentives that apply to successful performance and the lack of incentives for reporting inadequate performance.  The identified improvement in performance from year to year in both the NACOR and CMS data sets is statistically significant; this effect can also be seen in practices and facilities with sufficient case numbers.  At the individual level it is possible to demonstrate improved performance for some providers, but not others, depending on the number of eligible cases performed.   </w:t>
      </w:r>
    </w:p>
    <w:p w:rsidR="00D75CC5" w:rsidRDefault="00D75CC5" w:rsidP="00D61410">
      <w:pPr>
        <w:autoSpaceDE w:val="0"/>
        <w:autoSpaceDN w:val="0"/>
        <w:adjustRightInd w:val="0"/>
        <w:spacing w:after="0" w:line="240" w:lineRule="auto"/>
        <w:rPr>
          <w:rFonts w:cstheme="minorHAnsi"/>
          <w:bCs/>
        </w:rPr>
      </w:pPr>
    </w:p>
    <w:p w:rsidR="00D61410" w:rsidRPr="00927027" w:rsidRDefault="00D61410" w:rsidP="00D61410">
      <w:pPr>
        <w:autoSpaceDE w:val="0"/>
        <w:autoSpaceDN w:val="0"/>
        <w:adjustRightInd w:val="0"/>
        <w:spacing w:after="0" w:line="240" w:lineRule="auto"/>
        <w:rPr>
          <w:rFonts w:cstheme="minorHAnsi"/>
          <w:bCs/>
        </w:rPr>
      </w:pPr>
    </w:p>
    <w:p w:rsidR="00D61410" w:rsidRDefault="00D61410" w:rsidP="00D61410">
      <w:pPr>
        <w:autoSpaceDE w:val="0"/>
        <w:autoSpaceDN w:val="0"/>
        <w:adjustRightInd w:val="0"/>
        <w:spacing w:after="0" w:line="240" w:lineRule="auto"/>
        <w:rPr>
          <w:rFonts w:cstheme="minorHAnsi"/>
          <w:bCs/>
        </w:rPr>
      </w:pPr>
      <w:r w:rsidRPr="00F42CC5">
        <w:rPr>
          <w:rFonts w:cstheme="minorHAnsi"/>
          <w:b/>
          <w:bCs/>
        </w:rPr>
        <w:t>2b5.3. What is your interpretation of the results in terms of demonstrating the ability to identify</w:t>
      </w:r>
      <w:r w:rsidRPr="00A25024">
        <w:rPr>
          <w:rFonts w:cstheme="minorHAnsi"/>
          <w:b/>
          <w:bCs/>
        </w:rPr>
        <w:t xml:space="preserve"> statistically significant and</w:t>
      </w:r>
      <w:r w:rsidR="005038D5">
        <w:rPr>
          <w:rFonts w:cstheme="minorHAnsi"/>
          <w:b/>
          <w:bCs/>
        </w:rPr>
        <w:t>/or</w:t>
      </w:r>
      <w:r w:rsidRPr="00A25024">
        <w:rPr>
          <w:rFonts w:cstheme="minorHAnsi"/>
          <w:b/>
          <w:bCs/>
        </w:rPr>
        <w:t xml:space="preserve"> clinically/practically meaningful differences in performance across </w:t>
      </w:r>
      <w:r w:rsidRPr="00A25024">
        <w:rPr>
          <w:rFonts w:cstheme="minorHAnsi"/>
          <w:b/>
          <w:bCs/>
        </w:rPr>
        <w:lastRenderedPageBreak/>
        <w:t>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rsidR="00D75CC5" w:rsidRDefault="00D75CC5" w:rsidP="00D61410">
      <w:pPr>
        <w:autoSpaceDE w:val="0"/>
        <w:autoSpaceDN w:val="0"/>
        <w:adjustRightInd w:val="0"/>
        <w:spacing w:after="0" w:line="240" w:lineRule="auto"/>
        <w:rPr>
          <w:rFonts w:cstheme="minorHAnsi"/>
          <w:bCs/>
        </w:rPr>
      </w:pPr>
      <w:r>
        <w:rPr>
          <w:rFonts w:cstheme="minorHAnsi"/>
          <w:bCs/>
        </w:rPr>
        <w:t xml:space="preserve">These results can be used to drive performance improvement.  First, the obvious gap in reporting rate can be closed.  Simplification of this measure to a set of data that can be easily derived from the native medical records and reported through administrative software will help increase the already large number of practices which can report.  </w:t>
      </w:r>
    </w:p>
    <w:p w:rsidR="00D75CC5" w:rsidRDefault="00D75CC5" w:rsidP="00D61410">
      <w:pPr>
        <w:autoSpaceDE w:val="0"/>
        <w:autoSpaceDN w:val="0"/>
        <w:adjustRightInd w:val="0"/>
        <w:spacing w:after="0" w:line="240" w:lineRule="auto"/>
        <w:rPr>
          <w:rFonts w:cstheme="minorHAnsi"/>
          <w:bCs/>
        </w:rPr>
      </w:pPr>
    </w:p>
    <w:p w:rsidR="00D75CC5" w:rsidRPr="00A25024" w:rsidRDefault="00D75CC5" w:rsidP="00D61410">
      <w:pPr>
        <w:autoSpaceDE w:val="0"/>
        <w:autoSpaceDN w:val="0"/>
        <w:adjustRightInd w:val="0"/>
        <w:spacing w:after="0" w:line="240" w:lineRule="auto"/>
        <w:rPr>
          <w:rFonts w:cstheme="minorHAnsi"/>
          <w:bCs/>
        </w:rPr>
      </w:pPr>
      <w:r>
        <w:rPr>
          <w:rFonts w:cstheme="minorHAnsi"/>
          <w:bCs/>
        </w:rPr>
        <w:t>Those reporting the measure have demonstrated a consistent upward trend in performance, suggesting that this is a good measure for anesthesia quality management.  I</w:t>
      </w:r>
      <w:r w:rsidR="00C90FC4">
        <w:rPr>
          <w:rFonts w:cstheme="minorHAnsi"/>
          <w:bCs/>
        </w:rPr>
        <w:t xml:space="preserve">nternal identification of low performing individuals or systems is a powerful tool for motivating improvement, and will help our specialty achieve its ultimate goal of universal high performance.  </w:t>
      </w:r>
    </w:p>
    <w:p w:rsidR="0086464B" w:rsidRDefault="0086464B" w:rsidP="0086464B">
      <w:pPr>
        <w:spacing w:after="0" w:line="240" w:lineRule="auto"/>
        <w:rPr>
          <w:rFonts w:cstheme="minorHAnsi"/>
          <w:b/>
          <w:bCs/>
        </w:rPr>
      </w:pPr>
      <w:r>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w:t>
      </w:r>
      <w:proofErr w:type="spellStart"/>
      <w:r w:rsidR="00840A41">
        <w:rPr>
          <w:rFonts w:cstheme="minorHAnsi"/>
          <w:bCs/>
          <w:i/>
        </w:rPr>
        <w:t>eMeasures</w:t>
      </w:r>
      <w:proofErr w:type="spellEnd"/>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proofErr w:type="spellStart"/>
      <w:r w:rsidR="00864CA8">
        <w:rPr>
          <w:rFonts w:cstheme="minorHAnsi"/>
          <w:b/>
          <w:bCs/>
        </w:rPr>
        <w:t>datasources</w:t>
      </w:r>
      <w:proofErr w:type="spellEnd"/>
      <w:r w:rsidR="00864CA8">
        <w:rPr>
          <w:rFonts w:cstheme="minorHAnsi"/>
          <w:b/>
          <w:bCs/>
        </w:rPr>
        <w:t>/</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rsidR="000F06B5" w:rsidRPr="00A25024" w:rsidRDefault="000F06B5" w:rsidP="00DB3627">
      <w:pPr>
        <w:pStyle w:val="ListParagraph"/>
        <w:autoSpaceDE w:val="0"/>
        <w:autoSpaceDN w:val="0"/>
        <w:adjustRightInd w:val="0"/>
        <w:spacing w:after="0" w:line="240" w:lineRule="auto"/>
        <w:ind w:left="0"/>
        <w:rPr>
          <w:rFonts w:cstheme="minorHAnsi"/>
          <w:bCs/>
        </w:rPr>
      </w:pPr>
    </w:p>
    <w:p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rsidR="00E1508F" w:rsidRPr="00E1508F" w:rsidRDefault="00E1508F" w:rsidP="00E1508F">
      <w:pPr>
        <w:autoSpaceDE w:val="0"/>
        <w:autoSpaceDN w:val="0"/>
        <w:adjustRightInd w:val="0"/>
        <w:spacing w:after="0" w:line="240" w:lineRule="auto"/>
        <w:rPr>
          <w:rFonts w:cstheme="minorHAnsi"/>
          <w:bCs/>
        </w:rPr>
      </w:pPr>
    </w:p>
    <w:p w:rsidR="0079180E" w:rsidRPr="00DB3627"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p>
    <w:sectPr w:rsidR="0079180E" w:rsidRPr="00DB3627" w:rsidSect="008505D1">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653" w:rsidRDefault="00F61653" w:rsidP="005C73CA">
      <w:pPr>
        <w:spacing w:after="0" w:line="240" w:lineRule="auto"/>
      </w:pPr>
      <w:r>
        <w:separator/>
      </w:r>
    </w:p>
  </w:endnote>
  <w:endnote w:type="continuationSeparator" w:id="0">
    <w:p w:rsidR="00F61653" w:rsidRDefault="00F61653"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53" w:rsidRDefault="00F61653">
    <w:pPr>
      <w:pStyle w:val="Footer"/>
    </w:pPr>
    <w:r>
      <w:t xml:space="preserve">Version </w:t>
    </w:r>
    <w:proofErr w:type="gramStart"/>
    <w:r>
      <w:t>6.5  05</w:t>
    </w:r>
    <w:proofErr w:type="gramEnd"/>
    <w:r>
      <w:t>/29/13</w:t>
    </w:r>
    <w:r>
      <w:ptab w:relativeTo="margin" w:alignment="center" w:leader="none"/>
    </w:r>
    <w:r>
      <w:ptab w:relativeTo="margin" w:alignment="right" w:leader="none"/>
    </w:r>
    <w:r>
      <w:fldChar w:fldCharType="begin"/>
    </w:r>
    <w:r>
      <w:instrText xml:space="preserve"> PAGE   \* MERGEFORMAT </w:instrText>
    </w:r>
    <w:r>
      <w:fldChar w:fldCharType="separate"/>
    </w:r>
    <w:r w:rsidR="00E61053">
      <w:rPr>
        <w:noProof/>
      </w:rPr>
      <w:t>20</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653" w:rsidRDefault="00F61653" w:rsidP="005C73CA">
      <w:pPr>
        <w:spacing w:after="0" w:line="240" w:lineRule="auto"/>
      </w:pPr>
      <w:r>
        <w:separator/>
      </w:r>
    </w:p>
  </w:footnote>
  <w:footnote w:type="continuationSeparator" w:id="0">
    <w:p w:rsidR="00F61653" w:rsidRDefault="00F61653"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tyle3"/>
      </w:rPr>
      <w:id w:val="-491560845"/>
      <w:showingPlcHdr/>
    </w:sdtPr>
    <w:sdtEndPr>
      <w:rPr>
        <w:rStyle w:val="DefaultParagraphFont"/>
        <w:color w:val="auto"/>
      </w:rPr>
    </w:sdtEndPr>
    <w:sdtContent>
      <w:p w:rsidR="00F61653" w:rsidRPr="00105D8B" w:rsidRDefault="00F61653"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8"/>
  </w:num>
  <w:num w:numId="9">
    <w:abstractNumId w:val="8"/>
  </w:num>
  <w:num w:numId="10">
    <w:abstractNumId w:val="23"/>
  </w:num>
  <w:num w:numId="11">
    <w:abstractNumId w:val="10"/>
  </w:num>
  <w:num w:numId="12">
    <w:abstractNumId w:val="21"/>
  </w:num>
  <w:num w:numId="13">
    <w:abstractNumId w:val="16"/>
  </w:num>
  <w:num w:numId="14">
    <w:abstractNumId w:val="16"/>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5"/>
  </w:num>
  <w:num w:numId="16">
    <w:abstractNumId w:val="7"/>
  </w:num>
  <w:num w:numId="17">
    <w:abstractNumId w:val="22"/>
  </w:num>
  <w:num w:numId="18">
    <w:abstractNumId w:val="20"/>
  </w:num>
  <w:num w:numId="19">
    <w:abstractNumId w:val="19"/>
  </w:num>
  <w:num w:numId="20">
    <w:abstractNumId w:val="14"/>
  </w:num>
  <w:num w:numId="21">
    <w:abstractNumId w:val="17"/>
  </w:num>
  <w:num w:numId="22">
    <w:abstractNumId w:val="13"/>
  </w:num>
  <w:num w:numId="23">
    <w:abstractNumId w:val="6"/>
  </w:num>
  <w:num w:numId="24">
    <w:abstractNumId w:val="12"/>
  </w:num>
  <w:num w:numId="25">
    <w:abstractNumId w:val="11"/>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775F8"/>
    <w:rsid w:val="00080CF7"/>
    <w:rsid w:val="000851B2"/>
    <w:rsid w:val="00092566"/>
    <w:rsid w:val="000968F8"/>
    <w:rsid w:val="00097012"/>
    <w:rsid w:val="000B032A"/>
    <w:rsid w:val="000B2DF7"/>
    <w:rsid w:val="000B3880"/>
    <w:rsid w:val="000D7948"/>
    <w:rsid w:val="000D7C84"/>
    <w:rsid w:val="000E4E13"/>
    <w:rsid w:val="000E78F6"/>
    <w:rsid w:val="000F06B5"/>
    <w:rsid w:val="000F39E9"/>
    <w:rsid w:val="00104B45"/>
    <w:rsid w:val="00105D8B"/>
    <w:rsid w:val="0011342F"/>
    <w:rsid w:val="001202E9"/>
    <w:rsid w:val="0012454F"/>
    <w:rsid w:val="00127C06"/>
    <w:rsid w:val="00145149"/>
    <w:rsid w:val="0014773C"/>
    <w:rsid w:val="00155809"/>
    <w:rsid w:val="0017696D"/>
    <w:rsid w:val="001848FC"/>
    <w:rsid w:val="001969C5"/>
    <w:rsid w:val="001A6CDD"/>
    <w:rsid w:val="001C12EE"/>
    <w:rsid w:val="001C7B02"/>
    <w:rsid w:val="001E4DD4"/>
    <w:rsid w:val="001E69DC"/>
    <w:rsid w:val="001F169D"/>
    <w:rsid w:val="001F1DA1"/>
    <w:rsid w:val="00202CD3"/>
    <w:rsid w:val="0021195A"/>
    <w:rsid w:val="00213383"/>
    <w:rsid w:val="00220250"/>
    <w:rsid w:val="002257C0"/>
    <w:rsid w:val="0022691B"/>
    <w:rsid w:val="00232163"/>
    <w:rsid w:val="002376F8"/>
    <w:rsid w:val="002408E4"/>
    <w:rsid w:val="00241591"/>
    <w:rsid w:val="00250B4F"/>
    <w:rsid w:val="0025762F"/>
    <w:rsid w:val="00287649"/>
    <w:rsid w:val="00287E84"/>
    <w:rsid w:val="0029286C"/>
    <w:rsid w:val="0029300E"/>
    <w:rsid w:val="002A4AF6"/>
    <w:rsid w:val="002B0C3A"/>
    <w:rsid w:val="002B2116"/>
    <w:rsid w:val="002B2D9B"/>
    <w:rsid w:val="002B5016"/>
    <w:rsid w:val="002B6398"/>
    <w:rsid w:val="002B7F4D"/>
    <w:rsid w:val="002C285C"/>
    <w:rsid w:val="002C7BE4"/>
    <w:rsid w:val="002D417D"/>
    <w:rsid w:val="002E78A0"/>
    <w:rsid w:val="002F2687"/>
    <w:rsid w:val="002F48E1"/>
    <w:rsid w:val="002F4F3B"/>
    <w:rsid w:val="003044D8"/>
    <w:rsid w:val="003059EB"/>
    <w:rsid w:val="003116AC"/>
    <w:rsid w:val="00315567"/>
    <w:rsid w:val="00321B16"/>
    <w:rsid w:val="00330144"/>
    <w:rsid w:val="00346245"/>
    <w:rsid w:val="00356267"/>
    <w:rsid w:val="00356BAD"/>
    <w:rsid w:val="003605B4"/>
    <w:rsid w:val="003627AC"/>
    <w:rsid w:val="00366914"/>
    <w:rsid w:val="00372183"/>
    <w:rsid w:val="003755CB"/>
    <w:rsid w:val="00383F85"/>
    <w:rsid w:val="003A306C"/>
    <w:rsid w:val="003A7DE7"/>
    <w:rsid w:val="003B1006"/>
    <w:rsid w:val="003C5F11"/>
    <w:rsid w:val="003D245E"/>
    <w:rsid w:val="003D6401"/>
    <w:rsid w:val="003E1863"/>
    <w:rsid w:val="0041606D"/>
    <w:rsid w:val="00416962"/>
    <w:rsid w:val="0042121C"/>
    <w:rsid w:val="004348CC"/>
    <w:rsid w:val="00443B56"/>
    <w:rsid w:val="00463A1C"/>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31AD"/>
    <w:rsid w:val="004F68EE"/>
    <w:rsid w:val="005038D5"/>
    <w:rsid w:val="00511BA4"/>
    <w:rsid w:val="005149E7"/>
    <w:rsid w:val="005232D6"/>
    <w:rsid w:val="005333CC"/>
    <w:rsid w:val="005363F1"/>
    <w:rsid w:val="0055007C"/>
    <w:rsid w:val="00554922"/>
    <w:rsid w:val="00555282"/>
    <w:rsid w:val="005612CC"/>
    <w:rsid w:val="00563029"/>
    <w:rsid w:val="00567D12"/>
    <w:rsid w:val="00576062"/>
    <w:rsid w:val="00582C02"/>
    <w:rsid w:val="0059559F"/>
    <w:rsid w:val="005A49FF"/>
    <w:rsid w:val="005A5A82"/>
    <w:rsid w:val="005A7634"/>
    <w:rsid w:val="005C0447"/>
    <w:rsid w:val="005C739F"/>
    <w:rsid w:val="005C73CA"/>
    <w:rsid w:val="005D4768"/>
    <w:rsid w:val="005E2CAB"/>
    <w:rsid w:val="005E429E"/>
    <w:rsid w:val="00601ED4"/>
    <w:rsid w:val="006030BC"/>
    <w:rsid w:val="00612866"/>
    <w:rsid w:val="00616EB5"/>
    <w:rsid w:val="00622B89"/>
    <w:rsid w:val="006269D4"/>
    <w:rsid w:val="006327D8"/>
    <w:rsid w:val="0064070A"/>
    <w:rsid w:val="00642437"/>
    <w:rsid w:val="00643A01"/>
    <w:rsid w:val="006574D2"/>
    <w:rsid w:val="006676D4"/>
    <w:rsid w:val="00675535"/>
    <w:rsid w:val="00680443"/>
    <w:rsid w:val="00681359"/>
    <w:rsid w:val="00696262"/>
    <w:rsid w:val="006C3A4F"/>
    <w:rsid w:val="006C4845"/>
    <w:rsid w:val="006D6BC1"/>
    <w:rsid w:val="006E2BFC"/>
    <w:rsid w:val="006E5C57"/>
    <w:rsid w:val="006E7EA9"/>
    <w:rsid w:val="006F22A5"/>
    <w:rsid w:val="00702C73"/>
    <w:rsid w:val="00713394"/>
    <w:rsid w:val="00724677"/>
    <w:rsid w:val="00725AC2"/>
    <w:rsid w:val="00732880"/>
    <w:rsid w:val="007416B9"/>
    <w:rsid w:val="007422FD"/>
    <w:rsid w:val="00743E46"/>
    <w:rsid w:val="00747C45"/>
    <w:rsid w:val="00756FDB"/>
    <w:rsid w:val="007665BF"/>
    <w:rsid w:val="007740F6"/>
    <w:rsid w:val="007757CE"/>
    <w:rsid w:val="00775800"/>
    <w:rsid w:val="00781208"/>
    <w:rsid w:val="007819A5"/>
    <w:rsid w:val="0079035B"/>
    <w:rsid w:val="0079180E"/>
    <w:rsid w:val="007950CC"/>
    <w:rsid w:val="0079538B"/>
    <w:rsid w:val="007961B8"/>
    <w:rsid w:val="007A4828"/>
    <w:rsid w:val="007B093D"/>
    <w:rsid w:val="007B2069"/>
    <w:rsid w:val="007C04A1"/>
    <w:rsid w:val="007C21FA"/>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84486"/>
    <w:rsid w:val="008871A9"/>
    <w:rsid w:val="008916BA"/>
    <w:rsid w:val="00892176"/>
    <w:rsid w:val="00892E79"/>
    <w:rsid w:val="00896CE1"/>
    <w:rsid w:val="008A1DB7"/>
    <w:rsid w:val="008A3570"/>
    <w:rsid w:val="008A403A"/>
    <w:rsid w:val="008A4C13"/>
    <w:rsid w:val="008A50BD"/>
    <w:rsid w:val="008B1163"/>
    <w:rsid w:val="008B7762"/>
    <w:rsid w:val="008C54A9"/>
    <w:rsid w:val="008E67C3"/>
    <w:rsid w:val="008F589F"/>
    <w:rsid w:val="008F76A9"/>
    <w:rsid w:val="0090009D"/>
    <w:rsid w:val="00900DBF"/>
    <w:rsid w:val="009048B9"/>
    <w:rsid w:val="00904E91"/>
    <w:rsid w:val="009214DC"/>
    <w:rsid w:val="00927027"/>
    <w:rsid w:val="009344BA"/>
    <w:rsid w:val="00947F78"/>
    <w:rsid w:val="00953234"/>
    <w:rsid w:val="00961EAF"/>
    <w:rsid w:val="0096278F"/>
    <w:rsid w:val="009726E1"/>
    <w:rsid w:val="00977591"/>
    <w:rsid w:val="00980E75"/>
    <w:rsid w:val="00994BE0"/>
    <w:rsid w:val="009A25B1"/>
    <w:rsid w:val="009A4608"/>
    <w:rsid w:val="009A6A57"/>
    <w:rsid w:val="009A70BF"/>
    <w:rsid w:val="009B1A15"/>
    <w:rsid w:val="009C0852"/>
    <w:rsid w:val="009C13CA"/>
    <w:rsid w:val="009C32C6"/>
    <w:rsid w:val="009C665F"/>
    <w:rsid w:val="009D3625"/>
    <w:rsid w:val="009D7E38"/>
    <w:rsid w:val="009E095B"/>
    <w:rsid w:val="009E1846"/>
    <w:rsid w:val="009E78FF"/>
    <w:rsid w:val="00A01494"/>
    <w:rsid w:val="00A11A02"/>
    <w:rsid w:val="00A22FA9"/>
    <w:rsid w:val="00A25024"/>
    <w:rsid w:val="00A35F8F"/>
    <w:rsid w:val="00A41377"/>
    <w:rsid w:val="00A4263D"/>
    <w:rsid w:val="00A509B8"/>
    <w:rsid w:val="00A52AB9"/>
    <w:rsid w:val="00A6210B"/>
    <w:rsid w:val="00A7323A"/>
    <w:rsid w:val="00A9014D"/>
    <w:rsid w:val="00A97798"/>
    <w:rsid w:val="00AA5213"/>
    <w:rsid w:val="00AA65A6"/>
    <w:rsid w:val="00AC1D8E"/>
    <w:rsid w:val="00AC48FA"/>
    <w:rsid w:val="00AD0240"/>
    <w:rsid w:val="00AD4137"/>
    <w:rsid w:val="00B037BA"/>
    <w:rsid w:val="00B20139"/>
    <w:rsid w:val="00B218DA"/>
    <w:rsid w:val="00B342FA"/>
    <w:rsid w:val="00B51528"/>
    <w:rsid w:val="00B53E8B"/>
    <w:rsid w:val="00B774D2"/>
    <w:rsid w:val="00B8015A"/>
    <w:rsid w:val="00B82A57"/>
    <w:rsid w:val="00BB35AE"/>
    <w:rsid w:val="00BC03A1"/>
    <w:rsid w:val="00BC0D25"/>
    <w:rsid w:val="00BD2505"/>
    <w:rsid w:val="00BE592D"/>
    <w:rsid w:val="00BF52B0"/>
    <w:rsid w:val="00BF5697"/>
    <w:rsid w:val="00C14CCC"/>
    <w:rsid w:val="00C1561F"/>
    <w:rsid w:val="00C22C1C"/>
    <w:rsid w:val="00C2336C"/>
    <w:rsid w:val="00C33F2E"/>
    <w:rsid w:val="00C34936"/>
    <w:rsid w:val="00C34C14"/>
    <w:rsid w:val="00C355B9"/>
    <w:rsid w:val="00C401C4"/>
    <w:rsid w:val="00C41680"/>
    <w:rsid w:val="00C60A25"/>
    <w:rsid w:val="00C765C5"/>
    <w:rsid w:val="00C82479"/>
    <w:rsid w:val="00C867F0"/>
    <w:rsid w:val="00C90FC4"/>
    <w:rsid w:val="00CA06D8"/>
    <w:rsid w:val="00CA345A"/>
    <w:rsid w:val="00CB49FF"/>
    <w:rsid w:val="00CC02CF"/>
    <w:rsid w:val="00CC086A"/>
    <w:rsid w:val="00CD0F66"/>
    <w:rsid w:val="00CD364B"/>
    <w:rsid w:val="00CD427B"/>
    <w:rsid w:val="00CE23B8"/>
    <w:rsid w:val="00CE50D7"/>
    <w:rsid w:val="00D00344"/>
    <w:rsid w:val="00D1754D"/>
    <w:rsid w:val="00D2223F"/>
    <w:rsid w:val="00D274A4"/>
    <w:rsid w:val="00D277AF"/>
    <w:rsid w:val="00D31163"/>
    <w:rsid w:val="00D320B1"/>
    <w:rsid w:val="00D33AFD"/>
    <w:rsid w:val="00D36489"/>
    <w:rsid w:val="00D40FA3"/>
    <w:rsid w:val="00D42195"/>
    <w:rsid w:val="00D50704"/>
    <w:rsid w:val="00D5760A"/>
    <w:rsid w:val="00D60584"/>
    <w:rsid w:val="00D61410"/>
    <w:rsid w:val="00D75CC5"/>
    <w:rsid w:val="00D8181D"/>
    <w:rsid w:val="00D968D8"/>
    <w:rsid w:val="00DA563D"/>
    <w:rsid w:val="00DA7277"/>
    <w:rsid w:val="00DB3627"/>
    <w:rsid w:val="00DB4724"/>
    <w:rsid w:val="00DC4746"/>
    <w:rsid w:val="00DE7149"/>
    <w:rsid w:val="00E0314C"/>
    <w:rsid w:val="00E1508F"/>
    <w:rsid w:val="00E20297"/>
    <w:rsid w:val="00E253DE"/>
    <w:rsid w:val="00E27240"/>
    <w:rsid w:val="00E27EDD"/>
    <w:rsid w:val="00E310B9"/>
    <w:rsid w:val="00E37E1B"/>
    <w:rsid w:val="00E562C0"/>
    <w:rsid w:val="00E61053"/>
    <w:rsid w:val="00E672D6"/>
    <w:rsid w:val="00E76024"/>
    <w:rsid w:val="00E856A2"/>
    <w:rsid w:val="00E96884"/>
    <w:rsid w:val="00EA5435"/>
    <w:rsid w:val="00EA5F47"/>
    <w:rsid w:val="00EB366E"/>
    <w:rsid w:val="00EC10B1"/>
    <w:rsid w:val="00EC79DE"/>
    <w:rsid w:val="00ED4ACE"/>
    <w:rsid w:val="00EF2DA7"/>
    <w:rsid w:val="00F241CB"/>
    <w:rsid w:val="00F42CC5"/>
    <w:rsid w:val="00F435AA"/>
    <w:rsid w:val="00F5738A"/>
    <w:rsid w:val="00F612D4"/>
    <w:rsid w:val="00F61653"/>
    <w:rsid w:val="00F77F1D"/>
    <w:rsid w:val="00F822A2"/>
    <w:rsid w:val="00F87CCB"/>
    <w:rsid w:val="00FA48C7"/>
    <w:rsid w:val="00FB73C1"/>
    <w:rsid w:val="00FE493B"/>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Default">
    <w:name w:val="Default"/>
    <w:rsid w:val="008A50BD"/>
    <w:pPr>
      <w:autoSpaceDE w:val="0"/>
      <w:autoSpaceDN w:val="0"/>
      <w:adjustRightInd w:val="0"/>
      <w:spacing w:after="0" w:line="240" w:lineRule="auto"/>
    </w:pPr>
    <w:rPr>
      <w:rFonts w:ascii="Arial Narrow" w:hAnsi="Arial Narrow" w:cs="Arial Narrow"/>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Default">
    <w:name w:val="Default"/>
    <w:rsid w:val="008A50BD"/>
    <w:pPr>
      <w:autoSpaceDE w:val="0"/>
      <w:autoSpaceDN w:val="0"/>
      <w:adjustRightInd w:val="0"/>
      <w:spacing w:after="0" w:line="240" w:lineRule="auto"/>
    </w:pPr>
    <w:rPr>
      <w:rFonts w:ascii="Arial Narrow" w:hAnsi="Arial Narrow" w:cs="Arial Narr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301791">
      <w:bodyDiv w:val="1"/>
      <w:marLeft w:val="0"/>
      <w:marRight w:val="0"/>
      <w:marTop w:val="0"/>
      <w:marBottom w:val="0"/>
      <w:divBdr>
        <w:top w:val="none" w:sz="0" w:space="0" w:color="auto"/>
        <w:left w:val="none" w:sz="0" w:space="0" w:color="auto"/>
        <w:bottom w:val="none" w:sz="0" w:space="0" w:color="auto"/>
        <w:right w:val="none" w:sz="0" w:space="0" w:color="auto"/>
      </w:divBdr>
    </w:div>
    <w:div w:id="441145345">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743376709">
      <w:bodyDiv w:val="1"/>
      <w:marLeft w:val="0"/>
      <w:marRight w:val="0"/>
      <w:marTop w:val="0"/>
      <w:marBottom w:val="0"/>
      <w:divBdr>
        <w:top w:val="none" w:sz="0" w:space="0" w:color="auto"/>
        <w:left w:val="none" w:sz="0" w:space="0" w:color="auto"/>
        <w:bottom w:val="none" w:sz="0" w:space="0" w:color="auto"/>
        <w:right w:val="none" w:sz="0" w:space="0" w:color="auto"/>
      </w:divBdr>
    </w:div>
    <w:div w:id="1263686446">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621187782">
      <w:bodyDiv w:val="1"/>
      <w:marLeft w:val="0"/>
      <w:marRight w:val="0"/>
      <w:marTop w:val="0"/>
      <w:marBottom w:val="0"/>
      <w:divBdr>
        <w:top w:val="none" w:sz="0" w:space="0" w:color="auto"/>
        <w:left w:val="none" w:sz="0" w:space="0" w:color="auto"/>
        <w:bottom w:val="none" w:sz="0" w:space="0" w:color="auto"/>
        <w:right w:val="none" w:sz="0" w:space="0" w:color="auto"/>
      </w:divBdr>
    </w:div>
    <w:div w:id="1743484625">
      <w:bodyDiv w:val="1"/>
      <w:marLeft w:val="0"/>
      <w:marRight w:val="0"/>
      <w:marTop w:val="0"/>
      <w:marBottom w:val="0"/>
      <w:divBdr>
        <w:top w:val="none" w:sz="0" w:space="0" w:color="auto"/>
        <w:left w:val="none" w:sz="0" w:space="0" w:color="auto"/>
        <w:bottom w:val="none" w:sz="0" w:space="0" w:color="auto"/>
        <w:right w:val="none" w:sz="0" w:space="0" w:color="auto"/>
      </w:divBdr>
    </w:div>
    <w:div w:id="19550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glossaryDocument" Target="glossary/document.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m.popovich\Documents\Book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m.popovich\Documents\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en-US" sz="1400"/>
              <a:t>Measure Successfully Reported (Reporting Rate)</a:t>
            </a:r>
          </a:p>
        </c:rich>
      </c:tx>
      <c:layout/>
      <c:overlay val="0"/>
    </c:title>
    <c:autoTitleDeleted val="0"/>
    <c:plotArea>
      <c:layout/>
      <c:barChart>
        <c:barDir val="col"/>
        <c:grouping val="clustered"/>
        <c:varyColors val="0"/>
        <c:ser>
          <c:idx val="0"/>
          <c:order val="0"/>
          <c:tx>
            <c:strRef>
              <c:f>'0454 Successfully Reported'!$A$2</c:f>
              <c:strCache>
                <c:ptCount val="1"/>
                <c:pt idx="0">
                  <c:v>Medicare Limited Data Set Carrier SAF – 5% File</c:v>
                </c:pt>
              </c:strCache>
            </c:strRef>
          </c:tx>
          <c:invertIfNegative val="0"/>
          <c:dLbls>
            <c:txPr>
              <a:bodyPr rot="2700000"/>
              <a:lstStyle/>
              <a:p>
                <a:pPr>
                  <a:defRPr/>
                </a:pPr>
                <a:endParaRPr lang="en-US"/>
              </a:p>
            </c:txPr>
            <c:showLegendKey val="0"/>
            <c:showVal val="1"/>
            <c:showCatName val="0"/>
            <c:showSerName val="0"/>
            <c:showPercent val="0"/>
            <c:showBubbleSize val="0"/>
            <c:showLeaderLines val="0"/>
          </c:dLbls>
          <c:cat>
            <c:numRef>
              <c:f>'0454 Successfully Reported'!$B$1:$E$1</c:f>
              <c:numCache>
                <c:formatCode>General</c:formatCode>
                <c:ptCount val="4"/>
                <c:pt idx="0">
                  <c:v>2010</c:v>
                </c:pt>
                <c:pt idx="1">
                  <c:v>2011</c:v>
                </c:pt>
                <c:pt idx="2">
                  <c:v>2012</c:v>
                </c:pt>
                <c:pt idx="3">
                  <c:v>2013</c:v>
                </c:pt>
              </c:numCache>
            </c:numRef>
          </c:cat>
          <c:val>
            <c:numRef>
              <c:f>'0454 Successfully Reported'!$B$2:$E$2</c:f>
              <c:numCache>
                <c:formatCode>General</c:formatCode>
                <c:ptCount val="4"/>
                <c:pt idx="0">
                  <c:v>14.52</c:v>
                </c:pt>
                <c:pt idx="1">
                  <c:v>23.76</c:v>
                </c:pt>
                <c:pt idx="2">
                  <c:v>29.78</c:v>
                </c:pt>
              </c:numCache>
            </c:numRef>
          </c:val>
        </c:ser>
        <c:ser>
          <c:idx val="1"/>
          <c:order val="1"/>
          <c:tx>
            <c:strRef>
              <c:f>'0454 Successfully Reported'!$A$3</c:f>
              <c:strCache>
                <c:ptCount val="1"/>
                <c:pt idx="0">
                  <c:v>NACOR (Eligible Medicare Cases Only)</c:v>
                </c:pt>
              </c:strCache>
            </c:strRef>
          </c:tx>
          <c:invertIfNegative val="0"/>
          <c:dLbls>
            <c:txPr>
              <a:bodyPr rot="2700000"/>
              <a:lstStyle/>
              <a:p>
                <a:pPr>
                  <a:defRPr/>
                </a:pPr>
                <a:endParaRPr lang="en-US"/>
              </a:p>
            </c:txPr>
            <c:showLegendKey val="0"/>
            <c:showVal val="1"/>
            <c:showCatName val="0"/>
            <c:showSerName val="0"/>
            <c:showPercent val="0"/>
            <c:showBubbleSize val="0"/>
            <c:showLeaderLines val="0"/>
          </c:dLbls>
          <c:cat>
            <c:numRef>
              <c:f>'0454 Successfully Reported'!$B$1:$E$1</c:f>
              <c:numCache>
                <c:formatCode>General</c:formatCode>
                <c:ptCount val="4"/>
                <c:pt idx="0">
                  <c:v>2010</c:v>
                </c:pt>
                <c:pt idx="1">
                  <c:v>2011</c:v>
                </c:pt>
                <c:pt idx="2">
                  <c:v>2012</c:v>
                </c:pt>
                <c:pt idx="3">
                  <c:v>2013</c:v>
                </c:pt>
              </c:numCache>
            </c:numRef>
          </c:cat>
          <c:val>
            <c:numRef>
              <c:f>'0454 Successfully Reported'!$B$3:$E$3</c:f>
              <c:numCache>
                <c:formatCode>General</c:formatCode>
                <c:ptCount val="4"/>
                <c:pt idx="0">
                  <c:v>64.930000000000007</c:v>
                </c:pt>
                <c:pt idx="1">
                  <c:v>72.59</c:v>
                </c:pt>
                <c:pt idx="2">
                  <c:v>76.849999999999994</c:v>
                </c:pt>
                <c:pt idx="3">
                  <c:v>80.72</c:v>
                </c:pt>
              </c:numCache>
            </c:numRef>
          </c:val>
        </c:ser>
        <c:ser>
          <c:idx val="2"/>
          <c:order val="2"/>
          <c:tx>
            <c:strRef>
              <c:f>'0454 Successfully Reported'!$A$4</c:f>
              <c:strCache>
                <c:ptCount val="1"/>
                <c:pt idx="0">
                  <c:v>NACOR (Eligible Cases - Medicare and Non-Medicare)</c:v>
                </c:pt>
              </c:strCache>
            </c:strRef>
          </c:tx>
          <c:invertIfNegative val="0"/>
          <c:dLbls>
            <c:txPr>
              <a:bodyPr rot="2700000"/>
              <a:lstStyle/>
              <a:p>
                <a:pPr>
                  <a:defRPr/>
                </a:pPr>
                <a:endParaRPr lang="en-US"/>
              </a:p>
            </c:txPr>
            <c:showLegendKey val="0"/>
            <c:showVal val="1"/>
            <c:showCatName val="0"/>
            <c:showSerName val="0"/>
            <c:showPercent val="0"/>
            <c:showBubbleSize val="0"/>
            <c:showLeaderLines val="0"/>
          </c:dLbls>
          <c:cat>
            <c:numRef>
              <c:f>'0454 Successfully Reported'!$B$1:$E$1</c:f>
              <c:numCache>
                <c:formatCode>General</c:formatCode>
                <c:ptCount val="4"/>
                <c:pt idx="0">
                  <c:v>2010</c:v>
                </c:pt>
                <c:pt idx="1">
                  <c:v>2011</c:v>
                </c:pt>
                <c:pt idx="2">
                  <c:v>2012</c:v>
                </c:pt>
                <c:pt idx="3">
                  <c:v>2013</c:v>
                </c:pt>
              </c:numCache>
            </c:numRef>
          </c:cat>
          <c:val>
            <c:numRef>
              <c:f>'0454 Successfully Reported'!$B$4:$E$4</c:f>
              <c:numCache>
                <c:formatCode>General</c:formatCode>
                <c:ptCount val="4"/>
                <c:pt idx="0">
                  <c:v>17.23</c:v>
                </c:pt>
                <c:pt idx="1">
                  <c:v>26.58</c:v>
                </c:pt>
                <c:pt idx="2">
                  <c:v>34.29</c:v>
                </c:pt>
                <c:pt idx="3">
                  <c:v>36.85</c:v>
                </c:pt>
              </c:numCache>
            </c:numRef>
          </c:val>
        </c:ser>
        <c:dLbls>
          <c:showLegendKey val="0"/>
          <c:showVal val="0"/>
          <c:showCatName val="0"/>
          <c:showSerName val="0"/>
          <c:showPercent val="0"/>
          <c:showBubbleSize val="0"/>
        </c:dLbls>
        <c:gapWidth val="150"/>
        <c:axId val="118329344"/>
        <c:axId val="118331264"/>
      </c:barChart>
      <c:catAx>
        <c:axId val="118329344"/>
        <c:scaling>
          <c:orientation val="minMax"/>
        </c:scaling>
        <c:delete val="0"/>
        <c:axPos val="b"/>
        <c:title>
          <c:tx>
            <c:rich>
              <a:bodyPr/>
              <a:lstStyle/>
              <a:p>
                <a:pPr>
                  <a:defRPr/>
                </a:pPr>
                <a:r>
                  <a:rPr lang="en-US"/>
                  <a:t>Year</a:t>
                </a:r>
              </a:p>
            </c:rich>
          </c:tx>
          <c:layout/>
          <c:overlay val="0"/>
        </c:title>
        <c:numFmt formatCode="General" sourceLinked="1"/>
        <c:majorTickMark val="out"/>
        <c:minorTickMark val="none"/>
        <c:tickLblPos val="nextTo"/>
        <c:crossAx val="118331264"/>
        <c:crosses val="autoZero"/>
        <c:auto val="1"/>
        <c:lblAlgn val="ctr"/>
        <c:lblOffset val="100"/>
        <c:noMultiLvlLbl val="0"/>
      </c:catAx>
      <c:valAx>
        <c:axId val="118331264"/>
        <c:scaling>
          <c:orientation val="minMax"/>
          <c:max val="100"/>
        </c:scaling>
        <c:delete val="0"/>
        <c:axPos val="l"/>
        <c:majorGridlines/>
        <c:title>
          <c:tx>
            <c:rich>
              <a:bodyPr rot="-5400000" vert="horz"/>
              <a:lstStyle/>
              <a:p>
                <a:pPr>
                  <a:defRPr/>
                </a:pPr>
                <a:r>
                  <a:rPr lang="en-US"/>
                  <a:t>Percent</a:t>
                </a:r>
              </a:p>
            </c:rich>
          </c:tx>
          <c:layout/>
          <c:overlay val="0"/>
        </c:title>
        <c:numFmt formatCode="General" sourceLinked="1"/>
        <c:majorTickMark val="out"/>
        <c:minorTickMark val="none"/>
        <c:tickLblPos val="nextTo"/>
        <c:crossAx val="118329344"/>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a:t>Measure</a:t>
            </a:r>
            <a:r>
              <a:rPr lang="en-US" sz="1400" baseline="0"/>
              <a:t> Not Reported</a:t>
            </a:r>
            <a:endParaRPr lang="en-US" sz="1400"/>
          </a:p>
        </c:rich>
      </c:tx>
      <c:layout/>
      <c:overlay val="0"/>
    </c:title>
    <c:autoTitleDeleted val="0"/>
    <c:plotArea>
      <c:layout/>
      <c:barChart>
        <c:barDir val="col"/>
        <c:grouping val="clustered"/>
        <c:varyColors val="0"/>
        <c:ser>
          <c:idx val="0"/>
          <c:order val="0"/>
          <c:tx>
            <c:strRef>
              <c:f>'0454 Not Reported'!$A$2</c:f>
              <c:strCache>
                <c:ptCount val="1"/>
                <c:pt idx="0">
                  <c:v>Medicare Limited Data Set Carrier SAF – 5% File</c:v>
                </c:pt>
              </c:strCache>
            </c:strRef>
          </c:tx>
          <c:invertIfNegative val="0"/>
          <c:dLbls>
            <c:txPr>
              <a:bodyPr rot="2700000"/>
              <a:lstStyle/>
              <a:p>
                <a:pPr>
                  <a:defRPr/>
                </a:pPr>
                <a:endParaRPr lang="en-US"/>
              </a:p>
            </c:txPr>
            <c:showLegendKey val="0"/>
            <c:showVal val="1"/>
            <c:showCatName val="0"/>
            <c:showSerName val="0"/>
            <c:showPercent val="0"/>
            <c:showBubbleSize val="0"/>
            <c:showLeaderLines val="0"/>
          </c:dLbls>
          <c:cat>
            <c:numRef>
              <c:f>'0454 Not Reported'!$B$1:$E$1</c:f>
              <c:numCache>
                <c:formatCode>General</c:formatCode>
                <c:ptCount val="4"/>
                <c:pt idx="0">
                  <c:v>2010</c:v>
                </c:pt>
                <c:pt idx="1">
                  <c:v>2011</c:v>
                </c:pt>
                <c:pt idx="2">
                  <c:v>2012</c:v>
                </c:pt>
                <c:pt idx="3">
                  <c:v>2013</c:v>
                </c:pt>
              </c:numCache>
            </c:numRef>
          </c:cat>
          <c:val>
            <c:numRef>
              <c:f>'0454 Not Reported'!$B$2:$E$2</c:f>
              <c:numCache>
                <c:formatCode>General</c:formatCode>
                <c:ptCount val="4"/>
                <c:pt idx="0">
                  <c:v>85.48</c:v>
                </c:pt>
                <c:pt idx="1">
                  <c:v>76.239999999999995</c:v>
                </c:pt>
                <c:pt idx="2">
                  <c:v>70.22</c:v>
                </c:pt>
              </c:numCache>
            </c:numRef>
          </c:val>
        </c:ser>
        <c:ser>
          <c:idx val="1"/>
          <c:order val="1"/>
          <c:tx>
            <c:strRef>
              <c:f>'0454 Not Reported'!$A$3</c:f>
              <c:strCache>
                <c:ptCount val="1"/>
                <c:pt idx="0">
                  <c:v>NACOR (Eligible Medicare Cases Only)</c:v>
                </c:pt>
              </c:strCache>
            </c:strRef>
          </c:tx>
          <c:invertIfNegative val="0"/>
          <c:dLbls>
            <c:txPr>
              <a:bodyPr rot="2700000"/>
              <a:lstStyle/>
              <a:p>
                <a:pPr>
                  <a:defRPr/>
                </a:pPr>
                <a:endParaRPr lang="en-US"/>
              </a:p>
            </c:txPr>
            <c:showLegendKey val="0"/>
            <c:showVal val="1"/>
            <c:showCatName val="0"/>
            <c:showSerName val="0"/>
            <c:showPercent val="0"/>
            <c:showBubbleSize val="0"/>
            <c:showLeaderLines val="0"/>
          </c:dLbls>
          <c:cat>
            <c:numRef>
              <c:f>'0454 Not Reported'!$B$1:$E$1</c:f>
              <c:numCache>
                <c:formatCode>General</c:formatCode>
                <c:ptCount val="4"/>
                <c:pt idx="0">
                  <c:v>2010</c:v>
                </c:pt>
                <c:pt idx="1">
                  <c:v>2011</c:v>
                </c:pt>
                <c:pt idx="2">
                  <c:v>2012</c:v>
                </c:pt>
                <c:pt idx="3">
                  <c:v>2013</c:v>
                </c:pt>
              </c:numCache>
            </c:numRef>
          </c:cat>
          <c:val>
            <c:numRef>
              <c:f>'0454 Not Reported'!$B$3:$E$3</c:f>
              <c:numCache>
                <c:formatCode>General</c:formatCode>
                <c:ptCount val="4"/>
                <c:pt idx="0">
                  <c:v>35.069999999999993</c:v>
                </c:pt>
                <c:pt idx="1">
                  <c:v>27.409999999999997</c:v>
                </c:pt>
                <c:pt idx="2">
                  <c:v>23.150000000000006</c:v>
                </c:pt>
                <c:pt idx="3">
                  <c:v>19.28</c:v>
                </c:pt>
              </c:numCache>
            </c:numRef>
          </c:val>
        </c:ser>
        <c:ser>
          <c:idx val="2"/>
          <c:order val="2"/>
          <c:tx>
            <c:strRef>
              <c:f>'0454 Not Reported'!$A$4</c:f>
              <c:strCache>
                <c:ptCount val="1"/>
                <c:pt idx="0">
                  <c:v>NACOR (Eligible Cases - Medicare and Non-Medicare)</c:v>
                </c:pt>
              </c:strCache>
            </c:strRef>
          </c:tx>
          <c:invertIfNegative val="0"/>
          <c:dLbls>
            <c:txPr>
              <a:bodyPr rot="2700000"/>
              <a:lstStyle/>
              <a:p>
                <a:pPr>
                  <a:defRPr/>
                </a:pPr>
                <a:endParaRPr lang="en-US"/>
              </a:p>
            </c:txPr>
            <c:showLegendKey val="0"/>
            <c:showVal val="1"/>
            <c:showCatName val="0"/>
            <c:showSerName val="0"/>
            <c:showPercent val="0"/>
            <c:showBubbleSize val="0"/>
            <c:showLeaderLines val="0"/>
          </c:dLbls>
          <c:cat>
            <c:numRef>
              <c:f>'0454 Not Reported'!$B$1:$E$1</c:f>
              <c:numCache>
                <c:formatCode>General</c:formatCode>
                <c:ptCount val="4"/>
                <c:pt idx="0">
                  <c:v>2010</c:v>
                </c:pt>
                <c:pt idx="1">
                  <c:v>2011</c:v>
                </c:pt>
                <c:pt idx="2">
                  <c:v>2012</c:v>
                </c:pt>
                <c:pt idx="3">
                  <c:v>2013</c:v>
                </c:pt>
              </c:numCache>
            </c:numRef>
          </c:cat>
          <c:val>
            <c:numRef>
              <c:f>'0454 Not Reported'!$B$4:$E$4</c:f>
              <c:numCache>
                <c:formatCode>General</c:formatCode>
                <c:ptCount val="4"/>
                <c:pt idx="0">
                  <c:v>82.77</c:v>
                </c:pt>
                <c:pt idx="1">
                  <c:v>73.42</c:v>
                </c:pt>
                <c:pt idx="2">
                  <c:v>65.710000000000008</c:v>
                </c:pt>
                <c:pt idx="3">
                  <c:v>63.15</c:v>
                </c:pt>
              </c:numCache>
            </c:numRef>
          </c:val>
        </c:ser>
        <c:dLbls>
          <c:showLegendKey val="0"/>
          <c:showVal val="0"/>
          <c:showCatName val="0"/>
          <c:showSerName val="0"/>
          <c:showPercent val="0"/>
          <c:showBubbleSize val="0"/>
        </c:dLbls>
        <c:gapWidth val="150"/>
        <c:axId val="119739904"/>
        <c:axId val="119741824"/>
      </c:barChart>
      <c:catAx>
        <c:axId val="119739904"/>
        <c:scaling>
          <c:orientation val="minMax"/>
        </c:scaling>
        <c:delete val="0"/>
        <c:axPos val="b"/>
        <c:title>
          <c:tx>
            <c:rich>
              <a:bodyPr/>
              <a:lstStyle/>
              <a:p>
                <a:pPr>
                  <a:defRPr/>
                </a:pPr>
                <a:r>
                  <a:rPr lang="en-US"/>
                  <a:t>Year</a:t>
                </a:r>
              </a:p>
            </c:rich>
          </c:tx>
          <c:layout/>
          <c:overlay val="0"/>
        </c:title>
        <c:numFmt formatCode="General" sourceLinked="1"/>
        <c:majorTickMark val="out"/>
        <c:minorTickMark val="none"/>
        <c:tickLblPos val="nextTo"/>
        <c:crossAx val="119741824"/>
        <c:crosses val="autoZero"/>
        <c:auto val="1"/>
        <c:lblAlgn val="ctr"/>
        <c:lblOffset val="100"/>
        <c:noMultiLvlLbl val="0"/>
      </c:catAx>
      <c:valAx>
        <c:axId val="119741824"/>
        <c:scaling>
          <c:orientation val="minMax"/>
          <c:max val="100"/>
        </c:scaling>
        <c:delete val="0"/>
        <c:axPos val="l"/>
        <c:majorGridlines/>
        <c:title>
          <c:tx>
            <c:rich>
              <a:bodyPr rot="-5400000" vert="horz"/>
              <a:lstStyle/>
              <a:p>
                <a:pPr>
                  <a:defRPr/>
                </a:pPr>
                <a:r>
                  <a:rPr lang="en-US"/>
                  <a:t>Percent</a:t>
                </a:r>
              </a:p>
            </c:rich>
          </c:tx>
          <c:layout/>
          <c:overlay val="0"/>
        </c:title>
        <c:numFmt formatCode="General" sourceLinked="1"/>
        <c:majorTickMark val="out"/>
        <c:minorTickMark val="none"/>
        <c:tickLblPos val="nextTo"/>
        <c:crossAx val="119739904"/>
        <c:crosses val="autoZero"/>
        <c:crossBetween val="between"/>
      </c:valAx>
    </c:plotArea>
    <c:legend>
      <c:legendPos val="r"/>
      <c:layout/>
      <c:overlay val="0"/>
    </c:legend>
    <c:plotVisOnly val="1"/>
    <c:dispBlanksAs val="gap"/>
    <c:showDLblsOverMax val="0"/>
  </c:chart>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7D4368" w:rsidP="007D4368">
          <w:pPr>
            <w:pStyle w:val="00949831315D4E1BAFC508BD77E32A4010"/>
          </w:pPr>
          <w:r w:rsidRPr="00A25024">
            <w:rPr>
              <w:rStyle w:val="PlaceholderText"/>
              <w:rFonts w:cstheme="minorHAnsi"/>
              <w:color w:val="A6A6A6" w:themeColor="background1" w:themeShade="A6"/>
            </w:rPr>
            <w:t>Click here to enter measure title</w:t>
          </w:r>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7D4368" w:rsidP="007D4368">
          <w:pPr>
            <w:pStyle w:val="D0A5AE3409394D21BA5FA5F27780E30210"/>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90AF4"/>
    <w:rsid w:val="001D21AA"/>
    <w:rsid w:val="00223FA3"/>
    <w:rsid w:val="002A288F"/>
    <w:rsid w:val="002F052A"/>
    <w:rsid w:val="00342440"/>
    <w:rsid w:val="00350176"/>
    <w:rsid w:val="003840F0"/>
    <w:rsid w:val="0053654E"/>
    <w:rsid w:val="00632A7E"/>
    <w:rsid w:val="00632AB6"/>
    <w:rsid w:val="00730B33"/>
    <w:rsid w:val="007317E9"/>
    <w:rsid w:val="00772B2A"/>
    <w:rsid w:val="007C672A"/>
    <w:rsid w:val="007D4368"/>
    <w:rsid w:val="00822666"/>
    <w:rsid w:val="00823ECC"/>
    <w:rsid w:val="00866C97"/>
    <w:rsid w:val="009017AE"/>
    <w:rsid w:val="009C542D"/>
    <w:rsid w:val="00A62309"/>
    <w:rsid w:val="00A95183"/>
    <w:rsid w:val="00AB4AF7"/>
    <w:rsid w:val="00AD7C4F"/>
    <w:rsid w:val="00B2032A"/>
    <w:rsid w:val="00B445F5"/>
    <w:rsid w:val="00BD40CB"/>
    <w:rsid w:val="00C90121"/>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20</Pages>
  <Words>7449</Words>
  <Characters>42463</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49813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Matthew Popovich</cp:lastModifiedBy>
  <cp:revision>10</cp:revision>
  <cp:lastPrinted>2014-03-14T20:26:00Z</cp:lastPrinted>
  <dcterms:created xsi:type="dcterms:W3CDTF">2014-03-14T13:47:00Z</dcterms:created>
  <dcterms:modified xsi:type="dcterms:W3CDTF">2014-03-14T21:28:00Z</dcterms:modified>
</cp:coreProperties>
</file>