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BB4AAB">
            <w:rPr>
              <w:rStyle w:val="Style1"/>
            </w:rPr>
            <w:t>0465</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BB4AAB">
            <w:rPr>
              <w:rStyle w:val="Style1"/>
              <w:rFonts w:cstheme="minorHAnsi"/>
            </w:rPr>
            <w:t>Perioperative Anti –platelet Therapy for Patients undergoing Carotid Endarterectomy</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1-14T00:00:00Z">
            <w:dateFormat w:val="M/d/yyyy"/>
            <w:lid w:val="en-US"/>
            <w:storeMappedDataAs w:val="dateTime"/>
            <w:calendar w:val="gregorian"/>
          </w:date>
        </w:sdtPr>
        <w:sdtEndPr>
          <w:rPr>
            <w:rStyle w:val="DefaultParagraphFont"/>
            <w:noProof/>
            <w:color w:val="auto"/>
            <w:u w:val="none"/>
          </w:rPr>
        </w:sdtEndPr>
        <w:sdtContent>
          <w:r w:rsidR="00BB4AAB">
            <w:rPr>
              <w:rStyle w:val="Style2"/>
              <w:rFonts w:cstheme="minorHAnsi"/>
            </w:rPr>
            <w:t>1/14/2015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r w:rsidR="00BB4AAB">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9822DE"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9822D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9822DE"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9822DE"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9822DE"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9822D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9822D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9822DE"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9822D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BB4AAB">
        <w:rPr>
          <w:rFonts w:cstheme="minorHAnsi"/>
          <w:bCs/>
        </w:rPr>
        <w:t xml:space="preserve">This data with the most recent year being 180 sites, if from member sites of the Vascular Quality Initiative. </w:t>
      </w:r>
    </w:p>
    <w:p w:rsidR="002B5016" w:rsidRPr="00A25024" w:rsidRDefault="002B5016" w:rsidP="00DB3627">
      <w:pPr>
        <w:autoSpaceDE w:val="0"/>
        <w:autoSpaceDN w:val="0"/>
        <w:adjustRightInd w:val="0"/>
        <w:spacing w:after="0" w:line="240" w:lineRule="auto"/>
        <w:rPr>
          <w:rFonts w:cstheme="minorHAnsi"/>
          <w:bCs/>
        </w:rPr>
      </w:pPr>
    </w:p>
    <w:p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BB4AAB">
        <w:rPr>
          <w:rFonts w:cstheme="minorHAnsi"/>
          <w:bCs/>
        </w:rPr>
        <w:t xml:space="preserve"> These are patients where </w:t>
      </w:r>
      <w:r w:rsidR="00BB4AAB">
        <w:rPr>
          <w:rFonts w:ascii="Tahoma" w:hAnsi="Tahoma" w:cs="Tahoma"/>
          <w:color w:val="000000"/>
          <w:sz w:val="20"/>
          <w:szCs w:val="20"/>
        </w:rPr>
        <w:t xml:space="preserve">pre, post, and both pre and post antiplatelet agent use occurred </w:t>
      </w:r>
      <w:r w:rsidR="00BB4AAB">
        <w:rPr>
          <w:rFonts w:ascii="Tahoma" w:hAnsi="Tahoma" w:cs="Tahoma"/>
          <w:color w:val="000000"/>
          <w:sz w:val="20"/>
          <w:szCs w:val="20"/>
        </w:rPr>
        <w:lastRenderedPageBreak/>
        <w:t xml:space="preserve">around CEA that were reported from sites over the time frame of 2003 – 2014. </w:t>
      </w:r>
      <w:r w:rsidR="007422FD"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BB4AAB" w:rsidRDefault="00BB4AAB" w:rsidP="00E37E1B">
      <w:pPr>
        <w:autoSpaceDE w:val="0"/>
        <w:autoSpaceDN w:val="0"/>
        <w:adjustRightInd w:val="0"/>
        <w:spacing w:after="0" w:line="240" w:lineRule="auto"/>
        <w:rPr>
          <w:rFonts w:cstheme="minorHAnsi"/>
          <w:bCs/>
        </w:rPr>
      </w:pPr>
      <w:r>
        <w:rPr>
          <w:rFonts w:cstheme="minorHAnsi"/>
          <w:bCs/>
        </w:rPr>
        <w:t xml:space="preserve">Number of sites has increased over time so the same centers are not being compared each year. </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B8216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p>
    <w:p w:rsidR="00B82168" w:rsidRPr="00B82168" w:rsidRDefault="00B82168" w:rsidP="00B82168">
      <w:pPr>
        <w:autoSpaceDE w:val="0"/>
        <w:autoSpaceDN w:val="0"/>
        <w:adjustRightInd w:val="0"/>
        <w:spacing w:after="0" w:line="240" w:lineRule="auto"/>
        <w:rPr>
          <w:rFonts w:cstheme="minorHAnsi"/>
          <w:b/>
          <w:bCs/>
        </w:rPr>
      </w:pPr>
      <w:r w:rsidRPr="00B82168">
        <w:rPr>
          <w:rFonts w:cstheme="minorHAnsi"/>
          <w:b/>
          <w:bCs/>
        </w:rPr>
        <w:t>A nurse abstractor completed a form based on medical record review for the variables relevant to this measure. The results of this chart review were then compared with the original registry data. The Kappa statistic was used to judge reliability of the data.</w:t>
      </w:r>
    </w:p>
    <w:p w:rsidR="00B82168" w:rsidRPr="00B82168" w:rsidRDefault="00B82168" w:rsidP="00B82168">
      <w:pPr>
        <w:autoSpaceDE w:val="0"/>
        <w:autoSpaceDN w:val="0"/>
        <w:adjustRightInd w:val="0"/>
        <w:spacing w:after="0" w:line="240" w:lineRule="auto"/>
        <w:rPr>
          <w:rFonts w:cstheme="minorHAnsi"/>
          <w:b/>
          <w:bCs/>
        </w:rPr>
      </w:pPr>
      <w:r w:rsidRPr="00B82168">
        <w:rPr>
          <w:rFonts w:cstheme="minorHAnsi"/>
          <w:b/>
          <w:bCs/>
        </w:rPr>
        <w:t>1. Correct procedure (carotid endarterectomy) performed. Kappa =1.0</w:t>
      </w:r>
    </w:p>
    <w:p w:rsidR="00B82168" w:rsidRPr="00B82168" w:rsidRDefault="00B82168" w:rsidP="00B82168">
      <w:pPr>
        <w:autoSpaceDE w:val="0"/>
        <w:autoSpaceDN w:val="0"/>
        <w:adjustRightInd w:val="0"/>
        <w:spacing w:after="0" w:line="240" w:lineRule="auto"/>
        <w:rPr>
          <w:rFonts w:cstheme="minorHAnsi"/>
          <w:b/>
          <w:bCs/>
        </w:rPr>
      </w:pPr>
      <w:r w:rsidRPr="00B82168">
        <w:rPr>
          <w:rFonts w:cstheme="minorHAnsi"/>
          <w:b/>
          <w:bCs/>
        </w:rPr>
        <w:t>2. Antiplatelet medication prescribed at discharge: Kappa=.96 (.03 SE)</w:t>
      </w:r>
    </w:p>
    <w:p w:rsidR="00B82168" w:rsidRPr="00B82168" w:rsidRDefault="00B82168" w:rsidP="00B82168">
      <w:pPr>
        <w:autoSpaceDE w:val="0"/>
        <w:autoSpaceDN w:val="0"/>
        <w:adjustRightInd w:val="0"/>
        <w:spacing w:after="0" w:line="240" w:lineRule="auto"/>
        <w:rPr>
          <w:rFonts w:cstheme="minorHAnsi"/>
          <w:b/>
          <w:bCs/>
        </w:rPr>
      </w:pPr>
      <w:r w:rsidRPr="00B82168">
        <w:rPr>
          <w:rFonts w:cstheme="minorHAnsi"/>
          <w:b/>
          <w:bCs/>
        </w:rPr>
        <w:t>3. Antiplatelet medication taken within 48 hours prior to surgery: Kappa = .94 (SE .01)</w:t>
      </w:r>
    </w:p>
    <w:p w:rsidR="00B82168" w:rsidRPr="00B82168" w:rsidRDefault="00B82168" w:rsidP="00B82168">
      <w:pPr>
        <w:autoSpaceDE w:val="0"/>
        <w:autoSpaceDN w:val="0"/>
        <w:adjustRightInd w:val="0"/>
        <w:spacing w:after="0" w:line="240" w:lineRule="auto"/>
        <w:rPr>
          <w:rFonts w:cstheme="minorHAnsi"/>
          <w:b/>
          <w:bCs/>
        </w:rPr>
      </w:pPr>
      <w:r w:rsidRPr="00B82168">
        <w:rPr>
          <w:rFonts w:cstheme="minorHAnsi"/>
          <w:b/>
          <w:bCs/>
        </w:rPr>
        <w:t>4. Age: 100% agreement, Kappa = 1.0 for age 18 or older categories.</w:t>
      </w:r>
    </w:p>
    <w:p w:rsidR="00B82168" w:rsidRDefault="00B82168" w:rsidP="00B82168">
      <w:pPr>
        <w:autoSpaceDE w:val="0"/>
        <w:autoSpaceDN w:val="0"/>
        <w:adjustRightInd w:val="0"/>
        <w:spacing w:after="0" w:line="240" w:lineRule="auto"/>
        <w:rPr>
          <w:rFonts w:cstheme="minorHAnsi"/>
          <w:b/>
          <w:bCs/>
        </w:rPr>
      </w:pPr>
      <w:r w:rsidRPr="00B82168">
        <w:rPr>
          <w:rFonts w:cstheme="minorHAnsi"/>
          <w:b/>
          <w:bCs/>
        </w:rPr>
        <w:t>5. Intolerant to antiplatelet agents: Kappa = 1.0</w:t>
      </w:r>
      <w:r w:rsidR="001F7A20" w:rsidRPr="00B82168">
        <w:rPr>
          <w:rFonts w:cstheme="minorHAnsi"/>
          <w:b/>
          <w:bCs/>
        </w:rPr>
        <w:t xml:space="preserve">asure score (e.g., </w:t>
      </w:r>
      <w:r w:rsidR="001F7A20" w:rsidRPr="00B82168">
        <w:rPr>
          <w:rFonts w:cstheme="minorHAnsi"/>
          <w:b/>
          <w:bCs/>
          <w:i/>
        </w:rPr>
        <w:t>signal-to-noise analysis</w:t>
      </w:r>
      <w:r w:rsidR="001F7A20" w:rsidRPr="00B82168">
        <w:rPr>
          <w:rFonts w:cstheme="minorHAnsi"/>
          <w:b/>
          <w:bCs/>
        </w:rPr>
        <w:t>)</w:t>
      </w:r>
    </w:p>
    <w:p w:rsidR="00B82168" w:rsidRDefault="00B82168" w:rsidP="00B82168">
      <w:pPr>
        <w:autoSpaceDE w:val="0"/>
        <w:autoSpaceDN w:val="0"/>
        <w:adjustRightInd w:val="0"/>
        <w:spacing w:after="0" w:line="240" w:lineRule="auto"/>
        <w:rPr>
          <w:rFonts w:cstheme="minorHAnsi"/>
          <w:b/>
          <w:bCs/>
        </w:rPr>
      </w:pPr>
    </w:p>
    <w:p w:rsidR="001969C5" w:rsidRPr="00A25024" w:rsidRDefault="001F7A20" w:rsidP="00B82168">
      <w:pPr>
        <w:autoSpaceDE w:val="0"/>
        <w:autoSpaceDN w:val="0"/>
        <w:adjustRightInd w:val="0"/>
        <w:spacing w:after="0" w:line="240" w:lineRule="auto"/>
        <w:rPr>
          <w:rFonts w:cstheme="minorHAnsi"/>
          <w:bCs/>
        </w:rPr>
      </w:pP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r w:rsidR="00B82168">
        <w:rPr>
          <w:rFonts w:cstheme="minorHAnsi"/>
          <w:bCs/>
        </w:rPr>
        <w:t xml:space="preserve"> As above</w:t>
      </w:r>
    </w:p>
    <w:p w:rsidR="008C54A9" w:rsidRPr="00A25024" w:rsidRDefault="008C54A9" w:rsidP="008C54A9">
      <w:pPr>
        <w:autoSpaceDE w:val="0"/>
        <w:autoSpaceDN w:val="0"/>
        <w:adjustRightInd w:val="0"/>
        <w:spacing w:after="0" w:line="240" w:lineRule="auto"/>
        <w:rPr>
          <w:rFonts w:cstheme="minorHAnsi"/>
          <w:bCs/>
        </w:rPr>
      </w:pPr>
    </w:p>
    <w:p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B82168">
        <w:rPr>
          <w:rFonts w:cstheme="minorHAnsi"/>
          <w:bCs/>
        </w:rPr>
        <w:t xml:space="preserve"> as above</w:t>
      </w:r>
      <w:r w:rsidR="0048008A"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776F32">
        <w:rPr>
          <w:rFonts w:cstheme="minorHAnsi"/>
          <w:bCs/>
        </w:rPr>
        <w:t xml:space="preserve">Given the Kappa scores of 1.0 or close to 1.0 the chart review demonstrated a high level of reliability regarding the accuracy of the data submitted by sites to the VQI registry. </w:t>
      </w:r>
      <w:bookmarkStart w:id="11" w:name="_GoBack"/>
      <w:bookmarkEnd w:id="11"/>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B8216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B82168" w:rsidRPr="00B82168" w:rsidRDefault="00E62A10" w:rsidP="00B82168">
      <w:pPr>
        <w:autoSpaceDE w:val="0"/>
        <w:autoSpaceDN w:val="0"/>
        <w:adjustRightInd w:val="0"/>
        <w:spacing w:after="0" w:line="240" w:lineRule="auto"/>
        <w:rPr>
          <w:rFonts w:cstheme="minorHAnsi"/>
          <w:bCs/>
        </w:rPr>
      </w:pPr>
      <w:r>
        <w:rPr>
          <w:rFonts w:cstheme="minorHAnsi"/>
          <w:bCs/>
        </w:rPr>
        <w:t>The validi</w:t>
      </w:r>
      <w:r w:rsidR="00B82168" w:rsidRPr="00B82168">
        <w:rPr>
          <w:rFonts w:cstheme="minorHAnsi"/>
          <w:bCs/>
        </w:rPr>
        <w:t>ty testing of antiplatelet agents prescribed at discharge and taken within 48 hours of surgery used the medical record as the gold standard. Discharge and admission medications are routinely and ca</w:t>
      </w:r>
      <w:r w:rsidR="00B82168">
        <w:rPr>
          <w:rFonts w:cstheme="minorHAnsi"/>
          <w:bCs/>
        </w:rPr>
        <w:t>refully documented in the admis</w:t>
      </w:r>
      <w:r w:rsidR="00B82168" w:rsidRPr="00B82168">
        <w:rPr>
          <w:rFonts w:cstheme="minorHAnsi"/>
          <w:bCs/>
        </w:rPr>
        <w:t>s</w:t>
      </w:r>
      <w:r w:rsidR="00B82168">
        <w:rPr>
          <w:rFonts w:cstheme="minorHAnsi"/>
          <w:bCs/>
        </w:rPr>
        <w:t>i</w:t>
      </w:r>
      <w:r w:rsidR="00B82168" w:rsidRPr="00B82168">
        <w:rPr>
          <w:rFonts w:cstheme="minorHAnsi"/>
          <w:bCs/>
        </w:rPr>
        <w:t>on note, the discharge summary and discharge orders. The medication list on both the discharge summary and discharge orders were compared to confirm validity.  Intolerance to medication was determined by checking allergy/intolerance lists and progress notes.</w:t>
      </w:r>
    </w:p>
    <w:p w:rsidR="00B82168" w:rsidRPr="00B82168" w:rsidRDefault="00B82168" w:rsidP="00B82168">
      <w:pPr>
        <w:autoSpaceDE w:val="0"/>
        <w:autoSpaceDN w:val="0"/>
        <w:adjustRightInd w:val="0"/>
        <w:spacing w:after="0" w:line="240" w:lineRule="auto"/>
        <w:rPr>
          <w:rFonts w:cstheme="minorHAnsi"/>
          <w:bCs/>
        </w:rPr>
      </w:pPr>
      <w:r w:rsidRPr="00B82168">
        <w:rPr>
          <w:rFonts w:cstheme="minorHAnsi"/>
          <w:bCs/>
        </w:rPr>
        <w:t>Patient age and procedure type have face validity. Correctness of operation type compared the operative report as the gold standard with the progress note in the medical record.</w:t>
      </w:r>
    </w:p>
    <w:p w:rsidR="00B82168" w:rsidRDefault="00B82168" w:rsidP="00B82168">
      <w:pPr>
        <w:autoSpaceDE w:val="0"/>
        <w:autoSpaceDN w:val="0"/>
        <w:adjustRightInd w:val="0"/>
        <w:spacing w:after="0" w:line="240" w:lineRule="auto"/>
        <w:rPr>
          <w:rFonts w:cstheme="minorHAnsi"/>
          <w:bCs/>
        </w:rPr>
      </w:pPr>
      <w:r w:rsidRPr="00B82168">
        <w:rPr>
          <w:rFonts w:cstheme="minorHAnsi"/>
          <w:bCs/>
        </w:rPr>
        <w:lastRenderedPageBreak/>
        <w:t xml:space="preserve">Data collected over time in </w:t>
      </w:r>
      <w:r>
        <w:rPr>
          <w:rFonts w:cstheme="minorHAnsi"/>
          <w:bCs/>
        </w:rPr>
        <w:t xml:space="preserve">VQI </w:t>
      </w:r>
      <w:r w:rsidRPr="00B82168">
        <w:rPr>
          <w:rFonts w:cstheme="minorHAnsi"/>
          <w:bCs/>
        </w:rPr>
        <w:t>have been compared to published literature.</w:t>
      </w:r>
    </w:p>
    <w:p w:rsidR="00B82168" w:rsidRDefault="00B82168" w:rsidP="00B82168">
      <w:pPr>
        <w:autoSpaceDE w:val="0"/>
        <w:autoSpaceDN w:val="0"/>
        <w:adjustRightInd w:val="0"/>
        <w:spacing w:after="0" w:line="240" w:lineRule="auto"/>
        <w:rPr>
          <w:rFonts w:cstheme="minorHAnsi"/>
          <w:bCs/>
        </w:rPr>
      </w:pPr>
    </w:p>
    <w:p w:rsidR="00B82168" w:rsidRPr="00B82168" w:rsidRDefault="00B82168" w:rsidP="00B82168">
      <w:pPr>
        <w:autoSpaceDE w:val="0"/>
        <w:autoSpaceDN w:val="0"/>
        <w:adjustRightInd w:val="0"/>
        <w:spacing w:after="0" w:line="240" w:lineRule="auto"/>
        <w:rPr>
          <w:rFonts w:cstheme="minorHAnsi"/>
          <w:bCs/>
        </w:rPr>
      </w:pPr>
    </w:p>
    <w:p w:rsidR="00B82168" w:rsidRPr="00B82168" w:rsidRDefault="00B82168" w:rsidP="00B82168">
      <w:pPr>
        <w:autoSpaceDE w:val="0"/>
        <w:autoSpaceDN w:val="0"/>
        <w:adjustRightInd w:val="0"/>
        <w:spacing w:after="0" w:line="240" w:lineRule="auto"/>
        <w:rPr>
          <w:rFonts w:cstheme="minorHAnsi"/>
          <w:bCs/>
        </w:rPr>
      </w:pPr>
      <w:r w:rsidRPr="00B82168">
        <w:rPr>
          <w:rFonts w:cstheme="minorHAnsi"/>
          <w:bCs/>
        </w:rPr>
        <w:t>100% agreement was found between antiplatelet age</w:t>
      </w:r>
      <w:r w:rsidR="00A51E3C">
        <w:rPr>
          <w:rFonts w:cstheme="minorHAnsi"/>
          <w:bCs/>
        </w:rPr>
        <w:t>nts (ASA and clopidogrel</w:t>
      </w:r>
      <w:r>
        <w:rPr>
          <w:rFonts w:cstheme="minorHAnsi"/>
          <w:bCs/>
        </w:rPr>
        <w:t>)</w:t>
      </w:r>
      <w:r w:rsidR="00A51E3C">
        <w:rPr>
          <w:rFonts w:cstheme="minorHAnsi"/>
          <w:bCs/>
        </w:rPr>
        <w:t xml:space="preserve"> </w:t>
      </w:r>
      <w:r w:rsidRPr="00B82168">
        <w:rPr>
          <w:rFonts w:cstheme="minorHAnsi"/>
          <w:bCs/>
        </w:rPr>
        <w:t>prescribed at discharge on the discharge summary and discharge orders. 100% agreement</w:t>
      </w:r>
      <w:r>
        <w:rPr>
          <w:rFonts w:cstheme="minorHAnsi"/>
          <w:bCs/>
        </w:rPr>
        <w:t xml:space="preserve"> </w:t>
      </w:r>
      <w:r w:rsidRPr="00B82168">
        <w:rPr>
          <w:rFonts w:cstheme="minorHAnsi"/>
          <w:bCs/>
        </w:rPr>
        <w:t>was also found between the procedure type reported in the operative note and that recorded in the daily progress notes.</w:t>
      </w:r>
    </w:p>
    <w:p w:rsidR="00B82168" w:rsidRDefault="00B82168" w:rsidP="00B82168">
      <w:pPr>
        <w:autoSpaceDE w:val="0"/>
        <w:autoSpaceDN w:val="0"/>
        <w:adjustRightInd w:val="0"/>
        <w:spacing w:after="0" w:line="240" w:lineRule="auto"/>
        <w:rPr>
          <w:rFonts w:cstheme="minorHAnsi"/>
          <w:bCs/>
        </w:rPr>
      </w:pPr>
      <w:r w:rsidRPr="00B82168">
        <w:rPr>
          <w:rFonts w:cstheme="minorHAnsi"/>
          <w:bCs/>
        </w:rPr>
        <w:t>Preop and discharge antiplatelet use has been tracked</w:t>
      </w:r>
      <w:r>
        <w:rPr>
          <w:rFonts w:cstheme="minorHAnsi"/>
          <w:bCs/>
        </w:rPr>
        <w:t xml:space="preserve"> in VQI</w:t>
      </w:r>
      <w:r w:rsidR="00A51E3C">
        <w:rPr>
          <w:rFonts w:cstheme="minorHAnsi"/>
          <w:bCs/>
        </w:rPr>
        <w:t xml:space="preserve"> </w:t>
      </w:r>
      <w:r>
        <w:rPr>
          <w:rFonts w:cstheme="minorHAnsi"/>
          <w:bCs/>
        </w:rPr>
        <w:t>for carotid endarter</w:t>
      </w:r>
      <w:r w:rsidRPr="00B82168">
        <w:rPr>
          <w:rFonts w:cstheme="minorHAnsi"/>
          <w:bCs/>
        </w:rPr>
        <w:t>ectomy since 2003. Under a quality program, the proportion of patients discharged on these agents has gradually impr</w:t>
      </w:r>
      <w:r>
        <w:rPr>
          <w:rFonts w:cstheme="minorHAnsi"/>
          <w:bCs/>
        </w:rPr>
        <w:t>oved, as described in charts</w:t>
      </w:r>
      <w:r w:rsidR="00A51E3C">
        <w:rPr>
          <w:rFonts w:cstheme="minorHAnsi"/>
          <w:bCs/>
        </w:rPr>
        <w:t xml:space="preserve"> at </w:t>
      </w:r>
      <w:r w:rsidR="00A51E3C" w:rsidRPr="00A51E3C">
        <w:rPr>
          <w:rFonts w:cstheme="minorHAnsi"/>
          <w:bCs/>
          <w:i/>
        </w:rPr>
        <w:t>end of the form</w:t>
      </w:r>
      <w:r w:rsidRPr="00B82168">
        <w:rPr>
          <w:rFonts w:cstheme="minorHAnsi"/>
          <w:bCs/>
        </w:rPr>
        <w:t>, providing validity for this measurement.</w:t>
      </w:r>
    </w:p>
    <w:p w:rsidR="00B82168" w:rsidRPr="000414E8" w:rsidRDefault="00B82168" w:rsidP="00DB3627">
      <w:pPr>
        <w:autoSpaceDE w:val="0"/>
        <w:autoSpaceDN w:val="0"/>
        <w:adjustRightInd w:val="0"/>
        <w:spacing w:after="0" w:line="240" w:lineRule="auto"/>
        <w:rPr>
          <w:rFonts w:cstheme="minorHAnsi"/>
          <w:bCs/>
        </w:rPr>
      </w:pPr>
    </w:p>
    <w:p w:rsidR="00696262" w:rsidRPr="00A25024" w:rsidRDefault="009822D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9822D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833325" w:rsidRPr="00A25024" w:rsidRDefault="00833325" w:rsidP="00DB3627">
      <w:pPr>
        <w:autoSpaceDE w:val="0"/>
        <w:autoSpaceDN w:val="0"/>
        <w:adjustRightInd w:val="0"/>
        <w:spacing w:after="0" w:line="240" w:lineRule="auto"/>
        <w:rPr>
          <w:rFonts w:cstheme="minorHAnsi"/>
          <w:bCs/>
        </w:rPr>
      </w:pPr>
    </w:p>
    <w:p w:rsidR="007422FD" w:rsidRPr="00092566"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A51E3C" w:rsidRDefault="00092566" w:rsidP="00A51E3C">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A51E3C" w:rsidRPr="00A51E3C">
        <w:t xml:space="preserve"> </w:t>
      </w:r>
      <w:r w:rsidR="00A51E3C" w:rsidRPr="00A51E3C">
        <w:rPr>
          <w:rFonts w:cstheme="minorHAnsi"/>
          <w:bCs/>
        </w:rPr>
        <w:t xml:space="preserve">): </w:t>
      </w:r>
    </w:p>
    <w:p w:rsidR="00833325" w:rsidRPr="00A25024" w:rsidRDefault="00A51E3C" w:rsidP="00A51E3C">
      <w:pPr>
        <w:autoSpaceDE w:val="0"/>
        <w:autoSpaceDN w:val="0"/>
        <w:adjustRightInd w:val="0"/>
        <w:spacing w:after="0" w:line="240" w:lineRule="auto"/>
        <w:rPr>
          <w:rFonts w:cstheme="minorHAnsi"/>
          <w:bCs/>
        </w:rPr>
      </w:pPr>
      <w:r w:rsidRPr="00A51E3C">
        <w:rPr>
          <w:rFonts w:cstheme="minorHAnsi"/>
          <w:bCs/>
        </w:rPr>
        <w:t>The only exclusions are patients undergoing carotid endarter</w:t>
      </w:r>
      <w:r>
        <w:rPr>
          <w:rFonts w:cstheme="minorHAnsi"/>
          <w:bCs/>
        </w:rPr>
        <w:t>e</w:t>
      </w:r>
      <w:r w:rsidRPr="00A51E3C">
        <w:rPr>
          <w:rFonts w:cstheme="minorHAnsi"/>
          <w:bCs/>
        </w:rPr>
        <w:t xml:space="preserve">ctomy who are intolerant to antiplatelet agents or have contraindications, as documented in the medical record.  In the </w:t>
      </w:r>
      <w:r>
        <w:rPr>
          <w:rFonts w:cstheme="minorHAnsi"/>
          <w:bCs/>
        </w:rPr>
        <w:t xml:space="preserve">VQI </w:t>
      </w:r>
      <w:r w:rsidRPr="00A51E3C">
        <w:rPr>
          <w:rFonts w:cstheme="minorHAnsi"/>
          <w:bCs/>
        </w:rPr>
        <w:t>database, this accounts for fewer than 2% of all patients.</w:t>
      </w:r>
      <w:r>
        <w:rPr>
          <w:rFonts w:cstheme="minorHAnsi"/>
          <w:bCs/>
        </w:rPr>
        <w:t xml:space="preserve"> </w:t>
      </w:r>
      <w:r w:rsidRPr="00A51E3C">
        <w:rPr>
          <w:rFonts w:cstheme="minorHAnsi"/>
          <w:bCs/>
        </w:rPr>
        <w:t>Such patients cannot receive these agents so are appropriate for exclusion.</w:t>
      </w:r>
      <w:r w:rsidR="00833325" w:rsidRPr="00A25024">
        <w:rPr>
          <w:rFonts w:cstheme="minorHAnsi"/>
          <w:bCs/>
        </w:rPr>
        <w:br/>
        <w:t xml:space="preserve"> </w:t>
      </w:r>
    </w:p>
    <w:p w:rsidR="00833325" w:rsidRPr="00A25024" w:rsidRDefault="00833325" w:rsidP="00DB3627">
      <w:pPr>
        <w:autoSpaceDE w:val="0"/>
        <w:autoSpaceDN w:val="0"/>
        <w:adjustRightInd w:val="0"/>
        <w:spacing w:after="0" w:line="240" w:lineRule="auto"/>
        <w:rPr>
          <w:rFonts w:cstheme="minorHAnsi"/>
          <w:bCs/>
        </w:rPr>
      </w:pPr>
    </w:p>
    <w:p w:rsidR="00A51E3C"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rsidR="007422FD" w:rsidRPr="00A51E3C" w:rsidRDefault="00E62A10" w:rsidP="00092566">
      <w:pPr>
        <w:autoSpaceDE w:val="0"/>
        <w:autoSpaceDN w:val="0"/>
        <w:adjustRightInd w:val="0"/>
        <w:spacing w:after="0" w:line="240" w:lineRule="auto"/>
        <w:rPr>
          <w:rFonts w:cstheme="minorHAnsi"/>
          <w:bCs/>
          <w:i/>
        </w:rPr>
      </w:pPr>
      <w:r>
        <w:rPr>
          <w:rFonts w:cstheme="minorHAnsi"/>
          <w:bCs/>
          <w:i/>
        </w:rPr>
        <w:t xml:space="preserve">1.5% of patients form 181 medical centers </w:t>
      </w:r>
      <w:r w:rsidR="00A51E3C" w:rsidRPr="00A51E3C">
        <w:rPr>
          <w:rFonts w:cstheme="minorHAnsi"/>
          <w:bCs/>
          <w:i/>
        </w:rPr>
        <w:t>were intolerant to antiplatelet agents as recor</w:t>
      </w:r>
      <w:r>
        <w:rPr>
          <w:rFonts w:cstheme="minorHAnsi"/>
          <w:bCs/>
          <w:i/>
        </w:rPr>
        <w:t>ded in the medical record</w:t>
      </w:r>
      <w:r w:rsidR="00A51E3C" w:rsidRPr="00A51E3C">
        <w:rPr>
          <w:rFonts w:cstheme="minorHAnsi"/>
          <w:bCs/>
          <w:i/>
        </w:rPr>
        <w:t>.</w:t>
      </w:r>
      <w:r w:rsidR="00833325" w:rsidRPr="00A51E3C">
        <w:rPr>
          <w:rFonts w:cstheme="minorHAnsi"/>
          <w:bCs/>
          <w:i/>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9822D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C02D91">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9822D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9822D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9822D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lastRenderedPageBreak/>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A51E3C"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rsidR="00D61410" w:rsidRPr="00A25024" w:rsidRDefault="00D61410" w:rsidP="00D61410">
      <w:pPr>
        <w:autoSpaceDE w:val="0"/>
        <w:autoSpaceDN w:val="0"/>
        <w:adjustRightInd w:val="0"/>
        <w:spacing w:after="0" w:line="240" w:lineRule="auto"/>
        <w:rPr>
          <w:rFonts w:cstheme="minorHAnsi"/>
          <w:bCs/>
        </w:rPr>
      </w:pPr>
      <w:r w:rsidRPr="00A25024">
        <w:rPr>
          <w:rFonts w:cstheme="minorHAnsi"/>
          <w:bCs/>
        </w:rPr>
        <w:br/>
        <w:t xml:space="preserve"> </w:t>
      </w:r>
    </w:p>
    <w:p w:rsidR="00D61410" w:rsidRDefault="00A51E3C" w:rsidP="00D61410">
      <w:pPr>
        <w:autoSpaceDE w:val="0"/>
        <w:autoSpaceDN w:val="0"/>
        <w:adjustRightInd w:val="0"/>
        <w:spacing w:after="0" w:line="240" w:lineRule="auto"/>
        <w:rPr>
          <w:rFonts w:cstheme="minorHAnsi"/>
          <w:bCs/>
        </w:rPr>
      </w:pPr>
      <w:r w:rsidRPr="00A51E3C">
        <w:rPr>
          <w:rFonts w:cstheme="minorHAnsi"/>
          <w:bCs/>
        </w:rPr>
        <w:t>SVS VQI registries use real time reporting of quality measures, such that all participating providers and centers receive anonymous benchmark reports which shows their rate of antiplatelet usage around CEA compared to all other providers or centers.  Based on the numb</w:t>
      </w:r>
      <w:r>
        <w:rPr>
          <w:rFonts w:cstheme="minorHAnsi"/>
          <w:bCs/>
        </w:rPr>
        <w:t>er of procedures entered, confi</w:t>
      </w:r>
      <w:r w:rsidRPr="00A51E3C">
        <w:rPr>
          <w:rFonts w:cstheme="minorHAnsi"/>
          <w:bCs/>
        </w:rPr>
        <w:t>dence intervals are generated to allow providers or institutions to determine whether they are significantly above or below the mean for all procedures.  Further, these registries have set a quality goal of 90% antiplatelet usage for CEA procedures, which allows each provider and center to compare their performance with this target.</w:t>
      </w:r>
    </w:p>
    <w:p w:rsidR="00A51E3C" w:rsidRPr="00A25024" w:rsidRDefault="00A51E3C"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lastRenderedPageBreak/>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1172" w:rsidRDefault="00BA1172">
      <w:pPr>
        <w:autoSpaceDE w:val="0"/>
        <w:autoSpaceDN w:val="0"/>
        <w:adjustRightInd w:val="0"/>
        <w:spacing w:after="0" w:line="240" w:lineRule="auto"/>
        <w:rPr>
          <w:rFonts w:ascii="Tahoma" w:hAnsi="Tahoma" w:cs="Tahoma"/>
          <w:color w:val="000000"/>
          <w:sz w:val="20"/>
          <w:szCs w:val="20"/>
        </w:rPr>
      </w:pPr>
    </w:p>
    <w:p w:rsidR="00BA053B" w:rsidRDefault="00BA1172">
      <w:pPr>
        <w:autoSpaceDE w:val="0"/>
        <w:autoSpaceDN w:val="0"/>
        <w:adjustRightInd w:val="0"/>
        <w:spacing w:after="0" w:line="240" w:lineRule="auto"/>
        <w:rPr>
          <w:rFonts w:cstheme="minorHAnsi"/>
          <w:bCs/>
        </w:rPr>
      </w:pPr>
      <w:r>
        <w:rPr>
          <w:rFonts w:ascii="Tahoma" w:hAnsi="Tahoma" w:cs="Tahoma"/>
          <w:color w:val="000000"/>
          <w:sz w:val="20"/>
          <w:szCs w:val="20"/>
        </w:rPr>
        <w:t xml:space="preserve">Note that &gt; 20% did not use periop antiplatelet in 80% of patients, and 50% did not achieve 90%. SVS believes that there is still room for centers to improve on this measure. </w:t>
      </w:r>
    </w:p>
    <w:p w:rsidR="00BB4AAB" w:rsidRDefault="00BB4AAB">
      <w:pPr>
        <w:autoSpaceDE w:val="0"/>
        <w:autoSpaceDN w:val="0"/>
        <w:adjustRightInd w:val="0"/>
        <w:spacing w:after="0" w:line="240" w:lineRule="auto"/>
        <w:rPr>
          <w:rFonts w:cstheme="minorHAnsi"/>
          <w:bCs/>
        </w:rPr>
      </w:pPr>
    </w:p>
    <w:tbl>
      <w:tblPr>
        <w:tblW w:w="9600" w:type="dxa"/>
        <w:tblInd w:w="93" w:type="dxa"/>
        <w:tblLook w:val="04A0" w:firstRow="1" w:lastRow="0" w:firstColumn="1" w:lastColumn="0" w:noHBand="0" w:noVBand="1"/>
      </w:tblPr>
      <w:tblGrid>
        <w:gridCol w:w="2400"/>
        <w:gridCol w:w="2400"/>
        <w:gridCol w:w="2400"/>
        <w:gridCol w:w="2400"/>
      </w:tblGrid>
      <w:tr w:rsidR="00BA1172" w:rsidRPr="00BA1172" w:rsidTr="00BA1172">
        <w:trPr>
          <w:trHeight w:val="319"/>
        </w:trPr>
        <w:tc>
          <w:tcPr>
            <w:tcW w:w="9600" w:type="dxa"/>
            <w:gridSpan w:val="4"/>
            <w:tcBorders>
              <w:top w:val="nil"/>
              <w:left w:val="nil"/>
              <w:bottom w:val="nil"/>
              <w:right w:val="nil"/>
            </w:tcBorders>
            <w:shd w:val="clear" w:color="000000" w:fill="FDFBF3"/>
            <w:vAlign w:val="bottom"/>
            <w:hideMark/>
          </w:tcPr>
          <w:p w:rsidR="00BA1172" w:rsidRPr="00BA1172" w:rsidRDefault="00BA1172" w:rsidP="00BA1172">
            <w:pPr>
              <w:spacing w:after="0" w:line="240" w:lineRule="auto"/>
              <w:jc w:val="center"/>
              <w:rPr>
                <w:rFonts w:ascii="Arial, Albany AMT, Helvetica" w:eastAsia="Times New Roman" w:hAnsi="Arial, Albany AMT, Helvetica" w:cs="Times New Roman"/>
                <w:b/>
                <w:bCs/>
                <w:color w:val="333333"/>
                <w:sz w:val="24"/>
                <w:szCs w:val="24"/>
              </w:rPr>
            </w:pPr>
            <w:r w:rsidRPr="00BA1172">
              <w:rPr>
                <w:rFonts w:ascii="Arial, Albany AMT, Helvetica" w:eastAsia="Times New Roman" w:hAnsi="Arial, Albany AMT, Helvetica" w:cs="Times New Roman"/>
                <w:b/>
                <w:bCs/>
                <w:color w:val="333333"/>
                <w:sz w:val="24"/>
                <w:szCs w:val="24"/>
              </w:rPr>
              <w:t>Year Variation Chart</w:t>
            </w:r>
          </w:p>
        </w:tc>
      </w:tr>
      <w:tr w:rsidR="00BA1172" w:rsidRPr="00BA1172" w:rsidTr="00BA1172">
        <w:trPr>
          <w:trHeight w:val="282"/>
        </w:trPr>
        <w:tc>
          <w:tcPr>
            <w:tcW w:w="2400" w:type="dxa"/>
            <w:tcBorders>
              <w:top w:val="nil"/>
              <w:left w:val="nil"/>
              <w:bottom w:val="nil"/>
              <w:right w:val="nil"/>
            </w:tcBorders>
            <w:shd w:val="clear" w:color="000000" w:fill="FDFBF3"/>
            <w:noWrap/>
            <w:vAlign w:val="bottom"/>
            <w:hideMark/>
          </w:tcPr>
          <w:p w:rsidR="00BA1172" w:rsidRPr="00BA1172" w:rsidRDefault="00BA1172" w:rsidP="00BA1172">
            <w:pPr>
              <w:spacing w:after="0" w:line="240" w:lineRule="auto"/>
              <w:rPr>
                <w:rFonts w:ascii="Arial, Albany AMT, Helvetica" w:eastAsia="Times New Roman" w:hAnsi="Arial, Albany AMT, Helvetica" w:cs="Times New Roman"/>
                <w:b/>
                <w:bCs/>
                <w:sz w:val="20"/>
                <w:szCs w:val="20"/>
              </w:rPr>
            </w:pPr>
            <w:r w:rsidRPr="00BA1172">
              <w:rPr>
                <w:rFonts w:ascii="Arial, Albany AMT, Helvetica" w:eastAsia="Times New Roman" w:hAnsi="Arial, Albany AMT, Helvetica" w:cs="Times New Roman"/>
                <w:b/>
                <w:bCs/>
                <w:sz w:val="20"/>
                <w:szCs w:val="20"/>
              </w:rPr>
              <w:t> </w:t>
            </w:r>
          </w:p>
        </w:tc>
        <w:tc>
          <w:tcPr>
            <w:tcW w:w="2400" w:type="dxa"/>
            <w:tcBorders>
              <w:top w:val="nil"/>
              <w:left w:val="nil"/>
              <w:bottom w:val="nil"/>
              <w:right w:val="nil"/>
            </w:tcBorders>
            <w:shd w:val="clear" w:color="000000" w:fill="auto"/>
            <w:noWrap/>
            <w:vAlign w:val="bottom"/>
            <w:hideMark/>
          </w:tcPr>
          <w:p w:rsidR="00BA1172" w:rsidRPr="00BA1172" w:rsidRDefault="00BA1172" w:rsidP="00BA1172">
            <w:pPr>
              <w:spacing w:after="0" w:line="240" w:lineRule="auto"/>
              <w:rPr>
                <w:rFonts w:ascii="Calibri" w:eastAsia="Times New Roman" w:hAnsi="Calibri" w:cs="Times New Roman"/>
                <w:color w:val="000000"/>
              </w:rPr>
            </w:pPr>
          </w:p>
        </w:tc>
        <w:tc>
          <w:tcPr>
            <w:tcW w:w="2400" w:type="dxa"/>
            <w:tcBorders>
              <w:top w:val="nil"/>
              <w:left w:val="nil"/>
              <w:bottom w:val="nil"/>
              <w:right w:val="nil"/>
            </w:tcBorders>
            <w:shd w:val="clear" w:color="000000" w:fill="auto"/>
            <w:noWrap/>
            <w:vAlign w:val="bottom"/>
            <w:hideMark/>
          </w:tcPr>
          <w:p w:rsidR="00BA1172" w:rsidRPr="00BA1172" w:rsidRDefault="00BA1172" w:rsidP="00BA1172">
            <w:pPr>
              <w:spacing w:after="0" w:line="240" w:lineRule="auto"/>
              <w:rPr>
                <w:rFonts w:ascii="Calibri" w:eastAsia="Times New Roman" w:hAnsi="Calibri" w:cs="Times New Roman"/>
                <w:color w:val="000000"/>
              </w:rPr>
            </w:pPr>
          </w:p>
        </w:tc>
        <w:tc>
          <w:tcPr>
            <w:tcW w:w="2400" w:type="dxa"/>
            <w:tcBorders>
              <w:top w:val="nil"/>
              <w:left w:val="nil"/>
              <w:bottom w:val="nil"/>
              <w:right w:val="nil"/>
            </w:tcBorders>
            <w:shd w:val="clear" w:color="000000" w:fill="auto"/>
            <w:noWrap/>
            <w:vAlign w:val="bottom"/>
            <w:hideMark/>
          </w:tcPr>
          <w:p w:rsidR="00BA1172" w:rsidRPr="00BA1172" w:rsidRDefault="00BA1172" w:rsidP="00BA1172">
            <w:pPr>
              <w:spacing w:after="0" w:line="240" w:lineRule="auto"/>
              <w:rPr>
                <w:rFonts w:ascii="Calibri" w:eastAsia="Times New Roman" w:hAnsi="Calibri" w:cs="Times New Roman"/>
                <w:color w:val="000000"/>
              </w:rPr>
            </w:pPr>
          </w:p>
        </w:tc>
      </w:tr>
      <w:tr w:rsidR="00BA1172" w:rsidRPr="00BA1172" w:rsidTr="00BA1172">
        <w:trPr>
          <w:trHeight w:val="840"/>
        </w:trPr>
        <w:tc>
          <w:tcPr>
            <w:tcW w:w="2400" w:type="dxa"/>
            <w:tcBorders>
              <w:top w:val="nil"/>
              <w:left w:val="nil"/>
              <w:bottom w:val="single" w:sz="4" w:space="0" w:color="4F493B"/>
              <w:right w:val="single" w:sz="4" w:space="0" w:color="4F493B"/>
            </w:tcBorders>
            <w:shd w:val="clear" w:color="000000" w:fill="E8E6DA"/>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b/>
                <w:bCs/>
                <w:sz w:val="20"/>
                <w:szCs w:val="20"/>
              </w:rPr>
            </w:pPr>
            <w:r w:rsidRPr="00BA1172">
              <w:rPr>
                <w:rFonts w:ascii="Arial, Albany AMT, Helvetica" w:eastAsia="Times New Roman" w:hAnsi="Arial, Albany AMT, Helvetica" w:cs="Times New Roman"/>
                <w:b/>
                <w:bCs/>
                <w:sz w:val="20"/>
                <w:szCs w:val="20"/>
              </w:rPr>
              <w:t>SURGYEAR</w:t>
            </w:r>
          </w:p>
        </w:tc>
        <w:tc>
          <w:tcPr>
            <w:tcW w:w="2400" w:type="dxa"/>
            <w:tcBorders>
              <w:top w:val="nil"/>
              <w:left w:val="nil"/>
              <w:bottom w:val="single" w:sz="4" w:space="0" w:color="4F493B"/>
              <w:right w:val="single" w:sz="4" w:space="0" w:color="4F493B"/>
            </w:tcBorders>
            <w:shd w:val="clear" w:color="000000" w:fill="E8E6DA"/>
            <w:vAlign w:val="bottom"/>
            <w:hideMark/>
          </w:tcPr>
          <w:p w:rsidR="00BA1172" w:rsidRPr="00BA1172" w:rsidRDefault="00BA1172" w:rsidP="00BA1172">
            <w:pPr>
              <w:spacing w:after="0" w:line="240" w:lineRule="auto"/>
              <w:rPr>
                <w:rFonts w:ascii="Arial, Albany AMT, Helvetica" w:eastAsia="Times New Roman" w:hAnsi="Arial, Albany AMT, Helvetica" w:cs="Times New Roman"/>
                <w:b/>
                <w:bCs/>
                <w:sz w:val="20"/>
                <w:szCs w:val="20"/>
              </w:rPr>
            </w:pPr>
            <w:r w:rsidRPr="00BA1172">
              <w:rPr>
                <w:rFonts w:ascii="Arial, Albany AMT, Helvetica" w:eastAsia="Times New Roman" w:hAnsi="Arial, Albany AMT, Helvetica" w:cs="Times New Roman"/>
                <w:b/>
                <w:bCs/>
                <w:sz w:val="20"/>
                <w:szCs w:val="20"/>
              </w:rPr>
              <w:t>% Antiplatelet Agents at Preop</w:t>
            </w:r>
          </w:p>
        </w:tc>
        <w:tc>
          <w:tcPr>
            <w:tcW w:w="2400" w:type="dxa"/>
            <w:tcBorders>
              <w:top w:val="nil"/>
              <w:left w:val="nil"/>
              <w:bottom w:val="single" w:sz="4" w:space="0" w:color="4F493B"/>
              <w:right w:val="single" w:sz="4" w:space="0" w:color="4F493B"/>
            </w:tcBorders>
            <w:shd w:val="clear" w:color="000000" w:fill="E8E6DA"/>
            <w:vAlign w:val="bottom"/>
            <w:hideMark/>
          </w:tcPr>
          <w:p w:rsidR="00BA1172" w:rsidRPr="00BA1172" w:rsidRDefault="00BA1172" w:rsidP="00BA1172">
            <w:pPr>
              <w:spacing w:after="0" w:line="240" w:lineRule="auto"/>
              <w:rPr>
                <w:rFonts w:ascii="Arial, Albany AMT, Helvetica" w:eastAsia="Times New Roman" w:hAnsi="Arial, Albany AMT, Helvetica" w:cs="Times New Roman"/>
                <w:b/>
                <w:bCs/>
                <w:sz w:val="20"/>
                <w:szCs w:val="20"/>
              </w:rPr>
            </w:pPr>
            <w:r w:rsidRPr="00BA1172">
              <w:rPr>
                <w:rFonts w:ascii="Arial, Albany AMT, Helvetica" w:eastAsia="Times New Roman" w:hAnsi="Arial, Albany AMT, Helvetica" w:cs="Times New Roman"/>
                <w:b/>
                <w:bCs/>
                <w:sz w:val="20"/>
                <w:szCs w:val="20"/>
              </w:rPr>
              <w:t>% Antiplatelet Agents at Discharge</w:t>
            </w:r>
          </w:p>
        </w:tc>
        <w:tc>
          <w:tcPr>
            <w:tcW w:w="2400" w:type="dxa"/>
            <w:tcBorders>
              <w:top w:val="nil"/>
              <w:left w:val="nil"/>
              <w:bottom w:val="single" w:sz="4" w:space="0" w:color="4F493B"/>
              <w:right w:val="single" w:sz="4" w:space="0" w:color="4F493B"/>
            </w:tcBorders>
            <w:shd w:val="clear" w:color="000000" w:fill="E8E6DA"/>
            <w:vAlign w:val="bottom"/>
            <w:hideMark/>
          </w:tcPr>
          <w:p w:rsidR="00BA1172" w:rsidRPr="00BA1172" w:rsidRDefault="00BA1172" w:rsidP="00BA1172">
            <w:pPr>
              <w:spacing w:after="0" w:line="240" w:lineRule="auto"/>
              <w:rPr>
                <w:rFonts w:ascii="Arial, Albany AMT, Helvetica" w:eastAsia="Times New Roman" w:hAnsi="Arial, Albany AMT, Helvetica" w:cs="Times New Roman"/>
                <w:b/>
                <w:bCs/>
                <w:sz w:val="20"/>
                <w:szCs w:val="20"/>
              </w:rPr>
            </w:pPr>
            <w:r w:rsidRPr="00BA1172">
              <w:rPr>
                <w:rFonts w:ascii="Arial, Albany AMT, Helvetica" w:eastAsia="Times New Roman" w:hAnsi="Arial, Albany AMT, Helvetica" w:cs="Times New Roman"/>
                <w:b/>
                <w:bCs/>
                <w:sz w:val="20"/>
                <w:szCs w:val="20"/>
              </w:rPr>
              <w:t>% Antiplatelet Agents at Preop and Discharge</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2003</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87%</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86%</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78%</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2004</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82%</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82%</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72%</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2005</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83%</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77%</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2006</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90%</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93%</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lastRenderedPageBreak/>
              <w:t>2007</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93%</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96%</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92%</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2008</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91%</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92%</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2009</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90%</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94%</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2010</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90%</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95%</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2011</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87%</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95%</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85%</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2012</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87%</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95%</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85%</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2013</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96%</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87%</w:t>
            </w:r>
          </w:p>
        </w:tc>
      </w:tr>
      <w:tr w:rsidR="00BA1172" w:rsidRPr="00BA1172" w:rsidTr="00BA1172">
        <w:trPr>
          <w:trHeight w:val="319"/>
        </w:trPr>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jc w:val="right"/>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2014</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88%</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96%</w:t>
            </w:r>
          </w:p>
        </w:tc>
        <w:tc>
          <w:tcPr>
            <w:tcW w:w="2400" w:type="dxa"/>
            <w:tcBorders>
              <w:top w:val="nil"/>
              <w:left w:val="nil"/>
              <w:bottom w:val="single" w:sz="4" w:space="0" w:color="4F493B"/>
              <w:right w:val="single" w:sz="4" w:space="0" w:color="4F493B"/>
            </w:tcBorders>
            <w:shd w:val="clear" w:color="000000" w:fill="FFFFFF"/>
            <w:vAlign w:val="bottom"/>
            <w:hideMark/>
          </w:tcPr>
          <w:p w:rsidR="00BA1172" w:rsidRPr="00BA1172" w:rsidRDefault="00BA1172" w:rsidP="00BA1172">
            <w:pPr>
              <w:spacing w:after="0" w:line="240" w:lineRule="auto"/>
              <w:rPr>
                <w:rFonts w:ascii="Arial, Albany AMT, Helvetica" w:eastAsia="Times New Roman" w:hAnsi="Arial, Albany AMT, Helvetica" w:cs="Times New Roman"/>
                <w:sz w:val="20"/>
                <w:szCs w:val="20"/>
              </w:rPr>
            </w:pPr>
            <w:r w:rsidRPr="00BA1172">
              <w:rPr>
                <w:rFonts w:ascii="Arial, Albany AMT, Helvetica" w:eastAsia="Times New Roman" w:hAnsi="Arial, Albany AMT, Helvetica" w:cs="Times New Roman"/>
                <w:sz w:val="20"/>
                <w:szCs w:val="20"/>
              </w:rPr>
              <w:t>86%</w:t>
            </w:r>
          </w:p>
        </w:tc>
      </w:tr>
    </w:tbl>
    <w:p w:rsidR="00BA1172" w:rsidRDefault="00BA1172">
      <w:pPr>
        <w:autoSpaceDE w:val="0"/>
        <w:autoSpaceDN w:val="0"/>
        <w:adjustRightInd w:val="0"/>
        <w:spacing w:after="0" w:line="240" w:lineRule="auto"/>
        <w:rPr>
          <w:rFonts w:cstheme="minorHAnsi"/>
          <w:bCs/>
        </w:rPr>
      </w:pPr>
    </w:p>
    <w:p w:rsidR="00BA1172" w:rsidRDefault="00BA1172">
      <w:pPr>
        <w:autoSpaceDE w:val="0"/>
        <w:autoSpaceDN w:val="0"/>
        <w:adjustRightInd w:val="0"/>
        <w:spacing w:after="0" w:line="240" w:lineRule="auto"/>
        <w:rPr>
          <w:rFonts w:cstheme="minorHAnsi"/>
          <w:bCs/>
        </w:rPr>
      </w:pPr>
    </w:p>
    <w:p w:rsidR="00BA1172" w:rsidRPr="005560E7" w:rsidRDefault="00BA1172">
      <w:pPr>
        <w:autoSpaceDE w:val="0"/>
        <w:autoSpaceDN w:val="0"/>
        <w:adjustRightInd w:val="0"/>
        <w:spacing w:after="0" w:line="240" w:lineRule="auto"/>
        <w:rPr>
          <w:rFonts w:cstheme="minorHAnsi"/>
          <w:bCs/>
        </w:rPr>
      </w:pPr>
      <w:r>
        <w:rPr>
          <w:noProof/>
        </w:rPr>
        <w:drawing>
          <wp:inline distT="0" distB="0" distL="0" distR="0" wp14:anchorId="3E19FB35" wp14:editId="557B849C">
            <wp:extent cx="5943600" cy="4121150"/>
            <wp:effectExtent l="0" t="0" r="1905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sectPr w:rsidR="00BA1172"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2DE" w:rsidRDefault="009822DE" w:rsidP="005C73CA">
      <w:pPr>
        <w:spacing w:after="0" w:line="240" w:lineRule="auto"/>
      </w:pPr>
      <w:r>
        <w:separator/>
      </w:r>
    </w:p>
  </w:endnote>
  <w:endnote w:type="continuationSeparator" w:id="0">
    <w:p w:rsidR="009822DE" w:rsidRDefault="009822D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Albany AMT, Helvetic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Default="0012454F">
    <w:pPr>
      <w:pStyle w:val="Footer"/>
    </w:pPr>
    <w:r>
      <w:t xml:space="preserve">Version 6.5 </w:t>
    </w:r>
    <w:r w:rsidR="003A7DE7">
      <w:t xml:space="preserve"> </w:t>
    </w:r>
    <w:r w:rsidR="008F7E67">
      <w:t>08/20/13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776F32">
      <w:rPr>
        <w:noProof/>
      </w:rPr>
      <w:t>5</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2DE" w:rsidRDefault="009822DE" w:rsidP="005C73CA">
      <w:pPr>
        <w:spacing w:after="0" w:line="240" w:lineRule="auto"/>
      </w:pPr>
      <w:r>
        <w:separator/>
      </w:r>
    </w:p>
  </w:footnote>
  <w:footnote w:type="continuationSeparator" w:id="0">
    <w:p w:rsidR="009822DE" w:rsidRDefault="009822DE"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267"/>
    <w:rsid w:val="004A2E10"/>
    <w:rsid w:val="004B17FF"/>
    <w:rsid w:val="004B1BA0"/>
    <w:rsid w:val="004B6CEE"/>
    <w:rsid w:val="004C2443"/>
    <w:rsid w:val="004C498F"/>
    <w:rsid w:val="004C5D29"/>
    <w:rsid w:val="004C681A"/>
    <w:rsid w:val="004D4D8A"/>
    <w:rsid w:val="004E270B"/>
    <w:rsid w:val="004F68EE"/>
    <w:rsid w:val="005038D5"/>
    <w:rsid w:val="00511BA4"/>
    <w:rsid w:val="005149E7"/>
    <w:rsid w:val="005232D6"/>
    <w:rsid w:val="005333CC"/>
    <w:rsid w:val="005363F1"/>
    <w:rsid w:val="0055007C"/>
    <w:rsid w:val="00554922"/>
    <w:rsid w:val="00554DC3"/>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5F3E3C"/>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76F32"/>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822DE"/>
    <w:rsid w:val="00994BE0"/>
    <w:rsid w:val="009A25B1"/>
    <w:rsid w:val="009A4608"/>
    <w:rsid w:val="009A6A57"/>
    <w:rsid w:val="009A70BF"/>
    <w:rsid w:val="009B1A15"/>
    <w:rsid w:val="009C0852"/>
    <w:rsid w:val="009C13CA"/>
    <w:rsid w:val="009C2455"/>
    <w:rsid w:val="009C32C6"/>
    <w:rsid w:val="009C665F"/>
    <w:rsid w:val="009D7E38"/>
    <w:rsid w:val="009E095B"/>
    <w:rsid w:val="009E1846"/>
    <w:rsid w:val="009E78FF"/>
    <w:rsid w:val="00A01494"/>
    <w:rsid w:val="00A22FA9"/>
    <w:rsid w:val="00A25024"/>
    <w:rsid w:val="00A35F8F"/>
    <w:rsid w:val="00A41377"/>
    <w:rsid w:val="00A4263D"/>
    <w:rsid w:val="00A509B8"/>
    <w:rsid w:val="00A51E3C"/>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168"/>
    <w:rsid w:val="00B82A57"/>
    <w:rsid w:val="00B93757"/>
    <w:rsid w:val="00BA053B"/>
    <w:rsid w:val="00BA1172"/>
    <w:rsid w:val="00BB35AE"/>
    <w:rsid w:val="00BB4AAB"/>
    <w:rsid w:val="00BC03A1"/>
    <w:rsid w:val="00BC0D25"/>
    <w:rsid w:val="00BD2505"/>
    <w:rsid w:val="00BE592D"/>
    <w:rsid w:val="00BF52B0"/>
    <w:rsid w:val="00BF5697"/>
    <w:rsid w:val="00C02D91"/>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D71FF"/>
    <w:rsid w:val="00DE7149"/>
    <w:rsid w:val="00DF7953"/>
    <w:rsid w:val="00E0314C"/>
    <w:rsid w:val="00E074BF"/>
    <w:rsid w:val="00E1508F"/>
    <w:rsid w:val="00E27240"/>
    <w:rsid w:val="00E27EDD"/>
    <w:rsid w:val="00E30584"/>
    <w:rsid w:val="00E310B9"/>
    <w:rsid w:val="00E37E1B"/>
    <w:rsid w:val="00E562C0"/>
    <w:rsid w:val="00E62A10"/>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3502259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qualityforum.org/Measuring_Performance/Submitting_Standards.asp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rathbun\AppData\Local\Microsoft\Windows\Temporary%20Internet%20Files\Content.Outlook\12Q4BJI6\CEA%20Periop%20Antiplatelet%20VQI%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t>Center Variation</a:t>
            </a:r>
            <a:r>
              <a:rPr lang="en-US" sz="1600" baseline="0"/>
              <a:t> </a:t>
            </a:r>
            <a:r>
              <a:rPr lang="en-US" sz="1600"/>
              <a:t>in 2013</a:t>
            </a:r>
          </a:p>
        </c:rich>
      </c:tx>
      <c:overlay val="0"/>
    </c:title>
    <c:autoTitleDeleted val="0"/>
    <c:plotArea>
      <c:layout>
        <c:manualLayout>
          <c:layoutTarget val="inner"/>
          <c:xMode val="edge"/>
          <c:yMode val="edge"/>
          <c:x val="0.10891276230169912"/>
          <c:y val="0.10809656857408953"/>
          <c:w val="0.86854048425326347"/>
          <c:h val="0.80249476879906145"/>
        </c:manualLayout>
      </c:layout>
      <c:scatterChart>
        <c:scatterStyle val="lineMarker"/>
        <c:varyColors val="0"/>
        <c:ser>
          <c:idx val="0"/>
          <c:order val="0"/>
          <c:tx>
            <c:v>Preop</c:v>
          </c:tx>
          <c:spPr>
            <a:ln w="28575">
              <a:noFill/>
            </a:ln>
          </c:spPr>
          <c:marker>
            <c:symbol val="circle"/>
            <c:size val="6"/>
            <c:spPr>
              <a:solidFill>
                <a:schemeClr val="tx2"/>
              </a:solidFill>
            </c:spPr>
          </c:marker>
          <c:yVal>
            <c:numRef>
              <c:f>'[CEA Periop Antiplatelet VQI (2).xlsx]Center Variation Chart in 2013'!$B$9:$B$188</c:f>
              <c:numCache>
                <c:formatCode>0%</c:formatCode>
                <c:ptCount val="180"/>
                <c:pt idx="0">
                  <c:v>0</c:v>
                </c:pt>
                <c:pt idx="1">
                  <c:v>0.45</c:v>
                </c:pt>
                <c:pt idx="2">
                  <c:v>0.45</c:v>
                </c:pt>
                <c:pt idx="3">
                  <c:v>0.45</c:v>
                </c:pt>
                <c:pt idx="4">
                  <c:v>0.5</c:v>
                </c:pt>
                <c:pt idx="5">
                  <c:v>0.5</c:v>
                </c:pt>
                <c:pt idx="6">
                  <c:v>0.5</c:v>
                </c:pt>
                <c:pt idx="7">
                  <c:v>0.55000000000000004</c:v>
                </c:pt>
                <c:pt idx="8">
                  <c:v>0.56999999999999995</c:v>
                </c:pt>
                <c:pt idx="9">
                  <c:v>0.57999999999999996</c:v>
                </c:pt>
                <c:pt idx="10">
                  <c:v>0.63</c:v>
                </c:pt>
                <c:pt idx="11">
                  <c:v>0.67</c:v>
                </c:pt>
                <c:pt idx="12">
                  <c:v>0.67</c:v>
                </c:pt>
                <c:pt idx="13">
                  <c:v>0.67</c:v>
                </c:pt>
                <c:pt idx="14">
                  <c:v>0.68</c:v>
                </c:pt>
                <c:pt idx="15">
                  <c:v>0.69</c:v>
                </c:pt>
                <c:pt idx="16">
                  <c:v>0.71</c:v>
                </c:pt>
                <c:pt idx="17">
                  <c:v>0.71</c:v>
                </c:pt>
                <c:pt idx="18">
                  <c:v>0.71</c:v>
                </c:pt>
                <c:pt idx="19">
                  <c:v>0.72</c:v>
                </c:pt>
                <c:pt idx="20">
                  <c:v>0.76</c:v>
                </c:pt>
                <c:pt idx="21">
                  <c:v>0.77</c:v>
                </c:pt>
                <c:pt idx="22">
                  <c:v>0.77</c:v>
                </c:pt>
                <c:pt idx="23">
                  <c:v>0.77</c:v>
                </c:pt>
                <c:pt idx="24">
                  <c:v>0.78</c:v>
                </c:pt>
                <c:pt idx="25">
                  <c:v>0.78</c:v>
                </c:pt>
                <c:pt idx="26">
                  <c:v>0.78</c:v>
                </c:pt>
                <c:pt idx="27">
                  <c:v>0.78</c:v>
                </c:pt>
                <c:pt idx="28">
                  <c:v>0.78</c:v>
                </c:pt>
                <c:pt idx="29">
                  <c:v>0.79</c:v>
                </c:pt>
                <c:pt idx="30">
                  <c:v>0.79</c:v>
                </c:pt>
                <c:pt idx="31">
                  <c:v>0.8</c:v>
                </c:pt>
                <c:pt idx="32">
                  <c:v>0.81</c:v>
                </c:pt>
                <c:pt idx="33">
                  <c:v>0.81</c:v>
                </c:pt>
                <c:pt idx="34">
                  <c:v>0.81</c:v>
                </c:pt>
                <c:pt idx="35">
                  <c:v>0.81</c:v>
                </c:pt>
                <c:pt idx="36">
                  <c:v>0.81</c:v>
                </c:pt>
                <c:pt idx="37">
                  <c:v>0.82</c:v>
                </c:pt>
                <c:pt idx="38">
                  <c:v>0.82</c:v>
                </c:pt>
                <c:pt idx="39">
                  <c:v>0.83</c:v>
                </c:pt>
                <c:pt idx="40">
                  <c:v>0.83</c:v>
                </c:pt>
                <c:pt idx="41">
                  <c:v>0.84</c:v>
                </c:pt>
                <c:pt idx="42">
                  <c:v>0.85</c:v>
                </c:pt>
                <c:pt idx="43">
                  <c:v>0.85</c:v>
                </c:pt>
                <c:pt idx="44">
                  <c:v>0.85</c:v>
                </c:pt>
                <c:pt idx="45">
                  <c:v>0.85</c:v>
                </c:pt>
                <c:pt idx="46">
                  <c:v>0.85</c:v>
                </c:pt>
                <c:pt idx="47">
                  <c:v>0.85</c:v>
                </c:pt>
                <c:pt idx="48">
                  <c:v>0.85</c:v>
                </c:pt>
                <c:pt idx="49">
                  <c:v>0.86</c:v>
                </c:pt>
                <c:pt idx="50">
                  <c:v>0.86</c:v>
                </c:pt>
                <c:pt idx="51">
                  <c:v>0.86</c:v>
                </c:pt>
                <c:pt idx="52">
                  <c:v>0.86</c:v>
                </c:pt>
                <c:pt idx="53">
                  <c:v>0.86</c:v>
                </c:pt>
                <c:pt idx="54">
                  <c:v>0.86</c:v>
                </c:pt>
                <c:pt idx="55">
                  <c:v>0.86</c:v>
                </c:pt>
                <c:pt idx="56">
                  <c:v>0.87</c:v>
                </c:pt>
                <c:pt idx="57">
                  <c:v>0.87</c:v>
                </c:pt>
                <c:pt idx="58">
                  <c:v>0.88</c:v>
                </c:pt>
                <c:pt idx="59">
                  <c:v>0.88</c:v>
                </c:pt>
                <c:pt idx="60">
                  <c:v>0.88</c:v>
                </c:pt>
                <c:pt idx="61">
                  <c:v>0.88</c:v>
                </c:pt>
                <c:pt idx="62">
                  <c:v>0.88</c:v>
                </c:pt>
                <c:pt idx="63">
                  <c:v>0.89</c:v>
                </c:pt>
                <c:pt idx="64">
                  <c:v>0.89</c:v>
                </c:pt>
                <c:pt idx="65">
                  <c:v>0.89</c:v>
                </c:pt>
                <c:pt idx="66">
                  <c:v>0.89</c:v>
                </c:pt>
                <c:pt idx="67">
                  <c:v>0.89</c:v>
                </c:pt>
                <c:pt idx="68">
                  <c:v>0.89</c:v>
                </c:pt>
                <c:pt idx="69">
                  <c:v>0.9</c:v>
                </c:pt>
                <c:pt idx="70">
                  <c:v>0.9</c:v>
                </c:pt>
                <c:pt idx="71">
                  <c:v>0.9</c:v>
                </c:pt>
                <c:pt idx="72">
                  <c:v>0.9</c:v>
                </c:pt>
                <c:pt idx="73">
                  <c:v>0.9</c:v>
                </c:pt>
                <c:pt idx="74">
                  <c:v>0.9</c:v>
                </c:pt>
                <c:pt idx="75">
                  <c:v>0.9</c:v>
                </c:pt>
                <c:pt idx="76">
                  <c:v>0.9</c:v>
                </c:pt>
                <c:pt idx="77">
                  <c:v>0.9</c:v>
                </c:pt>
                <c:pt idx="78">
                  <c:v>0.9</c:v>
                </c:pt>
                <c:pt idx="79">
                  <c:v>0.9</c:v>
                </c:pt>
                <c:pt idx="80">
                  <c:v>0.9</c:v>
                </c:pt>
                <c:pt idx="81">
                  <c:v>0.9</c:v>
                </c:pt>
                <c:pt idx="82">
                  <c:v>0.9</c:v>
                </c:pt>
                <c:pt idx="83">
                  <c:v>0.91</c:v>
                </c:pt>
                <c:pt idx="84">
                  <c:v>0.91</c:v>
                </c:pt>
                <c:pt idx="85">
                  <c:v>0.91</c:v>
                </c:pt>
                <c:pt idx="86">
                  <c:v>0.91</c:v>
                </c:pt>
                <c:pt idx="87">
                  <c:v>0.91</c:v>
                </c:pt>
                <c:pt idx="88">
                  <c:v>0.91</c:v>
                </c:pt>
                <c:pt idx="89">
                  <c:v>0.91</c:v>
                </c:pt>
                <c:pt idx="90">
                  <c:v>0.91</c:v>
                </c:pt>
                <c:pt idx="91">
                  <c:v>0.91</c:v>
                </c:pt>
                <c:pt idx="92">
                  <c:v>0.91</c:v>
                </c:pt>
                <c:pt idx="93">
                  <c:v>0.91</c:v>
                </c:pt>
                <c:pt idx="94">
                  <c:v>0.91</c:v>
                </c:pt>
                <c:pt idx="95">
                  <c:v>0.91</c:v>
                </c:pt>
                <c:pt idx="96">
                  <c:v>0.91</c:v>
                </c:pt>
                <c:pt idx="97">
                  <c:v>0.91</c:v>
                </c:pt>
                <c:pt idx="98">
                  <c:v>0.92</c:v>
                </c:pt>
                <c:pt idx="99">
                  <c:v>0.92</c:v>
                </c:pt>
                <c:pt idx="100">
                  <c:v>0.92</c:v>
                </c:pt>
                <c:pt idx="101">
                  <c:v>0.92</c:v>
                </c:pt>
                <c:pt idx="102">
                  <c:v>0.93</c:v>
                </c:pt>
                <c:pt idx="103">
                  <c:v>0.93</c:v>
                </c:pt>
                <c:pt idx="104">
                  <c:v>0.93</c:v>
                </c:pt>
                <c:pt idx="105">
                  <c:v>0.93</c:v>
                </c:pt>
                <c:pt idx="106">
                  <c:v>0.93</c:v>
                </c:pt>
                <c:pt idx="107">
                  <c:v>0.93</c:v>
                </c:pt>
                <c:pt idx="108">
                  <c:v>0.93</c:v>
                </c:pt>
                <c:pt idx="109">
                  <c:v>0.94</c:v>
                </c:pt>
                <c:pt idx="110">
                  <c:v>0.94</c:v>
                </c:pt>
                <c:pt idx="111">
                  <c:v>0.94</c:v>
                </c:pt>
                <c:pt idx="112">
                  <c:v>0.94</c:v>
                </c:pt>
                <c:pt idx="113">
                  <c:v>0.94</c:v>
                </c:pt>
                <c:pt idx="114">
                  <c:v>0.94</c:v>
                </c:pt>
                <c:pt idx="115">
                  <c:v>0.94</c:v>
                </c:pt>
                <c:pt idx="116">
                  <c:v>0.95</c:v>
                </c:pt>
                <c:pt idx="117">
                  <c:v>0.95</c:v>
                </c:pt>
                <c:pt idx="118">
                  <c:v>0.95</c:v>
                </c:pt>
                <c:pt idx="119">
                  <c:v>0.95</c:v>
                </c:pt>
                <c:pt idx="120">
                  <c:v>0.95</c:v>
                </c:pt>
                <c:pt idx="121">
                  <c:v>0.95</c:v>
                </c:pt>
                <c:pt idx="122">
                  <c:v>0.95</c:v>
                </c:pt>
                <c:pt idx="123">
                  <c:v>0.95</c:v>
                </c:pt>
                <c:pt idx="124">
                  <c:v>0.96</c:v>
                </c:pt>
                <c:pt idx="125">
                  <c:v>0.96</c:v>
                </c:pt>
                <c:pt idx="126">
                  <c:v>0.96</c:v>
                </c:pt>
                <c:pt idx="127">
                  <c:v>0.96</c:v>
                </c:pt>
                <c:pt idx="128">
                  <c:v>0.96</c:v>
                </c:pt>
                <c:pt idx="129">
                  <c:v>0.96</c:v>
                </c:pt>
                <c:pt idx="130">
                  <c:v>0.96</c:v>
                </c:pt>
                <c:pt idx="131">
                  <c:v>0.96</c:v>
                </c:pt>
                <c:pt idx="132">
                  <c:v>0.96</c:v>
                </c:pt>
                <c:pt idx="133">
                  <c:v>0.96</c:v>
                </c:pt>
                <c:pt idx="134">
                  <c:v>0.97</c:v>
                </c:pt>
                <c:pt idx="135">
                  <c:v>0.97</c:v>
                </c:pt>
                <c:pt idx="136">
                  <c:v>0.97</c:v>
                </c:pt>
                <c:pt idx="137">
                  <c:v>0.97</c:v>
                </c:pt>
                <c:pt idx="138">
                  <c:v>0.97</c:v>
                </c:pt>
                <c:pt idx="139">
                  <c:v>0.97</c:v>
                </c:pt>
                <c:pt idx="140">
                  <c:v>0.97</c:v>
                </c:pt>
                <c:pt idx="141">
                  <c:v>0.97</c:v>
                </c:pt>
                <c:pt idx="142">
                  <c:v>0.97</c:v>
                </c:pt>
                <c:pt idx="143">
                  <c:v>0.98</c:v>
                </c:pt>
                <c:pt idx="144">
                  <c:v>0.98</c:v>
                </c:pt>
                <c:pt idx="145">
                  <c:v>0.98</c:v>
                </c:pt>
                <c:pt idx="146">
                  <c:v>0.98</c:v>
                </c:pt>
                <c:pt idx="147">
                  <c:v>0.98</c:v>
                </c:pt>
                <c:pt idx="148">
                  <c:v>0.98</c:v>
                </c:pt>
                <c:pt idx="149">
                  <c:v>0.98</c:v>
                </c:pt>
                <c:pt idx="150">
                  <c:v>0.98</c:v>
                </c:pt>
                <c:pt idx="151">
                  <c:v>0.98</c:v>
                </c:pt>
                <c:pt idx="152">
                  <c:v>0.99</c:v>
                </c:pt>
                <c:pt idx="153">
                  <c:v>0.99</c:v>
                </c:pt>
                <c:pt idx="154">
                  <c:v>1</c:v>
                </c:pt>
                <c:pt idx="155">
                  <c:v>1</c:v>
                </c:pt>
                <c:pt idx="156">
                  <c:v>1</c:v>
                </c:pt>
                <c:pt idx="157">
                  <c:v>1</c:v>
                </c:pt>
                <c:pt idx="158">
                  <c:v>1</c:v>
                </c:pt>
                <c:pt idx="159">
                  <c:v>1</c:v>
                </c:pt>
                <c:pt idx="160">
                  <c:v>1</c:v>
                </c:pt>
                <c:pt idx="161">
                  <c:v>1</c:v>
                </c:pt>
                <c:pt idx="162">
                  <c:v>1</c:v>
                </c:pt>
                <c:pt idx="163">
                  <c:v>1</c:v>
                </c:pt>
                <c:pt idx="164">
                  <c:v>1</c:v>
                </c:pt>
                <c:pt idx="165">
                  <c:v>1</c:v>
                </c:pt>
                <c:pt idx="166">
                  <c:v>1</c:v>
                </c:pt>
                <c:pt idx="167">
                  <c:v>1</c:v>
                </c:pt>
                <c:pt idx="168">
                  <c:v>1</c:v>
                </c:pt>
                <c:pt idx="169">
                  <c:v>1</c:v>
                </c:pt>
                <c:pt idx="170">
                  <c:v>1</c:v>
                </c:pt>
                <c:pt idx="171">
                  <c:v>1</c:v>
                </c:pt>
                <c:pt idx="172">
                  <c:v>1</c:v>
                </c:pt>
                <c:pt idx="173">
                  <c:v>1</c:v>
                </c:pt>
                <c:pt idx="174">
                  <c:v>1</c:v>
                </c:pt>
                <c:pt idx="175">
                  <c:v>1</c:v>
                </c:pt>
                <c:pt idx="176">
                  <c:v>1</c:v>
                </c:pt>
                <c:pt idx="177">
                  <c:v>1</c:v>
                </c:pt>
                <c:pt idx="178">
                  <c:v>1</c:v>
                </c:pt>
                <c:pt idx="179">
                  <c:v>1</c:v>
                </c:pt>
              </c:numCache>
            </c:numRef>
          </c:yVal>
          <c:smooth val="0"/>
        </c:ser>
        <c:ser>
          <c:idx val="1"/>
          <c:order val="1"/>
          <c:tx>
            <c:v>Discharge</c:v>
          </c:tx>
          <c:spPr>
            <a:ln w="28575">
              <a:noFill/>
            </a:ln>
          </c:spPr>
          <c:marker>
            <c:symbol val="circle"/>
            <c:size val="6"/>
            <c:spPr>
              <a:solidFill>
                <a:schemeClr val="accent2">
                  <a:lumMod val="60000"/>
                  <a:lumOff val="40000"/>
                </a:schemeClr>
              </a:solidFill>
            </c:spPr>
          </c:marker>
          <c:yVal>
            <c:numRef>
              <c:f>'[CEA Periop Antiplatelet VQI (2).xlsx]Center Variation Chart in 2013'!$D$9:$D$188</c:f>
              <c:numCache>
                <c:formatCode>0%</c:formatCode>
                <c:ptCount val="180"/>
                <c:pt idx="0">
                  <c:v>0.5</c:v>
                </c:pt>
                <c:pt idx="1">
                  <c:v>0.77</c:v>
                </c:pt>
                <c:pt idx="2">
                  <c:v>0.78</c:v>
                </c:pt>
                <c:pt idx="3">
                  <c:v>0.79</c:v>
                </c:pt>
                <c:pt idx="4">
                  <c:v>0.79</c:v>
                </c:pt>
                <c:pt idx="5">
                  <c:v>0.81</c:v>
                </c:pt>
                <c:pt idx="6">
                  <c:v>0.82</c:v>
                </c:pt>
                <c:pt idx="7">
                  <c:v>0.88</c:v>
                </c:pt>
                <c:pt idx="8">
                  <c:v>0.88</c:v>
                </c:pt>
                <c:pt idx="9">
                  <c:v>0.89</c:v>
                </c:pt>
                <c:pt idx="10">
                  <c:v>0.89</c:v>
                </c:pt>
                <c:pt idx="11">
                  <c:v>0.89</c:v>
                </c:pt>
                <c:pt idx="12">
                  <c:v>0.9</c:v>
                </c:pt>
                <c:pt idx="13">
                  <c:v>0.9</c:v>
                </c:pt>
                <c:pt idx="14">
                  <c:v>0.9</c:v>
                </c:pt>
                <c:pt idx="15">
                  <c:v>0.9</c:v>
                </c:pt>
                <c:pt idx="16">
                  <c:v>0.91</c:v>
                </c:pt>
                <c:pt idx="17">
                  <c:v>0.91</c:v>
                </c:pt>
                <c:pt idx="18">
                  <c:v>0.91</c:v>
                </c:pt>
                <c:pt idx="19">
                  <c:v>0.91</c:v>
                </c:pt>
                <c:pt idx="20">
                  <c:v>0.91</c:v>
                </c:pt>
                <c:pt idx="21">
                  <c:v>0.92</c:v>
                </c:pt>
                <c:pt idx="22">
                  <c:v>0.92</c:v>
                </c:pt>
                <c:pt idx="23">
                  <c:v>0.92</c:v>
                </c:pt>
                <c:pt idx="24">
                  <c:v>0.92</c:v>
                </c:pt>
                <c:pt idx="25">
                  <c:v>0.92</c:v>
                </c:pt>
                <c:pt idx="26">
                  <c:v>0.92</c:v>
                </c:pt>
                <c:pt idx="27">
                  <c:v>0.92</c:v>
                </c:pt>
                <c:pt idx="28">
                  <c:v>0.93</c:v>
                </c:pt>
                <c:pt idx="29">
                  <c:v>0.93</c:v>
                </c:pt>
                <c:pt idx="30">
                  <c:v>0.93</c:v>
                </c:pt>
                <c:pt idx="31">
                  <c:v>0.93</c:v>
                </c:pt>
                <c:pt idx="32">
                  <c:v>0.93</c:v>
                </c:pt>
                <c:pt idx="33">
                  <c:v>0.93</c:v>
                </c:pt>
                <c:pt idx="34">
                  <c:v>0.93</c:v>
                </c:pt>
                <c:pt idx="35">
                  <c:v>0.93</c:v>
                </c:pt>
                <c:pt idx="36">
                  <c:v>0.93</c:v>
                </c:pt>
                <c:pt idx="37">
                  <c:v>0.93</c:v>
                </c:pt>
                <c:pt idx="38">
                  <c:v>0.94</c:v>
                </c:pt>
                <c:pt idx="39">
                  <c:v>0.94</c:v>
                </c:pt>
                <c:pt idx="40">
                  <c:v>0.94</c:v>
                </c:pt>
                <c:pt idx="41">
                  <c:v>0.94</c:v>
                </c:pt>
                <c:pt idx="42">
                  <c:v>0.94</c:v>
                </c:pt>
                <c:pt idx="43">
                  <c:v>0.94</c:v>
                </c:pt>
                <c:pt idx="44">
                  <c:v>0.94</c:v>
                </c:pt>
                <c:pt idx="45">
                  <c:v>0.94</c:v>
                </c:pt>
                <c:pt idx="46">
                  <c:v>0.94</c:v>
                </c:pt>
                <c:pt idx="47">
                  <c:v>0.94</c:v>
                </c:pt>
                <c:pt idx="48">
                  <c:v>0.95</c:v>
                </c:pt>
                <c:pt idx="49">
                  <c:v>0.95</c:v>
                </c:pt>
                <c:pt idx="50">
                  <c:v>0.95</c:v>
                </c:pt>
                <c:pt idx="51">
                  <c:v>0.95</c:v>
                </c:pt>
                <c:pt idx="52">
                  <c:v>0.95</c:v>
                </c:pt>
                <c:pt idx="53">
                  <c:v>0.95</c:v>
                </c:pt>
                <c:pt idx="54">
                  <c:v>0.95</c:v>
                </c:pt>
                <c:pt idx="55">
                  <c:v>0.95</c:v>
                </c:pt>
                <c:pt idx="56">
                  <c:v>0.95</c:v>
                </c:pt>
                <c:pt idx="57">
                  <c:v>0.95</c:v>
                </c:pt>
                <c:pt idx="58">
                  <c:v>0.95</c:v>
                </c:pt>
                <c:pt idx="59">
                  <c:v>0.95</c:v>
                </c:pt>
                <c:pt idx="60">
                  <c:v>0.96</c:v>
                </c:pt>
                <c:pt idx="61">
                  <c:v>0.96</c:v>
                </c:pt>
                <c:pt idx="62">
                  <c:v>0.96</c:v>
                </c:pt>
                <c:pt idx="63">
                  <c:v>0.96</c:v>
                </c:pt>
                <c:pt idx="64">
                  <c:v>0.96</c:v>
                </c:pt>
                <c:pt idx="65">
                  <c:v>0.96</c:v>
                </c:pt>
                <c:pt idx="66">
                  <c:v>0.96</c:v>
                </c:pt>
                <c:pt idx="67">
                  <c:v>0.96</c:v>
                </c:pt>
                <c:pt idx="68">
                  <c:v>0.96</c:v>
                </c:pt>
                <c:pt idx="69">
                  <c:v>0.96</c:v>
                </c:pt>
                <c:pt idx="70">
                  <c:v>0.96</c:v>
                </c:pt>
                <c:pt idx="71">
                  <c:v>0.96</c:v>
                </c:pt>
                <c:pt idx="72">
                  <c:v>0.96</c:v>
                </c:pt>
                <c:pt idx="73">
                  <c:v>0.97</c:v>
                </c:pt>
                <c:pt idx="74">
                  <c:v>0.97</c:v>
                </c:pt>
                <c:pt idx="75">
                  <c:v>0.97</c:v>
                </c:pt>
                <c:pt idx="76">
                  <c:v>0.97</c:v>
                </c:pt>
                <c:pt idx="77">
                  <c:v>0.97</c:v>
                </c:pt>
                <c:pt idx="78">
                  <c:v>0.97</c:v>
                </c:pt>
                <c:pt idx="79">
                  <c:v>0.97</c:v>
                </c:pt>
                <c:pt idx="80">
                  <c:v>0.97</c:v>
                </c:pt>
                <c:pt idx="81">
                  <c:v>0.97</c:v>
                </c:pt>
                <c:pt idx="82">
                  <c:v>0.97</c:v>
                </c:pt>
                <c:pt idx="83">
                  <c:v>0.97</c:v>
                </c:pt>
                <c:pt idx="84">
                  <c:v>0.97</c:v>
                </c:pt>
                <c:pt idx="85">
                  <c:v>0.97</c:v>
                </c:pt>
                <c:pt idx="86">
                  <c:v>0.97</c:v>
                </c:pt>
                <c:pt idx="87">
                  <c:v>0.97</c:v>
                </c:pt>
                <c:pt idx="88">
                  <c:v>0.97</c:v>
                </c:pt>
                <c:pt idx="89">
                  <c:v>0.98</c:v>
                </c:pt>
                <c:pt idx="90">
                  <c:v>0.98</c:v>
                </c:pt>
                <c:pt idx="91">
                  <c:v>0.98</c:v>
                </c:pt>
                <c:pt idx="92">
                  <c:v>0.98</c:v>
                </c:pt>
                <c:pt idx="93">
                  <c:v>0.98</c:v>
                </c:pt>
                <c:pt idx="94">
                  <c:v>0.98</c:v>
                </c:pt>
                <c:pt idx="95">
                  <c:v>0.98</c:v>
                </c:pt>
                <c:pt idx="96">
                  <c:v>0.98</c:v>
                </c:pt>
                <c:pt idx="97">
                  <c:v>0.98</c:v>
                </c:pt>
                <c:pt idx="98">
                  <c:v>0.98</c:v>
                </c:pt>
                <c:pt idx="99">
                  <c:v>0.98</c:v>
                </c:pt>
                <c:pt idx="100">
                  <c:v>0.98</c:v>
                </c:pt>
                <c:pt idx="101">
                  <c:v>0.98</c:v>
                </c:pt>
                <c:pt idx="102">
                  <c:v>0.98</c:v>
                </c:pt>
                <c:pt idx="103">
                  <c:v>0.98</c:v>
                </c:pt>
                <c:pt idx="104">
                  <c:v>0.98</c:v>
                </c:pt>
                <c:pt idx="105">
                  <c:v>0.98</c:v>
                </c:pt>
                <c:pt idx="106">
                  <c:v>0.98</c:v>
                </c:pt>
                <c:pt idx="107">
                  <c:v>0.99</c:v>
                </c:pt>
                <c:pt idx="108">
                  <c:v>0.99</c:v>
                </c:pt>
                <c:pt idx="109">
                  <c:v>0.99</c:v>
                </c:pt>
                <c:pt idx="110">
                  <c:v>0.99</c:v>
                </c:pt>
                <c:pt idx="111">
                  <c:v>0.99</c:v>
                </c:pt>
                <c:pt idx="112">
                  <c:v>0.99</c:v>
                </c:pt>
                <c:pt idx="113">
                  <c:v>0.99</c:v>
                </c:pt>
                <c:pt idx="114">
                  <c:v>0.99</c:v>
                </c:pt>
                <c:pt idx="115">
                  <c:v>0.99</c:v>
                </c:pt>
                <c:pt idx="116">
                  <c:v>1</c:v>
                </c:pt>
                <c:pt idx="117">
                  <c:v>1</c:v>
                </c:pt>
                <c:pt idx="118">
                  <c:v>1</c:v>
                </c:pt>
                <c:pt idx="119">
                  <c:v>1</c:v>
                </c:pt>
                <c:pt idx="120">
                  <c:v>1</c:v>
                </c:pt>
                <c:pt idx="121">
                  <c:v>1</c:v>
                </c:pt>
                <c:pt idx="122">
                  <c:v>1</c:v>
                </c:pt>
                <c:pt idx="123">
                  <c:v>1</c:v>
                </c:pt>
                <c:pt idx="124">
                  <c:v>1</c:v>
                </c:pt>
                <c:pt idx="125">
                  <c:v>1</c:v>
                </c:pt>
                <c:pt idx="126">
                  <c:v>1</c:v>
                </c:pt>
                <c:pt idx="127">
                  <c:v>1</c:v>
                </c:pt>
                <c:pt idx="128">
                  <c:v>1</c:v>
                </c:pt>
                <c:pt idx="129">
                  <c:v>1</c:v>
                </c:pt>
                <c:pt idx="130">
                  <c:v>1</c:v>
                </c:pt>
                <c:pt idx="131">
                  <c:v>1</c:v>
                </c:pt>
                <c:pt idx="132">
                  <c:v>1</c:v>
                </c:pt>
                <c:pt idx="133">
                  <c:v>1</c:v>
                </c:pt>
                <c:pt idx="134">
                  <c:v>1</c:v>
                </c:pt>
                <c:pt idx="135">
                  <c:v>1</c:v>
                </c:pt>
                <c:pt idx="136">
                  <c:v>1</c:v>
                </c:pt>
                <c:pt idx="137">
                  <c:v>1</c:v>
                </c:pt>
                <c:pt idx="138">
                  <c:v>1</c:v>
                </c:pt>
                <c:pt idx="139">
                  <c:v>1</c:v>
                </c:pt>
                <c:pt idx="140">
                  <c:v>1</c:v>
                </c:pt>
                <c:pt idx="141">
                  <c:v>1</c:v>
                </c:pt>
                <c:pt idx="142">
                  <c:v>1</c:v>
                </c:pt>
                <c:pt idx="143">
                  <c:v>1</c:v>
                </c:pt>
                <c:pt idx="144">
                  <c:v>1</c:v>
                </c:pt>
                <c:pt idx="145">
                  <c:v>1</c:v>
                </c:pt>
                <c:pt idx="146">
                  <c:v>1</c:v>
                </c:pt>
                <c:pt idx="147">
                  <c:v>1</c:v>
                </c:pt>
                <c:pt idx="148">
                  <c:v>1</c:v>
                </c:pt>
                <c:pt idx="149">
                  <c:v>1</c:v>
                </c:pt>
                <c:pt idx="150">
                  <c:v>1</c:v>
                </c:pt>
                <c:pt idx="151">
                  <c:v>1</c:v>
                </c:pt>
                <c:pt idx="152">
                  <c:v>1</c:v>
                </c:pt>
                <c:pt idx="153">
                  <c:v>1</c:v>
                </c:pt>
                <c:pt idx="154">
                  <c:v>1</c:v>
                </c:pt>
                <c:pt idx="155">
                  <c:v>1</c:v>
                </c:pt>
                <c:pt idx="156">
                  <c:v>1</c:v>
                </c:pt>
                <c:pt idx="157">
                  <c:v>1</c:v>
                </c:pt>
                <c:pt idx="158">
                  <c:v>1</c:v>
                </c:pt>
                <c:pt idx="159">
                  <c:v>1</c:v>
                </c:pt>
                <c:pt idx="160">
                  <c:v>1</c:v>
                </c:pt>
                <c:pt idx="161">
                  <c:v>1</c:v>
                </c:pt>
                <c:pt idx="162">
                  <c:v>1</c:v>
                </c:pt>
                <c:pt idx="163">
                  <c:v>1</c:v>
                </c:pt>
                <c:pt idx="164">
                  <c:v>1</c:v>
                </c:pt>
                <c:pt idx="165">
                  <c:v>1</c:v>
                </c:pt>
                <c:pt idx="166">
                  <c:v>1</c:v>
                </c:pt>
                <c:pt idx="167">
                  <c:v>1</c:v>
                </c:pt>
                <c:pt idx="168">
                  <c:v>1</c:v>
                </c:pt>
                <c:pt idx="169">
                  <c:v>1</c:v>
                </c:pt>
                <c:pt idx="170">
                  <c:v>1</c:v>
                </c:pt>
                <c:pt idx="171">
                  <c:v>1</c:v>
                </c:pt>
                <c:pt idx="172">
                  <c:v>1</c:v>
                </c:pt>
                <c:pt idx="173">
                  <c:v>1</c:v>
                </c:pt>
                <c:pt idx="174">
                  <c:v>1</c:v>
                </c:pt>
                <c:pt idx="175">
                  <c:v>1</c:v>
                </c:pt>
                <c:pt idx="176">
                  <c:v>1</c:v>
                </c:pt>
                <c:pt idx="177">
                  <c:v>1</c:v>
                </c:pt>
                <c:pt idx="178">
                  <c:v>1</c:v>
                </c:pt>
                <c:pt idx="179">
                  <c:v>1</c:v>
                </c:pt>
              </c:numCache>
            </c:numRef>
          </c:yVal>
          <c:smooth val="0"/>
        </c:ser>
        <c:ser>
          <c:idx val="2"/>
          <c:order val="2"/>
          <c:tx>
            <c:v>Preop and Discharge</c:v>
          </c:tx>
          <c:spPr>
            <a:ln w="28575">
              <a:noFill/>
            </a:ln>
          </c:spPr>
          <c:marker>
            <c:symbol val="circle"/>
            <c:size val="4"/>
            <c:spPr>
              <a:solidFill>
                <a:schemeClr val="accent3">
                  <a:lumMod val="40000"/>
                  <a:lumOff val="60000"/>
                </a:schemeClr>
              </a:solidFill>
            </c:spPr>
          </c:marker>
          <c:yVal>
            <c:numRef>
              <c:f>'[CEA Periop Antiplatelet VQI (2).xlsx]Center Variation Chart in 2013'!$F$9:$F$188</c:f>
              <c:numCache>
                <c:formatCode>0%</c:formatCode>
                <c:ptCount val="180"/>
                <c:pt idx="0">
                  <c:v>0</c:v>
                </c:pt>
                <c:pt idx="1">
                  <c:v>0.44</c:v>
                </c:pt>
                <c:pt idx="2">
                  <c:v>0.44</c:v>
                </c:pt>
                <c:pt idx="3">
                  <c:v>0.45</c:v>
                </c:pt>
                <c:pt idx="4">
                  <c:v>0.5</c:v>
                </c:pt>
                <c:pt idx="5">
                  <c:v>0.5</c:v>
                </c:pt>
                <c:pt idx="6">
                  <c:v>0.5</c:v>
                </c:pt>
                <c:pt idx="7">
                  <c:v>0.55000000000000004</c:v>
                </c:pt>
                <c:pt idx="8">
                  <c:v>0.56000000000000005</c:v>
                </c:pt>
                <c:pt idx="9">
                  <c:v>0.56999999999999995</c:v>
                </c:pt>
                <c:pt idx="10">
                  <c:v>0.63</c:v>
                </c:pt>
                <c:pt idx="11">
                  <c:v>0.67</c:v>
                </c:pt>
                <c:pt idx="12">
                  <c:v>0.67</c:v>
                </c:pt>
                <c:pt idx="13">
                  <c:v>0.67</c:v>
                </c:pt>
                <c:pt idx="14">
                  <c:v>0.68</c:v>
                </c:pt>
                <c:pt idx="15">
                  <c:v>0.68</c:v>
                </c:pt>
                <c:pt idx="16">
                  <c:v>0.69</c:v>
                </c:pt>
                <c:pt idx="17">
                  <c:v>0.69</c:v>
                </c:pt>
                <c:pt idx="18">
                  <c:v>0.7</c:v>
                </c:pt>
                <c:pt idx="19">
                  <c:v>0.71</c:v>
                </c:pt>
                <c:pt idx="20">
                  <c:v>0.71</c:v>
                </c:pt>
                <c:pt idx="21">
                  <c:v>0.71</c:v>
                </c:pt>
                <c:pt idx="22">
                  <c:v>0.73</c:v>
                </c:pt>
                <c:pt idx="23">
                  <c:v>0.74</c:v>
                </c:pt>
                <c:pt idx="24">
                  <c:v>0.76</c:v>
                </c:pt>
                <c:pt idx="25">
                  <c:v>0.76</c:v>
                </c:pt>
                <c:pt idx="26">
                  <c:v>0.77</c:v>
                </c:pt>
                <c:pt idx="27">
                  <c:v>0.77</c:v>
                </c:pt>
                <c:pt idx="28">
                  <c:v>0.77</c:v>
                </c:pt>
                <c:pt idx="29">
                  <c:v>0.77</c:v>
                </c:pt>
                <c:pt idx="30">
                  <c:v>0.78</c:v>
                </c:pt>
                <c:pt idx="31">
                  <c:v>0.78</c:v>
                </c:pt>
                <c:pt idx="32">
                  <c:v>0.78</c:v>
                </c:pt>
                <c:pt idx="33">
                  <c:v>0.78</c:v>
                </c:pt>
                <c:pt idx="34">
                  <c:v>0.78</c:v>
                </c:pt>
                <c:pt idx="35">
                  <c:v>0.79</c:v>
                </c:pt>
                <c:pt idx="36">
                  <c:v>0.79</c:v>
                </c:pt>
                <c:pt idx="37">
                  <c:v>0.81</c:v>
                </c:pt>
                <c:pt idx="38">
                  <c:v>0.81</c:v>
                </c:pt>
                <c:pt idx="39">
                  <c:v>0.81</c:v>
                </c:pt>
                <c:pt idx="40">
                  <c:v>0.81</c:v>
                </c:pt>
                <c:pt idx="41">
                  <c:v>0.81</c:v>
                </c:pt>
                <c:pt idx="42">
                  <c:v>0.82</c:v>
                </c:pt>
                <c:pt idx="43">
                  <c:v>0.82</c:v>
                </c:pt>
                <c:pt idx="44">
                  <c:v>0.82</c:v>
                </c:pt>
                <c:pt idx="45">
                  <c:v>0.82</c:v>
                </c:pt>
                <c:pt idx="46">
                  <c:v>0.82</c:v>
                </c:pt>
                <c:pt idx="47">
                  <c:v>0.83</c:v>
                </c:pt>
                <c:pt idx="48">
                  <c:v>0.83</c:v>
                </c:pt>
                <c:pt idx="49">
                  <c:v>0.83</c:v>
                </c:pt>
                <c:pt idx="50">
                  <c:v>0.84</c:v>
                </c:pt>
                <c:pt idx="51">
                  <c:v>0.84</c:v>
                </c:pt>
                <c:pt idx="52">
                  <c:v>0.85</c:v>
                </c:pt>
                <c:pt idx="53">
                  <c:v>0.85</c:v>
                </c:pt>
                <c:pt idx="54">
                  <c:v>0.85</c:v>
                </c:pt>
                <c:pt idx="55">
                  <c:v>0.85</c:v>
                </c:pt>
                <c:pt idx="56">
                  <c:v>0.86</c:v>
                </c:pt>
                <c:pt idx="57">
                  <c:v>0.86</c:v>
                </c:pt>
                <c:pt idx="58">
                  <c:v>0.86</c:v>
                </c:pt>
                <c:pt idx="59">
                  <c:v>0.86</c:v>
                </c:pt>
                <c:pt idx="60">
                  <c:v>0.86</c:v>
                </c:pt>
                <c:pt idx="61">
                  <c:v>0.87</c:v>
                </c:pt>
                <c:pt idx="62">
                  <c:v>0.87</c:v>
                </c:pt>
                <c:pt idx="63">
                  <c:v>0.87</c:v>
                </c:pt>
                <c:pt idx="64">
                  <c:v>0.87</c:v>
                </c:pt>
                <c:pt idx="65">
                  <c:v>0.87</c:v>
                </c:pt>
                <c:pt idx="66">
                  <c:v>0.88</c:v>
                </c:pt>
                <c:pt idx="67">
                  <c:v>0.88</c:v>
                </c:pt>
                <c:pt idx="68">
                  <c:v>0.88</c:v>
                </c:pt>
                <c:pt idx="69">
                  <c:v>0.88</c:v>
                </c:pt>
                <c:pt idx="70">
                  <c:v>0.88</c:v>
                </c:pt>
                <c:pt idx="71">
                  <c:v>0.88</c:v>
                </c:pt>
                <c:pt idx="72">
                  <c:v>0.88</c:v>
                </c:pt>
                <c:pt idx="73">
                  <c:v>0.88</c:v>
                </c:pt>
                <c:pt idx="74">
                  <c:v>0.88</c:v>
                </c:pt>
                <c:pt idx="75">
                  <c:v>0.88</c:v>
                </c:pt>
                <c:pt idx="76">
                  <c:v>0.88</c:v>
                </c:pt>
                <c:pt idx="77">
                  <c:v>0.88</c:v>
                </c:pt>
                <c:pt idx="78">
                  <c:v>0.89</c:v>
                </c:pt>
                <c:pt idx="79">
                  <c:v>0.89</c:v>
                </c:pt>
                <c:pt idx="80">
                  <c:v>0.89</c:v>
                </c:pt>
                <c:pt idx="81">
                  <c:v>0.89</c:v>
                </c:pt>
                <c:pt idx="82">
                  <c:v>0.89</c:v>
                </c:pt>
                <c:pt idx="83">
                  <c:v>0.89</c:v>
                </c:pt>
                <c:pt idx="84">
                  <c:v>0.89</c:v>
                </c:pt>
                <c:pt idx="85">
                  <c:v>0.9</c:v>
                </c:pt>
                <c:pt idx="86">
                  <c:v>0.9</c:v>
                </c:pt>
                <c:pt idx="87">
                  <c:v>0.9</c:v>
                </c:pt>
                <c:pt idx="88">
                  <c:v>0.9</c:v>
                </c:pt>
                <c:pt idx="89">
                  <c:v>0.9</c:v>
                </c:pt>
                <c:pt idx="90">
                  <c:v>0.9</c:v>
                </c:pt>
                <c:pt idx="91">
                  <c:v>0.9</c:v>
                </c:pt>
                <c:pt idx="92">
                  <c:v>0.9</c:v>
                </c:pt>
                <c:pt idx="93">
                  <c:v>0.9</c:v>
                </c:pt>
                <c:pt idx="94">
                  <c:v>0.9</c:v>
                </c:pt>
                <c:pt idx="95">
                  <c:v>0.9</c:v>
                </c:pt>
                <c:pt idx="96">
                  <c:v>0.9</c:v>
                </c:pt>
                <c:pt idx="97">
                  <c:v>0.9</c:v>
                </c:pt>
                <c:pt idx="98">
                  <c:v>0.91</c:v>
                </c:pt>
                <c:pt idx="99">
                  <c:v>0.91</c:v>
                </c:pt>
                <c:pt idx="100">
                  <c:v>0.91</c:v>
                </c:pt>
                <c:pt idx="101">
                  <c:v>0.91</c:v>
                </c:pt>
                <c:pt idx="102">
                  <c:v>0.91</c:v>
                </c:pt>
                <c:pt idx="103">
                  <c:v>0.91</c:v>
                </c:pt>
                <c:pt idx="104">
                  <c:v>0.91</c:v>
                </c:pt>
                <c:pt idx="105">
                  <c:v>0.91</c:v>
                </c:pt>
                <c:pt idx="106">
                  <c:v>0.91</c:v>
                </c:pt>
                <c:pt idx="107">
                  <c:v>0.91</c:v>
                </c:pt>
                <c:pt idx="108">
                  <c:v>0.92</c:v>
                </c:pt>
                <c:pt idx="109">
                  <c:v>0.92</c:v>
                </c:pt>
                <c:pt idx="110">
                  <c:v>0.92</c:v>
                </c:pt>
                <c:pt idx="111">
                  <c:v>0.92</c:v>
                </c:pt>
                <c:pt idx="112">
                  <c:v>0.92</c:v>
                </c:pt>
                <c:pt idx="113">
                  <c:v>0.92</c:v>
                </c:pt>
                <c:pt idx="114">
                  <c:v>0.92</c:v>
                </c:pt>
                <c:pt idx="115">
                  <c:v>0.93</c:v>
                </c:pt>
                <c:pt idx="116">
                  <c:v>0.93</c:v>
                </c:pt>
                <c:pt idx="117">
                  <c:v>0.93</c:v>
                </c:pt>
                <c:pt idx="118">
                  <c:v>0.93</c:v>
                </c:pt>
                <c:pt idx="119">
                  <c:v>0.93</c:v>
                </c:pt>
                <c:pt idx="120">
                  <c:v>0.93</c:v>
                </c:pt>
                <c:pt idx="121">
                  <c:v>0.94</c:v>
                </c:pt>
                <c:pt idx="122">
                  <c:v>0.94</c:v>
                </c:pt>
                <c:pt idx="123">
                  <c:v>0.94</c:v>
                </c:pt>
                <c:pt idx="124">
                  <c:v>0.94</c:v>
                </c:pt>
                <c:pt idx="125">
                  <c:v>0.94</c:v>
                </c:pt>
                <c:pt idx="126">
                  <c:v>0.94</c:v>
                </c:pt>
                <c:pt idx="127">
                  <c:v>0.94</c:v>
                </c:pt>
                <c:pt idx="128">
                  <c:v>0.94</c:v>
                </c:pt>
                <c:pt idx="129">
                  <c:v>0.94</c:v>
                </c:pt>
                <c:pt idx="130">
                  <c:v>0.95</c:v>
                </c:pt>
                <c:pt idx="131">
                  <c:v>0.95</c:v>
                </c:pt>
                <c:pt idx="132">
                  <c:v>0.95</c:v>
                </c:pt>
                <c:pt idx="133">
                  <c:v>0.96</c:v>
                </c:pt>
                <c:pt idx="134">
                  <c:v>0.96</c:v>
                </c:pt>
                <c:pt idx="135">
                  <c:v>0.96</c:v>
                </c:pt>
                <c:pt idx="136">
                  <c:v>0.96</c:v>
                </c:pt>
                <c:pt idx="137">
                  <c:v>0.96</c:v>
                </c:pt>
                <c:pt idx="138">
                  <c:v>0.96</c:v>
                </c:pt>
                <c:pt idx="139">
                  <c:v>0.96</c:v>
                </c:pt>
                <c:pt idx="140">
                  <c:v>0.96</c:v>
                </c:pt>
                <c:pt idx="141">
                  <c:v>0.96</c:v>
                </c:pt>
                <c:pt idx="142">
                  <c:v>0.96</c:v>
                </c:pt>
                <c:pt idx="143">
                  <c:v>0.97</c:v>
                </c:pt>
                <c:pt idx="144">
                  <c:v>0.97</c:v>
                </c:pt>
                <c:pt idx="145">
                  <c:v>0.97</c:v>
                </c:pt>
                <c:pt idx="146">
                  <c:v>0.97</c:v>
                </c:pt>
                <c:pt idx="147">
                  <c:v>0.97</c:v>
                </c:pt>
                <c:pt idx="148">
                  <c:v>0.97</c:v>
                </c:pt>
                <c:pt idx="149">
                  <c:v>0.97</c:v>
                </c:pt>
                <c:pt idx="150">
                  <c:v>0.98</c:v>
                </c:pt>
                <c:pt idx="151">
                  <c:v>0.98</c:v>
                </c:pt>
                <c:pt idx="152">
                  <c:v>0.98</c:v>
                </c:pt>
                <c:pt idx="153">
                  <c:v>0.98</c:v>
                </c:pt>
                <c:pt idx="154">
                  <c:v>0.98</c:v>
                </c:pt>
                <c:pt idx="155">
                  <c:v>0.98</c:v>
                </c:pt>
                <c:pt idx="156">
                  <c:v>1</c:v>
                </c:pt>
                <c:pt idx="157">
                  <c:v>1</c:v>
                </c:pt>
                <c:pt idx="158">
                  <c:v>1</c:v>
                </c:pt>
                <c:pt idx="159">
                  <c:v>1</c:v>
                </c:pt>
                <c:pt idx="160">
                  <c:v>1</c:v>
                </c:pt>
                <c:pt idx="161">
                  <c:v>1</c:v>
                </c:pt>
                <c:pt idx="162">
                  <c:v>1</c:v>
                </c:pt>
                <c:pt idx="163">
                  <c:v>1</c:v>
                </c:pt>
                <c:pt idx="164">
                  <c:v>1</c:v>
                </c:pt>
                <c:pt idx="165">
                  <c:v>1</c:v>
                </c:pt>
                <c:pt idx="166">
                  <c:v>1</c:v>
                </c:pt>
                <c:pt idx="167">
                  <c:v>1</c:v>
                </c:pt>
                <c:pt idx="168">
                  <c:v>1</c:v>
                </c:pt>
                <c:pt idx="169">
                  <c:v>1</c:v>
                </c:pt>
                <c:pt idx="170">
                  <c:v>1</c:v>
                </c:pt>
                <c:pt idx="171">
                  <c:v>1</c:v>
                </c:pt>
                <c:pt idx="172">
                  <c:v>1</c:v>
                </c:pt>
                <c:pt idx="173">
                  <c:v>1</c:v>
                </c:pt>
                <c:pt idx="174">
                  <c:v>1</c:v>
                </c:pt>
                <c:pt idx="175">
                  <c:v>1</c:v>
                </c:pt>
                <c:pt idx="176">
                  <c:v>1</c:v>
                </c:pt>
                <c:pt idx="177">
                  <c:v>1</c:v>
                </c:pt>
                <c:pt idx="178">
                  <c:v>1</c:v>
                </c:pt>
                <c:pt idx="179">
                  <c:v>1</c:v>
                </c:pt>
              </c:numCache>
            </c:numRef>
          </c:yVal>
          <c:smooth val="0"/>
        </c:ser>
        <c:dLbls>
          <c:showLegendKey val="0"/>
          <c:showVal val="0"/>
          <c:showCatName val="0"/>
          <c:showSerName val="0"/>
          <c:showPercent val="0"/>
          <c:showBubbleSize val="0"/>
        </c:dLbls>
        <c:axId val="103742080"/>
        <c:axId val="117572736"/>
      </c:scatterChart>
      <c:valAx>
        <c:axId val="103742080"/>
        <c:scaling>
          <c:orientation val="minMax"/>
        </c:scaling>
        <c:delete val="1"/>
        <c:axPos val="b"/>
        <c:title>
          <c:tx>
            <c:rich>
              <a:bodyPr/>
              <a:lstStyle/>
              <a:p>
                <a:pPr>
                  <a:defRPr/>
                </a:pPr>
                <a:r>
                  <a:rPr lang="en-US"/>
                  <a:t>Center</a:t>
                </a:r>
              </a:p>
            </c:rich>
          </c:tx>
          <c:layout>
            <c:manualLayout>
              <c:xMode val="edge"/>
              <c:yMode val="edge"/>
              <c:x val="0.49322144849898658"/>
              <c:y val="0.93824110695840424"/>
            </c:manualLayout>
          </c:layout>
          <c:overlay val="0"/>
        </c:title>
        <c:majorTickMark val="out"/>
        <c:minorTickMark val="none"/>
        <c:tickLblPos val="nextTo"/>
        <c:crossAx val="117572736"/>
        <c:crosses val="autoZero"/>
        <c:crossBetween val="midCat"/>
      </c:valAx>
      <c:valAx>
        <c:axId val="117572736"/>
        <c:scaling>
          <c:orientation val="minMax"/>
        </c:scaling>
        <c:delete val="0"/>
        <c:axPos val="l"/>
        <c:majorGridlines/>
        <c:title>
          <c:tx>
            <c:rich>
              <a:bodyPr rot="-5400000" vert="horz"/>
              <a:lstStyle/>
              <a:p>
                <a:pPr>
                  <a:defRPr/>
                </a:pPr>
                <a:r>
                  <a:rPr lang="en-US"/>
                  <a:t>% Antiplatelet Agents</a:t>
                </a:r>
              </a:p>
            </c:rich>
          </c:tx>
          <c:layout>
            <c:manualLayout>
              <c:xMode val="edge"/>
              <c:yMode val="edge"/>
              <c:x val="1.6294346655769335E-3"/>
              <c:y val="0.34341449254327078"/>
            </c:manualLayout>
          </c:layout>
          <c:overlay val="0"/>
        </c:title>
        <c:numFmt formatCode="0%" sourceLinked="1"/>
        <c:majorTickMark val="out"/>
        <c:minorTickMark val="none"/>
        <c:tickLblPos val="nextTo"/>
        <c:crossAx val="103742080"/>
        <c:crosses val="autoZero"/>
        <c:crossBetween val="midCat"/>
      </c:valAx>
    </c:plotArea>
    <c:legend>
      <c:legendPos val="t"/>
      <c:overlay val="0"/>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Albany AMT, Helvetic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B6357"/>
    <w:rsid w:val="002F052A"/>
    <w:rsid w:val="00350176"/>
    <w:rsid w:val="003840F0"/>
    <w:rsid w:val="00437537"/>
    <w:rsid w:val="0053654E"/>
    <w:rsid w:val="006262B8"/>
    <w:rsid w:val="00632A7E"/>
    <w:rsid w:val="00632AB6"/>
    <w:rsid w:val="00723AEA"/>
    <w:rsid w:val="00730B33"/>
    <w:rsid w:val="00772B2A"/>
    <w:rsid w:val="007C672A"/>
    <w:rsid w:val="007D4368"/>
    <w:rsid w:val="00822666"/>
    <w:rsid w:val="00823ECC"/>
    <w:rsid w:val="00847B93"/>
    <w:rsid w:val="00866C97"/>
    <w:rsid w:val="009017AE"/>
    <w:rsid w:val="009A0DA3"/>
    <w:rsid w:val="009C542D"/>
    <w:rsid w:val="00A95183"/>
    <w:rsid w:val="00AB4AF7"/>
    <w:rsid w:val="00AD7C4F"/>
    <w:rsid w:val="00B445F5"/>
    <w:rsid w:val="00BD40CB"/>
    <w:rsid w:val="00C362A2"/>
    <w:rsid w:val="00C90121"/>
    <w:rsid w:val="00CA344F"/>
    <w:rsid w:val="00D1676E"/>
    <w:rsid w:val="00DC0246"/>
    <w:rsid w:val="00E017BA"/>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7BB2DF5-3BEE-48E2-8237-4578E6579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3729</Words>
  <Characters>21257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jrathbun</cp:lastModifiedBy>
  <cp:revision>2</cp:revision>
  <dcterms:created xsi:type="dcterms:W3CDTF">2015-02-06T23:56:00Z</dcterms:created>
  <dcterms:modified xsi:type="dcterms:W3CDTF">2015-02-06T23:56:00Z</dcterms:modified>
</cp:coreProperties>
</file>