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0471e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 xml:space="preserve">ePC-02 Cesarean Birth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The Joint Commission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 xml:space="preserve">This measure assesses the number of nulliparous women with a term, singleton baby in a vertex position delivered by cesarean birth.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removal of any pressure to not perform a cesarean birth has led to a skyrocketing of hospital, state and national cesarean birth (CB) rates. Some hospitals’ CB rates were over 50%. Hospitals with CB rates at 15-20% have infant outcomes that are just as good and better maternal outcomes (Symum et al., 2021). There is no data that higher rates improve any outcomes, yet the CB rates continue to rise. This measure seeks to focus attention on the most variable portion of the CB epidemic, the term labor CB in nulliparous women. This population segment accounts for the large majority of the variable portion of the CB rate and is the area most affected by subjectivity.</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As compared to other CB measures, what is different about NTSV CB rate (Primary CB in first births with term singleton pregnancies in head down position) is that there are clear cut quality improvement activities that can be done to address the differences. Main et al. (2012) found that over 60% of the variation among hospitals can be attributed to first birth labor induction rates and first birth early labor admission rates. The results showed if labor was forced when the cervix was not ready the outcomes were poorer. Rosenstein et al. (2021) also showed that labor and delivery guidelines can make a difference in labor outcomes. Many authors have shown that physician factors, rather than patient characteristics or obstetric diagnoses are the major driver for the difference in rates within a hospital (Berkowitz, et al.,1989; Goyert et al., 1989; Luthy et al., 2003, Symum et al., 2021). The dramatic variation in cesarean rates seen in all populations studied is striking. (Cesarean rates varied tenfold in US hospitals nationwide across hospitals, from 7.1 % to 69.9 % and there was a 15-fold variation among low-risk women, from 2.4% to 36.5% (Kozhimannil et al., 2013).</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 reduction in the number of nulliparous patients with live term singleton newborns in vertex position (NTSV) delivering by cesarean birth will result in increased patient safety, a substantial decrease in maternal and neonatal morbidity and substantial savings in health care costs. Successful quality improvement efforts incorporate audit and feedback strategies combined with provider and nurse education, guidelines and peer review.</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measure will assist health care organizations (HCOs) to track nulliparous patients with live term singleton newborns in vertex position delivering by cesarean birth to reduce the occurrence. Nulliparous women have 4-6 times the cesarean birth rate than multiparous women thus the NTSV population is the largest driver of primary cesarean birth rate (Sakala et al. 2020). NTSV has a large variation among facilities, thus identifying an important population on which to focus quality improvement efforts.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In addition, a reduction in primary cesarean births will reduce the number of women having repeat cesarean births (almost 90% of mothers who have a primary cesarean birth will have subsequent cesarean birth (CDC, 2020)). Thus, improvement in the rates of cesarean birth for the first birth will reduce the morbidity of all future births and avoid all the controversies with trial of labor after cesarean/elective repeat cesareans.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Sources</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Agency for Healthcare Research and Quality. (2002). AHRQ Quality Indicators Guide to Inpatient Quality Indicators: Quality of Care in Hospitals Volume, Mortality, and Utilization. Revision 4 (December 22, 2004). AHRQ Pub. No. 02-RO204.</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American College of Obstetricians and Gynecologists. (2000). Task Force on Cesarean Delivery Rates. Evaluation of Cesarean Delivery. (Developed under the direction of the Task Force on Cesarean Delivery Rates, Roger K. Freeman, MD, Chair, Arnold W. Cohen, MD, Richard Depp III, MD, Fredric D. Frigoletto Jr, MD, Gary D.V. Hankins, MD, Ellice Lieberman, MD, DrPH, M. Kathryn Menard, MD, David A. Nagey, MD, Carol W. Saffold, MD, Lisa Sams, RNC, MSN and ACOG Staff: Stanley Zinberg, MD, MS, Debra A. Hawks, MPH, and Elizabeth Steele)</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Bailit, J.L., Garrett, J.M., Miller, W.C., McMahon, M.J., &amp; Cefalo, R.C. (2002). Hospital primary cesarean delivery rates and the risk of poor neonatal outcomes. Am J Obstet Gynecol. 187(3):721-7.</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Bailit, J. &amp; Garrett, J. (2003). Comparison of risk-adjustment methodologies. Am J Obstet Gynecol.102:45-51.</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Bailit, J.L., Love, T.E., &amp; Dawson, N.V. (2006). Quality of obstetric care and risk-adjusted primary cesarean delivery rates. Am J Obstet Gynecol.194:402.</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Bailit, J.L. (2007). Measuring the quality of inpatient obstetrical care. Ob Gyn Sur. 62:207-213.</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Berkowitz, G.S., Fiarman, G.S., Mojica, M.A., et al. (1989). Effect of physician characteristics on the cesarean birth rate. Am J Obstet Gynecol. 161:146-9.</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Cleary, R., Beard, R.W., Chapple, J., Coles, J., Griffin, M., &amp; Joffe, M. (1996). The standard primipara as a basis for inter-unit comparisons of maternity care. Br J Obstet Gynecol. 103:223-9.</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DiGiuseppe, D.L., Aron, D.C., Payne, S.M., Snow, R.J., Dieker, L., &amp; Rosenthal, G.E. (2001). Risk adjusting cesarean delivery rates: a comparison of hospital profiles based on medical record and birth certificate data. Health Serv Res.36:959-77.</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Goyert, G.L., Bottoms, F.S., Treadwell, M.C., et al. (1989). The physician factor in cesarean birth rates. N Engl J Med.320:706-9.</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Kozhimannil, K. B., Law, M. R., &amp; Virnig, B. A. (2013). Cesarean delivery rates vary tenfold among US hospitals; reducing variation may address quality and cost issues. Health affairs (Project Hope), 32(3), 527–535. https://doi.org/10.1377/hlthaff.2012.1030</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Le Ray, C., Carayol, M., Zeitlin, J., Berat, G., &amp; Goffinet, F. (2006). Level of perinatal care of the maternity unit and rate of cesarean in low-risk nulliparas. Am J Obstet Gynecol. 107:1269-77.</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Luthy, D.A., Malmgren, J.A., Zingheim, R.W., &amp; Leininger, C.J. (2003). Physician contribution to a cesarean delivery risk model. Am J Obstet Gynecol.188:1579-85.</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Main E.K., Bloomfield, L., &amp; Hunt, G. (2004). Development of a large-scale obstetric quality-improvement program that focused on the nulliparous patient at term. Am J Obstet Gynecol.190:1747-58.</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Main, E. K., Chang, S. C., Cape, V., Sakowski, C., Smith, H., &amp; Vasher, J. (2019). Safety Assessment of a Large-Scale Improvement Collaborative to Reduce Nulliparous Cesarean Delivery Rates. Obstetrics and gynecology, 133(4), 613–623. https://doi.org/10.1097/AOG.0000000000003109</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Main, E.K., Moore, D., Farrell, B., Schimmel, L.D., Altman, R.J., Abrahams, C., et al., (2006). Is there a useful cesarean birth measure? Assessment of the nulliparous term singleton vertex cesarean birth rate as a tool for obstetric quality improvement. Am J Obstet Gynecol. 194:1644-51.</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Main, E. K., Morton, C. H., Melsop, K., Hopkins, D., Giuliani, G., &amp; Gould, J. B. (2012). Creating a public agenda for maternity safety and quality in cesarean delivery. Obstetrics and gynecology, 120(5), 1194–1198. https://doi.org/10.1097/aog.0b013e31826fc13d</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Center for Disease Control (2020) </w:t>
      </w:r>
      <w:r>
        <w:rPr>
          <w:rFonts w:ascii="Calibri" w:eastAsia="Calibri" w:hAnsi="Calibri" w:cs="Calibri"/>
          <w:b w:val="0"/>
          <w:i/>
          <w:iCs/>
          <w:color w:val="000000"/>
          <w:sz w:val="20"/>
        </w:rPr>
        <w:t xml:space="preserve">Recent trends in vaginal birth after cesarean delivery: United States, 2016-2018. </w:t>
      </w:r>
      <w:r>
        <w:rPr>
          <w:rFonts w:ascii="Calibri" w:eastAsia="Calibri" w:hAnsi="Calibri" w:cs="Calibri"/>
          <w:b w:val="0"/>
          <w:color w:val="000000"/>
          <w:sz w:val="20"/>
        </w:rPr>
        <w:t>Retrieved from National Center for Health Statistics: https://www.cdc.gov/nchs/products/databriefs/db359.htm</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Romano, P.S., Yasmeen, S., Schembri, M.E., Keyzer, J.M., &amp; Gilbert, W.M. (2005). Coding of perineal lacerations and other complications of obstetric care in hospital discharge data. Am J Obstet Gynecol.106:717-25.</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Rosenstein, M. G., Chang, S. C., Sakowski, C., Markow, C., Teleki, S., Lang, L., Logan, J., Cape, V., &amp; Main, E. K. (2021). Hospital Quality Improvement Interventions, Statewide Policy Initiatives, and Rates of Cesarean Delivery for Nulliparous, Term, Singleton, Vertex Births in California. </w:t>
      </w:r>
      <w:r>
        <w:rPr>
          <w:rFonts w:ascii="Calibri" w:eastAsia="Calibri" w:hAnsi="Calibri" w:cs="Calibri"/>
          <w:b w:val="0"/>
          <w:i/>
          <w:iCs/>
          <w:color w:val="000000"/>
          <w:sz w:val="20"/>
        </w:rPr>
        <w:t>JAMA</w:t>
      </w:r>
      <w:r>
        <w:rPr>
          <w:rFonts w:ascii="Calibri" w:eastAsia="Calibri" w:hAnsi="Calibri" w:cs="Calibri"/>
          <w:b w:val="0"/>
          <w:color w:val="000000"/>
          <w:sz w:val="20"/>
        </w:rPr>
        <w:t xml:space="preserve">, </w:t>
      </w:r>
      <w:r>
        <w:rPr>
          <w:rFonts w:ascii="Calibri" w:eastAsia="Calibri" w:hAnsi="Calibri" w:cs="Calibri"/>
          <w:b w:val="0"/>
          <w:i/>
          <w:iCs/>
          <w:color w:val="000000"/>
          <w:sz w:val="20"/>
        </w:rPr>
        <w:t>325</w:t>
      </w:r>
      <w:r>
        <w:rPr>
          <w:rFonts w:ascii="Calibri" w:eastAsia="Calibri" w:hAnsi="Calibri" w:cs="Calibri"/>
          <w:b w:val="0"/>
          <w:color w:val="000000"/>
          <w:sz w:val="20"/>
        </w:rPr>
        <w:t>(16), 1631–1639. https://doi.org/10.1001/jama.2021.3816</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Sakala, C., Belanoff, C., &amp; Declercq, E. R. (2020). Factors Associated with Unplanned Primary Cesarean Birth: Secondary Analysis of the Listening to Mothers in California Survey. BMC pregnancy and childbirth, 20(1), 462. https://doi.org/10.1186/s12884-020-03095-4</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Symum, H., &amp; Zayas-Castro, J. L. (2021). A Multistate Decomposition Analysis of Cesarean Rate Variations, Associated Health Outcomes, and Financial Implications in the United States. </w:t>
      </w:r>
      <w:r>
        <w:rPr>
          <w:rFonts w:ascii="Calibri" w:eastAsia="Calibri" w:hAnsi="Calibri" w:cs="Calibri"/>
          <w:b w:val="0"/>
          <w:i/>
          <w:iCs/>
          <w:color w:val="000000"/>
          <w:sz w:val="20"/>
        </w:rPr>
        <w:t>American journal of perinatology</w:t>
      </w:r>
      <w:r>
        <w:rPr>
          <w:rFonts w:ascii="Calibri" w:eastAsia="Calibri" w:hAnsi="Calibri" w:cs="Calibri"/>
          <w:b w:val="0"/>
          <w:color w:val="000000"/>
          <w:sz w:val="20"/>
        </w:rPr>
        <w:t>, 10.1055/s-0041-1736538. Advance online publication. https://doi.org/10.1055/s-0041-1736538</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U.S. Department of Health and Human Services. (n.d.). Reduce cesarean births among low-risk women with no prior births-MICH-06. Retrieved from Healthy People 2030: https://health.gov/healthypeople/objectives-and-data/browse-objectives/pregnancy-and-childbirth/reduce-cesarean-births-among-low-risk-women-no-prior-births-mich-06</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Yasmeen, S., Romano, P.S., Schembri, M.E., Keyzer, J.M., &amp; Gilbert, W.M. (2006). Accuracy of obstetric diagnoses and procedures in hospital discharge data. Am J Obstet Gynecol. 194:992-1001.</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Inpatient hospitalizations for patients who deliver by cesarean section.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Inpatient hospitalizations for nulliparous patients delivered of a live term singleton newborn &gt;= 37 weeks gestation.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Inpatient hospitalizations for patients with abnormal presentation or placenta previa during the encounter.</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Outcome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Data</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Records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2022-12-12 05:00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861447"/>
            <wp:docPr id="100008" name="" descr="Healthcare processes which lead to fewer first-time delivering persons experiencing cesarean births and reduced obstetric and neonatal morbid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5943600" cy="3861447"/>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will assist health care organizations to track nulliparous patients with live term singleton newborns in vertex position delivering by cesarean birth to reduce the occurrence of cesarean births.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reduction in the number of nulliparous patients with live term singleton newborns in vertex position (NTSV) delivering by cesarean birth will result in increased patient safety, a substantial decrease in maternal and neonatal morbidity and substantial savings in health care costs. Successful quality improvement efforts incorporate audit and feedback strategies combined with provider and nurse education, guidelines and peer review.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Provide evidence that the target population values the measured outcome, process, or structure and finds it meaningful.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how and from whom input was obtained.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Sakala et al., (2020) performed a secondary analysis of the </w:t>
      </w:r>
      <w:r>
        <w:rPr>
          <w:rFonts w:ascii="Calibri" w:eastAsia="Calibri" w:hAnsi="Calibri" w:cs="Calibri"/>
          <w:b w:val="0"/>
          <w:i/>
          <w:iCs/>
          <w:color w:val="000000"/>
          <w:sz w:val="20"/>
        </w:rPr>
        <w:t>Listening to Mothers in California Survey.</w:t>
      </w:r>
      <w:r>
        <w:rPr>
          <w:rFonts w:ascii="Calibri" w:eastAsia="Calibri" w:hAnsi="Calibri" w:cs="Calibri"/>
          <w:b w:val="0"/>
          <w:i w:val="0"/>
          <w:color w:val="000000"/>
          <w:sz w:val="20"/>
        </w:rPr>
        <w:t xml:space="preserve"> The study provided outreach materials and a survey questionnaire which were to address California population and policy issues. A sample of women who had a cesarean delivery between September 1 and December 15, 2016, were selected for participation. Relevant survey results showed almost one in three (30%) respondents sought information about cesarean rates of prospective hospitals, with the majority able to find this information. Also, about one in three correctly understood that the quality of care varies across both obstetricians and hospital maternity units. Providing women with a reliable resource to find hospital cesarean birth rates, supports the engagement of women in their care. This study provides evidence that the target population values the measured outcome, and the quality of the care they receive.</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Sakala, C., Belanoff, C., &amp; Declercq, E. R. (2020). Factors Associated with Unplanned Primary Cesarean Birth: Secondary Analysis of the Listening to Mothers in California Survey. BMC pregnancy and childbirth, 20(1), 462. https://doi.org/10.1186/s12884-020-03095-4</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empirical data demonstrating the relationship between the outcome (or PRO) and at least one healthcare structure, process, intervention, or service.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American College of Obstetricians and Gynecologists (College), Society for Maternal-Fetal Medicine, Caughey, A. B., Cahill, A. G., Guise, J. M., &amp; Rouse, D. J. (2014, reaffirmed 2019). Safe prevention of the primary cesarean delivery. </w:t>
      </w:r>
      <w:r>
        <w:rPr>
          <w:rFonts w:ascii="Calibri" w:eastAsia="Calibri" w:hAnsi="Calibri" w:cs="Calibri"/>
          <w:b/>
          <w:bCs/>
          <w:i/>
          <w:iCs/>
          <w:color w:val="000000"/>
          <w:sz w:val="20"/>
        </w:rPr>
        <w:t>American journal of obstetrics and gynecology</w:t>
      </w:r>
      <w:r>
        <w:rPr>
          <w:rFonts w:ascii="Calibri" w:eastAsia="Calibri" w:hAnsi="Calibri" w:cs="Calibri"/>
          <w:b/>
          <w:bCs/>
          <w:i w:val="0"/>
          <w:color w:val="000000"/>
          <w:sz w:val="20"/>
        </w:rPr>
        <w:t xml:space="preserve">, </w:t>
      </w:r>
      <w:r>
        <w:rPr>
          <w:rFonts w:ascii="Calibri" w:eastAsia="Calibri" w:hAnsi="Calibri" w:cs="Calibri"/>
          <w:b/>
          <w:bCs/>
          <w:i/>
          <w:iCs/>
          <w:color w:val="000000"/>
          <w:sz w:val="20"/>
        </w:rPr>
        <w:t>210</w:t>
      </w:r>
      <w:r>
        <w:rPr>
          <w:rFonts w:ascii="Calibri" w:eastAsia="Calibri" w:hAnsi="Calibri" w:cs="Calibri"/>
          <w:b/>
          <w:bCs/>
          <w:i w:val="0"/>
          <w:color w:val="000000"/>
          <w:sz w:val="20"/>
        </w:rPr>
        <w:t>(3), 179–193. https://doi.org/10.1016/j.ajog.2014.01.026</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intent of this measure is to reduce the rates of cesarean sections, and as a result, reduce the number of complications and negative outcomes for moms and babies. In 2011, one in three women who gave birth in the United States did so by cesarean delivery. Even though the rates of primary and total cesarean delivery have plateaued recently, there was a rapid increase in cesarean rates from 1996 to 2011. Although cesarean delivery can be lifesaving for the fetus, the mother, or both in certain cases, the rapid increase in the rate of cesarean births without evidence of concomitant decreases in maternal or neonatal morbidity or mortality raises significant concern that cesarean delivery is overused. Therefore, it is important for health care providers to understand the short-term and long-term tradeoffs between cesarean and vaginal delivery, as well as the safe and appropriate opportunities to prevent overuse of cesarean delivery, particularly primary cesarean delivery.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recommendations by the American College of Obstetricians and Gynecologists have identified 40 studies that help to support the evidence in reducing the number of nulliparous, term, singleton newborns in vertex position to be delivered by cesarean birth. Of those studies, there were Population-based, Retrospective-Cohort, Prospective, Randomized trials, and Meta-analysis studies performed. Some of those recommendations include: allowing for increased length of time for pushing during the active stage of labor (at least 2 hours of pushing in multiparous women and 3 hours of pushing for nulliparous patients) and operative vaginal delivery in the second stage of labor by experienced and well-trained physicians should be considered a safe, acceptable alternative to cesarean delivery. Training in, and ongoing maintenance of, practical skills related to operative vaginal delivery should be encouraged (forceps or manual rotation/aversion). Several approaches are needed to reduce the primary cesarean delivery rate, which in turn would lower the repeat cesarean delivery rate. Although national and regional organizations can take the lead in setting the agenda regarding the safe prevention of primary cesarean delivery, such an agenda will need to be prioritized at the level of practices, hospitals, health care systems, and, of course, patients.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2007 review found that the cesarean delivery rate was reduced by 13% when audit and feedback were used exclusively and decreased by 27% when audit and feedback were used as part of a multifaceted intervention, which involved second opinions and culture change. Systemic interventions, therefore, provide an important strategic opportunity for reducing cesarean delivery rates. However, the specific interventional approaches have not been studied in large, prospective trials, thus specific recommendations cannot be made.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noted in this source, a large population-based study from Canada found that the risk of severe maternal morbidities––defined as hemorrhage that requires hysterectomy or transfusion, uterine rupture, anesthetic complications, shock, cardiac arrest, acute renal failure, assisted ventilation, venous thromboembolism, major infection, or in-hospital wound disruption or hematoma––was increased threefold for cesarean delivery as compared with vaginal delivery (2.7% versus 0.9%, respectively). There also are concerns regarding the long-term risks associated with cesarean delivery, particularly those associated with subsequent pregnancies. The incidence of placental abnormalities, such as placenta previa, in future pregnancies increases with each subsequent cesarean delivery, from 1% with one prior cesarean delivery to almost 3% with three or with three or more prior cesarean deliveries. This combination of complications not only significantly increases maternal morbidity but also increases the risk of adverse neonatal outcomes, such as neonatal intensive care unit admission and perinatal death.</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cross-sectional study of the 2015–2017 California Maternal Quality Care Collaborative (CMQCC) statewide collaborative was conducted to support vaginal birth and reduce primary cesarean delivery. The study solicited hospitals with nulliparous, term, singleton, vertex cesarean delivery rates greater than 23.9%. Fifty-six hospitals with more than 119,000 annual births participated. Of these, 87.5% were community facilities. Safety measures were derived using data collected as part of routine care and submitted monthly. Data was obtained from birth certificates, maternal and neonatal discharge diagnosis and procedure files, and selected clinical data elements submitted as supplemental data files. Maternal measures included chorioamnionitis, blood transfusions, third- or fourth-degree lacerations, and operative vaginal delivery. Neonatal measures included the severe unexpected newborn complications metric and 5-minute Apgar scores less than 5. Mixed-effect multivariable logistic regression model was used to calculate odds ratios (Ors) and 95% CIs.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Results demonstrated among collaborative hospitals that the nulliparous, term, singleton, vertex cesarean delivery rate fell from 29.3% in 2015 to 25.0% in 2017. The tercile of hospitals with the greatest decline (31.2%–20.6%, 2017 vs 2015 aOR 0.54, 95% CI 0.50–0.58) was evaluated to determine whether they had greater risk of poor maternal and neonatal outcomes. No measure was statistically worse, and the severe unexpected newborn complications composite actually declined (3.2%–2.2%, aOR 0.71, 95% CI 0.55–0.92). The findings of this study support that reductions in cesarean delivery rates need not lead to worse neonatal or maternal outcomes.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Main, E. K., Chang, S. C., Cape, V., Sakowski, C., Smith, H., &amp; Vasher, J. (2019). Safety Assessment of a Large-Scale Improvement Collaborative to Reduce Nulliparous Cesarean Delivery Rates. </w:t>
      </w:r>
      <w:r>
        <w:rPr>
          <w:rFonts w:ascii="Calibri" w:eastAsia="Calibri" w:hAnsi="Calibri" w:cs="Calibri"/>
          <w:b/>
          <w:bCs/>
          <w:i/>
          <w:iCs/>
          <w:color w:val="000000"/>
          <w:sz w:val="20"/>
        </w:rPr>
        <w:t>Obstetrics and gynecology</w:t>
      </w:r>
      <w:r>
        <w:rPr>
          <w:rFonts w:ascii="Calibri" w:eastAsia="Calibri" w:hAnsi="Calibri" w:cs="Calibri"/>
          <w:b/>
          <w:bCs/>
          <w:i w:val="0"/>
          <w:color w:val="000000"/>
          <w:sz w:val="20"/>
        </w:rPr>
        <w:t xml:space="preserve">, </w:t>
      </w:r>
      <w:r>
        <w:rPr>
          <w:rFonts w:ascii="Calibri" w:eastAsia="Calibri" w:hAnsi="Calibri" w:cs="Calibri"/>
          <w:b/>
          <w:bCs/>
          <w:i/>
          <w:iCs/>
          <w:color w:val="000000"/>
          <w:sz w:val="20"/>
        </w:rPr>
        <w:t>133</w:t>
      </w:r>
      <w:r>
        <w:rPr>
          <w:rFonts w:ascii="Calibri" w:eastAsia="Calibri" w:hAnsi="Calibri" w:cs="Calibri"/>
          <w:b/>
          <w:bCs/>
          <w:i w:val="0"/>
          <w:color w:val="000000"/>
          <w:sz w:val="20"/>
        </w:rPr>
        <w:t>(4), 613–623. https://doi.org/10.1097/AOG.0000000000003109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2015, nulliparous, term, singleton, vertex cesarean delivery rate ranged from 11.3% to 76.9% in 248 California hospitals with maternity services. Fifty-six hospitals, all among those with initial rates above 23.9% participated inCalifornia Maternal Quality Care Collaborative’s (CMQCC) Supporting Vaginal Birth collaborative. The overall nulliparous, term, singleton, vertex cesarean delivery rates declined by 4.5 percentage points (a relative decline of 15.5%), from 29.1% in the first two quarters in 2015 to 24.6% in the last two quarters in 2017. The largest decline happened in the third and fourth quarters of 2016, when the collaborative initiated. Twenty-four of the 56 participating hospitals lowered their nulliparous, term, singleton, vertex cesarean delivery rates to below the Healthy People 2020 target of 23.9% in 2017. Ten of them lowered the rates even further, to below 20% (range 15.0–19.9%). Similar to the analysis based on the absolute amount of decline shown above, we did not observe an increase in adverse maternal or neonatal outcomes even among those with these lower final rates (hospitals with 2017 nulliparous, term, singleton, vertex cesarean delivery rate between 15.0% and 19.9%). Rates of severe unexpected newborn complications also declined from 2.5% in 2015 to 2.2% in 2017 in this group, but not significantly with an adjusted OR of 0.84 (95% CI 0.58–1.20). The size of this study is noteworthy. Fifty-six hospitals participated with a total annual delivery volume of 119,000 women. This is a higher delivery volume than in all but nine U.S. states. All hospitals in the collaborative had a starting nulliparous, term, singleton, vertex cesarean delivery rate higher than the Healthy People 2020 national target of 23.9%.18 Importantly, the majority of collaborative hospitals were community hospitals (87%), representing the predominant care model in the United States. The CMQCC Supporting Vaginal Birth collaborative interventions emphasized reducing latent phase cesarean deliveries, implementation of ACOG–SMFM guidelines for diagnosis and management of active phase disorders, and enhanced nursing support (increased walking and upright positioning, use of peanut balls, and interpersonal coaching). Providers did not increase their operative vaginal delivery rates. Findings provide evidence that a reduction in first birth cesarean delivery rates need not be associated with more difficult vaginal births or higher rates of major perineal lacerations. The large number of nulliparous, term, singleton, vertex deliveries provided the ability to confidently examine maternal and neonatal complications that are infrequent. The range of improvement among the 56 hospitals created the opportunity to perform a sensitivity analysis comparing hospitals with very high levels of cesarean delivery rate reduction (217.1 to 27.1 percentage points) with those with limited change (22.4 to +4.7 percentage points). The rate of severe unexpected newborn complications (the major composite index for neonatal outcomes) actually improved in hospitals with the greatest reduction in nulliparous, term, singleton, vertex cesarean delivery rate. This is in concordance with several of the single hospital studies noted.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removal of any pressure to not perform a cesarean birth has led to a skyrocketing of hospital, state and national cesarean birth (CB) rates. Some hospitals’ CB rates were over 50%. Hospitals with CB rates at 15-20% have infant outcomes that are just as good and better maternal outcomes (Symum et al., 2021). There is no data that higher rates improve any outcomes, yet the CB rates continue to rise. This measure seeks to focus attention on the most variable portion of the CB epidemic, the term labor CB in nulliparous women. This population segment accounts for the large majority of the variable portion of the CB rate and is the area most affected by subjectivity.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compared to other CB measures, what is different about NTSV CB rate (Primary CB in first births with term singleton pregnancies in head down position) is that there are clear cut quality improvement activities that can be done to address the differences. Main et al. (2012) found that over 60% of the variation among hospitals can be attributed to first birth labor induction rates and first birth early labor admission rates. The results showed if labor was forced when the cervix was not ready the outcomes were poorer. Rosenstein et al. (2021) also showed that labor and delivery guidelines can make a difference in labor outcomes. Many authors have shown that physician factors, rather than patient characteristics or obstetric diagnoses are the major driver for the difference in rates within a hospital (Berkowitz, et al.,1989; Goyert et al., 1989; Luthy et al., 2003, Symum et al., 2021). The dramatic variation in cesarean rates seen in all populations studied is striking. (Cesarean rates varied tenfold in US hospitals nationwide across hospitals, from 7.1 % to 69.9 % and there was a 15-fold variation among low-risk women, from 2.4% to 36.5% (Kozhimannil et al., 2013).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reduction in the number of nulliparous patients with live term singleton newborns in vertex position (NTSV) delivering by cesarean birth will result in increased patient safety, a substantial decrease in maternal and neonatal morbidity and substantial savings in health care costs. Successful quality improvement efforts incorporate audit and feedback strategies combined with provider and nurse education, guidelines and peer review.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measure will assist health care organizations (HCOs) to track nulliparous patients with live term singleton newborns in vertex position delivering by cesarean birth to reduce the occurrence. Nulliparous women have 4-6 times the cesarean birth rate than multiparous women thus the NTSV population is the largest driver of primary cesarean birth rate (Sakala et al. 2020). NTSV has a large variation among facilities, thus identifying an important population on which to focus quality improvement efforts.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addition, a reduction in primary cesarean births will reduce the number of women having repeat cesarean births (almost 90% of mothers who have a primary cesarean birth will have subsequent cesarean birth (CDC, 2020)). Thus, improvement in the rates of cesarean birth for the first birth will reduce the morbidity of all future births and avoid all the controversies with trial of labor after cesarean/elective repeat cesareans.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Sources</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Agency for Healthcare Research and Quality. (2002). AHRQ Quality Indicators Guide to Inpatient Quality Indicators: Quality of Care in Hospitals Volume, Mortality, and Utilization. Revision 4 (December 22, 2004). AHRQ Pub. No. 02-RO204.</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Obstetricians and Gynecologists. (2000). Task Force on Cesarean Delivery Rates. Evaluation of Cesarean Delivery. (Developed under the direction of the Task Force on Cesarean Delivery Rates, Roger K. Freeman, MD, Chair, Arnold W. Cohen, MD, Richard Depp III, MD, Fredric D. Frigoletto Jr, MD, Gary D.V. Hankins, MD, Ellice Lieberman, MD, DrPH, M. Kathryn Menard, MD, David A. Nagey, MD, Carol W. Saffold, MD, Lisa Sams, RNC, MSN and ACOG Staff: Stanley Zinberg, MD, MS, Debra A. Hawks, MPH, and Elizabeth Steele)</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Bailit, J.L., Garrett, J.M., Miller, W.C., McMahon, M.J., &amp; Cefalo, R.C. (2002). Hospital primary cesarean delivery rates and the risk of poor neonatal outcomes. Am J Obstet Gynecol. 187(3):721-7.</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Bailit, J. &amp; Garrett, J. (2003). Comparison of risk-adjustment methodologies. Am J Obstet Gynecol.102:45-51.</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Bailit, J.L., Love, T.E., &amp; Dawson, N.V. (2006). Quality of obstetric care and risk-adjusted primary cesarean delivery rates. Am J Obstet Gynecol.194:402.</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Bailit, J.L. (2007). Measuring the quality of inpatient obstetrical care. Ob Gyn Sur. 62:207-213.</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Berkowitz, G.S., Fiarman, G.S., Mojica, M.A., et al. (1989). Effect of physician characteristics on the cesarean birth rate. Am J Obstet Gynecol. 161:146-9.</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Cleary, R., Beard, R.W., Chapple, J., Coles, J., Griffin, M., &amp; Joffe, M. (1996). The standard primipara as a basis for inter-unit comparisons of maternity care. Br J Obstet Gynecol. 103:223-9.</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DiGiuseppe, D.L., Aron, D.C., Payne, S.M., Snow, R.J., Dieker, L., &amp; Rosenthal, G.E. (2001). Risk adjusting cesarean delivery rates: a comparison of hospital profiles based on medical record and birth certificate data. Health Serv Res.36:959-77.</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Goyert, G.L., Bottoms, F.S., Treadwell, M.C., et al. (1989). The physician factor in cesarean birth rates. N Engl J Med.320:706-9.</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Kozhimannil, K. B., Law, M. R., &amp; Virnig, B. A. (2013). Cesarean delivery rates vary tenfold among US hospitals; reducing variation may address quality and cost issues. Health affairs (Project Hope), 32(3), 527–535. https://doi.org/10.1377/hlthaff.2012.1030</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 Ray, C., Carayol, M., Zeitlin, J., Berat, G., &amp; Goffinet, F. (2006). Level of perinatal care of the maternity unit and rate of cesarean in low-risk nulliparas. Am J Obstet Gynecol. 107:1269-77.</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Luthy, D.A., Malmgren, J.A., Zingheim, R.W., &amp; Leininger, C.J. (2003). Physician contribution to a cesarean delivery risk model. Am J Obstet Gynecol.188:1579-85.</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Main E.K., Bloomfield, L., &amp; Hunt, G. (2004). Development of a large-scale obstetric quality-improvement program that focused on the nulliparous patient at term. Am J Obstet Gynecol.190:1747-58.</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Main, E. K., Chang, S. C., Cape, V., Sakowski, C., Smith, H., &amp; Vasher, J. (2019). Safety Assessment of a Large-Scale Improvement Collaborative to Reduce Nulliparous Cesarean Delivery Rates. Obstetrics and gynecology, 133(4), 613–623. https://doi.org/10.1097/AOG.0000000000003109</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Main, E.K., Moore, D., Farrell, B., Schimmel, L.D., Altman, R.J., Abrahams, C., et al., (2006). Is there a useful cesarean birth measure? Assessment of the nulliparous term singleton vertex cesarean birth rate as a tool for obstetric quality improvement. Am J Obstet Gynecol. 194:1644-51.</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Main, E. K., Morton, C. H., Melsop, K., Hopkins, D., Giuliani, G., &amp; Gould, J. B. (2012). Creating a public agenda for maternity safety and quality in cesarean delivery. Obstetrics and gynecology, 120(5), 1194–1198. https://doi.org/10.1097/aog.0b013e31826fc13d</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Center for Disease Control (2020) </w:t>
      </w:r>
      <w:r>
        <w:rPr>
          <w:rFonts w:ascii="Calibri" w:eastAsia="Calibri" w:hAnsi="Calibri" w:cs="Calibri"/>
          <w:b w:val="0"/>
          <w:i/>
          <w:iCs/>
          <w:color w:val="000000"/>
          <w:sz w:val="20"/>
        </w:rPr>
        <w:t xml:space="preserve">Recent trends in vaginal birth after cesarean delivery: United States, 2016-2018. </w:t>
      </w:r>
      <w:r>
        <w:rPr>
          <w:rFonts w:ascii="Calibri" w:eastAsia="Calibri" w:hAnsi="Calibri" w:cs="Calibri"/>
          <w:b w:val="0"/>
          <w:i w:val="0"/>
          <w:color w:val="000000"/>
          <w:sz w:val="20"/>
        </w:rPr>
        <w:t>Retrieved from National Center for Health Statistics: https://www.cdc.gov/nchs/products/databriefs/db359.htm</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Romano, P.S., Yasmeen, S., Schembri, M.E., Keyzer, J.M., &amp; Gilbert, W.M. (2005). Coding of perineal lacerations and other complications of obstetric care in hospital discharge data. Am J Obstet Gynecol.106:717-25.</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Rosenstein, M. G., Chang, S. C., Sakowski, C., Markow, C., Teleki, S., Lang, L., Logan, J., Cape, V., &amp; Main, E. K. (2021). Hospital Quality Improvement Interventions, Statewide Policy Initiatives, and Rates of Cesarean Delivery for Nulliparous, Term, Singleton, Vertex Births in California. </w:t>
      </w:r>
      <w:r>
        <w:rPr>
          <w:rFonts w:ascii="Calibri" w:eastAsia="Calibri" w:hAnsi="Calibri" w:cs="Calibri"/>
          <w:b w:val="0"/>
          <w:i/>
          <w:iCs/>
          <w:color w:val="000000"/>
          <w:sz w:val="20"/>
        </w:rPr>
        <w:t>JAMA</w:t>
      </w:r>
      <w:r>
        <w:rPr>
          <w:rFonts w:ascii="Calibri" w:eastAsia="Calibri" w:hAnsi="Calibri" w:cs="Calibri"/>
          <w:b w:val="0"/>
          <w:i w:val="0"/>
          <w:color w:val="000000"/>
          <w:sz w:val="20"/>
        </w:rPr>
        <w:t xml:space="preserve">, </w:t>
      </w:r>
      <w:r>
        <w:rPr>
          <w:rFonts w:ascii="Calibri" w:eastAsia="Calibri" w:hAnsi="Calibri" w:cs="Calibri"/>
          <w:b w:val="0"/>
          <w:i/>
          <w:iCs/>
          <w:color w:val="000000"/>
          <w:sz w:val="20"/>
        </w:rPr>
        <w:t>325</w:t>
      </w:r>
      <w:r>
        <w:rPr>
          <w:rFonts w:ascii="Calibri" w:eastAsia="Calibri" w:hAnsi="Calibri" w:cs="Calibri"/>
          <w:b w:val="0"/>
          <w:i w:val="0"/>
          <w:color w:val="000000"/>
          <w:sz w:val="20"/>
        </w:rPr>
        <w:t>(16), 1631–1639. https://doi.org/10.1001/jama.2021.3816</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Sakala, C., Belanoff, C., &amp; Declercq, E. R. (2020). Factors Associated with Unplanned Primary Cesarean Birth: Secondary Analysis of the Listening to Mothers in California Survey. BMC pregnancy and childbirth, 20(1), 462. https://doi.org/10.1186/s12884-020-03095-4</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Symum, H., &amp; Zayas-Castro, J. L. (2021). A Multistate Decomposition Analysis of Cesarean Rate Variations, Associated Health Outcomes, and Financial Implications in the United States. </w:t>
      </w:r>
      <w:r>
        <w:rPr>
          <w:rFonts w:ascii="Calibri" w:eastAsia="Calibri" w:hAnsi="Calibri" w:cs="Calibri"/>
          <w:b w:val="0"/>
          <w:i/>
          <w:iCs/>
          <w:color w:val="000000"/>
          <w:sz w:val="20"/>
        </w:rPr>
        <w:t>American journal of perinatology</w:t>
      </w:r>
      <w:r>
        <w:rPr>
          <w:rFonts w:ascii="Calibri" w:eastAsia="Calibri" w:hAnsi="Calibri" w:cs="Calibri"/>
          <w:b w:val="0"/>
          <w:i w:val="0"/>
          <w:color w:val="000000"/>
          <w:sz w:val="20"/>
        </w:rPr>
        <w:t>, 10.1055/s-0041-1736538. Advance online publication. https://doi.org/10.1055/s-0041-1736538</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U.S. Department of Health and Human Services. (n.d.). Reduce cesarean births among low-risk women with no prior births-MICH-06. Retrieved from Healthy People 2030: https://health.gov/healthypeople/objectives-and-data/browse-objectives/pregnancy-and-childbirth/reduce-cesarean-births-among-low-risk-women-no-prior-births-mich-06</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Yasmeen, S., Romano, P.S., Schembri, M.E., Keyzer, J.M., &amp; Gilbert, W.M. (2006). Accuracy of obstetric diagnoses and procedures in hospital discharge data. Am J Obstet Gynecol. 194:992-1001.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pilot study, there were a limited number of hospitals, therefore the five number statistical summaries are used in place of deciles. Improvement is noted as a decreasing trend. The Joint Commission does not want to encourage inappropriately low Cesarean rates that may be unsafe to patients. Acceptable PC-02 rates are 30% or lower, however there is not an established threshold for what rate may be too low. A rate greater than 30% is about two standard deviations from the mean two-year rate and The Joint Commission has set this as the threshold used for public reporting of the measure. PC-06 serves as a balancing measure for PC-02 to guard against any unanticipated or unintended consequences and to identify unforeseen complications that might arise as a result of quality improvement activities and efforts for this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Data are summarized at the hospital level for 2020 discharges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Number of hospitals: 15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Data Source: EHR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Median number of denominator cases: 108</w:t>
      </w:r>
    </w:p>
    <w:p w:rsidR="00A77B3E">
      <w:pPr>
        <w:spacing w:before="0" w:after="80"/>
        <w:ind w:left="2400"/>
        <w:jc w:val="left"/>
        <w:rPr>
          <w:rFonts w:ascii="Calibri" w:eastAsia="Calibri" w:hAnsi="Calibri" w:cs="Calibri"/>
          <w:b w:val="0"/>
          <w:i w:val="0"/>
          <w:color w:val="000000"/>
          <w:sz w:val="20"/>
        </w:rPr>
      </w:pPr>
      <w:r>
        <w:rPr>
          <w:rFonts w:ascii="Calibri" w:eastAsia="Calibri" w:hAnsi="Calibri" w:cs="Calibri"/>
          <w:b/>
          <w:bCs/>
          <w:i w:val="0"/>
          <w:color w:val="000000"/>
          <w:sz w:val="20"/>
        </w:rPr>
        <w:t>Table 1b.02.01 Cesarean Birth Measure Rates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90"/>
        <w:gridCol w:w="431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Statistic</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Value</w:t>
            </w:r>
          </w:p>
        </w:tc>
      </w:tr>
      <w:tr>
        <w:trPr>
          <w:cantSplit/>
        </w:trPr>
        <w:tc>
          <w:tcPr>
            <w:tcW w:w="50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Mean</w:t>
            </w:r>
          </w:p>
        </w:tc>
        <w:tc>
          <w:tcPr>
            <w:tcW w:w="501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27.5%, SD 20.0%</w:t>
            </w:r>
          </w:p>
        </w:tc>
      </w:tr>
      <w:tr>
        <w:trPr>
          <w:cantSplit/>
        </w:trPr>
        <w:tc>
          <w:tcPr>
            <w:tcW w:w="50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Min</w:t>
            </w:r>
          </w:p>
        </w:tc>
        <w:tc>
          <w:tcPr>
            <w:tcW w:w="501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Pr>
        <w:tc>
          <w:tcPr>
            <w:tcW w:w="50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w:t>
            </w:r>
          </w:p>
        </w:tc>
        <w:tc>
          <w:tcPr>
            <w:tcW w:w="501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19.5%</w:t>
            </w:r>
          </w:p>
        </w:tc>
      </w:tr>
      <w:tr>
        <w:trPr>
          <w:cantSplit/>
        </w:trPr>
        <w:tc>
          <w:tcPr>
            <w:tcW w:w="50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w:t>
            </w:r>
          </w:p>
        </w:tc>
        <w:tc>
          <w:tcPr>
            <w:tcW w:w="501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23.3%</w:t>
            </w:r>
          </w:p>
        </w:tc>
      </w:tr>
      <w:tr>
        <w:trPr>
          <w:cantSplit/>
        </w:trPr>
        <w:tc>
          <w:tcPr>
            <w:tcW w:w="50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w:t>
            </w:r>
          </w:p>
        </w:tc>
        <w:tc>
          <w:tcPr>
            <w:tcW w:w="501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28.9%</w:t>
            </w:r>
          </w:p>
        </w:tc>
      </w:tr>
      <w:tr>
        <w:trPr>
          <w:cantSplit/>
        </w:trPr>
        <w:tc>
          <w:tcPr>
            <w:tcW w:w="50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Max</w:t>
            </w:r>
          </w:p>
        </w:tc>
        <w:tc>
          <w:tcPr>
            <w:tcW w:w="501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71.8%</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1b.02.01 Cesarean Birth Measure Rates provides the mean (27.5%), minimum (0%) and maximum (71.8%) and the 25th, 50th and 75th percentile for 15 hospitals that submitted data for 2020 discharges.</w:t>
      </w:r>
    </w:p>
    <w:p w:rsidR="00A77B3E">
      <w:pPr>
        <w:spacing w:before="0" w:after="80"/>
        <w:ind w:left="24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1b.02.02 Hospital Characteristics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410"/>
        <w:gridCol w:w="517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Hospital Characteristic</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Values</w:t>
            </w:r>
          </w:p>
        </w:tc>
      </w:tr>
      <w:tr>
        <w:trPr>
          <w:cantSplit/>
          <w:trHeight w:val="375"/>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State Represented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states represented and Puerto Rico</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 CT, IA, MI, OH, PR, WA </w:t>
            </w:r>
          </w:p>
        </w:tc>
      </w:tr>
      <w:tr>
        <w:trPr>
          <w:cantSplit/>
          <w:trHeight w:val="510"/>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Hospital Location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12 Urban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Rural</w:t>
            </w:r>
            <w:r>
              <w:rPr>
                <w:rFonts w:ascii="Calibri" w:eastAsia="Calibri" w:hAnsi="Calibri" w:cs="Calibri"/>
                <w:b w:val="0"/>
                <w:i w:val="0"/>
                <w:color w:val="000000"/>
                <w:sz w:val="20"/>
                <w:u w:val="single" w:color="000000"/>
              </w:rPr>
              <w:t xml:space="preserve"> </w:t>
            </w:r>
          </w:p>
        </w:tc>
      </w:tr>
      <w:tr>
        <w:trPr>
          <w:cantSplit/>
          <w:trHeight w:val="360"/>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Control / Ownership Type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 Nongovernment (not-for-profit)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Government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For Profit</w:t>
            </w:r>
          </w:p>
        </w:tc>
      </w:tr>
      <w:tr>
        <w:trPr>
          <w:cantSplit/>
          <w:trHeight w:val="525"/>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Primary Service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14 General medical and surgical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Specialty</w:t>
            </w:r>
          </w:p>
        </w:tc>
      </w:tr>
      <w:tr>
        <w:trPr>
          <w:cantSplit/>
          <w:trHeight w:val="570"/>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Teaching Affiliation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11 Minor teaching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Non-teaching</w:t>
            </w:r>
            <w:r>
              <w:rPr>
                <w:rFonts w:ascii="Calibri" w:eastAsia="Calibri" w:hAnsi="Calibri" w:cs="Calibri"/>
                <w:b w:val="0"/>
                <w:i w:val="0"/>
                <w:color w:val="000000"/>
                <w:sz w:val="20"/>
                <w:u w:val="single" w:color="000000"/>
              </w:rPr>
              <w:t xml:space="preserve"> </w:t>
            </w:r>
          </w:p>
        </w:tc>
      </w:tr>
      <w:tr>
        <w:trPr>
          <w:cantSplit/>
          <w:trHeight w:val="375"/>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System member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 Yes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 No </w:t>
            </w:r>
          </w:p>
        </w:tc>
      </w:tr>
      <w:tr>
        <w:trPr>
          <w:cantSplit/>
          <w:trHeight w:val="1155"/>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Beds (total facility)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 &lt;100 beds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5 100-399 beds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4 400 + beds </w:t>
            </w:r>
          </w:p>
        </w:tc>
      </w:tr>
      <w:tr>
        <w:trPr>
          <w:cantSplit/>
          <w:trHeight w:val="1395"/>
        </w:trPr>
        <w:tc>
          <w:tcPr>
            <w:tcW w:w="3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Total births (per year) </w:t>
            </w:r>
          </w:p>
        </w:tc>
        <w:tc>
          <w:tcPr>
            <w:tcW w:w="634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Range 165-5323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6 100-499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4 500-999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 1000-4999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Greater than 5000 </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1b.02.02 Hospital Characteristics describes the state represented, hospital location, control/ownership type, primary service, teaching affiliation, system member, beds and total births for the 15 hospitals that submitted data for 2020 discharges.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See 1b.02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Healthy People 2030 national goal for cesarean births among low-risk women with no prior births is 23.6%. in 2018 the rate was 25.9 and in 2019 it decreased to 25.6. This national rate shows there is still room for improvement. 2020 Individual hospital rates show an average rate of 27.5%.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ePC-02 measure highly correlates with the chart-abstracted PC-02 measure at 0.88 (see 5.06). Below are the PC-02 chart-abstracted data trends from 2018-2020. Since the eCQM is harmonized with the chart-based version of the measure and highly correlated, we expect similar trends with the eCQM data. There is a decreasing IQR trend from 2018 to 2020, however there is still variation in the performance rates and 20% of hospitals still have a rate above 30% in 2020. A rate greater than 30% is about two standard deviations from the mean two-year rate and The Joint Commission has set this as the threshold used for public reporting of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1936 hospitals submitted PC-02 chart-abstracted data for CY 2018 which included 490,481 patient records.</w:t>
      </w:r>
    </w:p>
    <w:p w:rsidR="00A77B3E">
      <w:pPr>
        <w:spacing w:before="0" w:after="80"/>
        <w:ind w:left="3000"/>
        <w:jc w:val="left"/>
        <w:rPr>
          <w:rFonts w:ascii="Calibri" w:eastAsia="Calibri" w:hAnsi="Calibri" w:cs="Calibri"/>
          <w:b w:val="0"/>
          <w:i w:val="0"/>
          <w:color w:val="000000"/>
          <w:sz w:val="20"/>
        </w:rPr>
      </w:pPr>
      <w:r>
        <w:rPr>
          <w:rFonts w:ascii="Calibri" w:eastAsia="Calibri" w:hAnsi="Calibri" w:cs="Calibri"/>
          <w:b/>
          <w:bCs/>
          <w:i w:val="0"/>
          <w:color w:val="000000"/>
          <w:sz w:val="20"/>
        </w:rPr>
        <w:t>Table 1b.03.01 PC-02 Chart-abstracted 2018 Data</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35"/>
        <w:gridCol w:w="585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PC-02 Chart-abstracted Data </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CY 2018 Statistics</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Mean (SD)</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25.7% (7.6%)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IQR</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8.9%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(10)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16.9%</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(20)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19.7%</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(30)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(40)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23.5%</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(50)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(60)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26.8%</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(70)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28.6%</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(80)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30.9%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(90)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34.8%</w:t>
            </w:r>
          </w:p>
        </w:tc>
      </w:tr>
      <w:tr>
        <w:trPr>
          <w:cantSplit/>
          <w:trHeight w:val="315"/>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(100)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100% </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1b.03.01 PC-02 Chart-abstracted 2018 Data shows the mean (25.7%), interquartile range (8.9%), and 0 to 100th deciles. The 50th percentile is 25.0%. 1936 hospitals submitted PC-02 chart-abstracted data for CY 2018 which included 490,481 patient records.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1909 hospitals submitted chart-abstracted PC-02 data for CY2019 which included 491,893 patient records.</w:t>
      </w:r>
    </w:p>
    <w:p w:rsidR="00A77B3E">
      <w:pPr>
        <w:spacing w:before="0" w:after="80"/>
        <w:ind w:left="30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1b.03.02 PC-02 Chart-abstracted 2019 Data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35"/>
        <w:gridCol w:w="585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PC-02 Chart-abstracted Data</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CY 2019 Statistics</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Mean (SD)</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24.8% (7.2%)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IQR</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8.7%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4.3%</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(10)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16.7%</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(20)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19.1%</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(30)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21.1%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(40)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22.70%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(50)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24.3%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(60)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26.0%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(70)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27.90%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(80)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30.20%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(90)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33.6%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(100)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71.4% </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1b.03.02 PC-02 Chart-abstracted 2019 Data shows the mean (24.8%), interquartile range (8.7%), and 0 to 100th deciles. The 50th percentile is 24.3%. 1909 hospitals submitted chart-abstracted PC-02 data for CY2019, which included 491,893 patient records.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1214 hospitals submitted PC-02 chart-abstracted data for CY 2020 which included 313,591 patient records.</w:t>
      </w:r>
    </w:p>
    <w:p w:rsidR="00A77B3E">
      <w:pPr>
        <w:spacing w:before="0" w:after="80"/>
        <w:ind w:left="3000"/>
        <w:jc w:val="left"/>
        <w:rPr>
          <w:rFonts w:ascii="Calibri" w:eastAsia="Calibri" w:hAnsi="Calibri" w:cs="Calibri"/>
          <w:b w:val="0"/>
          <w:i w:val="0"/>
          <w:color w:val="000000"/>
          <w:sz w:val="20"/>
        </w:rPr>
      </w:pPr>
      <w:r>
        <w:rPr>
          <w:rFonts w:ascii="Calibri" w:eastAsia="Calibri" w:hAnsi="Calibri" w:cs="Calibri"/>
          <w:b/>
          <w:bCs/>
          <w:i w:val="0"/>
          <w:color w:val="000000"/>
          <w:sz w:val="20"/>
        </w:rPr>
        <w:t>Table 1b.03.03 PC-02 Chart-abstracted 2020 Data</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35"/>
        <w:gridCol w:w="585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PC-02 Chart-abstracted Data </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CY 2020 Statistics</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Mean (SD)</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24.9% (6.9%)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IQR</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8.5%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(10)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16.3%</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(20)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(30)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21.4%</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(40)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23.0%</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(50)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24.8%</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(60)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26.3%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(70)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27.9% </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(80)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30.2%</w:t>
            </w:r>
          </w:p>
        </w:tc>
      </w:tr>
      <w:tr>
        <w:trPr>
          <w:cantSplit/>
          <w:trHeight w:val="300"/>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(90)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33.8% </w:t>
            </w:r>
          </w:p>
        </w:tc>
      </w:tr>
      <w:tr>
        <w:trPr>
          <w:cantSplit/>
          <w:trHeight w:val="315"/>
        </w:trPr>
        <w:tc>
          <w:tcPr>
            <w:tcW w:w="32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Deciles (100)</w:t>
            </w:r>
          </w:p>
        </w:tc>
        <w:tc>
          <w:tcPr>
            <w:tcW w:w="56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68.8% </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1b.03.03 PC-02 Chart-abstracted 2020 Data shows the mean (24.9%), interquartile range (8.5%), and 0 to 100th deciles. The 50th percentile is 24.8%. 1214 hospitals submitted PC-02 chart-abstracted data for CY 2020 which included 313,591 patient records.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2020 data provided below represents 993 discharges in the measure population from 15 hospitals. Variability in measure rates demonstrate opportunity for improvement and importance of monitoring for disparities. See </w:t>
      </w:r>
      <w:r>
        <w:rPr>
          <w:rFonts w:ascii="Calibri" w:eastAsia="Calibri" w:hAnsi="Calibri" w:cs="Calibri"/>
          <w:b w:val="0"/>
          <w:i w:val="0"/>
          <w:color w:val="000000"/>
          <w:sz w:val="20"/>
        </w:rPr>
        <w:t>Table 1b.02.02 for hospital characteristics.</w:t>
      </w:r>
    </w:p>
    <w:p w:rsidR="00A77B3E">
      <w:pPr>
        <w:spacing w:before="0" w:after="80"/>
        <w:ind w:left="3600"/>
        <w:jc w:val="left"/>
        <w:rPr>
          <w:rFonts w:ascii="Calibri" w:eastAsia="Calibri" w:hAnsi="Calibri" w:cs="Calibri"/>
          <w:b w:val="0"/>
          <w:i w:val="0"/>
          <w:color w:val="000000"/>
          <w:sz w:val="20"/>
        </w:rPr>
      </w:pPr>
      <w:r>
        <w:rPr>
          <w:rFonts w:ascii="Calibri" w:eastAsia="Calibri" w:hAnsi="Calibri" w:cs="Calibri"/>
          <w:b/>
          <w:bCs/>
          <w:i w:val="0"/>
          <w:color w:val="000000"/>
          <w:sz w:val="20"/>
        </w:rPr>
        <w:t>Table 1b.04.01 Measure Rates by Age Category</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5167"/>
        <w:gridCol w:w="1457"/>
        <w:gridCol w:w="145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49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Age</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rate</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w:t>
            </w:r>
          </w:p>
        </w:tc>
      </w:tr>
      <w:tr>
        <w:trPr>
          <w:cantSplit/>
          <w:trHeight w:val="300"/>
        </w:trPr>
        <w:tc>
          <w:tcPr>
            <w:tcW w:w="49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&lt;20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20.2%</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94</w:t>
            </w:r>
          </w:p>
        </w:tc>
      </w:tr>
      <w:tr>
        <w:trPr>
          <w:cantSplit/>
          <w:trHeight w:val="300"/>
        </w:trPr>
        <w:tc>
          <w:tcPr>
            <w:tcW w:w="49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20-25</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276</w:t>
            </w:r>
          </w:p>
        </w:tc>
      </w:tr>
      <w:tr>
        <w:trPr>
          <w:cantSplit/>
          <w:trHeight w:val="300"/>
        </w:trPr>
        <w:tc>
          <w:tcPr>
            <w:tcW w:w="49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25-30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30.6%</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242</w:t>
            </w:r>
          </w:p>
        </w:tc>
      </w:tr>
      <w:tr>
        <w:trPr>
          <w:cantSplit/>
          <w:trHeight w:val="300"/>
        </w:trPr>
        <w:tc>
          <w:tcPr>
            <w:tcW w:w="49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30-35</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25.4%</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252</w:t>
            </w:r>
          </w:p>
        </w:tc>
      </w:tr>
      <w:tr>
        <w:trPr>
          <w:cantSplit/>
          <w:trHeight w:val="300"/>
        </w:trPr>
        <w:tc>
          <w:tcPr>
            <w:tcW w:w="49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35-40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33.7%</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49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42.9%</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1b.04.01 Measure Rates by Age Category displays the number and measure rate for patients in the following age categories: &lt;20 (20.2%), 20-25 (25%), 25-30 (30.6%), 30-35 (25.4%), 35-40 (33.7%), 40 plus (42.9%). The 2020 data represents 993 discharges in the measure population from 15 hospitals.</w:t>
      </w:r>
    </w:p>
    <w:p w:rsidR="00A77B3E">
      <w:pPr>
        <w:spacing w:before="0" w:after="80"/>
        <w:ind w:left="3600"/>
        <w:jc w:val="left"/>
        <w:rPr>
          <w:rFonts w:ascii="Calibri" w:eastAsia="Calibri" w:hAnsi="Calibri" w:cs="Calibri"/>
          <w:b w:val="0"/>
          <w:i w:val="0"/>
          <w:color w:val="000000"/>
          <w:sz w:val="20"/>
        </w:rPr>
      </w:pPr>
      <w:r>
        <w:rPr>
          <w:rFonts w:ascii="Calibri" w:eastAsia="Calibri" w:hAnsi="Calibri" w:cs="Calibri"/>
          <w:b/>
          <w:bCs/>
          <w:i w:val="0"/>
          <w:color w:val="000000"/>
          <w:sz w:val="20"/>
        </w:rPr>
        <w:t>Table 1b.04.02 Measure Rate by Hispanic Ethnicity</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938"/>
        <w:gridCol w:w="1434"/>
        <w:gridCol w:w="143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Hispanic ethnicity</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rate</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Hispanic or Latino</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35.8%</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296</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Hispanic or Latino</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695</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1b.04.02 Measure Rate by Hispanic Ethnicity displays the number and measure rate for patients in the following categories: Hispanic or Latino (35.8%), Not Hispanic or Latino (23.9%), Missing (0.0%). The 2020 data represents 993 discharges in the measure population from 15 hospitals.</w:t>
      </w:r>
    </w:p>
    <w:p w:rsidR="00A77B3E">
      <w:pPr>
        <w:spacing w:before="0" w:after="80"/>
        <w:ind w:left="3600"/>
        <w:jc w:val="left"/>
        <w:rPr>
          <w:rFonts w:ascii="Calibri" w:eastAsia="Calibri" w:hAnsi="Calibri" w:cs="Calibri"/>
          <w:b w:val="0"/>
          <w:i w:val="0"/>
          <w:color w:val="000000"/>
          <w:sz w:val="20"/>
        </w:rPr>
      </w:pPr>
      <w:r>
        <w:rPr>
          <w:rFonts w:ascii="Calibri" w:eastAsia="Calibri" w:hAnsi="Calibri" w:cs="Calibri"/>
          <w:b/>
          <w:bCs/>
          <w:i w:val="0"/>
          <w:color w:val="000000"/>
          <w:sz w:val="20"/>
        </w:rPr>
        <w:t>Table 1b.04.03 Measure Rate by Race</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938"/>
        <w:gridCol w:w="1434"/>
        <w:gridCol w:w="168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race</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rate</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 or Alaska Native</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18.9%</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74</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Black or African American</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32.4%</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105</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Native Hawaiian or Other Pacific Islander</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18.2%</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11</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 Race</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19.4%</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222</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30.8%</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577</w:t>
            </w:r>
          </w:p>
        </w:tc>
      </w:tr>
      <w:tr>
        <w:trPr>
          <w:cantSplit/>
          <w:trHeight w:val="300"/>
        </w:trPr>
        <w:tc>
          <w:tcPr>
            <w:tcW w:w="365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50.0%</w:t>
            </w:r>
          </w:p>
        </w:tc>
        <w:tc>
          <w:tcPr>
            <w:tcW w:w="144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1b.04.03 Measure Rate by Race displays the number and measure rate for patients in the following categories: American Indian or Alaska Native (0.0%), Asian (18.9%), Black or African American (32.4%), Native Hawaiian or Other Pacific Islander (18.2%), Other Race (19.4%), White (30.8%). The 2020 data represents 993 discharges in the measure population from 15 hospitals.</w:t>
      </w:r>
    </w:p>
    <w:p w:rsidR="00A77B3E">
      <w:pPr>
        <w:spacing w:before="0" w:after="80"/>
        <w:ind w:left="3600"/>
        <w:jc w:val="left"/>
        <w:rPr>
          <w:rFonts w:ascii="Calibri" w:eastAsia="Calibri" w:hAnsi="Calibri" w:cs="Calibri"/>
          <w:b w:val="0"/>
          <w:i w:val="0"/>
          <w:color w:val="000000"/>
          <w:sz w:val="20"/>
        </w:rPr>
      </w:pPr>
      <w:r>
        <w:rPr>
          <w:rFonts w:ascii="Calibri" w:eastAsia="Calibri" w:hAnsi="Calibri" w:cs="Calibri"/>
          <w:b/>
          <w:bCs/>
          <w:i w:val="0"/>
          <w:color w:val="000000"/>
          <w:sz w:val="20"/>
        </w:rPr>
        <w:t>Table 1b.04.04 Measure rate by Payer</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76"/>
        <w:gridCol w:w="1695"/>
        <w:gridCol w:w="163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Payer</w:t>
            </w:r>
          </w:p>
        </w:tc>
        <w:tc>
          <w:tcPr>
            <w:tcW w:w="14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Rate </w:t>
            </w:r>
          </w:p>
        </w:tc>
        <w:tc>
          <w:tcPr>
            <w:tcW w:w="13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w:t>
            </w:r>
          </w:p>
        </w:tc>
      </w:tr>
      <w:tr>
        <w:trPr>
          <w:cantSplit/>
          <w:trHeight w:val="300"/>
        </w:trPr>
        <w:tc>
          <w:tcPr>
            <w:tcW w:w="2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Commercial</w:t>
            </w:r>
          </w:p>
        </w:tc>
        <w:tc>
          <w:tcPr>
            <w:tcW w:w="14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23.5%</w:t>
            </w:r>
          </w:p>
        </w:tc>
        <w:tc>
          <w:tcPr>
            <w:tcW w:w="13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600</w:t>
            </w:r>
          </w:p>
        </w:tc>
      </w:tr>
      <w:tr>
        <w:trPr>
          <w:cantSplit/>
          <w:trHeight w:val="300"/>
        </w:trPr>
        <w:tc>
          <w:tcPr>
            <w:tcW w:w="2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Medicaid/Medicare</w:t>
            </w:r>
          </w:p>
        </w:tc>
        <w:tc>
          <w:tcPr>
            <w:tcW w:w="14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13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237</w:t>
            </w:r>
          </w:p>
        </w:tc>
      </w:tr>
      <w:tr>
        <w:trPr>
          <w:cantSplit/>
          <w:trHeight w:val="300"/>
        </w:trPr>
        <w:tc>
          <w:tcPr>
            <w:tcW w:w="2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w:t>
            </w:r>
          </w:p>
        </w:tc>
        <w:tc>
          <w:tcPr>
            <w:tcW w:w="14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53.2%</w:t>
            </w:r>
          </w:p>
        </w:tc>
        <w:tc>
          <w:tcPr>
            <w:tcW w:w="13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156</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1b.04.04 Measure rate by Payer displays the number and measure rate for patients in the following categories: Commercial (23.5%), Medicaid/Medicare (20.3%), Other (53.2%). The 2020 data represents 993 discharges in the measure population from 15 hospitals.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See 1b.04</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Okwandu, I. C., Anderson, M., Postlethwaite, D., Shirazi, A., &amp; Torrente, S. (2021). Racial and Ethnic Disparities in Cesarean Delivery and Indications Among Nulliparous, Term, Singleton, Vertex Women. Journal of racial and ethnic health disparities, 10.1007/s40615-021-01057-w. Advance online publication. https://doi.org/10.1007/s40615-021-01057-w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Okwandu et al (2021) conducted a retrospective cohort study of NTSV deliveries at Kaiser Permanente Northern California from 1/1/2016 to 6/30/2017. The study included 16,587 racially/ethnically diverse women who met inclusion and exclusion criteria. Exclusion criteria included cesarean delivery indications of elective, malpresentation, or previa. To assess the likelihood of cesarean delivery by race/ethnicity multivariable logistic regression models adjusted for maternal, neonatal, and facility factors were used. Additional testing was performed to evaluate the odds of cesarean for the indications of failure to progress and fetal intolerance by race/ethnicity. The results of the adjusted logistic regression models showed all race and ethnic categories had higher odds of cesarean deliveries compared to White women. In comparison with White women, Black women had greater odds of fetal intolerance as an indication, while Hispanic and Asian women had greater odds of failure to progress. Observed disparities in cesarean delivery rates were not explained by maternal, neonate, and facility factors.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3</w:t>
      </w:r>
      <w:r>
        <w:rPr>
          <w:rFonts w:ascii="Calibri" w:eastAsia="Calibri" w:hAnsi="Calibri" w:cs="Calibri"/>
          <w:b w:val="0"/>
          <w:i w:val="0"/>
          <w:color w:val="000000"/>
          <w:sz w:val="20"/>
        </w:rPr>
        <w:t xml:space="preserve"> Adjusted odds ratios of cesarean delivery, fetal intolerance of labor, and failure to progress by race/ethnicity controlling for demographic and clinical characteristics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144"/>
        <w:gridCol w:w="1176"/>
        <w:gridCol w:w="2618"/>
        <w:gridCol w:w="261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57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Race/ethnicity</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(Reference: White)</w:t>
            </w:r>
          </w:p>
        </w:tc>
        <w:tc>
          <w:tcPr>
            <w:tcW w:w="256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Cesarean Delivery</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 = 16,587)</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aOR† (95% CI‡)</w:t>
            </w:r>
          </w:p>
        </w:tc>
        <w:tc>
          <w:tcPr>
            <w:tcW w:w="256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Fetal intolerance of labor*</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 = 3727)</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aOR (95% CI)</w:t>
            </w:r>
          </w:p>
        </w:tc>
        <w:tc>
          <w:tcPr>
            <w:tcW w:w="256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Failure to Progress*</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 = 3727)</w:t>
            </w:r>
          </w:p>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aOR (95% CI)</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Asian/Hawaiian/Pacific Islander</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1.59 (1.44–1.76)</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0.90 (0.76–1.07)</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1.46 (1.22–1.74)</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Black</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1.73 (1.45–2.06)</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1.51 (1.10–2.07)</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0.77 (0.56–1.04)</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Hispanic</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1.43 (1.28–1.59)</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0.87 (0.72–1.05)</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1.25 (1.03–1.52)</w:t>
            </w:r>
          </w:p>
        </w:tc>
      </w:tr>
      <w:tr>
        <w:trPr>
          <w:cantSplit/>
        </w:trPr>
        <w:tc>
          <w:tcPr>
            <w:tcW w:w="257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Multiple races/American Indian/Alaskan Native</w:t>
            </w:r>
          </w:p>
        </w:tc>
        <w:tc>
          <w:tcPr>
            <w:tcW w:w="256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1.45 (1.17–1.80)</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1.27 (0.86–1.86)</w:t>
            </w:r>
          </w:p>
        </w:tc>
        <w:tc>
          <w:tcPr>
            <w:tcW w:w="256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1.03 (0.70–1.51)</w:t>
            </w:r>
          </w:p>
        </w:tc>
      </w:tr>
    </w:tbl>
    <w:p w:rsidR="00A77B3E">
      <w:pPr>
        <w:spacing w:before="0" w:after="80"/>
        <w:ind w:left="1800"/>
        <w:jc w:val="left"/>
        <w:rPr>
          <w:rFonts w:ascii="Calibri" w:eastAsia="Calibri" w:hAnsi="Calibri" w:cs="Calibri"/>
          <w:b w:val="0"/>
          <w:i w:val="0"/>
          <w:color w:val="000000"/>
          <w:sz w:val="20"/>
        </w:rPr>
      </w:pPr>
      <w:r>
        <w:rPr>
          <w:rFonts w:ascii="Calibri" w:eastAsia="Calibri" w:hAnsi="Calibri" w:cs="Calibri"/>
          <w:b w:val="0"/>
          <w:i w:val="0"/>
          <w:color w:val="000000"/>
          <w:sz w:val="20"/>
        </w:rPr>
        <w:t>*Among women who had cesarean deliveries, 486 (13.02%) of the women who had cesarean deliveries had both fetal intolerance of labor and failure to progress as indications</w:t>
      </w:r>
    </w:p>
    <w:p w:rsidR="00A77B3E">
      <w:pPr>
        <w:spacing w:before="0" w:after="80"/>
        <w:ind w:left="1800"/>
        <w:jc w:val="left"/>
        <w:rPr>
          <w:rFonts w:ascii="Calibri" w:eastAsia="Calibri" w:hAnsi="Calibri" w:cs="Calibri"/>
          <w:b w:val="0"/>
          <w:i w:val="0"/>
          <w:color w:val="000000"/>
          <w:sz w:val="20"/>
        </w:rPr>
      </w:pPr>
      <w:r>
        <w:rPr>
          <w:rFonts w:ascii="Calibri" w:eastAsia="Calibri" w:hAnsi="Calibri" w:cs="Calibri"/>
          <w:b w:val="0"/>
          <w:i w:val="0"/>
          <w:color w:val="000000"/>
          <w:sz w:val="20"/>
        </w:rPr>
        <w:t>†Adjusted odds ratio from logistic regression models adjusted for maternal age at delivery, income, education, marital status, obesity, gestational diabetes, gestational or chronic hypertension or preeclampsia, induction of labor, availability of midwifery services, gestational age, and neonate birth weight</w:t>
      </w:r>
    </w:p>
    <w:p w:rsidR="00A77B3E">
      <w:pPr>
        <w:spacing w:before="0" w:after="80"/>
        <w:ind w:left="1800"/>
        <w:jc w:val="left"/>
        <w:rPr>
          <w:rFonts w:ascii="Calibri" w:eastAsia="Calibri" w:hAnsi="Calibri" w:cs="Calibri"/>
          <w:b w:val="0"/>
          <w:i w:val="0"/>
          <w:color w:val="000000"/>
          <w:sz w:val="20"/>
        </w:rPr>
      </w:pPr>
      <w:r>
        <w:rPr>
          <w:rFonts w:ascii="Calibri" w:eastAsia="Calibri" w:hAnsi="Calibri" w:cs="Calibri"/>
          <w:b w:val="0"/>
          <w:i w:val="0"/>
          <w:color w:val="000000"/>
          <w:sz w:val="20"/>
        </w:rPr>
        <w:t>‡ Confidence interval</w:t>
      </w:r>
    </w:p>
    <w:p w:rsidR="00A77B3E">
      <w:pPr>
        <w:spacing w:before="0" w:after="80"/>
        <w:ind w:left="1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3 Adjusted odds ratios of cesarean delivery, fetal intolerance of labor, and failure to progress by race/ethnicity controlling for demographic and clinical characteristics.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Debbink, M. P., Ugwu, L. G., Grobman, W. A., Reddy, U. M., Tita, A., El-Sayed, Y. Y., Wapner, R. J., Rouse, D. J., Saade, G. R., Thorp, J. M., Jr, Chauhan, S. P., Costantine, M. M., Chien, E. K., Casey, B. M., Srinivas, S. K., Swamy, G. K., Simhan, H. N., &amp; Eunice Kennedy Shriver National Institute of Child Health and Human Development (NICHD) Maternal-Fetal Medicine Units (MFMU) Network (2022). Racial and Ethnic Inequities in Cesarean Birth and Maternal Morbidity in a Low-Risk, Nulliparous Cohort. Obstetrics and gynecology, 139(1), 73–82. https://doi.org/10.1097/AOG.0000000000004620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Debbink et. al. (2022) conducted a secondary analysis of ARRIVE, a multicenter randomized trial of induction of labor compared with expectant management at term conducted at 41 centers across the United States. The analysis was performed to evaluate differences in cesarean birth and maternal morbidity in low-risk nulliparous people at term. 1,158 of the 5,759 participants delivered by cesarean which included 1,404 (24.3%) participants who identified as non-Hispanic Black, 1,670 (29.0%) as Hispanic, and 2,685 (46.6%) as non-Hispanic White. When compared with non-Hispanic White people, an increased relative risk of cesarean birth was found among non-Hispanic Black (adjusted relative risk [aRR] 1.21, 95% CI 1.03–1.42) and Hispanic (aRR 1.26, 95% CI 1.08–1.46) people. Excess maternal morbidity attributed to cesarean birth among non-Hispanic Black and Hispanic people was an estimated 15.8% (95%CI 2.1–48.7%) and 16.5% (95% CI 4.0–44.0%) respectively. Low-risk, term, nulliparous non-Hispanic Black and Hispanic people delivery by cesarean more frequently than low-risk, term, nulliparous non-Hispanic White people. These findings are important as they suggest the safe reduction of the primary cesarean birth rate among Black and Hispanic people may help to address equity in surgical outcomes and improve inequities in maternal morbidity.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6"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ePC-02 Cesarean Birth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assesses the number of nulliparous women with a term, singleton baby in a vertex position delivered by cesarean birth.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Perinatal Health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Perinatal Health: Labor and Delivery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Safety: Overuse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5"/>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Women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6"/>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Inpatient/Hospital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https://www.jointcommission.org/measurement/specification-manuals/electronic-clinical-quality-measures/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Please refer to 2021 Reporting Period specifications.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sp.10. Indicate whether Health Quality Measure Format (HQMF) specifications are attached.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Attach the zipped output from the eCQM authoring tool (MAT) ‐ if the MAT was not used, contact staff. (Use the specification fields in this online form for the plain‐language description of the specifications).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HQMF specifications are attached.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0471e_PC02_eCQMFlow2020.pdf</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0471e_ePC02_CesareanBirth_v2.zip</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7"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Excel or csv file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0471e_ePC02_eCQM_Value Sets_2021_ReportingYear.xlsx</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state the outcome being measured.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Inpatient hospitalizations for patients who deliver by cesarean section.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describe how the observed outcome is identified/counted.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Cesarean birth is represented with the QDM datatype and value set of “Procedure, Performed: Cesarean Birth (OID:2.16.840.1.113883.3.117.1.7.1.282). The delivery procedure must be performed during the encounter.</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looks to see if the Cesarean birth was performed during the inpatient encounter. </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To access the value sets for the measure, please visit the Value Set Authority Center (VSAC), sponsored by the National Library of Medicine, at https://vsac.nlm.nih.gov/. A list of value sets for the measure is attached in the Excel workbook provided for question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state the target population for the outcome.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Inpatient hospitalizations for nulliparous patients delivered of a live term singleton newborn &gt;= 37 weeks gestation.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describe how the target population is identified.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Nulliparous patients are represented by the following QDM datatypes and value sets</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Parity (Result = 0) using Parity LOINC Direct Reference Code 11977-6</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Gravida (Result =1) using Gravida (# Pregnancies) LOINC Direct Reference Code 11996-6)</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Preterm (result = 0) AND Assessment, Performed: Term Newborn (result = 0) using Preterm LOINC Code 11637-6AND Term Newborn LOINC Direct Reference Code 11639-2</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The nulliparous conditions must be resulted &lt;= 42 weeks before the time of delivery. The relevant date/time (when the assessment was actually performed) of the nulliparous condition is used. Time of Delivery is represented by the QDM datatype of Assessment, Performed: Date and time of obstetric delivery using Date and time of obstetric delivery LOINC Direct Reference Code 93857-1.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The logic determines gestational age as follows:</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the Estimated Due Date (EDD), the QDM datatype and value set of Assessment, Performed: Delivery date Estimated using Delivery date Estimated LOINC Direct Reference Code 11778-8  is used. To assure the most up to date EDD is used, the logic looks for the last EDD one day or less before or on the delivery date/time.</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the Date of Delivery, the QDM datatype Assessment, Performed: Date and time of obstetric delivery using Date and time of obstetric delivery LOINC Direct Reference Code 93857-1 is used. To assure the most accurate date/time of delivery, the logic looks for the last assessment of date/time of delivery during the encounter.</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logic includes a function which calculates the gestational age. This function reflects the ACOG ReVITALize Guidelines for Calculated Gestational Age (CGA):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Gestational Age = (280-(EDD minus Reference Date)) /7</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Reference Date is the date on which you are trying to determine gestational age. For purposes of this eCQM, Reference Date would be the Date of Delivery.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If the necessary data elements are not available to calculate CGA, CGA will be null. Then the estimated gestational age which is derived from the QDM datatype and value set of Assessment, Performed: Estimated Gestational Age at Delivery using SNOMEDCT Value Set (2.16.840.1.113762.1.4.1045.26 is used.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Live singleton newborns are represented by the QDM datatype Encounter Performed, Diagnosis: Delivery of Singleton using ICD10 and SNOMED codes (2.16.840.1.113762.1.4.1045.99)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 access the value sets for the measure, please visit the Value Set Authority Center (VSAC), sponsored by the National Library of Medicine, at https://vsac.nlm.nih.gov/. A list of value sets for the measure is attached in the Excel workbook provided for question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Inpatient hospitalizations for patients with abnormal presentation or placenta previa during the encounter.</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Encounter Performed, Diagnosis: Abnormal Presentation (2.16.840.1.113762.1.4.1045.105) and Assessment Performed: Abnormal Presentation (2.16.840.1.113762.1.4.1045.105) are used to identify patients with Abnormal Presentation for exclusion from the denominator.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Encounter Performed, Diagnosis: Placenta Previa (2.16.840.1.113762.1.4.1110.37) is used to identify patients with Placenta Previa for exclusion from the denominator.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this measure is not stratified.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Lower score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Please see the attached HQMF specifications for the complete measure logic. Additionally, a flow diagram of the denominator, denominator exclusions, and numerator logic is attached to the NQF submission form as a supplemental document in response to question sp.10.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this measure does not use a sample.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Data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Hospitals report EHR data using Certified Electronic Health Record Technology (CEHRT), and by submitting Quality Reporting Document Architecture Category 1 (QRDA-1).</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8"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9"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Data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 applicable.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07-01-2020 – 12-31-2020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1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1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2020, The Joint Commission introduced the Cesarean Birth measure (ePC02) as one of the available eCQMs hospitals could choose for data submission to meet ORYX requirements. For reference, each health system will be referred to as a ‘pilot site’ and ‘hospital’ will refer to the individual hospitals within the health system. A total of 6 sites consisting of 15 hospitals submitted production data for one quarter of calendar year 2020. These data were used for all of the testing provided with the exception of validity testing, which used a subset of the six sites. TJC reached out to all 15 hospitals to recruit sites willing to participate in validity testing on the data submitted. Two pilot sites (7 hospitals) volunteered. One site is a system representing 6 hospitals where the Epic system is used. The 7th hospital is a stand-alone facility that uses Meditech.</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order to capture the individual hospital level characteristics, we referenced the American Hospital Association (AHA) DataQuery ™ product, at the URL https://guide.prod.iam.aha.org/dataquery/reports, accessed November 11, 2021. Table 2a.05.01 is a summary of the hospital characteristics as reported to AHA DataQuery ™.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2a.05.01 Hospital Characteristics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48"/>
        <w:gridCol w:w="633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Hospital Characteristics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Values</w:t>
            </w:r>
          </w:p>
        </w:tc>
      </w:tr>
      <w:tr>
        <w:trPr>
          <w:cantSplit/>
          <w:trHeight w:val="375"/>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State Represented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states represented and Puerto Rico</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 CT, IA, MI, OH, PR, WA </w:t>
            </w:r>
          </w:p>
        </w:tc>
      </w:tr>
      <w:tr>
        <w:trPr>
          <w:cantSplit/>
          <w:trHeight w:val="510"/>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Hospital Location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12 Urban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Rural</w:t>
            </w:r>
            <w:r>
              <w:rPr>
                <w:rFonts w:ascii="Calibri" w:eastAsia="Calibri" w:hAnsi="Calibri" w:cs="Calibri"/>
                <w:b w:val="0"/>
                <w:i w:val="0"/>
                <w:color w:val="000000"/>
                <w:sz w:val="20"/>
                <w:u w:val="single"/>
              </w:rPr>
              <w:t xml:space="preserve"> </w:t>
            </w:r>
          </w:p>
        </w:tc>
      </w:tr>
      <w:tr>
        <w:trPr>
          <w:cantSplit/>
          <w:trHeight w:val="360"/>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Control / Ownership Type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 Nongovernment (not-for-profit)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Government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For Profit</w:t>
            </w:r>
          </w:p>
        </w:tc>
      </w:tr>
      <w:tr>
        <w:trPr>
          <w:cantSplit/>
          <w:trHeight w:val="525"/>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Primary Service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14 General medical and surgical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Specialty</w:t>
            </w:r>
          </w:p>
        </w:tc>
      </w:tr>
      <w:tr>
        <w:trPr>
          <w:cantSplit/>
          <w:trHeight w:val="570"/>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Teaching Affiliation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11 Minor teaching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Non-teaching</w:t>
            </w:r>
            <w:r>
              <w:rPr>
                <w:rFonts w:ascii="Calibri" w:eastAsia="Calibri" w:hAnsi="Calibri" w:cs="Calibri"/>
                <w:b w:val="0"/>
                <w:i w:val="0"/>
                <w:color w:val="000000"/>
                <w:sz w:val="20"/>
                <w:u w:val="single"/>
              </w:rPr>
              <w:t xml:space="preserve"> </w:t>
            </w:r>
          </w:p>
        </w:tc>
      </w:tr>
      <w:tr>
        <w:trPr>
          <w:cantSplit/>
          <w:trHeight w:val="375"/>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System member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 Yes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No</w:t>
            </w:r>
          </w:p>
        </w:tc>
      </w:tr>
      <w:tr>
        <w:trPr>
          <w:cantSplit/>
          <w:trHeight w:val="1155"/>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Beds (total facility)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 &lt;100 beds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5 100-399 beds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4 400 + beds </w:t>
            </w:r>
          </w:p>
        </w:tc>
      </w:tr>
      <w:tr>
        <w:trPr>
          <w:cantSplit/>
          <w:trHeight w:val="1395"/>
        </w:trPr>
        <w:tc>
          <w:tcPr>
            <w:tcW w:w="37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Total births (per year) </w:t>
            </w:r>
          </w:p>
        </w:tc>
        <w:tc>
          <w:tcPr>
            <w:tcW w:w="61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Range 165-5323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6 100-499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4 500-999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 1000-4999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Greater than 5000</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2a.05.01 Hospital Characteristics describes the state represented, hospital location, control/ownership type, primary service, teaching affiliation, system member, beds and total births for the 15 hospitals that submitted data for 2020 discharges.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2a.06.01 Patient Characteristics for Pilot Hospitals </w:t>
      </w:r>
      <w:r>
        <w:rPr>
          <w:rFonts w:ascii="Calibri" w:eastAsia="Calibri" w:hAnsi="Calibri" w:cs="Calibri"/>
          <w:b w:val="0"/>
          <w:i w:val="0"/>
          <w:color w:val="000000"/>
          <w:sz w:val="20"/>
        </w:rPr>
        <w:t>(Note: All records received from hospitals are used in this analysis to provide a demographic profile of all patients, not only those that fell into the measure).</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29"/>
        <w:gridCol w:w="514"/>
        <w:gridCol w:w="514"/>
        <w:gridCol w:w="514"/>
        <w:gridCol w:w="514"/>
        <w:gridCol w:w="514"/>
        <w:gridCol w:w="514"/>
        <w:gridCol w:w="514"/>
        <w:gridCol w:w="514"/>
        <w:gridCol w:w="514"/>
        <w:gridCol w:w="514"/>
        <w:gridCol w:w="514"/>
        <w:gridCol w:w="514"/>
        <w:gridCol w:w="514"/>
        <w:gridCol w:w="514"/>
        <w:gridCol w:w="514"/>
        <w:gridCol w:w="71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65"/>
          <w:tblHeader/>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Category</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6.1</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6.2</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6.3</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Across Hospitals</w:t>
            </w:r>
          </w:p>
        </w:tc>
      </w:tr>
      <w:tr>
        <w:trPr>
          <w:cantSplit/>
          <w:trHeight w:val="315"/>
        </w:trPr>
        <w:tc>
          <w:tcPr>
            <w:tcW w:w="18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Maternal Age in Years </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(0.7)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(3.4)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(2)</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14 (1.2)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(1.4)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(0.5)</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29 (1)</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18-25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 (28.6)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 (43.6)</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84 (31.3)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21 (39.6)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 (26.3)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 (35.2)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 (28)</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105 (42.7)</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41 (38)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 (64.3)</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 (34.1)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36 (14.6)</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184 (16.2)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 (22)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 (9.4)</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690 (23.7)</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25-30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 (36.9)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11 (28.2)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68 (25.4)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13 (24.5)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36 (37.9)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 (27.3)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29 (35.4)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81 (32.9)</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32 (29.6)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(25)</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33 (36.3)</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57 (23.1)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222 (19.6)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39 (27.7)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35 (17.2)</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718 (24.7)</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30-35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 (26.2)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(12.8)</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75 (28)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 (22.6)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 (24.2)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 (25)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 (22)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39 (15.9)</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 (22.2)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(7.1)</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 (24.2)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93 (37.7)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382 (33.7)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40 (28.4)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78 (38.4)</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857 (29.5)</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35-40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(8.3)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(7.7)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33 (12.3)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(11.3)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(5.3)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(6.8)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 (11)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11 (4.5)</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 (8.3)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(3.6)</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(4.4)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49 (19.8)</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263 (23.2)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 (17)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50 (24.6)</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480 (16.5)</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40-45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(5.1)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(1.9)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(4.2)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(2.3)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(3.7)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(2)</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(1.9)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 (4.9)</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65 (5.7)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(3.5)</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 (9.9)</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126 (4.3)</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45-50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(2.6)</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(0.4)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(0.2)</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w:t>
            </w:r>
          </w:p>
        </w:tc>
      </w:tr>
      <w:tr>
        <w:trPr>
          <w:cantSplit/>
          <w:trHeight w:val="315"/>
        </w:trPr>
        <w:tc>
          <w:tcPr>
            <w:tcW w:w="18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 or Alaska Native</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(1.1)</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(1.6)</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 (0.4)</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 (1.4)</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(0.5)</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 (0.3)</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(1.2)</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 (10.4)</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(1.1)</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(1.1)</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 (6.1)</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(4.7)</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 (2)</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156 (13.7)</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 (9.9)</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 (3.4)</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200 (6.9)</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Black or African American</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(3.6)</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60 (22.4)</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(1.9)</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 (4.2)</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 (15.9)</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 (31.7)</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 (3.3)</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 (8.6)</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 (7.1)</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 (7.8)</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 (7.3)</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153 (13.5)</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 (16.3)</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326 (11.3)</w:t>
            </w:r>
          </w:p>
        </w:tc>
      </w:tr>
      <w:tr>
        <w:trPr>
          <w:cantSplit/>
          <w:trHeight w:val="69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Native Hawaiian or Other Pacific Islander</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 (58.3)</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(0.4)</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 (2.5)</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 (3.5)</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 (2)</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66 (2.3)</w:t>
            </w:r>
          </w:p>
        </w:tc>
      </w:tr>
      <w:tr>
        <w:trPr>
          <w:cantSplit/>
          <w:trHeight w:val="36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77 (91.7)</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 (12.5)</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185 (69)</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46 (86.8)</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82 (86.3)</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67 (76.1)</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44 (53.7)</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233 (96.7)</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96 (91.4)</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 (92.9)</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55 (85.9)</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174 (70.4)</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301 (26.5)</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51 (36.2)</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122 (60.1)</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1565 (54.3)</w:t>
            </w:r>
          </w:p>
        </w:tc>
      </w:tr>
      <w:tr>
        <w:trPr>
          <w:cantSplit/>
          <w:trHeight w:val="36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 Race</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(3.6)</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 (18.8)</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 (7.1)</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 (11.3)</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 (7.4)</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 (8)</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 (8.5)</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 (20.2)</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493 (43.4)</w:t>
            </w:r>
          </w:p>
        </w:tc>
        <w:tc>
          <w:tcPr>
            <w:tcW w:w="9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46 (32.6)</w:t>
            </w:r>
          </w:p>
        </w:tc>
        <w:tc>
          <w:tcPr>
            <w:tcW w:w="10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69 (34)</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716 (24.8)</w:t>
            </w:r>
          </w:p>
        </w:tc>
      </w:tr>
      <w:tr>
        <w:trPr>
          <w:cantSplit/>
          <w:trHeight w:val="360"/>
        </w:trPr>
        <w:tc>
          <w:tcPr>
            <w:tcW w:w="18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Ethnicity </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57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Hispanic or Latino</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(3.6)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 (90.9)</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 (6.7)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 (15.1)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(4.2)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13 (14.8)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(7.3)</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239 (98.8)</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105 (97.2)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 (100)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(5.3)</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37 (15)</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413 (36.4)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57 (40.4)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85 (41.9)</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1050 (36.4)</w:t>
            </w:r>
          </w:p>
        </w:tc>
      </w:tr>
      <w:tr>
        <w:trPr>
          <w:cantSplit/>
          <w:trHeight w:val="69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Non-Hispanic or Latino</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81 (96.4)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(9.1)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250 (93.3)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45 (84.9)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91 (95.8)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75 (85.2)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76 (92.7)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(1.2)</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(2.8)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72 (94.7)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210 (85)</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722 (63.6)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84 (59.6)</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118 (58.1)</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1833 (63.6)</w:t>
            </w:r>
          </w:p>
        </w:tc>
      </w:tr>
      <w:tr>
        <w:trPr>
          <w:cantSplit/>
          <w:trHeight w:val="465"/>
        </w:trPr>
        <w:tc>
          <w:tcPr>
            <w:tcW w:w="18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Primary Payer</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BC Managed Care -- Other</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 (12.4)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(4.9)</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 (8.1)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 (24.6)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 (28.7)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11 (10.9)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101 (3.3)</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BC Managed Care -- PPO</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(3.1)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26 (7.5)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(2.9)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(3.7)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39 (1.3)</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BLUE CROSS/BLUE SHIELD</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 (16.7)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51 (20)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68 (2.2)</w:t>
            </w:r>
          </w:p>
        </w:tc>
      </w:tr>
      <w:tr>
        <w:trPr>
          <w:cantSplit/>
          <w:trHeight w:val="36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Charity</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(2.4)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(0.1)</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Commercial Managed Care - HMO</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(7.2)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(12.2)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37 (10.7)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(3.7)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(6.9)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61 (2)</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Commercial Managed Care - POS</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(4.1)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(12.2)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13 (3.8)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(1.9)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 (0.8)</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Commercial Managed Care - PPO</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11 (11.3)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(7.3)</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 (9)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 (9.9)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55 (1.8)</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(private)</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86 (33.7)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86 (2.8)</w:t>
            </w:r>
          </w:p>
        </w:tc>
      </w:tr>
      <w:tr>
        <w:trPr>
          <w:cantSplit/>
          <w:trHeight w:val="36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Medicaid</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(9.8)</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 (1.2)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 (14.5)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 (8.3)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(6.3)</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98 (38.4)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280 (24.3)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74 (50.3)</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50 (22.5)</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537 (17.3)</w:t>
            </w:r>
          </w:p>
        </w:tc>
      </w:tr>
      <w:tr>
        <w:trPr>
          <w:cantSplit/>
          <w:trHeight w:val="36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Medicaid HMO</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38 (39.2)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161 (46.5)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 (29)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39 (36.1)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56 (55.4)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314 (10.1)</w:t>
            </w:r>
          </w:p>
        </w:tc>
      </w:tr>
      <w:tr>
        <w:trPr>
          <w:cantSplit/>
          <w:trHeight w:val="36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Medicare</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(0.3)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 (0.3)</w:t>
            </w:r>
          </w:p>
        </w:tc>
      </w:tr>
      <w:tr>
        <w:trPr>
          <w:cantSplit/>
          <w:trHeight w:val="690"/>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 Typology Code available for payment source</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 (10.3)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11 (3.2)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(7.2)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 (9.3)</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(0.5)</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38 (1.2)</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 Managed Care</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(7.2)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26 (7.5)</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 (4.6)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 (8.9)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47 (1.5)</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Private Health Insurance</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14 (14.6)</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846 (73.4)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69 (46.9)</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164 (73.9)</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1093 (35.2)</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Self-pay </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 (12.5)</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(2.2)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(0.4)</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 (0.5)</w:t>
            </w:r>
          </w:p>
        </w:tc>
      </w:tr>
      <w:tr>
        <w:trPr>
          <w:cantSplit/>
          <w:trHeight w:val="46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TRICARE (CHAMPUS)</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(0.6)</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(1.4)</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88 (96.7)</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(0.8)</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94 (3)</w:t>
            </w:r>
          </w:p>
        </w:tc>
      </w:tr>
      <w:tr>
        <w:trPr>
          <w:cantSplit/>
          <w:trHeight w:val="315"/>
        </w:trPr>
        <w:tc>
          <w:tcPr>
            <w:tcW w:w="18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Unavailable</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(1)</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21 (51.2)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 (1.7)</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13 (18.8)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(2.8)</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(2)</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47 (49)</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246 (100)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108 (100)</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 (100)</w:t>
            </w:r>
          </w:p>
        </w:tc>
        <w:tc>
          <w:tcPr>
            <w:tcW w:w="118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 (0)</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 (6.3)</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22 (1.9)</w:t>
            </w:r>
          </w:p>
        </w:tc>
        <w:tc>
          <w:tcPr>
            <w:tcW w:w="9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 (2)</w:t>
            </w:r>
          </w:p>
        </w:tc>
        <w:tc>
          <w:tcPr>
            <w:tcW w:w="104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(3.2)</w:t>
            </w:r>
          </w:p>
        </w:tc>
        <w:tc>
          <w:tcPr>
            <w:tcW w:w="112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523 (16.8)</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2a.06.01 Patient Characteristics for Pilot Hospitals displays the number of cases and percentage for Maternal Age in Years, Race, Ethnicity and Primary Payer.</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Rationale and data provided under risk adjustment section is from the 0471 submission.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 patient-level sociodemographic variables are used in the measure. There was considerable variability in the distribution of patient socio-demographic characteristics across hospitals, but we did not analyze differences in measure rates over these variables due to the relatively small sample size.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See validity testing section of data elements.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9"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hospitals, clinicians)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was completed for 2 pilot sites (7 hospitals). This includes 1 system of 6 hospitals and one stand-alone hospital. We reviewed 34 charts at the stand-alone hospital and 15 charts for each hospital in the system for a total of 90 charts, and a combined total for the 2 pilot sites of 124 charts. It should be noted that one chart was removed from the study as it did not have a delivery procedure on the encounter, thereby leaving a total of 123 charts in the validity study. The review included two different EHR vendors (Epic and Meditech).</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Sample size calculations using a kappa of 0.60, 80% power, alpha of 5%, and a confidence interval width of 0.20 gave a required sample size of 101 for the validity study. this is the content field where there isn't a ton of stuff in the editor. You can see well maybe not that well...kljasfdkjlfdsakjlnm</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Due to COVID-19, onsite validity testing visits were transitioned to a virtual visit approach. Validity visits were conducted during October and November of 2021 by The Joint Commission staff with the support of a hospital site abstractor. The purpose of the visits was to assess measure validity through clinical adjudication; elicit feedback from pilot site staff as to the importance, feasibility, and usability of the measure data elements, as well as determine if measure specifications were sufficiently clear and detailed to promote comparability of measure findings across hospitals.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Re-abstraction/Clinical Adjudication</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A statistically representative sample of the electronically submitted inpatient encounters was selected for re-abstraction. During the virtual visits, site staff shared their screen, navigated through the electronic health records of the sampled patients while Joint Commission staff manually re-abstracted each data element. To determine validity, re-abstraction findings were compared with the original electronic data submission and any disagreements were adjudicated with reasons for discrepancies noted.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Analysis</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Testing methodology is outlined below:</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All clinical data elements and all editable demographic elements are scored.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 All measure data are re-abstracted with original data having been blinded so that the re-abstraction is not biased.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 Re-abstracted data are compared with original data for each data element to identify missing or erroneous data. Ideally, data element agreement rates should exceed 80%.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 Overall performance measure outcome rates were calculated on all cases submitted by each site. Next, performance measure outcome rates were calculated on the adjudicated data for the sampled cases. The performance measure outcome rates were compared, and agreement rates were corrected for chance variation with the kappa statistic. Ideally, a kappa score greater than 0.60 should be achieved.</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When assessing agreement, we used the following kappa score ranges as guidance: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&lt; 0: Less than chance agreement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0.01–0.20: Slight agreement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0.21– 0.40: Fair agreement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0.41–0.60: Moderate agreement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0.61–0.80: Substantial agreement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0.81–0.99: Almost perfect agreement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Accountable Entity Level (“Measure Score Validity”): Measure score validity testing was completed for the 2 pilot sites (7 hospitals) </w:t>
      </w:r>
      <w:r>
        <w:rPr>
          <w:rFonts w:ascii="Calibri" w:eastAsia="Calibri" w:hAnsi="Calibri" w:cs="Calibri"/>
          <w:b w:val="0"/>
          <w:i w:val="0"/>
          <w:color w:val="000000"/>
          <w:sz w:val="20"/>
        </w:rPr>
        <w:t xml:space="preserve">This includes 1 system of 6 hospitals and one stand-alone hospital. We reviewed 34 charts at the stand-alone hospital and 15 charts for each hospital in the system for a total of 90 charts, and a combined total for the 2 pilot sites of 124 charts. It should be noted that one chart was removed from the study as it did not have a delivery procedure on the encounter, thereby leaving a total of 123 charts in the validity study. The review included two different EHR vendors (Epic and Meditech).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Sample size calculations using a kappa of 0.60, 80% power, alpha of 5%, and a confidence interval width of 0.20 gave a required sample size of 101 for the validity study. Table 2b.03.01 displays the PPV (agreement rate) for the numerator among delivery encounters clinically adjudicated in validity testing. The PPV rate was 94% at Pilot Site 1 and 0% at Pilot Site 2. During validity testing, Pilot Site 2 identified a mitigation plan for future data submissions.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2b.03.01. Agreement Statistics for Measure Numerator between EHR Extraction and Manual Chart Abstraction </w:t>
      </w:r>
      <w:r>
        <w:rPr>
          <w:rFonts w:ascii="Calibri" w:eastAsia="Calibri" w:hAnsi="Calibri" w:cs="Calibri"/>
          <w:b w:val="0"/>
          <w:i w:val="0"/>
          <w:color w:val="000000"/>
          <w:sz w:val="20"/>
        </w:rPr>
        <w:t>(PPV) (Validity Testing, 2 Test Sites, 7 hospitals)</w:t>
      </w:r>
    </w:p>
    <w:tbl>
      <w:tblPr>
        <w:tblStyle w:val="TableGrid"/>
        <w:tblCaption w:val="Agreement Statistics for Measure Numerator between EHR Extraction and Manual Chart Abstraction (PPV) (Validity Testing, 2 Test Sites, 7 hospitals)"/>
        <w:tblDescription w:val="Agreement Statistics for Measure Numerator between EHR Extraction and Manual Chart Abstraction (PPV) (Validity Testing, 2 Test Sites, 7 hospit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01"/>
        <w:gridCol w:w="2259"/>
        <w:gridCol w:w="2068"/>
        <w:gridCol w:w="221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44"/>
          <w:tblHeader/>
        </w:trPr>
        <w:tc>
          <w:tcPr>
            <w:tcW w:w="255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Pilot Sites </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Of Numerator Events Verified by Validity Testing</w:t>
            </w:r>
          </w:p>
        </w:tc>
        <w:tc>
          <w:tcPr>
            <w:tcW w:w="262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Of Numerator Events from EHR</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Positive Predictive Value (PPV)</w:t>
            </w:r>
          </w:p>
        </w:tc>
      </w:tr>
      <w:tr>
        <w:trPr>
          <w:cantSplit/>
          <w:trHeight w:val="361"/>
        </w:trPr>
        <w:tc>
          <w:tcPr>
            <w:tcW w:w="255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1</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tc>
        <w:tc>
          <w:tcPr>
            <w:tcW w:w="262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r>
      <w:tr>
        <w:trPr>
          <w:cantSplit/>
          <w:trHeight w:val="361"/>
        </w:trPr>
        <w:tc>
          <w:tcPr>
            <w:tcW w:w="255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2</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262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61"/>
        </w:trPr>
        <w:tc>
          <w:tcPr>
            <w:tcW w:w="255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Across 2 Pilot Sites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hospitals)</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38</w:t>
            </w:r>
          </w:p>
        </w:tc>
        <w:tc>
          <w:tcPr>
            <w:tcW w:w="262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29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Agreement Statistics for Measure Numerator between EHR Extraction and Manual Chart Abstraction </w:t>
      </w:r>
      <w:r>
        <w:rPr>
          <w:rFonts w:ascii="Calibri" w:eastAsia="Calibri" w:hAnsi="Calibri" w:cs="Calibri"/>
          <w:b w:val="0"/>
          <w:i w:val="0"/>
          <w:color w:val="000000"/>
          <w:sz w:val="20"/>
        </w:rPr>
        <w:t>(PPV) (Validity Testing, 2 Test Sites, 7 hospitals)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2b.03.02 displays the sensitivity, specificity, and negative predictive value (NPV). Specificity is high for both sites and sensitivity is high for Site 1 but low for Site 2. This means that the probability of the EHR data detecting a true cesarean section during a delivery hospitalization based on the abstracted data ('gold standard') is 87.5% for Site 1, 0% for Site 2 and 73.7% overall (sensitivity). Site 2’s low sensitivity rate can be explained by cases not qualifying for the initial population as time of delivery was missing or gravida/para/term/preterm were incorrect. This hospital uses a standalone OB documentation system that does not interface completely with the electronic health record (Meditech). The OB documentation is present in Meditech in non-discrete fields in a .pdf format. During validity testing the hospital identified a mitigation plan for future data submissions.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probability of the EHR data accurately identifying that no cesarean section occurred during a delivery hospitalization based on abstracted data was 96.5% for Site 1 and 100% for Site 2, and 97.7% overall (specificity). NPV was 93.2% and 82.4% for Sites 1 and 2 respectively, 89.3% overall, indicating the EHR data identified that a cesarean section did not occur, and the chart abstraction confirmed a cesarean section did not occur.</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2b.03.02. Measure Score Validity Statistics for Sample Between EHR Extraction and Manual Chart Abstraction</w:t>
      </w:r>
      <w:r>
        <w:rPr>
          <w:rFonts w:ascii="Calibri" w:eastAsia="Calibri" w:hAnsi="Calibri" w:cs="Calibri"/>
          <w:b w:val="0"/>
          <w:i w:val="0"/>
          <w:color w:val="000000"/>
          <w:sz w:val="20"/>
        </w:rPr>
        <w:t xml:space="preserve"> (Sensitivity, Specificity, NPV)</w:t>
      </w:r>
    </w:p>
    <w:tbl>
      <w:tblPr>
        <w:tblStyle w:val="TableGrid"/>
        <w:tblCaption w:val="Measure Score Validity Statistics for Sample Between EHR Extraction and Manual Chart Abstraction (Sensitivity, Specificity, NPV)"/>
        <w:tblDescription w:val="Measure Score Validity Statistics for Sample Between EHR Extraction and Manual Chart Abstraction (Sensitivity, Specificity, NPV)"/>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532"/>
        <w:gridCol w:w="2091"/>
        <w:gridCol w:w="1845"/>
        <w:gridCol w:w="207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9"/>
          <w:tblHeader/>
        </w:trPr>
        <w:tc>
          <w:tcPr>
            <w:tcW w:w="354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Pilot Sites</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Sensitivity</w:t>
            </w:r>
          </w:p>
        </w:tc>
        <w:tc>
          <w:tcPr>
            <w:tcW w:w="226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Specificity</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Negative Predictive Value (NPV)</w:t>
            </w:r>
          </w:p>
        </w:tc>
      </w:tr>
      <w:tr>
        <w:trPr>
          <w:cantSplit/>
          <w:trHeight w:val="290"/>
        </w:trPr>
        <w:tc>
          <w:tcPr>
            <w:tcW w:w="354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1</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87.5%</w:t>
            </w:r>
          </w:p>
        </w:tc>
        <w:tc>
          <w:tcPr>
            <w:tcW w:w="226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96.5%</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93.2%</w:t>
            </w:r>
          </w:p>
        </w:tc>
      </w:tr>
      <w:tr>
        <w:trPr>
          <w:cantSplit/>
          <w:trHeight w:val="290"/>
        </w:trPr>
        <w:tc>
          <w:tcPr>
            <w:tcW w:w="354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2</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6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82.4%</w:t>
            </w:r>
          </w:p>
        </w:tc>
      </w:tr>
      <w:tr>
        <w:trPr>
          <w:cantSplit/>
          <w:trHeight w:val="290"/>
        </w:trPr>
        <w:tc>
          <w:tcPr>
            <w:tcW w:w="354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Across 2 Pilot Sites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 hospitals)</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73.7%</w:t>
            </w:r>
          </w:p>
        </w:tc>
        <w:tc>
          <w:tcPr>
            <w:tcW w:w="226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97.7%</w:t>
            </w:r>
          </w:p>
        </w:tc>
        <w:tc>
          <w:tcPr>
            <w:tcW w:w="2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Measure Score Validity Statistics for Sample Between EHR Extraction and Manual Chart Abstraction</w:t>
      </w:r>
      <w:r>
        <w:rPr>
          <w:rFonts w:ascii="Calibri" w:eastAsia="Calibri" w:hAnsi="Calibri" w:cs="Calibri"/>
          <w:b w:val="0"/>
          <w:i w:val="0"/>
          <w:color w:val="000000"/>
          <w:sz w:val="20"/>
        </w:rPr>
        <w:t xml:space="preserve"> (Sensitivity, Specificity, NPV)</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Measure Outcome Agreement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Overall, the study revealed ePC-02 to have a good measure outcome agreement rate of 83.7% with a kappa score of 0.750 indicating substantial agreement. (See Table 2b.03.03 Measure Outcome Agreement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2b.03.03 Measure Outcome Agreement Rates </w:t>
      </w:r>
    </w:p>
    <w:tbl>
      <w:tblPr>
        <w:tblStyle w:val="TableGrid"/>
        <w:tblCaption w:val="Measure Outcome Agreement Rates"/>
        <w:tblDescription w:val="Measure Outcome Agreement Rat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942"/>
        <w:gridCol w:w="580"/>
        <w:gridCol w:w="2428"/>
        <w:gridCol w:w="256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1"/>
          <w:tblHeader/>
        </w:trPr>
        <w:tc>
          <w:tcPr>
            <w:tcW w:w="359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Pilot Site</w:t>
            </w:r>
          </w:p>
        </w:tc>
        <w:tc>
          <w:tcPr>
            <w:tcW w:w="231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26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Agreement Rate</w:t>
            </w:r>
          </w:p>
        </w:tc>
        <w:tc>
          <w:tcPr>
            <w:tcW w:w="303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kappa</w:t>
            </w:r>
          </w:p>
        </w:tc>
      </w:tr>
      <w:tr>
        <w:trPr>
          <w:cantSplit/>
          <w:trHeight w:val="251"/>
        </w:trPr>
        <w:tc>
          <w:tcPr>
            <w:tcW w:w="359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Pilot Site 1</w:t>
            </w:r>
          </w:p>
        </w:tc>
        <w:tc>
          <w:tcPr>
            <w:tcW w:w="231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26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89.9%</w:t>
            </w:r>
          </w:p>
        </w:tc>
        <w:tc>
          <w:tcPr>
            <w:tcW w:w="303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0.831</w:t>
            </w:r>
          </w:p>
        </w:tc>
      </w:tr>
      <w:tr>
        <w:trPr>
          <w:cantSplit/>
          <w:trHeight w:val="251"/>
        </w:trPr>
        <w:tc>
          <w:tcPr>
            <w:tcW w:w="359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Pilot Site 2</w:t>
            </w:r>
          </w:p>
        </w:tc>
        <w:tc>
          <w:tcPr>
            <w:tcW w:w="231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26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67.7%</w:t>
            </w:r>
          </w:p>
        </w:tc>
        <w:tc>
          <w:tcPr>
            <w:tcW w:w="303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0.477</w:t>
            </w:r>
          </w:p>
        </w:tc>
      </w:tr>
      <w:tr>
        <w:trPr>
          <w:cantSplit/>
          <w:trHeight w:val="251"/>
        </w:trPr>
        <w:tc>
          <w:tcPr>
            <w:tcW w:w="359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Total</w:t>
            </w:r>
          </w:p>
        </w:tc>
        <w:tc>
          <w:tcPr>
            <w:tcW w:w="231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26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83.7%</w:t>
            </w:r>
          </w:p>
        </w:tc>
        <w:tc>
          <w:tcPr>
            <w:tcW w:w="303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0.750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Measure Outcome Agreement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2b.03.04 Data Element Agreement Rates</w:t>
      </w:r>
    </w:p>
    <w:tbl>
      <w:tblPr>
        <w:tblStyle w:val="TableGrid"/>
        <w:tblCaption w:val="Data Element Agreement Rates"/>
        <w:tblDescription w:val="Data Element Agreement Rat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42"/>
        <w:gridCol w:w="1442"/>
        <w:gridCol w:w="769"/>
        <w:gridCol w:w="651"/>
        <w:gridCol w:w="693"/>
        <w:gridCol w:w="769"/>
        <w:gridCol w:w="550"/>
        <w:gridCol w:w="693"/>
        <w:gridCol w:w="769"/>
        <w:gridCol w:w="651"/>
        <w:gridCol w:w="69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Characteristic</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Data Element Name</w:t>
            </w:r>
          </w:p>
        </w:tc>
        <w:tc>
          <w:tcPr>
            <w:tcW w:w="85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Site #1</w:t>
            </w:r>
          </w:p>
        </w:tc>
        <w:tc>
          <w:tcPr>
            <w:tcW w:w="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Site #1</w:t>
            </w:r>
          </w:p>
        </w:tc>
        <w:tc>
          <w:tcPr>
            <w:tcW w:w="8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Site #1</w:t>
            </w:r>
          </w:p>
        </w:tc>
        <w:tc>
          <w:tcPr>
            <w:tcW w:w="85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Site #2</w:t>
            </w:r>
          </w:p>
        </w:tc>
        <w:tc>
          <w:tcPr>
            <w:tcW w:w="74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Site #2</w:t>
            </w:r>
          </w:p>
        </w:tc>
        <w:tc>
          <w:tcPr>
            <w:tcW w:w="8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Site #2</w:t>
            </w:r>
          </w:p>
        </w:tc>
        <w:tc>
          <w:tcPr>
            <w:tcW w:w="85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81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82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r>
      <w:tr>
        <w:trPr>
          <w:cantSplit/>
          <w:trHeight w:val="315"/>
        </w:trPr>
        <w:tc>
          <w:tcPr>
            <w:tcW w:w="14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r>
      <w:tr>
        <w:trPr>
          <w:cantSplit/>
          <w:trHeight w:val="3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DOB</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ONC Administrative Sex Code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88</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r>
      <w:tr>
        <w:trPr>
          <w:cantSplit/>
          <w:trHeight w:val="3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Ethnicity</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88</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r>
      <w:tr>
        <w:trPr>
          <w:cantSplit/>
          <w:trHeight w:val="3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Demographics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Payer</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Encounter</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Encounter, Performed : Encounter Inpatient</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55</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45%</w:t>
            </w:r>
          </w:p>
        </w:tc>
      </w:tr>
      <w:tr>
        <w:trPr>
          <w:cantSplit/>
          <w:trHeight w:val="69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Admission Date Time (Relevant Period Start Time)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69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Discharge Date Time (Relevant Period End Time)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69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Dx</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Abnormal Presentation Diagnosis Code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117</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95%</w:t>
            </w:r>
          </w:p>
        </w:tc>
      </w:tr>
      <w:tr>
        <w:trPr>
          <w:cantSplit/>
          <w:trHeight w:val="69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Dx</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of Singleton Diagnosis Code (ICD10)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Dx</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of Singleton Diagnosis (SNOMED)</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808" w:type="dxa"/>
          </w:tcPr>
          <w:p w:rsidR="00A77B3E">
            <w:pPr>
              <w:spacing w:before="0" w:after="80"/>
              <w:jc w:val="left"/>
              <w:rPr>
                <w:rFonts w:ascii="Calibri" w:eastAsia="Calibri" w:hAnsi="Calibri" w:cs="Calibri"/>
                <w:b w:val="0"/>
                <w:i w:val="0"/>
                <w:color w:val="000000"/>
                <w:sz w:val="20"/>
              </w:rPr>
            </w:pP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Dx</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Placenta Previa Diagnosis Code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Procedures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Cesarean Section Procedure Code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Procedures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Cesarean Section Procedure Date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Procedures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Procedure Code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Procedures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Procedure Date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r>
      <w:tr>
        <w:trPr>
          <w:cantSplit/>
          <w:trHeight w:val="114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Details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Date and time of obstetric delivery, Author Date Time</w:t>
            </w:r>
            <w:r>
              <w:rPr>
                <w:rFonts w:ascii="Calibri" w:eastAsia="Calibri" w:hAnsi="Calibri" w:cs="Calibri"/>
                <w:b w:val="0"/>
                <w:i w:val="0"/>
                <w:color w:val="000000"/>
                <w:sz w:val="20"/>
                <w:vertAlign w:val="superscript"/>
              </w:rPr>
              <w:t>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84%</w:t>
            </w:r>
          </w:p>
        </w:tc>
      </w:tr>
      <w:tr>
        <w:trPr>
          <w:cantSplit/>
          <w:trHeight w:val="114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Details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Estimated Gestational Age at Delivery, Author Date Time</w:t>
            </w:r>
            <w:r>
              <w:rPr>
                <w:rFonts w:ascii="Calibri" w:eastAsia="Calibri" w:hAnsi="Calibri" w:cs="Calibri"/>
                <w:b w:val="0"/>
                <w:i w:val="0"/>
                <w:color w:val="000000"/>
                <w:sz w:val="20"/>
                <w:vertAlign w:val="superscript"/>
              </w:rPr>
              <w:t>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w:t>
            </w:r>
          </w:p>
        </w:tc>
      </w:tr>
      <w:tr>
        <w:trPr>
          <w:cantSplit/>
          <w:trHeight w:val="9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Details</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Estimated Gestational Age at Delivery, result</w:t>
            </w:r>
            <w:r>
              <w:rPr>
                <w:rFonts w:ascii="Calibri" w:eastAsia="Calibri" w:hAnsi="Calibri" w:cs="Calibri"/>
                <w:b w:val="0"/>
                <w:i w:val="0"/>
                <w:color w:val="000000"/>
                <w:sz w:val="20"/>
                <w:vertAlign w:val="superscript"/>
              </w:rPr>
              <w:t>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27</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79%</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116</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r>
      <w:tr>
        <w:trPr>
          <w:cantSplit/>
          <w:trHeight w:val="9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Births.preterm - Author Date Time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91%</w:t>
            </w:r>
          </w:p>
        </w:tc>
      </w:tr>
      <w:tr>
        <w:trPr>
          <w:cantSplit/>
          <w:trHeight w:val="9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Births.preterm – Result</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88%</w:t>
            </w:r>
          </w:p>
        </w:tc>
      </w:tr>
      <w:tr>
        <w:trPr>
          <w:cantSplit/>
          <w:trHeight w:val="9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Births.term - Author Date Time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86%</w:t>
            </w:r>
          </w:p>
        </w:tc>
      </w:tr>
      <w:tr>
        <w:trPr>
          <w:cantSplit/>
          <w:trHeight w:val="69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Births.term – Result</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86</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86</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106</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81%</w:t>
            </w:r>
          </w:p>
        </w:tc>
      </w:tr>
      <w:tr>
        <w:trPr>
          <w:cantSplit/>
          <w:trHeight w:val="690"/>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Parity - Author Date Time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85%</w:t>
            </w:r>
          </w:p>
        </w:tc>
      </w:tr>
      <w:tr>
        <w:trPr>
          <w:cantSplit/>
          <w:trHeight w:val="46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 Perf Parity - Result</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88</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92%</w:t>
            </w:r>
          </w:p>
        </w:tc>
      </w:tr>
      <w:tr>
        <w:trPr>
          <w:cantSplit/>
          <w:trHeight w:val="9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pregnancies (gravida) - Author Date Time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106</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86%</w:t>
            </w:r>
          </w:p>
        </w:tc>
      </w:tr>
      <w:tr>
        <w:trPr>
          <w:cantSplit/>
          <w:trHeight w:val="915"/>
        </w:trPr>
        <w:tc>
          <w:tcPr>
            <w:tcW w:w="147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Pregnancy History</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pregnancies (gravida) - Result</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120</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r>
      <w:tr>
        <w:trPr>
          <w:cantSplit/>
          <w:trHeight w:val="315"/>
        </w:trPr>
        <w:tc>
          <w:tcPr>
            <w:tcW w:w="14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TOTALS</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2223</w:t>
            </w:r>
          </w:p>
        </w:tc>
        <w:tc>
          <w:tcPr>
            <w:tcW w:w="78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2303</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597</w:t>
            </w:r>
          </w:p>
        </w:tc>
        <w:tc>
          <w:tcPr>
            <w:tcW w:w="757"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757</w:t>
            </w:r>
          </w:p>
        </w:tc>
        <w:tc>
          <w:tcPr>
            <w:tcW w:w="8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79%</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2820</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3060</w:t>
            </w:r>
          </w:p>
        </w:tc>
        <w:tc>
          <w:tcPr>
            <w:tcW w:w="82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Data Element Agreement Rates</w:t>
      </w:r>
    </w:p>
    <w:p w:rsidR="00A77B3E">
      <w:pPr>
        <w:spacing w:before="0" w:after="80"/>
        <w:ind w:left="180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See Table 2b.03.05 Data Element Agreement Rates Shared Data Elements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It should be noted that in the latest version of ePC02, the initial population and determination of gestational age for the denominator is aligned with ePC07 (Severe Obstetrics Complication) which is a measure under development. During the development of ePC07 in 2021, validity testing was completed for 15 individual hospitals (1 system of 10 hospitals and 5 individual hospitals). Over 200 records were subjected to validity testing in 2021. The following 6 data elements in Table 2b.03.05 are used by both ePC02 and ePC07. The overall validity for these 6 data elements is high at 94.1%.</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2b.03.05 Data Element Agreement Rates Shared Data Elements</w:t>
      </w:r>
    </w:p>
    <w:tbl>
      <w:tblPr>
        <w:tblStyle w:val="TableGrid"/>
        <w:tblCaption w:val="Data Element Agreement Rates Shared Data Elements"/>
        <w:tblDescription w:val="Data Element Agreement Rates Shared Data Element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775"/>
        <w:gridCol w:w="475"/>
        <w:gridCol w:w="340"/>
        <w:gridCol w:w="428"/>
        <w:gridCol w:w="456"/>
        <w:gridCol w:w="340"/>
        <w:gridCol w:w="399"/>
        <w:gridCol w:w="456"/>
        <w:gridCol w:w="340"/>
        <w:gridCol w:w="428"/>
        <w:gridCol w:w="456"/>
        <w:gridCol w:w="340"/>
        <w:gridCol w:w="381"/>
        <w:gridCol w:w="456"/>
        <w:gridCol w:w="340"/>
        <w:gridCol w:w="428"/>
        <w:gridCol w:w="475"/>
        <w:gridCol w:w="340"/>
        <w:gridCol w:w="428"/>
        <w:gridCol w:w="456"/>
        <w:gridCol w:w="402"/>
        <w:gridCol w:w="41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202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Delivery Details</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1</w:t>
            </w:r>
          </w:p>
        </w:tc>
        <w:tc>
          <w:tcPr>
            <w:tcW w:w="6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1</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1</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2</w:t>
            </w:r>
          </w:p>
        </w:tc>
        <w:tc>
          <w:tcPr>
            <w:tcW w:w="7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2</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2</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3</w:t>
            </w:r>
          </w:p>
        </w:tc>
        <w:tc>
          <w:tcPr>
            <w:tcW w:w="6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3</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3</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6</w:t>
            </w:r>
          </w:p>
        </w:tc>
        <w:tc>
          <w:tcPr>
            <w:tcW w:w="73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6</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6</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7</w:t>
            </w:r>
          </w:p>
        </w:tc>
        <w:tc>
          <w:tcPr>
            <w:tcW w:w="6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7</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7</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9</w:t>
            </w:r>
          </w:p>
        </w:tc>
        <w:tc>
          <w:tcPr>
            <w:tcW w:w="70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9</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Site 9</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7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Total</w:t>
            </w:r>
          </w:p>
        </w:tc>
      </w:tr>
      <w:tr>
        <w:trPr>
          <w:cantSplit/>
          <w:trHeight w:val="270"/>
        </w:trPr>
        <w:tc>
          <w:tcPr>
            <w:tcW w:w="20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81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77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70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75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81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c>
          <w:tcPr>
            <w:tcW w:w="8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Match</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79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Rate</w:t>
            </w:r>
          </w:p>
        </w:tc>
      </w:tr>
      <w:tr>
        <w:trPr>
          <w:cantSplit/>
          <w:trHeight w:val="915"/>
        </w:trPr>
        <w:tc>
          <w:tcPr>
            <w:tcW w:w="20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Relevant Date Time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Date and time of obstetric delivery</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199</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204</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r>
      <w:tr>
        <w:trPr>
          <w:cantSplit/>
          <w:trHeight w:val="465"/>
        </w:trPr>
        <w:tc>
          <w:tcPr>
            <w:tcW w:w="20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Result: Date and time of obstetric delivery</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5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199</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204</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r>
      <w:tr>
        <w:trPr>
          <w:cantSplit/>
          <w:trHeight w:val="690"/>
        </w:trPr>
        <w:tc>
          <w:tcPr>
            <w:tcW w:w="20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Relevant Date Time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Delivery date Estimated</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5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204</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82%</w:t>
            </w:r>
          </w:p>
        </w:tc>
      </w:tr>
      <w:tr>
        <w:trPr>
          <w:cantSplit/>
          <w:trHeight w:val="465"/>
        </w:trPr>
        <w:tc>
          <w:tcPr>
            <w:tcW w:w="20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Result: Delivery date Estimated</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5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199</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204</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r>
      <w:tr>
        <w:trPr>
          <w:cantSplit/>
          <w:trHeight w:val="915"/>
        </w:trPr>
        <w:tc>
          <w:tcPr>
            <w:tcW w:w="20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Relevant Date Time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Estimated Gestational Age at Delivery</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191</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r>
      <w:tr>
        <w:trPr>
          <w:cantSplit/>
          <w:trHeight w:val="690"/>
        </w:trPr>
        <w:tc>
          <w:tcPr>
            <w:tcW w:w="20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Result: Estimated Gestational Age at Delivery</w:t>
            </w:r>
          </w:p>
        </w:tc>
        <w:tc>
          <w:tcPr>
            <w:tcW w:w="8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195</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204</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96%</w:t>
            </w:r>
          </w:p>
        </w:tc>
      </w:tr>
      <w:tr>
        <w:trPr>
          <w:cantSplit/>
          <w:trHeight w:val="315"/>
        </w:trPr>
        <w:tc>
          <w:tcPr>
            <w:tcW w:w="202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TOTALS</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209</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185</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74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76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172</w:t>
            </w:r>
          </w:p>
        </w:tc>
        <w:tc>
          <w:tcPr>
            <w:tcW w:w="6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210</w:t>
            </w:r>
          </w:p>
        </w:tc>
        <w:tc>
          <w:tcPr>
            <w:tcW w:w="71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8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86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1151</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1223</w:t>
            </w:r>
          </w:p>
        </w:tc>
        <w:tc>
          <w:tcPr>
            <w:tcW w:w="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94%</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bCs/>
          <w:i w:val="0"/>
          <w:color w:val="000000"/>
          <w:sz w:val="20"/>
        </w:rPr>
        <w:t>Data Element Agreement Rates Shared Data Elements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2b.03.05 Data Element Agreement Rates Shared Data Elements. It should be noted that in the latest version of ePC02, the initial population and determination of gestational age for the denominator is aligned with ePC07 (Severe Obstetrics Complication) which is a measure under development. During the development of ePC07 in 2021, validity testing was completed for 15 individual hospitals (1 system of 10 hospitals and 5 individual hospitals). Over 200 records were subjected to validity testing in 2021. The 6 data elements in Table 2b.03.05 are used by both ePC02 and ePC07. The overall validity for these 6 data elements is high at 94.1%.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Accountable Entity Level “Measure Score Validity”: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Positive Predictive Value (PPV): For Site 1, in almost all delivery encounters with a numerator event adjudicated, the delivery encounters with a cesarean section in the EHR data were shown to have a cesarean section in the chart abstracted data, indicating strong measure validity. Although we do not always expect perfect agreement, as we expect some degree of human error in entering and matching values, we consider these PPV to show excellent measure score validity. The absence of a perfect PPV does not threaten validity as we do not expect any systematic error in this small amount of disagreement across hospitals that might bias the measure results. Site 2 had poor positive predictive accuracy due to data collection issues specific to their site explained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Sensitivity, specificity, and negative predictive value (NPV): Specificity and sensitivity results for site 1 indicate a high probability of the EHR data detecting a true cesarean section based on the abstracted data ('gold standard'), and a high probability of the EHR data accurately identifying that cesarean section occurred during a delivery hospitalization. The strong NPV results indicate that when EHR data indicated a cesarean section did not occur, the chart abstraction confirmed that a cesarean section did not occur. Site 2 had poor positive sensitivity due to data collection issues specific to their site explained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1: 30 numerator events were identified based on submitted data. Thirty-two numerator events were evaluated during validity testing. During validity testing, it was identified that 6 records were coded as malpresentation of fetus. However, upon clinical adjudication, documentation was found that the fetus was in the vertex presentation. Therefore, these six cases were no longer denominator exclusions. Four of the six cases became numerator cases, 2 of the cases became denominator cases. Two additional cases originally qualified as numerator cases but upon validity testing and clinical adjudication were found to not meet the denominator. The preterm/term births were submitted as zero qualifying them for the denominator based on EHR data. However, during validity testing and clinical adjudication the patients were found to have one term birth disqualifying them for the denominator. Overall, the net change in the numerator count was plus 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2: No numerator events were identified based on submitted data. Six numerator events were evaluated during validity testing. During validity testing six cases that were originally excluded from the denominator due to a missing time of delivery were found to meet the numerator when time of delivery was provided. This hospital uses a standalone OB documentation system that does not interface completely with the electronic health record (Meditech). The OB documentation is present in Meditech in non-discrete fields in a .pdf form.</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Measure Outcome Agreement Rates Analysis: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1: 89 records across 6 individual hospitals exhibited an 89.9% measure outcome agreement rate with a kappa score of 0.831 indicating almost perfect agreement. Six of the nine mismatches were coded as malpresentation of fetus. However, review of the clinical record revealed that the fetus was in vertex presentation. Therefore, these six cases no longer were denominator exclusions. The remaining 3 cases were mismatches since the para or # term births were incorrect. Based on the submitted data, the patient did not qualify for the denominator. With the adjudicated data, the patient qualified for the denominator or numerator.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2: 34 records for Pilot Site 2 exhibited a measure outcome agreement rate of 67.7% with kappa score of 0.477 indicating moderate agreement. In total, 11 cases mismatched. In all 11 cases, the patient did not qualify for the initial population as time of delivery was missing or gravida/para/term/preterm were incorrect. This hospital uses a standalone OB documentation system that does not interface completely with the electronic health record (Meditech). The OB documentation is present in Meditech in non-discrete fields in a .pdf format.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Data Element Agreement Rate Analysis: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Comment on feasibility scorecard in relationship to validity: As evidenced on the feasibility scorecards created for this measure, only one data element (estimated gestational age author date/time) was scored as 0 by Pilot Site 2 for data accuracy. Validity testing proved this data element to be problematic along with other data elements. The hospital has identified a mitigation plan for future data submissions.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Overall, the data element agreement rate for all sites was excellent at a score of 92.2%.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1 demonstrated an excellent agreement rate of 96.5%. In 21 out of 89 cases, the admission type was erroneously mapped to emergency when it should have been elective. This had no impact on the measure outcome. As already mentioned, six cases were miscoded as malpresentation of the fetus. None of the mismatches were due to missing data.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Pilot Site 2 demonstrated a fair data element agreement rate of 78.9%. As already mentioned, this hospital uses a stand-alone OB documentation system that does not interface completely with the Meditech Electronic Health Record. A .pdf report is available in Meditech in non-discrete fields. Most mismatches were in the Delivery Date/Time, Estimated Gestational Age, Gravida, Para, Preterm or Term Birth fields. Of the mismatches, 57% were due to missing data in those fields.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 demonstrate meaningful differences in performance, The Joint Commission calculated a funnel plot (Spiegelhalter, 2005) for the hospital rates of the measure. In a funnel plot, the observed measure is plotted against a measure of its precision, so that the control limits form a ‘funnel’ around the target outcome. The 95 percent (≈2 standard deviation) and 99.8 percent (≈3 standard deviation) prediction limits are then superimposed over this plot around the overall measure rate. Those rates lying outside the confidence limits are identified as outliers.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Spiegelhalter, DJ. (2005). Funnel plots for comparing institutional performance. </w:t>
      </w:r>
      <w:r>
        <w:rPr>
          <w:rFonts w:ascii="Calibri" w:eastAsia="Calibri" w:hAnsi="Calibri" w:cs="Calibri"/>
          <w:b w:val="0"/>
          <w:i/>
          <w:iCs/>
          <w:color w:val="000000"/>
          <w:sz w:val="20"/>
        </w:rPr>
        <w:t>Statistics in Medicine</w:t>
      </w:r>
      <w:r>
        <w:rPr>
          <w:rFonts w:ascii="Calibri" w:eastAsia="Calibri" w:hAnsi="Calibri" w:cs="Calibri"/>
          <w:b w:val="0"/>
          <w:i w:val="0"/>
          <w:color w:val="000000"/>
          <w:sz w:val="20"/>
        </w:rPr>
        <w:t>, 24(8), 1185–1202. doi: 10.1002/sim.1970.</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Cesarean Birth by Site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Cesarean birth rates for all 15 hospitals that submitted production data for the 2020 calendar year can be found in Table 2b.06.01 below. The first digit of the hospital ID identifies the site and the digit after the decimal indicates the hospital within that site.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2b.06.01 ePC02 Cesarean Birth Rates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915"/>
        <w:gridCol w:w="2392"/>
        <w:gridCol w:w="226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49"/>
          <w:tblHeader/>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w:t>
            </w:r>
            <w:r>
              <w:rPr>
                <w:rFonts w:ascii="Calibri" w:eastAsia="Calibri" w:hAnsi="Calibri" w:cs="Calibri"/>
                <w:b/>
                <w:bCs/>
                <w:i w:val="0"/>
                <w:color w:val="000000"/>
                <w:sz w:val="20"/>
              </w:rPr>
              <w:t xml:space="preserve"> ID</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Denominator</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ePC02 Rate</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32.4%</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30.8%</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79</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22.8%</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1.4</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16.7%</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21.9%</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27</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18.5%</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71.8%</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38</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55.3%</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55.6%</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112</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25.0%</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6.1</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373</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20.6%</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6.2</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37</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18.9%</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6.3</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25.3%</w:t>
            </w:r>
          </w:p>
        </w:tc>
      </w:tr>
      <w:tr>
        <w:trPr>
          <w:cantSplit/>
          <w:trHeight w:val="290"/>
        </w:trPr>
        <w:tc>
          <w:tcPr>
            <w:tcW w:w="36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Total</w:t>
            </w:r>
          </w:p>
        </w:tc>
        <w:tc>
          <w:tcPr>
            <w:tcW w:w="215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933</w:t>
            </w:r>
          </w:p>
        </w:tc>
        <w:tc>
          <w:tcPr>
            <w:tcW w:w="202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27.5%</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2b.06.01 ePC02 Cesarean Birth Rates displays the number of denominator cases and the Cesarean birth rate at the hospital level for the 15 hospitals that submitted 2020 discharges.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funnel plot is displayed in Figure 2b.06.01 below. Of the 15 hospitals in the pilot, two were identified as statistically significant high outliers.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Figure 2b.06.01 ePC02 Funnel Plot: 2020 Data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995574"/>
            <wp:docPr id="100011" name="" descr="Funnel Plot of 15 hospitals 2020 data using measure rate and denominator 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10"/>
                    <a:stretch>
                      <a:fillRect/>
                    </a:stretch>
                  </pic:blipFill>
                  <pic:spPr>
                    <a:xfrm>
                      <a:off x="0" y="0"/>
                      <a:ext cx="5943600" cy="2995574"/>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Footnote: The green solid lines are the 95% confidence limits, and the dotted red lines are the 99% confidence limits.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Even with the relatively small numbers of hospitals and denominator sizes in the pilot, there were high outliers identified and there was significant variation in the measure rates. Those outliers identified with unusually low rates based on their denominators identify potential future data validation opportunities. Site 3 is located outside of the continental United States where performance is dramatically different.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described in section 3.05, we quantitatively assessed data element feasibility during feasibility testing. Two domains on the NQF scorecard address missing data. The domain of “Data Availability” addresses the extent to which the data are readily available in a structured format. The domain of “Workflow” addresses the extent to which the data is routinely collected during clinical care. Based on feasibility testing results, the measure uses data elements that are expected to be available in structured fields of the EHR and captured as part of routine care of the patient.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described in section 2b.03.04, we quantitatively assessed data element validity by indicating the “match” rate. A match indicates that the data submitted by the hospital matched what was reabstracted during the validation visit. In other words, a match indicates the data was not missing and was accurate. Overall, the data element agreement rate for all sites was excellent at a score of 92.2%. For the missing data, we determined the percent of mismatches for each data element that were due to missing data, separately for the two sites Table 2b.09.01 provides the frequency of missing data, and section 2b.10 provides the interpretation of the results.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section 2b.03, Table 2b.03.04 displays the Data Element Agreement Rate. In this section we add the column “Due to Missing Data” to Table 2b.09.01 to provide the frequency of missing data.</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2b.09.01 Match Rate by Data Element Due to Missing Data</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1"/>
        <w:gridCol w:w="671"/>
        <w:gridCol w:w="519"/>
        <w:gridCol w:w="848"/>
        <w:gridCol w:w="690"/>
        <w:gridCol w:w="671"/>
        <w:gridCol w:w="501"/>
        <w:gridCol w:w="848"/>
        <w:gridCol w:w="690"/>
        <w:gridCol w:w="671"/>
        <w:gridCol w:w="534"/>
        <w:gridCol w:w="848"/>
        <w:gridCol w:w="68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blHeader/>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#1</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#1</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#1</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#1</w:t>
            </w:r>
          </w:p>
        </w:tc>
        <w:tc>
          <w:tcPr>
            <w:tcW w:w="11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#2</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#2</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#2</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Pilot Site #2</w:t>
            </w:r>
          </w:p>
        </w:tc>
        <w:tc>
          <w:tcPr>
            <w:tcW w:w="117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Data Element Name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Match Rate</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Mismatch</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Due to missing data</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Match Rate</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Mismatch</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Due to missing data</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Match Rate</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Mismatch</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Due to missing data</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DOB</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ONC Administrative Sex Code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98.9%</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99.2%</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Ethnicity</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98.9%</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99.2%</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Payer</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Encounter, Performed : Encounter Inpatient</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23.6%</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68</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44.7%</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68</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Admission Date Time (Relevant Period Start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Discharge Date Time (Relevant Period End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Abnormal Presentation Diagnosis Code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93.3%</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95.1%</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of Singleton Diagnosis Code (ICD10)</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of Singleton Diagnosis (SNOMED)</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Placenta Previa Diagnosis Code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Cesarean Section Procedure Code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Cesarean Section Procedure Date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Procedure Code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Delivery Procedure Date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97.1%</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99.2%</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Date and time of obstetric delivery, Author Date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41.2%</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83.7%</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r>
      <w:tr>
        <w:trPr>
          <w:cantSplit/>
          <w:trHeight w:val="870"/>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Estimated Gestational Age at Delivery, Author Date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8.8%</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74.8%</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Estimated Gestational Age at Delivery, result</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79.4%</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94.3%</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Births.preterm - Author Date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90.8%</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Births.preterm - Result</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88.1%</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Births.term - Author Date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85.6%</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Births.term - Result</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96.6%</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81.1%</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106</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Parity - Author Date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44.1%</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84.6%</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 Perf Parity - Result</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98.9%</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73.5%</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91.9%</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pregnancies (gravida) - Author Date Time</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50.0%</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86.2%</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17</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r>
      <w:tr>
        <w:trPr>
          <w:cantSplit/>
          <w:trHeight w:val="5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pregnancies (gravida) - Result</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91.2%</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97.6%</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r>
      <w:tr>
        <w:trPr>
          <w:cantSplit/>
          <w:trHeight w:val="285"/>
        </w:trPr>
        <w:tc>
          <w:tcPr>
            <w:tcW w:w="290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TOTALS</w:t>
            </w:r>
          </w:p>
        </w:tc>
        <w:tc>
          <w:tcPr>
            <w:tcW w:w="14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96.5%</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2303</w:t>
            </w:r>
          </w:p>
        </w:tc>
        <w:tc>
          <w:tcPr>
            <w:tcW w:w="90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80</w:t>
            </w:r>
          </w:p>
        </w:tc>
        <w:tc>
          <w:tcPr>
            <w:tcW w:w="91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78.9%</w:t>
            </w:r>
          </w:p>
        </w:tc>
        <w:tc>
          <w:tcPr>
            <w:tcW w:w="98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757</w:t>
            </w:r>
          </w:p>
        </w:tc>
        <w:tc>
          <w:tcPr>
            <w:tcW w:w="1117"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160</w:t>
            </w:r>
          </w:p>
        </w:tc>
        <w:tc>
          <w:tcPr>
            <w:tcW w:w="90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119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92.2% </w:t>
            </w:r>
          </w:p>
        </w:tc>
        <w:tc>
          <w:tcPr>
            <w:tcW w:w="106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3060</w:t>
            </w:r>
          </w:p>
        </w:tc>
        <w:tc>
          <w:tcPr>
            <w:tcW w:w="97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240</w:t>
            </w:r>
          </w:p>
        </w:tc>
        <w:tc>
          <w:tcPr>
            <w:tcW w:w="974"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92</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*This cell intentionally left empty.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2b.09.01 Match Rate by Data Element Due to Missing Data is displayed for 27 data elements for the 2 Test Sites. Pilot Site 1 had no mismatches due to missing data while Pilot Site 2 had 92 mismatches due to missing data out of a total of 160 mismatches.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match indicates that the data submitted by the hospital matched what was reabstracted during the validation visit. In other words, a match indicates the data was not missing and was accurate. As evidenced by the results above, there is variation between Pilot Site 1 and 2 with results of 96.5% and 78.9% respectively. Section 2b.04 outlines the root cause for the missing data for Pilot Site 2 and mitigation plans which would improve upon the number of missing data elements for this site. As already mentioned, Pilot Site 2 uses a stand-alone OB documentation system that does not interface completely with the Meditech Electronic Health Record. A .pdf report is available in Meditech in non-discrete fields. Most mismatches were in the Delivery Date/Time, Estimated Gestational Age, Gravida, Para, Preterm or Term Birth fields. Of the mismatches, 57% were due to missing data in those fields. In comparison, Pilot Site 1 had no mismatches due to missing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the measure uses exclusions.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have compared the frequencies of the denominator and numerator by site before and after the exclusions. The performance scores were re-calculated and checked for any significant change after exclusions. Since the number of sites is small, no formal statistical test has been performed for the effect of exclusion on the performance score.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2b.17.01 Frequency Distribution of ePC02 eCQM Exclusions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33"/>
        <w:gridCol w:w="1353"/>
        <w:gridCol w:w="1346"/>
        <w:gridCol w:w="1376"/>
        <w:gridCol w:w="1346"/>
        <w:gridCol w:w="1323"/>
        <w:gridCol w:w="135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00"/>
          <w:tblHeader/>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Denominator</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Denominator</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Denominator</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Denominator </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Denominator </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Denominator </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Delivery Encounters</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Denominator Exclusions (Placenta Previa &amp; Abnormal Presentation) </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Denominator Exclusions </w:t>
            </w:r>
          </w:p>
          <w:p w:rsidR="00A77B3E">
            <w:pPr>
              <w:spacing w:before="0" w:after="80"/>
              <w:jc w:val="left"/>
              <w:rPr>
                <w:rFonts w:ascii="Calibri" w:eastAsia="Calibri" w:hAnsi="Calibri" w:cs="Calibri"/>
                <w:b/>
                <w:bCs/>
                <w:i w:val="0"/>
                <w:color w:val="000000"/>
                <w:sz w:val="20"/>
              </w:rPr>
            </w:pPr>
            <w:r>
              <w:rPr>
                <w:rFonts w:ascii="Calibri" w:eastAsia="Calibri" w:hAnsi="Calibri" w:cs="Calibri"/>
                <w:b/>
                <w:bCs/>
                <w:i w:val="0"/>
                <w:color w:val="000000"/>
                <w:sz w:val="20"/>
              </w:rPr>
              <w:t>Placenta Previa &amp; Abnormal Presentation)</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Denominator less Exclusions Placenta Previa &amp; Abnormal Presentation)</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Rate With Placenta Previa &amp; Abnormal Presentation Cases Excluded</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Rate with Placenta Previa &amp; Abnormal Presentation Cases Included </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Hospital Number </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N </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Denominator</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1.1</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35</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2.9%</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34</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32%</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34%</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1.2</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13</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0.0%</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13</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31%</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31%</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1.3</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86</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7</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8.1%</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79</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23%</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29%</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1.4</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12</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0.0%</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12</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17%</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17%</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1.5</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38</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6</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15.8%</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32</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22%</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34%</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1.6</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32</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15.6%</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27</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19%</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31%</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11</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0.0%</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11</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3.1</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71</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0.0%</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71</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72%</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72%</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3.2</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38</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0.0%</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38</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55%</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55%</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3.3</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9</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0.0%</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9</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56%</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56%</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0.0%</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122</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10</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8.2%</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112</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25%</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31%</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6.1</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399</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26</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6.5%</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373</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21%</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26%</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6.2</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41</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9.8%</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37</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19%</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27%</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6.3</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88</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5.7%</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83</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25%</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30%</w:t>
            </w:r>
          </w:p>
        </w:tc>
      </w:tr>
      <w:tr>
        <w:trPr>
          <w:cantSplit/>
          <w:trHeight w:val="600"/>
        </w:trPr>
        <w:tc>
          <w:tcPr>
            <w:tcW w:w="95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137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997</w:t>
            </w:r>
          </w:p>
        </w:tc>
        <w:tc>
          <w:tcPr>
            <w:tcW w:w="1275"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64</w:t>
            </w:r>
          </w:p>
        </w:tc>
        <w:tc>
          <w:tcPr>
            <w:tcW w:w="123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6.4%</w:t>
            </w:r>
          </w:p>
        </w:tc>
        <w:tc>
          <w:tcPr>
            <w:tcW w:w="159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933</w:t>
            </w:r>
          </w:p>
        </w:tc>
        <w:tc>
          <w:tcPr>
            <w:tcW w:w="12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28%</w:t>
            </w:r>
          </w:p>
        </w:tc>
        <w:tc>
          <w:tcPr>
            <w:tcW w:w="126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32%</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2b.17.01 Frequency Distribution of ePC02 eCQM Exclusions displays the total number of denominator exclusions for the 15 hospitals. The denominator less exclusions and the rate with placenta previa &amp; abnormal presentation cases excluded as well as the rate with the placenta previa and abnormal presentation cases included are displayed.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Exclusions can have an appreciable impact on measure rates; without excluding these cases measure rates increase overall by 17%, or 4.7 percentage points. Exclusion rates ranged from 0%-16%, indicating variability over sites.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Based on our analysis, exclusions occur with sufficient prevalence to warrant inclusion and maintain consistency of intent with the original chart-abstracted measure. The overall percentage of patients excluded from the denominator was 6.4 percent across all hospitals in the sample. Note that both measure exclusions are supported by clinical evidence, and they continue to be used in the recently endorsed chart-abstracted PC-02 measure. Thus, including these denominator exclusions in the measure increases the validity of the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Rationale - thisiisiisiiisiiisiisiisiisiis - This is a little bit faster. Here we are adding content. And this is the issue. IF we keep adding content then this will actiually go into view mode. I am not sure when theis will happen. I don't this it will happen if we use copy and paste. But I was able to see this earlier.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not risk-adjusted. When constructing the measure, the exclusion criteria were chosen to ensure that the target population would be women with nulliparous, term, singleton, vertex (NTSV) pregnancies. Nulliparous women are those experiencing their first birth. These women have a lower risk of maternal morbidity and mortality during a vaginal birth delivery than do women who have undergone a previous C-section (American College of Obstetricians and Gynecologists [ACOG], 2014). “Term” indicates a newborn at greater than or equal to 37 weeks gestation completed, which has better outcomes than a preterm birth. A “singleton” refers to the birth of a single newborn during the delivery encounter. Vertex presentations, which are those where the fetus is positioned headfirst, carry less risk than breach or transverse presentations (ACOG, 2014). The population of women in the denominator as a result of the exclusions, allow the measure to focus on a more homogeneous group of women where the greatest improvement opportunity exists as evidenced by the variation in rates of NTSV cesarean births indicating clinical practice patterns may affect this rate (ACOG, 2014). Lowering the C-section rate in NTSV pregnancies is important because C-sections may carry a higher risk of subsequent miscarriage, placental abnormalities, and repeat C-section (Keag et al., 2018). The rates of ruptured uteruses, unplanned hysterectomies, and intensive care unit (ICU) admission are higher among women who deliver via C-section for the first time than those who deliver vaginally for the first time across all races and ethnicities. However, non-Hispanic Black women who deliver via C-section for the first time had the highest rates of uterine rupture and ICU admission compared with all other races (Centers for Disease Control and Prevention, 2015). Focusing on the NTSV population only and not excluding for other maternal medical conditions aligns with the measure intent to have a significant effect on cesarean birth rates and will encourage a decrease in C-section rates in the NTSV population which will in turn have a meaningful impact on future pregnancies and maternal health. Including a comprehensive set of maternal medical exclusions would add data collection burdens without commensurate benefit. Evidence continues to support no further risk adjustment is indicated as described below by Dr. Elliott Main, in an article that is in the review process for publication.</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American College of Obstetricians and Gynecologists (College), Society for Maternal-Fetal Medicine, Caughey, A. B., Cahill, A. G., Guise, J. M., &amp; Rouse, D. J. (2014). Safe prevention of the primary cesarean delivery. </w:t>
      </w:r>
      <w:r>
        <w:rPr>
          <w:rFonts w:ascii="Calibri" w:eastAsia="Calibri" w:hAnsi="Calibri" w:cs="Calibri"/>
          <w:b w:val="0"/>
          <w:i/>
          <w:iCs/>
          <w:color w:val="000000"/>
          <w:sz w:val="20"/>
        </w:rPr>
        <w:t>American Journal of Obstetrics and Gynecology</w:t>
      </w:r>
      <w:r>
        <w:rPr>
          <w:rFonts w:ascii="Calibri" w:eastAsia="Calibri" w:hAnsi="Calibri" w:cs="Calibri"/>
          <w:b w:val="0"/>
          <w:i w:val="0"/>
          <w:color w:val="000000"/>
          <w:sz w:val="20"/>
        </w:rPr>
        <w:t>, 210(3), 179–193. https://doi.org/10.1016/j.ajog.2014.01.026</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Keag, O.E., Norman, J.E. &amp; Stock, S.J. (2018). Long-term risks and benefits associated with cesarean delivery for mother, baby, and subsequent pregnancies: Systematic review and meta-analysis.</w:t>
      </w:r>
      <w:r>
        <w:rPr>
          <w:rFonts w:ascii="Calibri" w:eastAsia="Calibri" w:hAnsi="Calibri" w:cs="Calibri"/>
          <w:b w:val="0"/>
          <w:i/>
          <w:iCs/>
          <w:color w:val="000000"/>
          <w:sz w:val="20"/>
        </w:rPr>
        <w:t xml:space="preserve"> Plos Medicine</w:t>
      </w:r>
      <w:r>
        <w:rPr>
          <w:rFonts w:ascii="Calibri" w:eastAsia="Calibri" w:hAnsi="Calibri" w:cs="Calibri"/>
          <w:b w:val="0"/>
          <w:i w:val="0"/>
          <w:color w:val="000000"/>
          <w:sz w:val="20"/>
        </w:rPr>
        <w:t>, 15(1), e1002494. doi: 10.1371/journal.pmed.1002494. eCollection 2018 Jan.</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Centers for Disease Control and Prevention. (2015, May 20). National Vital Statistics Reports, Volume 64, Number 4. https://www.cdc.gov/nchs/data/nvsr/nvsr64/nvsr64_04.pdf</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CMQCC Analysis of SMFM Proposed Additional Diagnoses to NTSV Exclusion Code Set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developed Nulliparous Term Singleton Vertex (NTSV) as the best cesarean measure to achieve two goals. First, we wanted to concentrate on the obstetric population at higher risk for cesarean birth, those on their first labor and birth (in contrast, multiparas who have had a vaginal birth have very low cesarean rates). And secondly to exclude common cesarean indications whose frequency varies significant among hospitals--breech, multiple gestations, and prematurity. This measure was adopted by Heathy People 2010, 2020 and 2030 and has been reported annually for every state. Unfortunately, the National Center for Health Statistics simplified the name for public consumption as “low-risk first-birth” cesarean rate. The measure was never intended to exclude all high-risk conditions which may affect the cesarean rate but to account for those that could have a significant effect and were maldistributed in a meaningful way.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July 2017, the Society for Maternal-Fetal Medicine Health Policy and Advocacy Committee and Society for Maternal-Fetal Medicine Coding Committee published an expert opinion suggesting additional ICD-10-CM codes that to add to the definition of low-risk birth for the purpose of cesarean birth calculation (Armstrong et al., 2017). They specifically sought diagnosis codes that represented “clinically relevant risk factors that are absolute or relative contraindications to vaginal birth.” The choice of codes was not based on actual data but solely on expert opinion.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the analysis that follows we will sequentially walk through the frequency of these codes in hospitals of different levels of care (Table 1); the cesarean rate for these indications (within the NTSV population), again stratified by hospital level (Table 2); and lastly, revised NTSV cesarean rates should any or all of those indications be added to the exclusion list, also stratified by hospital level (Table 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data indicates: (1) these diagnoses are very low frequency within the NTSV population (i.e. a large number of these cases occur either in multiparous or in preterm populations already excluded); (2) when they do occur in the NTSV population, their cesarean rate is extraordinarily high (generally &lt;50%, certainly not the “absolute or relative contraindications to vaginal birth” as proposed by SMFM); and (3) their addition to the exclusion list leads to a minimal change in the NTSV Cesarean rate across the board-i.e. high level hospitals were not affected more than medium or lower level facilities. Therefore, we do not recommend adding these additional codes to the measure definition.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following tables are taken from a manuscript in preparation.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Analysis of SMFM Proposed Additions to NTSV Exclusion Code Set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Base population: NTSV PC-02 population (ICD-10) in all 238 California hospitals, 2016-2017 (308,319 women giving birth)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California hospitals were divided into 6 types: University hospital (main campus), Critical Access Hospital or by American Academy of Pediatrics Levels of Neonatal Care with Levels 3 and 4 being regional centers.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2b.21.01 Frequency per 1,000 births of selected major obstetric complications (among NTSV PC-02 population)</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70"/>
        <w:gridCol w:w="1187"/>
        <w:gridCol w:w="1193"/>
        <w:gridCol w:w="1187"/>
        <w:gridCol w:w="1187"/>
        <w:gridCol w:w="1093"/>
        <w:gridCol w:w="119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65"/>
          <w:tblHeader/>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r>
      <w:tr>
        <w:trPr>
          <w:cantSplit/>
          <w:trHeight w:val="181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Diagnosis Groups Proposed For Exclusion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(based on ICD-10 codes)</w:t>
            </w:r>
          </w:p>
        </w:tc>
        <w:tc>
          <w:tcPr>
            <w:tcW w:w="11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University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(main campus)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N=15,071)</w:t>
            </w:r>
          </w:p>
        </w:tc>
        <w:tc>
          <w:tcPr>
            <w:tcW w:w="120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AAP Level 3/4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N=108)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N=211,903)</w:t>
            </w:r>
          </w:p>
        </w:tc>
        <w:tc>
          <w:tcPr>
            <w:tcW w:w="11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AAP Level 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(N=57 )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N=65,686)</w:t>
            </w:r>
          </w:p>
        </w:tc>
        <w:tc>
          <w:tcPr>
            <w:tcW w:w="1119"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AAP Level 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Critical Access)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N=61 )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N=29,046)</w:t>
            </w:r>
          </w:p>
        </w:tc>
        <w:tc>
          <w:tcPr>
            <w:tcW w:w="103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Critical Access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N=12)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N=1,684)</w:t>
            </w:r>
          </w:p>
        </w:tc>
        <w:tc>
          <w:tcPr>
            <w:tcW w:w="120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Hospitals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N=238)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N=308,319)</w:t>
            </w:r>
          </w:p>
        </w:tc>
      </w:tr>
      <w:tr>
        <w:trPr>
          <w:cantSplit/>
          <w:trHeight w:val="690"/>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Care of Fetal anomalies</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46 (3.1)</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224 (1.1)</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37 (0.6)</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 (0.1)</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(0.6)</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264 (0.9)</w:t>
            </w:r>
          </w:p>
        </w:tc>
      </w:tr>
      <w:tr>
        <w:trPr>
          <w:cantSplit/>
          <w:trHeight w:val="31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HIV</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 (1.5)</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49 (0.2)</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 (0.2)</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(0.0)</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60 (0.2)</w:t>
            </w:r>
          </w:p>
        </w:tc>
      </w:tr>
      <w:tr>
        <w:trPr>
          <w:cantSplit/>
          <w:trHeight w:val="690"/>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Severe Preeclampsia</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46 (3.1)</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552 (2.6)</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171 (2.6)</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79 (2.7)</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 (4.8)</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810 (2.6)</w:t>
            </w:r>
          </w:p>
        </w:tc>
      </w:tr>
      <w:tr>
        <w:trPr>
          <w:cantSplit/>
          <w:trHeight w:val="46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Cardiovascular</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332 (22.0)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1584 (7.5)</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357 (5.4)</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120 (4.1)</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15 (8.9)</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2076 (6.7)</w:t>
            </w:r>
          </w:p>
        </w:tc>
      </w:tr>
      <w:tr>
        <w:trPr>
          <w:cantSplit/>
          <w:trHeight w:val="31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Kidney HTN</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 (0.3)</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 (0.2)</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 (0.1)</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(0.0)</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40 (0.1)</w:t>
            </w:r>
          </w:p>
        </w:tc>
      </w:tr>
      <w:tr>
        <w:trPr>
          <w:cantSplit/>
          <w:trHeight w:val="46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Cerebral Thrombosis</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(0.0)</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(0.0)</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 (0.0)</w:t>
            </w:r>
          </w:p>
        </w:tc>
      </w:tr>
      <w:tr>
        <w:trPr>
          <w:cantSplit/>
          <w:trHeight w:val="46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Previa expanded</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 (0.1)</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19 (0.1)</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 (0.1)</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(0.0)</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 (0.1)</w:t>
            </w:r>
          </w:p>
        </w:tc>
      </w:tr>
      <w:tr>
        <w:trPr>
          <w:cantSplit/>
          <w:trHeight w:val="46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Low-lying placenta</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 (2.1)</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307 (1.4)</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91 (1.4)</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45 (1.5)</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 (1.2)</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445 (1.4)</w:t>
            </w:r>
          </w:p>
        </w:tc>
      </w:tr>
      <w:tr>
        <w:trPr>
          <w:cantSplit/>
          <w:trHeight w:val="31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Accreta</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 (0.4)</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 (0.4)</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 (0.3)</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 (0.3)</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106 (0.3)</w:t>
            </w:r>
          </w:p>
        </w:tc>
      </w:tr>
      <w:tr>
        <w:trPr>
          <w:cantSplit/>
          <w:trHeight w:val="31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Abruption</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(0.2)</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 (0.1)</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 (0.1)</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 (0.1)</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27 (0.1)</w:t>
            </w:r>
          </w:p>
        </w:tc>
      </w:tr>
      <w:tr>
        <w:trPr>
          <w:cantSplit/>
          <w:trHeight w:val="46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Cord Prolapse</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11 (0.7)</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210 (1.0)</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49 (0.7)</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48 (1.7)</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(1.8)</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310 (1.0)</w:t>
            </w:r>
          </w:p>
        </w:tc>
      </w:tr>
      <w:tr>
        <w:trPr>
          <w:cantSplit/>
          <w:trHeight w:val="31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Vasa Previa</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(0.2)</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 (0.2)</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 (0.0)</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 (0.1)</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 (0.0)</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39 (0.1)</w:t>
            </w:r>
          </w:p>
        </w:tc>
      </w:tr>
      <w:tr>
        <w:trPr>
          <w:cantSplit/>
          <w:trHeight w:val="465"/>
        </w:trPr>
        <w:tc>
          <w:tcPr>
            <w:tcW w:w="1408"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Any of the above</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505 (33.5)</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3078 (14.5)</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745 (11.3)</w:t>
            </w:r>
          </w:p>
        </w:tc>
        <w:tc>
          <w:tcPr>
            <w:tcW w:w="111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305 (10.5)</w:t>
            </w:r>
          </w:p>
        </w:tc>
        <w:tc>
          <w:tcPr>
            <w:tcW w:w="103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29 (17.2)</w:t>
            </w:r>
          </w:p>
        </w:tc>
        <w:tc>
          <w:tcPr>
            <w:tcW w:w="120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4157 (13.5)</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there were several diagnosis groups seen more often in University hospitals than in other hospital types. However, the actual rates were still low (these are per 1,000 birth frequencies) and we went further in the next tables to examine if the cesarean rates were very high for these complications and whether excluding them would actually change the overall NTSV cesarean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2b.21.01 Frequency per 1,000 births of selected major obstetric complications (among NTSV PC-02 population). Five hospital type categories are displayed horizontally: University, AAP Level 3 / 4, AAP Level 2, AAP Level 1, Critical Access and Total. Vertically 12 Diagnosis Groups Proposed For Exclusion (based on ICD-10 codes) are displayed.</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2b.21.02 Cesarean Delivery Rate (%) for selected major obstetric complications (among NTSV PC-02 population)</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70"/>
        <w:gridCol w:w="1092"/>
        <w:gridCol w:w="1272"/>
        <w:gridCol w:w="1207"/>
        <w:gridCol w:w="1207"/>
        <w:gridCol w:w="991"/>
        <w:gridCol w:w="127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65"/>
          <w:tblHeader/>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r>
      <w:tr>
        <w:trPr>
          <w:cantSplit/>
          <w:trHeight w:val="18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Diagnosis Groups Proposed For Exclusion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(based on ICD-10 codes)</w:t>
            </w:r>
          </w:p>
        </w:tc>
        <w:tc>
          <w:tcPr>
            <w:tcW w:w="124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University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(main campus)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N=15,071)</w:t>
            </w:r>
          </w:p>
        </w:tc>
        <w:tc>
          <w:tcPr>
            <w:tcW w:w="118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AAP Level 3/4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N=108)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N=211,903)</w:t>
            </w:r>
          </w:p>
        </w:tc>
        <w:tc>
          <w:tcPr>
            <w:tcW w:w="118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AAP Level 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(N=57 )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N=65,686)</w:t>
            </w:r>
          </w:p>
        </w:tc>
        <w:tc>
          <w:tcPr>
            <w:tcW w:w="118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AAP Level 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Critical Access)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N=61 )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N=29,046)</w:t>
            </w:r>
          </w:p>
        </w:tc>
        <w:tc>
          <w:tcPr>
            <w:tcW w:w="11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Critical Access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N=12)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N=1,684)</w:t>
            </w:r>
          </w:p>
        </w:tc>
        <w:tc>
          <w:tcPr>
            <w:tcW w:w="118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Hospitals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N=238)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N=308,319)</w:t>
            </w:r>
          </w:p>
        </w:tc>
      </w:tr>
      <w:tr>
        <w:trPr>
          <w:cantSplit/>
          <w:trHeight w:val="690"/>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Care of Fetal anomalies</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54.3</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40.2</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38.6</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HIV</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39.1</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44.9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40</w:t>
            </w:r>
          </w:p>
        </w:tc>
      </w:tr>
      <w:tr>
        <w:trPr>
          <w:cantSplit/>
          <w:trHeight w:val="690"/>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Severe Preeclampsia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34.8</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47.8</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55.6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50.6</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37.5</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49.6</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Cardiovascular</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28.9</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32.1</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33.3</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26.7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32.7</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Kidney HTN</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25.7</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Cerebral Thrombosis</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Previa expanded</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42.1</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Low-lying placenta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61.3</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54.4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47.3</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57.8</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53.5</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Accreta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40.9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22.2</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41.5</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Abruption</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33.3</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52.4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75</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59.3</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Cord Prolapse</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81.8</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84.3</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83.7</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68.8</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66.7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81.6</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Vasa Previa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66.7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71.4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66.7</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No cases</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71.8</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Any of the above</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35.2</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41.9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44.4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46.2</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37.9</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42.6</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the cesarean rate for placenta accreta may seem low but this is a term nulliparous population so most of these cases were diagnosed in the setting of retained placentas after vaginal delivery and not the very troublesome placenta accretas seen with a previa after prior cesarean birth(s). The second observation is that while there was a slightly higher rate of those complications (Table 1) at University hospitals, the cesarean rate for these complications was relatively 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2b.21.02 Cesarean Delivery Rate (%) for selected major obstetric complications (among NTSV PC-02 population). Five hospital type categories are displayed horizontally: University, AAP Level 3 / 4, AAP Level 2, AAP Level 1, Critical Access and Total. Vertically 12 Diagnosis Groups Proposed For Exclusion (based on ICD-10 codes) are displayed.</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2b.21.03 Revised NTSV Cesarean Delivery Rate (%) with selected major obstetric complications excluded (among NTSV PC-02 population)</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70"/>
        <w:gridCol w:w="1092"/>
        <w:gridCol w:w="1272"/>
        <w:gridCol w:w="1207"/>
        <w:gridCol w:w="1207"/>
        <w:gridCol w:w="991"/>
        <w:gridCol w:w="127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65"/>
          <w:tblHeader/>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Hospital Type</w:t>
            </w:r>
          </w:p>
        </w:tc>
      </w:tr>
      <w:tr>
        <w:trPr>
          <w:cantSplit/>
          <w:trHeight w:val="18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Diagnosis Groups Proposed For Exclusion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(based on ICD-10 codes)</w:t>
            </w:r>
          </w:p>
        </w:tc>
        <w:tc>
          <w:tcPr>
            <w:tcW w:w="124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University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(main campus)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N=9)</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N=15,071)</w:t>
            </w:r>
          </w:p>
        </w:tc>
        <w:tc>
          <w:tcPr>
            <w:tcW w:w="118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AAP Level 3/4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N=108)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N=211,903)</w:t>
            </w:r>
          </w:p>
        </w:tc>
        <w:tc>
          <w:tcPr>
            <w:tcW w:w="118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AAP Level 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(N=57 )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N=65,686)</w:t>
            </w:r>
          </w:p>
        </w:tc>
        <w:tc>
          <w:tcPr>
            <w:tcW w:w="118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AAP Level 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Critical Access)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N=61 )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N=29,046)</w:t>
            </w:r>
          </w:p>
        </w:tc>
        <w:tc>
          <w:tcPr>
            <w:tcW w:w="11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Critical Access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N=12)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N=1,684)</w:t>
            </w:r>
          </w:p>
        </w:tc>
        <w:tc>
          <w:tcPr>
            <w:tcW w:w="118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Hospitals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 N=238)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(Pt N=308,319)</w:t>
            </w:r>
          </w:p>
        </w:tc>
      </w:tr>
      <w:tr>
        <w:trPr>
          <w:cantSplit/>
          <w:trHeight w:val="690"/>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Baseline NTSV (PC-02)</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690"/>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Care of Fetal anomalies</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22.6</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HIV</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690"/>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Severe Preeclampsia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25.8</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Cardiovascular</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22.6</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Kidney HTN</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Cerebral Thrombosis</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Previa expanded</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Low-lying placenta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22.6</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25.8</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Accreta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Abruption</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Cord Prolapse</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25.8</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24.5</w:t>
            </w:r>
          </w:p>
        </w:tc>
      </w:tr>
      <w:tr>
        <w:trPr>
          <w:cantSplit/>
          <w:trHeight w:val="31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Vasa Previa</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25.9</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21.7</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24.6</w:t>
            </w:r>
          </w:p>
        </w:tc>
      </w:tr>
      <w:tr>
        <w:trPr>
          <w:cantSplit/>
          <w:trHeight w:val="465"/>
        </w:trPr>
        <w:tc>
          <w:tcPr>
            <w:tcW w:w="122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Any of the above</w:t>
            </w:r>
          </w:p>
        </w:tc>
        <w:tc>
          <w:tcPr>
            <w:tcW w:w="12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22.3</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24.3</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23.7</w:t>
            </w:r>
          </w:p>
        </w:tc>
        <w:tc>
          <w:tcPr>
            <w:tcW w:w="118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25.7</w:t>
            </w:r>
          </w:p>
        </w:tc>
        <w:tc>
          <w:tcPr>
            <w:tcW w:w="118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21.4</w:t>
            </w:r>
          </w:p>
        </w:tc>
        <w:tc>
          <w:tcPr>
            <w:tcW w:w="1183"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24.3</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The exclusion of these additional complications results in a 0.3 percentage point reduction (24.6 to 24.3%) which is consistent among all hospital types. There is no evidence that any one hospital type is disadvantaged by not excluding these diagnoses. In fact, University hospitals, despite having a presumptive higher risk patient population, have lower NTSV cesarean rates both before and after the additional exclusions were considered.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2b.21.03 Revised NTSV Cesarean Delivery Rate (%) with selected major obstetric complications excluded (among NTSV PC-02 population). Five hospital type categories are displayed horizontally: University, AAP Level 3 / 4, AAP Level 2, AAP Level 1, Critical Access and Total. Vertically 12 Diagnosis Groups Proposed For Exclusion (based on ICD-10 codes) are displayed.</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Armstrong, J., McDermott, P., Saade, G. R., Srinivas, S. K., Society for Maternal-Fetal Medicine Health Policy and Advocacy Committee, &amp; Society for Maternal-Fetal Medicine Coding Committee (2017). Coding update of the SMFM definition of low risk for cesarean delivery from ICD-9-CM to ICD-10-CM. </w:t>
      </w:r>
      <w:r>
        <w:rPr>
          <w:rFonts w:ascii="Calibri" w:eastAsia="Calibri" w:hAnsi="Calibri" w:cs="Calibri"/>
          <w:b w:val="0"/>
          <w:i/>
          <w:iCs/>
          <w:color w:val="000000"/>
          <w:sz w:val="20"/>
        </w:rPr>
        <w:t>American Journal of Obstetrics and Gynecology</w:t>
      </w:r>
      <w:r>
        <w:rPr>
          <w:rFonts w:ascii="Calibri" w:eastAsia="Calibri" w:hAnsi="Calibri" w:cs="Calibri"/>
          <w:b w:val="0"/>
          <w:i w:val="0"/>
          <w:color w:val="000000"/>
          <w:sz w:val="20"/>
        </w:rPr>
        <w:t>, 217(1), B2–B12.e56. https://doi.org/10.1016/j.ajog.2017.04.013</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CMQCC Analysis of Effects of Maternal Age and BMI on NTSV Cesarean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Several studies have demonstrated an effect on individual cesarean rates for both advancing maternal age and higher BMI. However, these effects on hospital NTSV cesarean rates are complex for two reasons: (1) hospitals with a birth population of high maternal age also tend to have low BMI and likewise those hospitals with low maternal age tend also to have higher BMI; (2) The actual rates for cesarean delivery in women with high maternal age or high BMI varies greatly from hospital to hospital indicating a large degree of subjectivity for the cesarean decision making, independent of the risk factor. We illustrate this is two ways, one descriptive and one analytic.</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Descriptive Approach: In Figure 1 we have graphed the proportion of the hospital’s birthing population that has advanced maternal age (≥35 years) versus the proportion of the hospital’s population that has a pre-pregnancy BMI &gt;30 for 242 California hospitals with an average of ≥100 annual births continually open from 2015-2016. A moderate correlation between age and BMI is noted. The hospital dots are color coded by their NTSV rate: green for &lt;24%, blue for 24-30% and red for &gt;30%. There are two notable observations: (1) green and red dots are widely distributed through the graph; and (2) for every Age/BMI intercept with a red dot there are multiple green dots nearby with similar Age/BMI populations. This would support the conclusion that provider/nursing practice(s) is the main driver for the variation in care noted for age/BMI and lack of need for adjustment.</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2b.21.01 Overlap of Age and BMI populations for high and low NTSV Cesarean rate hospitals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033723"/>
            <wp:docPr id="100013" name="" descr="Overlap of age and BMI populations for high and low NTSV Cesarean rate hospit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11"/>
                    <a:stretch>
                      <a:fillRect/>
                    </a:stretch>
                  </pic:blipFill>
                  <pic:spPr>
                    <a:xfrm>
                      <a:off x="0" y="0"/>
                      <a:ext cx="5943600" cy="4033723"/>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Analytic Approach: Here we ask what if we identified a set of best practice hospitals and asked what would the other hospital’s NTSV cesarean rates be if they delivered in these best practice hospitals? After setting aside Kaiser facilities because of their different care model, best practice hospitals were identified by being in both the lower 50 percentile for NTSV cesarean rates and in the lower 50 percentile for unexpected newborn complications (a NQF-endorsed composite term neonatal outcome measure that is now PC-06). This population of 54 hospitals with both lower CS rates and lower rates of poor baby outcomes became the standard hospitals for the next step. We then asked what would the NTSV cesarean rate be if a given hospitals individual patients were delivered at a best practice hospital. This was achieved by propensity mapping each patient in the non-best practice facility by their age and BMI to exact matches within the best practice hospitals. Figure 2 below shows the results. The x’s illustrate the variation observed among the 153 hospitals that are not the best performers (for both NTSV and unexpected newborn complications). The expected rates if those hospital’s patients had been delivered at a best practice facility are shown by red dots. The results are dramatic. Nearly all of the large variation in NTSV shown by the x’s has been removed and now hospitals cluster around 22% (19-25%). This indicates that physician preference and subjectivity account for most of the Age and BMI effects on NTSV cesarean rate again supporting the lack of need for adjustment for these factors.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It should be noted that this was done with a fairly generous definition of NTSV best practice-only that the hospital had to be below the mid-point which for this time period (2011-2014) was 26.1%. The current average (2018) in California is 23.4% which would give significantly lower absolute rates if repeated again. This data is under submission for publication.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2b.21.02 Observed and Expected rate of 153 California non-best performing hospitals had their patients delivered in the 54 best performing facilities.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811829"/>
            <wp:docPr id="100015" name="" descr="Observed and expected rate of 153 California non-best performing hospitals had their patients delivered in the 54 best performing faci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12"/>
                    <a:stretch>
                      <a:fillRect/>
                    </a:stretch>
                  </pic:blipFill>
                  <pic:spPr>
                    <a:xfrm>
                      <a:off x="0" y="0"/>
                      <a:ext cx="5943600" cy="3811829"/>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Generated or collected by and used by healthcare personnel during the provision of care (e.g., blood pressure, lab value, diagnosis, depression score)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Coded by someone other than person obtaining original information (e.g., DRG, ICD-10 codes on claims)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a combination of electronic sources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3.05. Complete and attach the </w:t>
      </w:r>
      <w:hyperlink r:id="rId13" w:tgtFrame="_blank" w:history="1">
        <w:r>
          <w:rPr>
            <w:rFonts w:ascii="Calibri" w:eastAsia="Calibri" w:hAnsi="Calibri" w:cs="Calibri"/>
            <w:b/>
            <w:i w:val="0"/>
            <w:color w:val="0000FF"/>
            <w:sz w:val="20"/>
            <w:u w:val="single" w:color="0000FF"/>
          </w:rPr>
          <w:t>NQF Feasibility Score Card</w:t>
        </w:r>
      </w:hyperlink>
      <w:r>
        <w:rPr>
          <w:rFonts w:ascii="Calibri" w:eastAsia="Calibri" w:hAnsi="Calibri" w:cs="Calibri"/>
          <w:b/>
          <w:i w:val="0"/>
          <w:color w:val="000000"/>
          <w:sz w:val="20"/>
        </w:rPr>
        <w: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See attachment.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0471e_Feasibility Scorecard ePC02.xlsx</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One site uses a standalone OB documentation system that does not interface completely with the electronic health record. The OB documentation comes from a 3rd party L&amp;D system that is shared with the primary EHR system as non-discrete data. Site two’s performance was directly related to this issue as the data availability of these data elements resulted in an 83% feasibility rate; however, we did not find this issue in other sites using the same primary EHR. Site 2 has identified solutions which they have implemented since the pilot testing which would allow 100% feasibility for these data elements. Additional details are provided in sections 4.08 and 4.10.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Since the measure has been implemented by 15 hospitals, we can conclude that the measure is feasible. During the reliability visits at 2 sites (7 hospitals), feasibility scorecards were completed, and the feasibility rate was found to be 98% across two electronic health record (EHR) systems (Epic and Meditech).</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Feasibility Testing: We conducted a virtual EHR walkthrough session with each pilot site. The pilot site shared their screen while navigating through their EHR system as the measure data elements, specifications, and clinical workflows were discussed. Using the NQF's eCQM Feasibility Scorecard template, a scorecard was completed for each pilot site during this time. The feasibility scorecard results were analyzed for each site and aggregated across all pilot sites (see Table 3.06.01 below). Each data element score was examined within each of the domains (see Table 3.06.02 below). Highly feasible was defined as receiving the maximum score of 1 within the domains and was expressed as a percentage.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3.06.01 Overall Feasibility Rates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238"/>
        <w:gridCol w:w="307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8"/>
          <w:tblHeader/>
        </w:trPr>
        <w:tc>
          <w:tcPr>
            <w:tcW w:w="400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PILOT SITE</w:t>
            </w:r>
          </w:p>
        </w:tc>
        <w:tc>
          <w:tcPr>
            <w:tcW w:w="2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FEASIBLITY RATE </w:t>
            </w:r>
          </w:p>
        </w:tc>
      </w:tr>
      <w:tr>
        <w:trPr>
          <w:cantSplit/>
          <w:trHeight w:val="227"/>
        </w:trPr>
        <w:tc>
          <w:tcPr>
            <w:tcW w:w="400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2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188"/>
        </w:trPr>
        <w:tc>
          <w:tcPr>
            <w:tcW w:w="400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2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95%</w:t>
            </w:r>
          </w:p>
        </w:tc>
      </w:tr>
      <w:tr>
        <w:trPr>
          <w:cantSplit/>
          <w:trHeight w:val="260"/>
        </w:trPr>
        <w:tc>
          <w:tcPr>
            <w:tcW w:w="4002"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Overall</w:t>
            </w:r>
          </w:p>
        </w:tc>
        <w:tc>
          <w:tcPr>
            <w:tcW w:w="278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3.06.01 Overall Feasibility Rates show the feasibility rate for Pilot Site 1 (100%), Pilot Site 2 (95%) and Overall (98%).</w:t>
      </w:r>
    </w:p>
    <w:p w:rsidR="00A77B3E">
      <w:pPr>
        <w:spacing w:before="0" w:after="80"/>
        <w:ind w:left="2400"/>
        <w:jc w:val="left"/>
        <w:rPr>
          <w:rFonts w:ascii="Calibri" w:eastAsia="Calibri" w:hAnsi="Calibri" w:cs="Calibri"/>
          <w:b w:val="0"/>
          <w:i w:val="0"/>
          <w:color w:val="000000"/>
          <w:sz w:val="20"/>
        </w:rPr>
      </w:pPr>
      <w:r>
        <w:rPr>
          <w:rFonts w:ascii="Calibri" w:eastAsia="Calibri" w:hAnsi="Calibri" w:cs="Calibri"/>
          <w:b/>
          <w:bCs/>
          <w:i w:val="0"/>
          <w:color w:val="000000"/>
          <w:sz w:val="20"/>
        </w:rPr>
        <w:t>Table 3.06.02 Feasibility Rates by Domain</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41"/>
        <w:gridCol w:w="1414"/>
        <w:gridCol w:w="2755"/>
        <w:gridCol w:w="1467"/>
        <w:gridCol w:w="146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77"/>
          <w:tblHeader/>
        </w:trPr>
        <w:tc>
          <w:tcPr>
            <w:tcW w:w="210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PILOT SITE</w:t>
            </w:r>
          </w:p>
        </w:tc>
        <w:tc>
          <w:tcPr>
            <w:tcW w:w="20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DATA AVAILABILITY</w:t>
            </w:r>
          </w:p>
        </w:tc>
        <w:tc>
          <w:tcPr>
            <w:tcW w:w="252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DATA </w:t>
            </w:r>
          </w:p>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ACCURACY</w:t>
            </w:r>
          </w:p>
        </w:tc>
        <w:tc>
          <w:tcPr>
            <w:tcW w:w="217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DATA STANDARDS</w:t>
            </w:r>
          </w:p>
        </w:tc>
        <w:tc>
          <w:tcPr>
            <w:tcW w:w="216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WORKFLOW</w:t>
            </w:r>
          </w:p>
        </w:tc>
      </w:tr>
      <w:tr>
        <w:trPr>
          <w:cantSplit/>
          <w:trHeight w:val="251"/>
        </w:trPr>
        <w:tc>
          <w:tcPr>
            <w:tcW w:w="210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20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52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17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16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267"/>
        </w:trPr>
        <w:tc>
          <w:tcPr>
            <w:tcW w:w="210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20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252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217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16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251"/>
        </w:trPr>
        <w:tc>
          <w:tcPr>
            <w:tcW w:w="2101"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Overall</w:t>
            </w:r>
          </w:p>
        </w:tc>
        <w:tc>
          <w:tcPr>
            <w:tcW w:w="2086"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252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2174"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169"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3.06.02 Feasibility Rates by Domain show the feasibility rate for Pilot Site 1, Pilot Site 2, and Overall broken down by the 4 domains of Data Availability, Data Accuracy, Data Standards, and Workflow. Pilot Site 1 scored 100% on all 4 domains. Pilot Site 2 scored 83% on Data Availability, 97% on Data Accuracy and 100% on Data Standards and Workflow.</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fees or licensing requirements to use The Joint Commission performance measures, all of which are in the public domain.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1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1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1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1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1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Regulatory and Accreditation Programs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[Regulatory and Accreditation Programs Please Explain] </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w:t>
      </w:r>
      <w:r>
        <w:rPr>
          <w:rFonts w:ascii="Calibri" w:eastAsia="Calibri" w:hAnsi="Calibri" w:cs="Calibri"/>
          <w:b w:val="0"/>
          <w:i w:val="0"/>
          <w:color w:val="000000"/>
          <w:sz w:val="20"/>
        </w:rPr>
        <w:t xml:space="preserve"> ORYX Performance Measure Reporting: Hospital Accreditation Program (HAP) and Critical Access Hospital Accreditation (CAH) Program, The Joint Commission </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URL:</w:t>
      </w:r>
      <w:r>
        <w:rPr>
          <w:rFonts w:ascii="Calibri" w:eastAsia="Calibri" w:hAnsi="Calibri" w:cs="Calibri"/>
          <w:b w:val="0"/>
          <w:i w:val="0"/>
          <w:color w:val="000000"/>
          <w:sz w:val="20"/>
        </w:rPr>
        <w:t> https://www.jointcommission.org/measurement/reporting/accreditation-oryx/  </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Purpose:</w:t>
      </w:r>
      <w:r>
        <w:rPr>
          <w:rFonts w:ascii="Calibri" w:eastAsia="Calibri" w:hAnsi="Calibri" w:cs="Calibri"/>
          <w:b w:val="0"/>
          <w:i w:val="0"/>
          <w:color w:val="000000"/>
          <w:sz w:val="20"/>
        </w:rPr>
        <w:t xml:space="preserve"> An accreditation program that recognizes hospitals that meet standard requirements to provide safe and effective patient care.  </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w:t>
      </w:r>
      <w:r>
        <w:rPr>
          <w:rFonts w:ascii="Calibri" w:eastAsia="Calibri" w:hAnsi="Calibri" w:cs="Calibri"/>
          <w:b w:val="0"/>
          <w:i w:val="0"/>
          <w:color w:val="000000"/>
          <w:sz w:val="20"/>
        </w:rPr>
        <w:t xml:space="preserve"> The Joint Commission accredits 63% of hospitals and 81% of beds. Greater than 2500 accredited US hospitals nationwide have maternity services. The Cesarean Birth measure is available to these hospitals to meet ORYX requirements.</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w:t>
      </w:r>
      <w:r>
        <w:rPr>
          <w:rFonts w:ascii="Calibri" w:eastAsia="Calibri" w:hAnsi="Calibri" w:cs="Calibri"/>
          <w:b w:val="0"/>
          <w:i w:val="0"/>
          <w:color w:val="000000"/>
          <w:sz w:val="20"/>
        </w:rPr>
        <w:t xml:space="preserve"> Outcome measure inpatient delivery hospitalization, all TJC participating hospitals with maternity services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w:t>
      </w:r>
      <w:r>
        <w:rPr>
          <w:rFonts w:ascii="Calibri" w:eastAsia="Calibri" w:hAnsi="Calibri" w:cs="Calibri"/>
          <w:b w:val="0"/>
          <w:i w:val="0"/>
          <w:color w:val="000000"/>
          <w:sz w:val="20"/>
        </w:rPr>
        <w:t xml:space="preserve"> ORYX Performance Measure Reporting: Hospital Accreditation Program (HAP) and Critical Access Hospital Accreditation (CAH) Program, The Joint Commission </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w:t>
      </w:r>
      <w:r>
        <w:rPr>
          <w:rFonts w:ascii="Calibri" w:eastAsia="Calibri" w:hAnsi="Calibri" w:cs="Calibri"/>
          <w:b/>
          <w:bCs/>
          <w:i w:val="0"/>
          <w:color w:val="000000"/>
          <w:sz w:val="20"/>
        </w:rPr>
        <w:t>URL:</w:t>
      </w:r>
      <w:r>
        <w:rPr>
          <w:rFonts w:ascii="Calibri" w:eastAsia="Calibri" w:hAnsi="Calibri" w:cs="Calibri"/>
          <w:b w:val="0"/>
          <w:i w:val="0"/>
          <w:color w:val="000000"/>
          <w:sz w:val="20"/>
        </w:rPr>
        <w:t> https://www.jointcommission.org/measurement/reporting/accreditation-oryx/  </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w:t>
      </w:r>
      <w:r>
        <w:rPr>
          <w:rFonts w:ascii="Calibri" w:eastAsia="Calibri" w:hAnsi="Calibri" w:cs="Calibri"/>
          <w:b/>
          <w:bCs/>
          <w:i w:val="0"/>
          <w:color w:val="000000"/>
          <w:sz w:val="20"/>
        </w:rPr>
        <w:t>Purpose:</w:t>
      </w:r>
      <w:r>
        <w:rPr>
          <w:rFonts w:ascii="Calibri" w:eastAsia="Calibri" w:hAnsi="Calibri" w:cs="Calibri"/>
          <w:b w:val="0"/>
          <w:i w:val="0"/>
          <w:color w:val="000000"/>
          <w:sz w:val="20"/>
        </w:rPr>
        <w:t xml:space="preserve"> An accreditation program that recognizes hospitals that meet standard requirements to provide safe and effective patient care.  Data collected from the accredited hospitals are analyzed for tends and benchmarks.</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w:t>
      </w:r>
      <w:r>
        <w:rPr>
          <w:rFonts w:ascii="Calibri" w:eastAsia="Calibri" w:hAnsi="Calibri" w:cs="Calibri"/>
          <w:b/>
          <w:bCs/>
          <w:i w:val="0"/>
          <w:color w:val="000000"/>
          <w:sz w:val="20"/>
        </w:rPr>
        <w:t>Geographic area and number and percentage of accountable entities and patients included:</w:t>
      </w:r>
      <w:r>
        <w:rPr>
          <w:rFonts w:ascii="Calibri" w:eastAsia="Calibri" w:hAnsi="Calibri" w:cs="Calibri"/>
          <w:b w:val="0"/>
          <w:i w:val="0"/>
          <w:color w:val="000000"/>
          <w:sz w:val="20"/>
        </w:rPr>
        <w:t xml:space="preserve"> The Joint Commission accredits 63% of hospitals and 81% of beds. Greater than 2500 accredited US hospitals nationwide have maternity services. The Cesarean Birth measure is available to these hospitals to meet ORYX requirements.</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w:t>
      </w:r>
      <w:r>
        <w:rPr>
          <w:rFonts w:ascii="Calibri" w:eastAsia="Calibri" w:hAnsi="Calibri" w:cs="Calibri"/>
          <w:b w:val="0"/>
          <w:i w:val="0"/>
          <w:color w:val="000000"/>
          <w:sz w:val="20"/>
        </w:rPr>
        <w:t xml:space="preserve"> Outcome measure inpatient delivery hospitalization, all TJC participating hospitals with maternity services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(Internal to the specific organization) Please Explain] </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Name of program and sponsor:</w:t>
      </w:r>
      <w:r>
        <w:rPr>
          <w:rFonts w:ascii="Calibri" w:eastAsia="Calibri" w:hAnsi="Calibri" w:cs="Calibri"/>
          <w:b w:val="0"/>
          <w:i w:val="0"/>
          <w:color w:val="000000"/>
          <w:sz w:val="20"/>
        </w:rPr>
        <w:t xml:space="preserve"> ORYX Performance Measure Reporting: Hospital Accreditation Program (HAP) and Critical Access Hospital Accreditation (CAH) Program, The Joint Commission </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w:t>
      </w:r>
      <w:r>
        <w:rPr>
          <w:rFonts w:ascii="Calibri" w:eastAsia="Calibri" w:hAnsi="Calibri" w:cs="Calibri"/>
          <w:b/>
          <w:bCs/>
          <w:i w:val="0"/>
          <w:color w:val="000000"/>
          <w:sz w:val="20"/>
        </w:rPr>
        <w:t>URL:</w:t>
      </w:r>
      <w:r>
        <w:rPr>
          <w:rFonts w:ascii="Calibri" w:eastAsia="Calibri" w:hAnsi="Calibri" w:cs="Calibri"/>
          <w:b w:val="0"/>
          <w:i w:val="0"/>
          <w:color w:val="000000"/>
          <w:sz w:val="20"/>
        </w:rPr>
        <w:t> https://www.jointcommission.org/measurement/reporting/accreditation-oryx/  </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w:t>
      </w:r>
      <w:r>
        <w:rPr>
          <w:rFonts w:ascii="Calibri" w:eastAsia="Calibri" w:hAnsi="Calibri" w:cs="Calibri"/>
          <w:b/>
          <w:bCs/>
          <w:i w:val="0"/>
          <w:color w:val="000000"/>
          <w:sz w:val="20"/>
        </w:rPr>
        <w:t>Purpose:</w:t>
      </w:r>
      <w:r>
        <w:rPr>
          <w:rFonts w:ascii="Calibri" w:eastAsia="Calibri" w:hAnsi="Calibri" w:cs="Calibri"/>
          <w:b w:val="0"/>
          <w:i w:val="0"/>
          <w:color w:val="000000"/>
          <w:sz w:val="20"/>
        </w:rPr>
        <w:t xml:space="preserve"> An accreditation program that recognizes hospitals that meet standard requirements to provide safe and effective patient care.  Data collected from the accredited hospitals are analyzed for tends and benchmarks. Organizations are provided this data for use in internal quality improvement.</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Geographic area and number and percentage of accountable entities and patients included:</w:t>
      </w:r>
      <w:r>
        <w:rPr>
          <w:rFonts w:ascii="Calibri" w:eastAsia="Calibri" w:hAnsi="Calibri" w:cs="Calibri"/>
          <w:b w:val="0"/>
          <w:i w:val="0"/>
          <w:color w:val="000000"/>
          <w:sz w:val="20"/>
        </w:rPr>
        <w:t xml:space="preserve"> The Joint Commission accredits 63% of hospitals and 81% of beds. Greater than 2500 accredited US hospitals nationwide have maternity services. The Cesarean Birth measure is available to these hospitals to meet ORYX requirements.</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Level of measurement and setting:</w:t>
      </w:r>
      <w:r>
        <w:rPr>
          <w:rFonts w:ascii="Calibri" w:eastAsia="Calibri" w:hAnsi="Calibri" w:cs="Calibri"/>
          <w:b w:val="0"/>
          <w:i w:val="0"/>
          <w:color w:val="000000"/>
          <w:sz w:val="20"/>
        </w:rPr>
        <w:t xml:space="preserve"> Outcome measure inpatient delivery hospitalization, all TJC participating hospitals with maternity services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Measure Currently in Use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After the pilot testing concluded and final results were analyzed, a pilot summary report was created and shared with each pilot site via email. Contents of the summary report were presented in a clear manner, with the purpose of each testing modality explained along with information on how to interpret the results of statistical testing. The pilot summary included general measure information, feasibility, reliability and validity testing, risk model, and performance results. Each pilot site received their own individual site measure results and analysis along with the aggregate pilot summary report. Prior to the pilot testing, Joint Commission staff provided virtual information sessions reviewing measure specifications, pilot testing overview and an EHR walkthrough session. Q&amp;A opportunities were provided to the sites. Joint Commission staff also offered assistance to the pilot sites for any questions they had regarding the pilot summary reports.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Yearly educational webinars are provided through The Joint Commission’s Pioneers in Quality program. These webinars provide measure specification review, updates and offer a Q&amp;A opportunity for audience members.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Joint Commission developed dashboards as part of an ongoing project to provide continuous customer engagement. The dashboard report—posted in the Resources and Tools section of an accredited hospital’s secure Joint Commission Connect® extranet site—is representative of each organization’s relative performance on each of the selected measures. For each measure, the dashboard shows that organization’s performance compared to national, state, and Joint Commission–accredited organization averages. The dashboard is not a scorable element on the survey, but rather, a tool to facilitate discussion about ongoing quality improvement work. For example, surveyors may ask an organization how it addresses the subset of performance measures in the report and what action(s) the organization is taking to improve processes. In addition, the Joint Commission analyzes aggregate performance of each measure and identifies the measures for which the greatest opportunities for improvement exist among accredited hospitals. Based on those findings, an educational webinar series that address the high-opportunity topics is developed. All accredited hospitals have access to the educational webinar series. Organizations with high opportunity for improvement are particularly encouraged to participate.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Joint Commission utilizes an automated feedback system with access available to the measured entities and the vendors contracted by measured entities. The measure leads from the clinical team and the eCQM team are responsible for each individual measure set. The system is monitored daily, and responses are typically provided within 8 business hours.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2020, The Joint Commission introduced the Cesarean Birth measure (ePC02) as one of the available eCQMs hospitals could choose for data submission to meet ORYX requirements.  For reference, each health system will be referred to as a ‘pilot site’ and ‘hospital’ will refer to the individual hospitals within the health system. A total of 6 sites consisting of 15 hospitals submitted production data for one quarter of calendar year 2020. These data (which will be referred to as production data) were used for all of the testing provided with the exception of validity testing, which used a subset of the six sites. TJC reached out to all 15 hospitals to recruit sites willing to participate in validity testing on the data submitted. Two pilot sites (7 hospitals) volunteered. One site is a system representing 6 hospitals where the Epic system is used. The 7th hospital is a stand-alone facility that uses Meditech. The two pilot sites (7 hospitals) provided feedback during feasibility (NQF scorecard) and validity testing. This data will be referred to as pilot test data. The virtual pilot testing sessions were used to elicit feedback from pilot site staff as to the importance, feasibility, and usability of the measure data elements, as well as determine if measure specifications were sufficiently clear and detailed to promote comparability of measure findings across hospitals. Email correspondence and live Q&amp;A during the virtual testing sessions were part of the feedback process. See 4a.08 for feedback details.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Feasibility Test Feedback: Feedback obtained during feasibility testing indicated that only one data element (Assessment, Performed: Estimated Gestational Age at Delivery, authorDatetime) was problematic in that the results were present but the estimated gestational age author data/time was not consistently captured accurately. The other data elements which led to possible feasibility issues were as follows: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Time of delivery, authorDatetime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Births.preterm, authorDatetime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Births.preterm, result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Births.term, authorDatetime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Births.term, result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data elements provided accurate data, but they were from OB documentation which comes from a 3rd party L&amp;D system that is shared with the primary EHR system as non-discrete data.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Validity Test Feedback: Feedback obtained during validation of production data showed an overall data element agreement rate of 92%. At pilot site one, six cases were miscoded as malpresentation of the fetus when the fetus was actually in the vertex position. At the second site, the hospital uses a 3rd party L&amp;D system for OB documentation that does not interface completely with the Meditech Electronic Health Record. A .pdf report is available in Meditech in non-discrete fields. Most mismatches were in the Delivery Date/Time, Estimated Gestational Age, Gravida, Para, Preterm or Term Birth fields.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Feedback has not been obtained by other users. The Joint Commission’s online Performance Measurement Network Q&amp;A Forum remains available to users to provide feedback.</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Here is a summary of feedback received during testing of the production data and how the feedback was interpreted and used to improve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overall lower Kappa levels for Site 2 were due to 10 specific data elements. Issues with 3 of those data elements we feel are resolved as the current version of ePC02 has updated author date/time to relevant date time and allows 2 ways to determine gestational age (calculated using date of delivery and estimated due date OR reported EGA). These data elements are shared with ePC-07 and ePC07 pilot testing showed excellent match rates in 3 EHRs (EPIC, Cerner, Meditech) with 94-98 percent match rates.</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Date and time of obstetric delivery, Author Date Time has been replaced with Assessment, Performed: Date and time of obstetric delivery, relevant date/time which had a 98% match rate.</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Estimated Gestational Age at Delivery, Author Date Time rate has been replaced with Assessment, Performed: Estimated Gestational Age at Delivery, relevant date/time which had a 94% match rate.</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Assessment, Performed:  Estimated Gestational Age at Delivery, result had a 96% match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other 7 data elements are related to Preterm, Term, Parity, results and their associated author date time and Gravidity author date time only (Gravida result had a rate of 91.2 at site 2 and 100% at site1).</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Assessment, Performed:  Births.preterm - Author Date Time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Assessment, Performed:  Births.preterm - Result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Assessment, Performed:  Births.term - Author Date Time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Assessment, Performed:  Births.term - Result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Assessment, Performed:  Parity - Author Date Time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Assess Perf Parity - Result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Assessment, Performed: pregnancies (gravida) - Author Date Time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57% of the mismatch for these data elements were due to missing data because Site 2 used a 3rd party L&amp;D system for OB documentation which did not interface completely with the electronic health record (Meditech). The OB documentation was present in Meditech in non-discrete fields in a .pdf format. The site has since implemented changes where the data is now stored in discrete fields and therefore the data is able to be captured by the eCQM, however, the site was unable to submit updated data in time for NQF submission.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feel confident that these data elements are able to be accurately abstracted in an EHR system as evidenced by site 1’s 96-100% match rates on all 10 of these data elements. The ePC02 measure logic only requires parity OR gravidity OR preterm and term not all 4 data elements together. When accounting for the root cause site 2 had low Kappas which were able to be mitigated in the future and using other available evidence which shows high kappas in multiple EHRs for the shared data elements, we feel that overall, this measure is valid and able to capture differences in performance.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described in 4a.08, at pilot site one, six cases were miscoded as malpresentation of the fetus when the fetus was actually in the vertex position. No update is needed to the measure specifications. The hospital planned to work with their coding staff to rectify this situation.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Yearly trends are not available as TJC has only received one year’s worth of data at this point (2020 discharges).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measure will assist health care organizations to track nulliparous patients with live term singleton newborns in vertex position delivering by cesarean birth to reduce the occurrence. A reduction in the number of nulliparous patients with live term singleton newborns in vertex position (NTSV) delivering by cesarean birth will result in increased patient safety, a substantial decrease in maternal and neonatal morbidity and substantial savings in health care costs. See 1b.01 for additional details.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described in 4a.08 One hospital uses a stand-alone OB documentation system that does not interface completely with the Meditech Electronic Health Record. A .pdf report is available in Meditech containing non-discrete fields. The hospital has developed a mitigation plan to ensure that the necessary data elements are available in discrete fields. No other unexpected findings or unintended impacts were identified.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described in 4a.08, at a second site, six cases were miscoded as malpresentation of the fetus when the fetus was actually in the vertex position. The hospital planned to work with their coding staff to rectify this situation which will result in improved coding practices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0471: PC-02 Cesarean Birth</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 related or competing measures.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 Measure is harmonized.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no other NQF endorsed competing measures or non-endorsed facility level measures for cesarean birth. 0471e Cesarean Birth is harmonized with the NQF endorsed chart-based measure 0471 Cesarean Birth. We developed the eCQM version of PC02 to reduce administrative burden for sites able to report it and to encourage the use of eCQMs. We accept either eCQM or chart-abstracted data (or both) for The Joint Commission accreditation program. Thirteen Joint Commission accredited hospitals submitted PC-02 data for both the eCQM and chart-abstracted measures in calendar year 2020. The ePC-02 rates for the 13 hospitals who submitted both eCQM and chart-abstracted measure results to The Joint Commission for 2020 discharges were correlated at 0.88 which is strong and is statistically significant (p&lt;0.01). The eCQM data for this correlation came from 2 EHR systems EPIC and Meditech. This eCQM is important to allow hospitals capable of submitting the electron version of the Cesarean Birth measure to do so which can decrease burden of manual abstraction, increase efficiencies, and improve experience.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pStyle w:val="BlueGray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Available in attached file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0471e_0471eePC02 Bonnie Screenshot_(2).JPG</w:t>
      </w:r>
    </w:p>
    <w:p w:rsidR="00A77B3E">
      <w:pPr>
        <w:spacing w:before="0" w:after="80"/>
        <w:jc w:val="left"/>
        <w:rPr>
          <w:rFonts w:ascii="Calibri" w:eastAsia="Calibri" w:hAnsi="Calibri" w:cs="Calibri"/>
          <w:b w:val="0"/>
          <w:i w:val="0"/>
          <w:color w:val="000000"/>
          <w:sz w:val="20"/>
        </w:rPr>
      </w:pPr>
    </w:p>
    <w:p w:rsidR="00A77B3E">
      <w:pPr>
        <w:pStyle w:val="BlueGray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The Joint Commission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Alban, JohnMarc, jalban@jointcommission.org</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The Joint Commission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Alban, JohnMarc, jalban@jointcommission.org</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file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0471e_0471eePC02 Bonnie Screenshot_(2).JPG</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task force reviewed and discussed the clinical workflow processes, evaluated data element feasibility and representations, reviewed testing results, and the final eCQM specification for feasibility and usability.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PC eCQMs task force members: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Elliott Main, MD,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Stanford University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Mill Valley, California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Steve Hasley, MD,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ACOG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Washington, DC</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Catherine Ivory, PhD, RNC-OB, RN-BC, FAAN,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Indiana University Health</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Indianapolis, IN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Joseph Kunisch, PhD, RN-BC, CPHQ, Dale Magee, M.D., M.S.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Memorial Hermann Healthcare System</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Houston, TX</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Susan Matney, PhD, RNC-OB,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Intermountain Healthcare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Salt Lake City, UT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Liz O'Neil-Greiner, RN, MHA,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BJC HealthCare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 Louis, Missouri</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Patrick Romano, MD, MPH,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University of California Davis Health</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Sacramento, CA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Brooke Villarreal, DNP, MSN, RN-BC,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HCA Healthcare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Nashville, Tennessee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Anne Castles, MPH, MA,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CMQCC Maternal Data Center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Isbelia Briceno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Cerner Corporation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Kansas City, Missouri</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2020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Version 3.1 was released in June 2021 for reporting year 2022.</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measure maintenance process includes ongoing review of the evidence supporting the measure, code tables, and necessary logic updates. Questions frequently received and feedback from stakeholders are used to strengthen the specifications for the measure. The measure specifications are updated on an annual basis.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Spring, 2022</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Measure specifications are in the Public Domain.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LOINC(R) copyright 2004-2020 Regenstrief Institute, Inc.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material contains SNOMED Clinical Terms(R) (SNOMED CT[R]) copyright 2004-2020 International Health Terminology Standards Development Organization. ICD-10 copyright 2020 World Health Organization. All Rights Reserved.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These performance measures are not clinical guidelines and do not establish a standard of medical care and have not been tested for all potential applications. The measures and specifications are provided without warranty.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sectPr>
      <w:headerReference w:type="default" r:id="rId14"/>
      <w:footerReference w:type="default" r:id="rId15"/>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#0471e ePC-02 Cesarean Birth ,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multilevel"/>
    <w:tmpl w:val="0000000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hybridMultilevel"/>
    <w:tmpl w:val="0000000B"/>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hybridMultilevel"/>
    <w:tmpl w:val="0000000C"/>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multilevel"/>
    <w:tmpl w:val="0000000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multilevel"/>
    <w:tmpl w:val="0000000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hybridMultilevel"/>
    <w:tmpl w:val="00000010"/>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1"/>
    <w:multiLevelType w:val="hybridMultilevel"/>
    <w:tmpl w:val="0000001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00000015"/>
    <w:multiLevelType w:val="hybridMultilevel"/>
    <w:tmpl w:val="0000001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png" /><Relationship Id="rId11" Type="http://schemas.openxmlformats.org/officeDocument/2006/relationships/image" Target="media/image4.png" /><Relationship Id="rId12" Type="http://schemas.openxmlformats.org/officeDocument/2006/relationships/image" Target="media/image5.png" /><Relationship Id="rId13" Type="http://schemas.openxmlformats.org/officeDocument/2006/relationships/hyperlink" Target="https://www.qualityforum.org/WorkArea/linkit.aspx?LinkIdentifier=id&amp;ItemID=89036" TargetMode="External"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image" Target="media/image2.png" /><Relationship Id="rId6" Type="http://schemas.openxmlformats.org/officeDocument/2006/relationships/hyperlink" Target="http://www.qualityforum.org/WorkArea/linkit.aspx?LinkIdentifier=id&amp;ItemID=73367" TargetMode="External" /><Relationship Id="rId7" Type="http://schemas.openxmlformats.org/officeDocument/2006/relationships/hyperlink" Target="mailto:measuremaintenance@qualityforum.org" TargetMode="External" /><Relationship Id="rId8" Type="http://schemas.openxmlformats.org/officeDocument/2006/relationships/hyperlink" Target="https://www.qualityforum.org/Measuring_Performance/Submitting_Standards.aspx" TargetMode="External" /><Relationship Id="rId9" Type="http://schemas.openxmlformats.org/officeDocument/2006/relationships/hyperlink" Target="https://www.qualityforum.org/WorkArea/linkit.aspx?LinkIdentifier=id&amp;ItemID=88439"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#0471e ePC-02 Cesarean Birth</dc:title>
  <dc:creator>CMS</dc:creator>
  <cp:keywords>NQF Measure #0471e MIF</cp:keywords>
  <cp:revision>1</cp:revision>
</cp:coreProperties>
</file>