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5A3A78A0"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color w:val="7030A0"/>
          </w:rPr>
          <w:id w:val="1103681744"/>
          <w:placeholder>
            <w:docPart w:val="AB1B0578B87C4E9EA043F449B0E6989F"/>
          </w:placeholder>
        </w:sdtPr>
        <w:sdtEndPr>
          <w:rPr>
            <w:rStyle w:val="DefaultParagraphFont"/>
            <w:rFonts w:cstheme="minorHAnsi"/>
            <w:b/>
            <w:noProof/>
          </w:rPr>
        </w:sdtEndPr>
        <w:sdtContent>
          <w:r w:rsidR="00400E01" w:rsidRPr="00D64C6D">
            <w:rPr>
              <w:rStyle w:val="Style1"/>
              <w:color w:val="7030A0"/>
            </w:rPr>
            <w:t>0506</w:t>
          </w:r>
        </w:sdtContent>
      </w:sdt>
    </w:p>
    <w:p w14:paraId="55B8DA2F" w14:textId="165370E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456637713"/>
              <w:placeholder>
                <w:docPart w:val="B05380E141F649928B9D35234A265E06"/>
              </w:placeholder>
            </w:sdtPr>
            <w:sdtEndPr>
              <w:rPr>
                <w:rStyle w:val="DefaultParagraphFont"/>
                <w:noProof/>
                <w:color w:val="auto"/>
              </w:rPr>
            </w:sdtEndPr>
            <w:sdtContent>
              <w:r w:rsidR="00400E01" w:rsidRPr="00D64C6D">
                <w:rPr>
                  <w:color w:val="7030A0"/>
                </w:rPr>
                <w:t>Hospital 30-day, all-cause, risk-standardized readmission rate (RSRR) following pneumonia hospitalization</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4E46BA6C"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color w:val="C00000"/>
          </w:rPr>
          <w:id w:val="-1689821638"/>
          <w:placeholder>
            <w:docPart w:val="6A100845774148B09AFD987423307E3B"/>
          </w:placeholder>
          <w:date w:fullDate="2020-11-02T00:00:00Z">
            <w:dateFormat w:val="M/d/yyyy"/>
            <w:lid w:val="en-US"/>
            <w:storeMappedDataAs w:val="dateTime"/>
            <w:calendar w:val="gregorian"/>
          </w:date>
        </w:sdtPr>
        <w:sdtEndPr>
          <w:rPr>
            <w:rStyle w:val="DefaultParagraphFont"/>
            <w:noProof/>
            <w:u w:val="none"/>
          </w:rPr>
        </w:sdtEndPr>
        <w:sdtContent>
          <w:r w:rsidR="00400E01" w:rsidRPr="00D64C6D">
            <w:rPr>
              <w:rStyle w:val="Style2"/>
              <w:color w:val="C00000"/>
            </w:rPr>
            <w:t>11/2/2020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FF27317" w:rsidR="00496AF8" w:rsidRPr="003B1CC5" w:rsidRDefault="00BA5A1E"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1"/>
              </w:rPr>
              <w:id w:val="640704863"/>
              <w:placeholder>
                <w:docPart w:val="BF472B245A9042539DCC35B163AAB003"/>
              </w:placeholder>
            </w:sdtPr>
            <w:sdtEndPr>
              <w:rPr>
                <w:rStyle w:val="DefaultParagraphFont"/>
                <w:noProof/>
                <w:color w:val="auto"/>
              </w:rPr>
            </w:sdtEndPr>
            <w:sdtContent>
              <w:r w:rsidR="00400E01" w:rsidRPr="00D64C6D">
                <w:rPr>
                  <w:color w:val="7030A0"/>
                </w:rPr>
                <w:t>Hospital 30-day, all-cause, risk-standardized readmission rate (RSRR) following pneumonia hospitalization</w:t>
              </w:r>
            </w:sdtContent>
          </w:sdt>
        </w:sdtContent>
      </w:sdt>
    </w:p>
    <w:p w14:paraId="55B8DA52" w14:textId="77777777" w:rsidR="00236F87" w:rsidRPr="003B1CC5" w:rsidRDefault="00BA5A1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A5A1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BA5A1E"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BA5A1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BA5A1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0B9198B9" w:rsidR="002B06BD" w:rsidRDefault="00676BD4" w:rsidP="002B06BD">
      <w:pPr>
        <w:ind w:left="432" w:hanging="432"/>
        <w:rPr>
          <w:iCs/>
        </w:rPr>
      </w:pPr>
      <w:r w:rsidRPr="00FD5E44">
        <w:rPr>
          <w:b/>
          <w:bCs/>
          <w:color w:val="0000FF"/>
        </w:rPr>
        <w:t>1a.</w:t>
      </w:r>
      <w:r w:rsidR="00C41794" w:rsidRPr="00FD5E44">
        <w:rPr>
          <w:b/>
          <w:bCs/>
          <w:color w:val="0000FF"/>
        </w:rPr>
        <w:t>2</w:t>
      </w:r>
      <w:r w:rsidR="002B06BD" w:rsidRPr="00FD5E44">
        <w:rPr>
          <w:bCs/>
        </w:rPr>
        <w:t xml:space="preserve"> </w:t>
      </w:r>
      <w:r w:rsidRPr="00FD5E44">
        <w:rPr>
          <w:b/>
          <w:bCs/>
        </w:rPr>
        <w:t>LOGIC MODEL</w:t>
      </w:r>
      <w:r w:rsidRPr="00FD5E44">
        <w:rPr>
          <w:bCs/>
        </w:rPr>
        <w:t xml:space="preserve"> </w:t>
      </w:r>
      <w:r w:rsidRPr="00FD5E44">
        <w:rPr>
          <w:iCs/>
        </w:rPr>
        <w:t>Diagram or briefly describe</w:t>
      </w:r>
      <w:r w:rsidR="002B06BD" w:rsidRPr="00FD5E44">
        <w:rPr>
          <w:iCs/>
        </w:rPr>
        <w:t xml:space="preserve"> the </w:t>
      </w:r>
      <w:r w:rsidRPr="00FD5E44">
        <w:rPr>
          <w:iCs/>
        </w:rPr>
        <w:t>steps</w:t>
      </w:r>
      <w:r w:rsidR="00236F87" w:rsidRPr="00FD5E44">
        <w:rPr>
          <w:iCs/>
        </w:rPr>
        <w:t xml:space="preserve"> </w:t>
      </w:r>
      <w:r w:rsidR="002B06BD" w:rsidRPr="00FD5E44">
        <w:rPr>
          <w:iCs/>
        </w:rPr>
        <w:t xml:space="preserve">between </w:t>
      </w:r>
      <w:r w:rsidR="00CB06C9" w:rsidRPr="00FD5E44">
        <w:rPr>
          <w:iCs/>
        </w:rPr>
        <w:t>the</w:t>
      </w:r>
      <w:r w:rsidR="002B06BD" w:rsidRPr="00FD5E44">
        <w:rPr>
          <w:iCs/>
        </w:rPr>
        <w:t xml:space="preserve"> healthcare structure</w:t>
      </w:r>
      <w:r w:rsidR="00CB06C9" w:rsidRPr="00FD5E44">
        <w:rPr>
          <w:iCs/>
        </w:rPr>
        <w:t>s</w:t>
      </w:r>
      <w:r w:rsidR="00F90F82" w:rsidRPr="00FD5E44">
        <w:rPr>
          <w:iCs/>
        </w:rPr>
        <w:t xml:space="preserve"> and</w:t>
      </w:r>
      <w:r w:rsidR="002B06BD" w:rsidRPr="00FD5E44">
        <w:rPr>
          <w:iCs/>
        </w:rPr>
        <w:t xml:space="preserve"> process</w:t>
      </w:r>
      <w:r w:rsidR="00CB06C9" w:rsidRPr="00FD5E44">
        <w:rPr>
          <w:iCs/>
        </w:rPr>
        <w:t>es</w:t>
      </w:r>
      <w:r w:rsidRPr="00FD5E44">
        <w:rPr>
          <w:iCs/>
        </w:rPr>
        <w:t xml:space="preserve"> (e.g.,</w:t>
      </w:r>
      <w:r w:rsidR="002B06BD" w:rsidRPr="00FD5E44">
        <w:rPr>
          <w:iCs/>
        </w:rPr>
        <w:t xml:space="preserve"> intervention</w:t>
      </w:r>
      <w:r w:rsidR="00CB06C9" w:rsidRPr="00FD5E44">
        <w:rPr>
          <w:iCs/>
        </w:rPr>
        <w:t>s</w:t>
      </w:r>
      <w:r w:rsidR="002B06BD" w:rsidRPr="00FD5E44">
        <w:rPr>
          <w:iCs/>
        </w:rPr>
        <w:t>, or service</w:t>
      </w:r>
      <w:r w:rsidR="00CB06C9" w:rsidRPr="00FD5E44">
        <w:rPr>
          <w:iCs/>
        </w:rPr>
        <w:t>s</w:t>
      </w:r>
      <w:r w:rsidRPr="00FD5E44">
        <w:rPr>
          <w:iCs/>
        </w:rPr>
        <w:t>)</w:t>
      </w:r>
      <w:r w:rsidR="00CB06C9" w:rsidRPr="00FD5E44">
        <w:rPr>
          <w:iCs/>
        </w:rPr>
        <w:t xml:space="preserve"> </w:t>
      </w:r>
      <w:r w:rsidRPr="00FD5E44">
        <w:rPr>
          <w:iCs/>
        </w:rPr>
        <w:t>and the patient’s health outcome</w:t>
      </w:r>
      <w:r w:rsidR="00F90F82" w:rsidRPr="00FD5E44">
        <w:rPr>
          <w:iCs/>
        </w:rPr>
        <w:t>(s)</w:t>
      </w:r>
      <w:r w:rsidRPr="00FD5E44">
        <w:rPr>
          <w:iCs/>
        </w:rPr>
        <w:t xml:space="preserve">. The relationships in the diagram should be easily understood by general, non-technical audiences. Indicate the </w:t>
      </w:r>
      <w:r w:rsidR="00F90F82" w:rsidRPr="00FD5E44">
        <w:rPr>
          <w:iCs/>
        </w:rPr>
        <w:t xml:space="preserve">structure, </w:t>
      </w:r>
      <w:r w:rsidRPr="00FD5E44">
        <w:rPr>
          <w:iCs/>
        </w:rPr>
        <w:t>process or outcome being measured.</w:t>
      </w:r>
    </w:p>
    <w:p w14:paraId="6B9CA894" w14:textId="625BC4DC" w:rsidR="008854AC" w:rsidRDefault="008854AC" w:rsidP="008854AC">
      <w:pPr>
        <w:spacing w:before="120" w:after="120"/>
        <w:ind w:left="0" w:firstLine="0"/>
        <w:rPr>
          <w:color w:val="7030A0"/>
        </w:rPr>
      </w:pPr>
      <w:r w:rsidRPr="008854AC">
        <w:rPr>
          <w:color w:val="7030A0"/>
        </w:rPr>
        <w:t>The goal of this measure is to improve patient outcomes by providing patients, physicians, and hospitals with information about hospital-level, risk-standardized readmission rates</w:t>
      </w:r>
      <w:r w:rsidR="00F90FF4">
        <w:rPr>
          <w:color w:val="7030A0"/>
        </w:rPr>
        <w:t xml:space="preserve"> (RSRRs)</w:t>
      </w:r>
      <w:r w:rsidRPr="008854AC">
        <w:rPr>
          <w:color w:val="7030A0"/>
        </w:rPr>
        <w:t xml:space="preserve"> following hospitalization for pneumonia. Measurement of patient outcomes allows for a broad view of quality of care that encompasses more than what can be captured by individual process-of-care measures. Complex and critical aspects of care, such as</w:t>
      </w:r>
      <w:r w:rsidR="00F90FF4">
        <w:rPr>
          <w:color w:val="7030A0"/>
        </w:rPr>
        <w:t>:</w:t>
      </w:r>
      <w:r w:rsidRPr="008854AC">
        <w:rPr>
          <w:color w:val="7030A0"/>
        </w:rPr>
        <w:t xml:space="preserve"> communication between providers, prevention of, and response to, complications, 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then evaluate patient outcomes. This readmission measure was developed to identify institutions, whose performance is better or worse than would be expected based on their patient case-mix, and therefore promote hospital quality improvement and better inform consumers about care quality.</w:t>
      </w:r>
    </w:p>
    <w:p w14:paraId="69A1115E" w14:textId="2E067BB6" w:rsidR="008854AC" w:rsidRDefault="008854AC" w:rsidP="008854AC">
      <w:pPr>
        <w:spacing w:before="120" w:after="120"/>
        <w:ind w:left="0" w:firstLine="0"/>
        <w:rPr>
          <w:color w:val="7030A0"/>
        </w:rPr>
      </w:pPr>
      <w:r>
        <w:rPr>
          <w:color w:val="7030A0"/>
        </w:rPr>
        <w:t xml:space="preserve">Figure 1: </w:t>
      </w:r>
      <w:r w:rsidR="00CB22EA">
        <w:rPr>
          <w:color w:val="7030A0"/>
        </w:rPr>
        <w:t>Pneumonia Logic Model</w:t>
      </w:r>
    </w:p>
    <w:p w14:paraId="65003105" w14:textId="4D896E8F" w:rsidR="008854AC" w:rsidRPr="00676BD4" w:rsidRDefault="002E0BC8" w:rsidP="008854AC">
      <w:pPr>
        <w:spacing w:before="120" w:after="120"/>
        <w:ind w:left="0" w:firstLine="0"/>
        <w:rPr>
          <w:iCs/>
        </w:rPr>
      </w:pPr>
      <w:r>
        <w:object w:dxaOrig="12711" w:dyaOrig="5041" w14:anchorId="53657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figure shows the logic model for PN readmission, in which care coordination practices can improve patient health outcomes." style="width:395.5pt;height:157pt" o:ole="">
            <v:imagedata r:id="rId16" o:title=""/>
          </v:shape>
          <o:OLEObject Type="Embed" ProgID="Visio.Drawing.15" ShapeID="_x0000_i1025" DrawAspect="Content" ObjectID="_1654328899" r:id="rId17"/>
        </w:object>
      </w:r>
    </w:p>
    <w:p w14:paraId="33C7741B" w14:textId="471845FB" w:rsidR="004922E4" w:rsidRDefault="004922E4" w:rsidP="004922E4">
      <w:pPr>
        <w:ind w:right="140"/>
        <w:rPr>
          <w:iCs/>
        </w:rPr>
      </w:pPr>
      <w:r w:rsidRPr="00FD5E44">
        <w:rPr>
          <w:b/>
          <w:bCs/>
          <w:color w:val="0000FF"/>
        </w:rPr>
        <w:lastRenderedPageBreak/>
        <w:t>1a.3</w:t>
      </w:r>
      <w:r w:rsidRPr="00FD5E44">
        <w:rPr>
          <w:bCs/>
        </w:rPr>
        <w:t xml:space="preserve"> </w:t>
      </w:r>
      <w:r w:rsidRPr="00FD5E44">
        <w:rPr>
          <w:b/>
          <w:bCs/>
        </w:rPr>
        <w:t xml:space="preserve">Value and Meaningfulness:  </w:t>
      </w:r>
      <w:r w:rsidRPr="00FD5E44">
        <w:rPr>
          <w:bCs/>
        </w:rPr>
        <w:t xml:space="preserve"> </w:t>
      </w:r>
      <w:r w:rsidRPr="00FD5E44">
        <w:rPr>
          <w:b/>
          <w:iCs/>
        </w:rPr>
        <w:t xml:space="preserve">IF </w:t>
      </w:r>
      <w:r w:rsidRPr="00FD5E44">
        <w:rPr>
          <w:iCs/>
        </w:rPr>
        <w:t xml:space="preserve">this measure is derived from patient report, provide evidence that the target population values the measured </w:t>
      </w:r>
      <w:r w:rsidRPr="00FD5E44">
        <w:rPr>
          <w:b/>
          <w:i/>
          <w:iCs/>
        </w:rPr>
        <w:t>outcome, process, or structure</w:t>
      </w:r>
      <w:r w:rsidRPr="00FD5E44">
        <w:rPr>
          <w:iCs/>
        </w:rPr>
        <w:t xml:space="preserve"> and finds it meaningful. (Describe how and from whom their input was obtained.)</w:t>
      </w:r>
    </w:p>
    <w:p w14:paraId="094179CA" w14:textId="4D19A256" w:rsidR="008854AC" w:rsidRPr="008854AC" w:rsidRDefault="008854AC" w:rsidP="008854AC">
      <w:pPr>
        <w:spacing w:before="120" w:after="120"/>
        <w:ind w:right="144"/>
        <w:rPr>
          <w:b/>
          <w:iCs/>
          <w:color w:val="7030A0"/>
        </w:rPr>
      </w:pPr>
      <w:bookmarkStart w:id="5" w:name="_Hlk43464861"/>
      <w:r w:rsidRPr="008854AC">
        <w:rPr>
          <w:iCs/>
          <w:color w:val="7030A0"/>
        </w:rPr>
        <w:t>N/A. This measure is not an intermediate outcome, process, or structure performance measure.</w:t>
      </w:r>
    </w:p>
    <w:bookmarkEnd w:id="5"/>
    <w:p w14:paraId="55B8DA61" w14:textId="77777777" w:rsidR="00676BD4" w:rsidRPr="00FD5E44" w:rsidRDefault="00C41794" w:rsidP="002E2177">
      <w:pPr>
        <w:ind w:left="432" w:hanging="432"/>
        <w:rPr>
          <w:b/>
          <w:color w:val="0000FF"/>
        </w:rPr>
      </w:pPr>
      <w:r w:rsidRPr="00FD5E44">
        <w:rPr>
          <w:b/>
          <w:color w:val="0000FF"/>
        </w:rPr>
        <w:t xml:space="preserve">**RESPOND TO ONLY ONE SECTION </w:t>
      </w:r>
      <w:r w:rsidR="004E7215" w:rsidRPr="00FD5E44">
        <w:rPr>
          <w:b/>
          <w:color w:val="0000FF"/>
        </w:rPr>
        <w:t>BELOW -</w:t>
      </w:r>
      <w:r w:rsidRPr="00FD5E44">
        <w:rPr>
          <w:b/>
          <w:color w:val="0000FF"/>
        </w:rPr>
        <w:t xml:space="preserve">EITHER 1a.2, 1a.3 or 1a.4) </w:t>
      </w:r>
      <w:r w:rsidR="00AB4ECE" w:rsidRPr="00FD5E44">
        <w:rPr>
          <w:b/>
          <w:color w:val="0000FF"/>
        </w:rPr>
        <w:t>**</w:t>
      </w:r>
    </w:p>
    <w:p w14:paraId="55B8DA62" w14:textId="77777777" w:rsidR="00676BD4" w:rsidRPr="00FD5E44" w:rsidRDefault="00676BD4" w:rsidP="002E2177">
      <w:pPr>
        <w:ind w:left="432" w:hanging="432"/>
        <w:rPr>
          <w:b/>
          <w:color w:val="0000FF"/>
        </w:rPr>
      </w:pPr>
    </w:p>
    <w:p w14:paraId="55B8DA63" w14:textId="627FC1DF" w:rsidR="00496AF8" w:rsidRDefault="00B058A6" w:rsidP="00C41794">
      <w:pPr>
        <w:ind w:left="432" w:hanging="432"/>
        <w:rPr>
          <w:b/>
          <w:iCs/>
        </w:rPr>
      </w:pPr>
      <w:r w:rsidRPr="00FD5E44">
        <w:rPr>
          <w:b/>
          <w:color w:val="0000FF"/>
        </w:rPr>
        <w:t>1</w:t>
      </w:r>
      <w:r w:rsidR="00773485" w:rsidRPr="00FD5E44">
        <w:rPr>
          <w:b/>
          <w:color w:val="0000FF"/>
        </w:rPr>
        <w:t>a</w:t>
      </w:r>
      <w:r w:rsidRPr="00FD5E44">
        <w:rPr>
          <w:b/>
          <w:color w:val="0000FF"/>
        </w:rPr>
        <w:t>.2</w:t>
      </w:r>
      <w:r w:rsidR="00E41417" w:rsidRPr="00FD5E44">
        <w:rPr>
          <w:iCs/>
        </w:rPr>
        <w:t xml:space="preserve"> </w:t>
      </w:r>
      <w:r w:rsidR="00C41794" w:rsidRPr="00FD5E44">
        <w:rPr>
          <w:b/>
        </w:rPr>
        <w:t>FOR OUTCOME MEASURES including PATIENT REPORTED OUTCOMES</w:t>
      </w:r>
      <w:r w:rsidR="003D6721" w:rsidRPr="00FD5E44">
        <w:rPr>
          <w:b/>
        </w:rPr>
        <w:t xml:space="preserve"> </w:t>
      </w:r>
      <w:r w:rsidR="00C41794" w:rsidRPr="00FD5E44">
        <w:rPr>
          <w:b/>
        </w:rPr>
        <w:t>-</w:t>
      </w:r>
      <w:r w:rsidR="00C41794" w:rsidRPr="00FD5E44">
        <w:rPr>
          <w:b/>
          <w:iCs/>
        </w:rPr>
        <w:t xml:space="preserve"> </w:t>
      </w:r>
      <w:r w:rsidR="003D6721" w:rsidRPr="00FD5E44">
        <w:rPr>
          <w:b/>
          <w:iCs/>
        </w:rPr>
        <w:t xml:space="preserve">Provide empirical data demonstrating </w:t>
      </w:r>
      <w:r w:rsidR="008B51D9" w:rsidRPr="00FD5E44">
        <w:rPr>
          <w:b/>
          <w:iCs/>
        </w:rPr>
        <w:t xml:space="preserve">the </w:t>
      </w:r>
      <w:r w:rsidR="005D25E9" w:rsidRPr="00FD5E44">
        <w:rPr>
          <w:b/>
          <w:iCs/>
        </w:rPr>
        <w:t xml:space="preserve">relationship </w:t>
      </w:r>
      <w:r w:rsidR="00AC1E53" w:rsidRPr="00FD5E44">
        <w:rPr>
          <w:b/>
          <w:iCs/>
        </w:rPr>
        <w:t>between</w:t>
      </w:r>
      <w:r w:rsidR="005D25E9" w:rsidRPr="00FD5E44">
        <w:rPr>
          <w:b/>
          <w:iCs/>
        </w:rPr>
        <w:t xml:space="preserve"> the </w:t>
      </w:r>
      <w:r w:rsidR="008B51D9" w:rsidRPr="00FD5E44">
        <w:rPr>
          <w:b/>
          <w:iCs/>
        </w:rPr>
        <w:t>outcome</w:t>
      </w:r>
      <w:r w:rsidR="005857F8" w:rsidRPr="00FD5E44">
        <w:rPr>
          <w:b/>
          <w:iCs/>
        </w:rPr>
        <w:t xml:space="preserve"> </w:t>
      </w:r>
      <w:r w:rsidR="00AA5587" w:rsidRPr="00FD5E44">
        <w:rPr>
          <w:b/>
          <w:iCs/>
        </w:rPr>
        <w:t>(</w:t>
      </w:r>
      <w:r w:rsidR="005857F8" w:rsidRPr="00FD5E44">
        <w:rPr>
          <w:b/>
          <w:iCs/>
        </w:rPr>
        <w:t>or PRO</w:t>
      </w:r>
      <w:r w:rsidR="00AA5587" w:rsidRPr="00FD5E44">
        <w:rPr>
          <w:b/>
          <w:iCs/>
        </w:rPr>
        <w:t>)</w:t>
      </w:r>
      <w:r w:rsidR="008B51D9" w:rsidRPr="00FD5E44">
        <w:rPr>
          <w:b/>
          <w:iCs/>
        </w:rPr>
        <w:t xml:space="preserve"> </w:t>
      </w:r>
      <w:r w:rsidR="005D25E9" w:rsidRPr="00FD5E44">
        <w:rPr>
          <w:b/>
          <w:iCs/>
        </w:rPr>
        <w:t>to</w:t>
      </w:r>
      <w:r w:rsidR="00236F87" w:rsidRPr="00FD5E44">
        <w:rPr>
          <w:b/>
          <w:iCs/>
        </w:rPr>
        <w:t xml:space="preserve"> </w:t>
      </w:r>
      <w:r w:rsidR="00496AF8" w:rsidRPr="00FD5E44">
        <w:rPr>
          <w:b/>
          <w:iCs/>
        </w:rPr>
        <w:t>at least one</w:t>
      </w:r>
      <w:r w:rsidR="009B5BEA" w:rsidRPr="00FD5E44">
        <w:rPr>
          <w:b/>
          <w:iCs/>
        </w:rPr>
        <w:t xml:space="preserve"> </w:t>
      </w:r>
      <w:r w:rsidR="003D6721" w:rsidRPr="00FD5E44">
        <w:rPr>
          <w:b/>
          <w:iCs/>
        </w:rPr>
        <w:t xml:space="preserve">healthcare structure, process, </w:t>
      </w:r>
      <w:r w:rsidR="00496AF8" w:rsidRPr="00FD5E44">
        <w:rPr>
          <w:b/>
          <w:iCs/>
        </w:rPr>
        <w:t>intervention, or service</w:t>
      </w:r>
      <w:r w:rsidR="00676BD4" w:rsidRPr="00FD5E44">
        <w:rPr>
          <w:b/>
          <w:iCs/>
        </w:rPr>
        <w:t>.</w:t>
      </w:r>
      <w:r w:rsidR="00AC1E53">
        <w:rPr>
          <w:b/>
          <w:iCs/>
        </w:rPr>
        <w:t xml:space="preserve"> </w:t>
      </w:r>
    </w:p>
    <w:p w14:paraId="146005FE" w14:textId="57C1878C" w:rsidR="008854AC" w:rsidRDefault="008854AC" w:rsidP="008854AC">
      <w:pPr>
        <w:spacing w:before="120" w:after="120"/>
        <w:ind w:left="0" w:firstLine="0"/>
        <w:rPr>
          <w:color w:val="C00000"/>
        </w:rPr>
      </w:pPr>
      <w:r w:rsidRPr="008854AC">
        <w:rPr>
          <w:color w:val="7030A0"/>
        </w:rPr>
        <w:t xml:space="preserve">In 2007, the Medicare Payment Advisory Commission (MedPAC) called for hospital-specific public reporting of readmission rates, and identified pneumonia as a priority condition (MedPAC, 2007). </w:t>
      </w:r>
      <w:bookmarkStart w:id="6" w:name="_Hlk43464904"/>
      <w:r w:rsidRPr="008854AC">
        <w:rPr>
          <w:color w:val="C00000"/>
        </w:rPr>
        <w:t>Pneumonia continues to be the most common infectious cause of hospitalization in the US, leading to more than 1 million hospitalizations a year and incurring billions of dollars in healthcar</w:t>
      </w:r>
      <w:r w:rsidR="00BA5A1E">
        <w:rPr>
          <w:color w:val="C00000"/>
        </w:rPr>
        <w:t>e costs (Lindenauer et al., 2018</w:t>
      </w:r>
      <w:r w:rsidRPr="008854AC">
        <w:rPr>
          <w:color w:val="C00000"/>
        </w:rPr>
        <w:t>; Jain et al., 2018; FastStats: pneumonia, CDC).</w:t>
      </w:r>
      <w:bookmarkEnd w:id="6"/>
      <w:r w:rsidRPr="008854AC">
        <w:rPr>
          <w:color w:val="C00000"/>
        </w:rPr>
        <w:t xml:space="preserve"> </w:t>
      </w:r>
      <w:r w:rsidRPr="008854AC">
        <w:rPr>
          <w:color w:val="7030A0"/>
        </w:rPr>
        <w:t>Approximately 20% of pneumonia patients are rehospitalized within thirty days, representing the second-highest proportion of all rehospitalizations at 6.3% (Jencks et al., 2009;</w:t>
      </w:r>
      <w:r>
        <w:t xml:space="preserve"> </w:t>
      </w:r>
      <w:r w:rsidRPr="008854AC">
        <w:rPr>
          <w:color w:val="C00000"/>
        </w:rPr>
        <w:t>Mehta et al., 2017</w:t>
      </w:r>
      <w:r w:rsidRPr="008854AC">
        <w:rPr>
          <w:color w:val="7030A0"/>
        </w:rPr>
        <w:t>). Among patients 65 years [of age] or older in the United States,</w:t>
      </w:r>
      <w:r w:rsidRPr="00C92222">
        <w:t xml:space="preserve"> </w:t>
      </w:r>
      <w:r w:rsidRPr="008854AC">
        <w:rPr>
          <w:color w:val="C00000"/>
        </w:rPr>
        <w:t>pneumonia is the third leading cause of rehospitalization</w:t>
      </w:r>
      <w:r w:rsidRPr="00C92222">
        <w:t xml:space="preserve">, </w:t>
      </w:r>
      <w:r w:rsidRPr="008854AC">
        <w:rPr>
          <w:color w:val="C00000"/>
        </w:rPr>
        <w:t>accounting for more than 88,800 readmissions at a cost of $1.1 billion in total costs (Hines et al., 2014</w:t>
      </w:r>
      <w:r>
        <w:rPr>
          <w:color w:val="C00000"/>
        </w:rPr>
        <w:t>).</w:t>
      </w:r>
    </w:p>
    <w:p w14:paraId="0595F7D9" w14:textId="363E28FC" w:rsidR="00C92222" w:rsidRDefault="008854AC" w:rsidP="008854AC">
      <w:pPr>
        <w:spacing w:before="120" w:after="120"/>
        <w:ind w:left="0" w:firstLine="0"/>
        <w:rPr>
          <w:color w:val="7030A0"/>
        </w:rPr>
      </w:pPr>
      <w:bookmarkStart w:id="7" w:name="_Hlk43465475"/>
      <w:r w:rsidRPr="008854AC">
        <w:rPr>
          <w:color w:val="7030A0"/>
        </w:rPr>
        <w:t xml:space="preserve">Pneumonia readmission is a costly event and represents an undesirable outcome of care from the patient’s perspective, and highly disparate pneumonia readmission rates among hospitals suggest there is room for improvement </w:t>
      </w:r>
      <w:bookmarkEnd w:id="7"/>
      <w:r w:rsidRPr="008854AC">
        <w:rPr>
          <w:color w:val="7030A0"/>
        </w:rPr>
        <w:t xml:space="preserve">(MedPAC, 2007; Lindenauer et al., 2010). Although many current hospital interventions are known to decrease the risk of readmission within 30 days of hospital discharge (Leppin et al., 2014; </w:t>
      </w:r>
      <w:bookmarkStart w:id="8" w:name="_Hlk43465457"/>
      <w:r w:rsidRPr="008854AC">
        <w:rPr>
          <w:color w:val="C00000"/>
        </w:rPr>
        <w:t>Radhakrishnan et al. 2018</w:t>
      </w:r>
      <w:bookmarkEnd w:id="8"/>
      <w:r w:rsidRPr="008854AC">
        <w:rPr>
          <w:color w:val="7030A0"/>
        </w:rPr>
        <w:t>), current pro</w:t>
      </w:r>
      <w:r w:rsidR="00F90FF4">
        <w:rPr>
          <w:color w:val="7030A0"/>
        </w:rPr>
        <w:t>cess-based performance measures</w:t>
      </w:r>
      <w:r w:rsidRPr="008854AC">
        <w:rPr>
          <w:color w:val="7030A0"/>
        </w:rPr>
        <w:t xml:space="preserve"> cannot capture all the ways that care within the hospital might influence outcomes. </w:t>
      </w:r>
      <w:bookmarkStart w:id="9" w:name="_Hlk43465533"/>
      <w:r w:rsidRPr="008854AC">
        <w:rPr>
          <w:color w:val="7030A0"/>
        </w:rPr>
        <w:t>Measurement of patient outcomes allows for a comprehensive view of quality of care that reflects complex aspects of care such as</w:t>
      </w:r>
      <w:r w:rsidR="00F90FF4">
        <w:rPr>
          <w:color w:val="7030A0"/>
        </w:rPr>
        <w:t>:</w:t>
      </w:r>
      <w:r w:rsidRPr="008854AC">
        <w:rPr>
          <w:color w:val="7030A0"/>
        </w:rPr>
        <w:t xml:space="preserve"> communication between providers and coordinated transitions to the outpatient environment. These aspects are critical to patient outcomes, and are broader than what can be captured by individual process-of-care measures</w:t>
      </w:r>
      <w:r>
        <w:rPr>
          <w:color w:val="7030A0"/>
        </w:rPr>
        <w:t>.</w:t>
      </w:r>
      <w:bookmarkEnd w:id="9"/>
    </w:p>
    <w:p w14:paraId="5755B4BB" w14:textId="0DF29803" w:rsidR="008854AC" w:rsidRPr="00E752FF" w:rsidRDefault="008854AC" w:rsidP="008854AC">
      <w:pPr>
        <w:spacing w:before="120" w:after="120"/>
        <w:ind w:left="0" w:firstLine="0"/>
        <w:rPr>
          <w:color w:val="7030A0"/>
        </w:rPr>
      </w:pPr>
      <w:r w:rsidRPr="00E752FF">
        <w:rPr>
          <w:iCs/>
          <w:color w:val="7030A0"/>
        </w:rPr>
        <w:t>The pneumonia hospital-specific risk-standardized readmission rate (RSRR) measure is thus intended to inform quality-of-care improvement efforts, as individual process-based performance measures cannot encompass all the complex and critical aspects of care within a hospital that contribute to patient outcomes.</w:t>
      </w:r>
      <w:r w:rsidRPr="00E752FF" w:rsidDel="00265F78">
        <w:rPr>
          <w:iCs/>
          <w:color w:val="7030A0"/>
        </w:rPr>
        <w:t xml:space="preserve"> </w:t>
      </w:r>
      <w:r w:rsidRPr="00E752FF">
        <w:rPr>
          <w:color w:val="7030A0"/>
        </w:rPr>
        <w:t>As a result, many stakeholders, including patient organizations, are interested in outcomes measures that allow patients and providers to assess relative outcomes performance for hospitals (Bratzler et al., 2007).</w:t>
      </w:r>
    </w:p>
    <w:p w14:paraId="2EBE6F5A" w14:textId="22961113" w:rsidR="008854AC" w:rsidRPr="00E752FF" w:rsidRDefault="008854AC" w:rsidP="008854AC">
      <w:pPr>
        <w:spacing w:before="120" w:after="120"/>
        <w:ind w:left="0" w:firstLine="0"/>
        <w:rPr>
          <w:color w:val="7030A0"/>
        </w:rPr>
      </w:pPr>
      <w:r w:rsidRPr="00E752FF">
        <w:rPr>
          <w:color w:val="7030A0"/>
        </w:rPr>
        <w:t>The diagram above indicates some of the many care processes that can influence readmission risk by improving health status or improving healthcare management and support. Numerous studies have demonstrated that appropriate (guideline recommended care), high-quality and timely treatment for pneumonia patients can reduce the risk of readmission within 30 days of hospital discharge (Leppin et al., 2014; Hansen et al., 2011). Recent evidence of declining readmission rates provides further support for the concept that care processes during and following hospitalization can affect a patient's risk of readmission (Lee et al., 2014).</w:t>
      </w:r>
    </w:p>
    <w:p w14:paraId="7219D4F3" w14:textId="54F6F3F4" w:rsidR="008854AC" w:rsidRPr="00E752FF" w:rsidRDefault="008854AC" w:rsidP="008854AC">
      <w:pPr>
        <w:spacing w:before="120" w:after="120"/>
        <w:ind w:left="0" w:firstLine="0"/>
        <w:rPr>
          <w:iCs/>
          <w:color w:val="7030A0"/>
          <w:u w:val="single"/>
        </w:rPr>
      </w:pPr>
      <w:r w:rsidRPr="00E752FF">
        <w:rPr>
          <w:iCs/>
          <w:color w:val="7030A0"/>
          <w:u w:val="single"/>
        </w:rPr>
        <w:t>References:</w:t>
      </w:r>
    </w:p>
    <w:p w14:paraId="08413953" w14:textId="77777777" w:rsidR="008854AC" w:rsidRPr="00E752FF" w:rsidRDefault="008854AC" w:rsidP="008854AC">
      <w:pPr>
        <w:spacing w:before="120" w:after="120"/>
        <w:ind w:left="0" w:firstLine="0"/>
        <w:rPr>
          <w:color w:val="7030A0"/>
        </w:rPr>
      </w:pPr>
      <w:r w:rsidRPr="00E752FF">
        <w:rPr>
          <w:color w:val="7030A0"/>
        </w:rPr>
        <w:t>Bratzler DW, Nsa W, Houck PM. Performance measures for pneumonia: are they valuable, and are process measures adequate. Current Opinion in Infectious Diseases. 2007; 20(2):182-189.</w:t>
      </w:r>
    </w:p>
    <w:p w14:paraId="4940D901" w14:textId="77777777" w:rsidR="008854AC" w:rsidRPr="00B30EEE" w:rsidRDefault="008854AC" w:rsidP="008854AC">
      <w:pPr>
        <w:spacing w:before="120" w:after="120"/>
        <w:ind w:left="0" w:firstLine="0"/>
        <w:rPr>
          <w:color w:val="C00000"/>
        </w:rPr>
      </w:pPr>
      <w:bookmarkStart w:id="10" w:name="_Hlk43466674"/>
      <w:r w:rsidRPr="00B30EEE">
        <w:rPr>
          <w:color w:val="C00000"/>
        </w:rPr>
        <w:lastRenderedPageBreak/>
        <w:t>Centers for Disease Control and Prevention. FastStats: pneumonia. Available at: http://www.cdc.gov/nchs/fastats/pneumonia.htm. Accessed March 13, 2020.</w:t>
      </w:r>
    </w:p>
    <w:bookmarkEnd w:id="10"/>
    <w:p w14:paraId="20F9C94F" w14:textId="43FE71EA" w:rsidR="008854AC" w:rsidRDefault="008854AC" w:rsidP="008854AC">
      <w:pPr>
        <w:spacing w:before="120" w:after="120"/>
        <w:ind w:left="0" w:firstLine="0"/>
      </w:pPr>
      <w:r w:rsidRPr="00E752FF">
        <w:rPr>
          <w:color w:val="7030A0"/>
        </w:rPr>
        <w:t>Hansen LO, Young RS, Hinami K, et al. Interventions to reduce 30-day rehospitalization: a systematic review. 2011; 155(8):520-8.</w:t>
      </w:r>
    </w:p>
    <w:p w14:paraId="13650676" w14:textId="7808D90C" w:rsidR="00E752FF" w:rsidRDefault="00E752FF" w:rsidP="008854AC">
      <w:pPr>
        <w:spacing w:before="120" w:after="120"/>
        <w:ind w:left="0" w:firstLine="0"/>
        <w:rPr>
          <w:rStyle w:val="Hyperlink"/>
          <w:color w:val="C00000"/>
          <w:shd w:val="clear" w:color="auto" w:fill="FFFFFF"/>
        </w:rPr>
      </w:pPr>
      <w:r w:rsidRPr="008854AC">
        <w:rPr>
          <w:rStyle w:val="mixed-citation"/>
          <w:color w:val="C00000"/>
          <w:shd w:val="clear" w:color="auto" w:fill="FFFFFF"/>
        </w:rPr>
        <w:t>Hines AL, Barrett ML, Jiang HJ, Steiner CA. </w:t>
      </w:r>
      <w:r w:rsidRPr="008854AC">
        <w:rPr>
          <w:rStyle w:val="ref-journal"/>
          <w:color w:val="C00000"/>
          <w:shd w:val="clear" w:color="auto" w:fill="FFFFFF"/>
        </w:rPr>
        <w:t>Conditions with the largest number of adult hospital readmissions by payer, 2011</w:t>
      </w:r>
      <w:r w:rsidRPr="008854AC">
        <w:rPr>
          <w:rStyle w:val="mixed-citation"/>
          <w:color w:val="C00000"/>
          <w:shd w:val="clear" w:color="auto" w:fill="FFFFFF"/>
        </w:rPr>
        <w:t> Rockville, MD: Agency for Healthcare Research and Quality; 2014. [updated 2014 Apr; accessed 2016 Apr 1]. Available from: </w:t>
      </w:r>
      <w:hyperlink r:id="rId18" w:tgtFrame="_blank" w:history="1">
        <w:r w:rsidRPr="008854AC">
          <w:rPr>
            <w:rStyle w:val="Hyperlink"/>
            <w:color w:val="C00000"/>
            <w:shd w:val="clear" w:color="auto" w:fill="FFFFFF"/>
          </w:rPr>
          <w:t>https://www.hcup-us.ahrq.gov/reports/statbriefs/sb172-Conditions-Readmissions-Payer.jsp</w:t>
        </w:r>
      </w:hyperlink>
    </w:p>
    <w:p w14:paraId="067B8817" w14:textId="077EB7C5" w:rsidR="00E752FF" w:rsidRDefault="00E752FF" w:rsidP="008854AC">
      <w:pPr>
        <w:spacing w:before="120" w:after="120"/>
        <w:ind w:left="0" w:firstLine="0"/>
        <w:rPr>
          <w:rFonts w:cstheme="minorHAnsi"/>
          <w:color w:val="C00000"/>
          <w:shd w:val="clear" w:color="auto" w:fill="FFFFFF"/>
        </w:rPr>
      </w:pPr>
      <w:bookmarkStart w:id="11" w:name="_Hlk43466627"/>
      <w:r w:rsidRPr="008854AC">
        <w:rPr>
          <w:rFonts w:cstheme="minorHAnsi"/>
          <w:color w:val="C00000"/>
          <w:shd w:val="clear" w:color="auto" w:fill="FFFFFF"/>
        </w:rPr>
        <w:t>Jain S, Khera R, Mortensen EM, Weissler JC. Readmissions of adults within three age groups following hospitalization for pneumonia: Analysis from the Nationwide Readmissions Database. </w:t>
      </w:r>
      <w:r w:rsidRPr="008854AC">
        <w:rPr>
          <w:rFonts w:cstheme="minorHAnsi"/>
          <w:i/>
          <w:iCs/>
          <w:color w:val="C00000"/>
          <w:shd w:val="clear" w:color="auto" w:fill="FFFFFF"/>
        </w:rPr>
        <w:t>PLoS One</w:t>
      </w:r>
      <w:r w:rsidRPr="008854AC">
        <w:rPr>
          <w:rFonts w:cstheme="minorHAnsi"/>
          <w:color w:val="C00000"/>
          <w:shd w:val="clear" w:color="auto" w:fill="FFFFFF"/>
        </w:rPr>
        <w:t>. 2018;13(9):e0203375. Published 2018 Sep 13. doi:10.1371/journal.pone.0203375</w:t>
      </w:r>
    </w:p>
    <w:bookmarkEnd w:id="11"/>
    <w:p w14:paraId="66207A5C" w14:textId="77777777" w:rsidR="00E752FF" w:rsidRPr="00E752FF" w:rsidRDefault="00E752FF" w:rsidP="00E752FF">
      <w:pPr>
        <w:spacing w:before="120" w:after="120"/>
        <w:ind w:left="0" w:firstLine="0"/>
        <w:rPr>
          <w:color w:val="7030A0"/>
        </w:rPr>
      </w:pPr>
      <w:r w:rsidRPr="00E752FF">
        <w:rPr>
          <w:color w:val="7030A0"/>
        </w:rPr>
        <w:t>Jencks SF, Williams MV, Coleman EA. Rehospitalizations among patients in the Medicare fee-for-service program. N Engl J Med. 2009; 360(14):1418-28.</w:t>
      </w:r>
    </w:p>
    <w:p w14:paraId="07031B7A" w14:textId="77777777" w:rsidR="00E752FF" w:rsidRPr="00E752FF" w:rsidRDefault="00E752FF" w:rsidP="00E752FF">
      <w:pPr>
        <w:spacing w:before="120" w:after="120"/>
        <w:ind w:left="0" w:firstLine="0"/>
        <w:rPr>
          <w:color w:val="7030A0"/>
        </w:rPr>
      </w:pPr>
      <w:r w:rsidRPr="00E752FF">
        <w:rPr>
          <w:color w:val="7030A0"/>
        </w:rPr>
        <w:t>Leppin AL, Gionfriddo MR, Kessler M, et al. Preventing 30-day hospital readmissions: a systematic review and meta-analysis of randomized trials. JAMA Internal Med. 2014; 174(7):1095-107.</w:t>
      </w:r>
    </w:p>
    <w:p w14:paraId="1D41DB0F" w14:textId="77777777" w:rsidR="00E752FF" w:rsidRPr="00E752FF" w:rsidRDefault="00E752FF" w:rsidP="00E752FF">
      <w:pPr>
        <w:spacing w:before="120" w:after="120"/>
        <w:ind w:left="0" w:firstLine="0"/>
        <w:rPr>
          <w:color w:val="7030A0"/>
        </w:rPr>
      </w:pPr>
      <w:r w:rsidRPr="00E752FF">
        <w:rPr>
          <w:color w:val="7030A0"/>
        </w:rPr>
        <w:t>Lee JS, Nsa W, Hausmann LRM, et al. Quality of care for elderly patients hospitalized for pneumonia in the United States, 2006 to 2010. JAMA Intern Med. 2014; 174(11):1806-1814.</w:t>
      </w:r>
    </w:p>
    <w:p w14:paraId="027D89B9" w14:textId="77777777" w:rsidR="00E752FF" w:rsidRPr="00E752FF" w:rsidRDefault="00E752FF" w:rsidP="00E752FF">
      <w:pPr>
        <w:spacing w:before="120" w:after="120"/>
        <w:ind w:left="0" w:firstLine="0"/>
        <w:rPr>
          <w:color w:val="7030A0"/>
        </w:rPr>
      </w:pPr>
      <w:r w:rsidRPr="00E752FF">
        <w:rPr>
          <w:color w:val="7030A0"/>
        </w:rPr>
        <w:t>Lindenauer PK, Bernheim SM, Grady JN, et al. The performance of US hospitals as reflected in risk-standardized 30-day mortality and readmission rates for Medicare beneficiaries with pneumonia. 2010; 5(6):E12-8.</w:t>
      </w:r>
    </w:p>
    <w:p w14:paraId="76389F66" w14:textId="77777777" w:rsidR="00E752FF" w:rsidRPr="00E752FF" w:rsidRDefault="00E752FF" w:rsidP="00E752FF">
      <w:pPr>
        <w:spacing w:before="120" w:after="120"/>
        <w:ind w:left="0" w:firstLine="0"/>
        <w:rPr>
          <w:iCs/>
          <w:color w:val="7030A0"/>
        </w:rPr>
      </w:pPr>
      <w:r w:rsidRPr="00E752FF">
        <w:rPr>
          <w:color w:val="7030A0"/>
        </w:rPr>
        <w:t>Lindenauer PK, Lagu T, Shieh MS, et al. Association of diagnostic coding with trends in hospitalizations and mortality of patients with pneumonia, 2003-2009. JAMA American Medical Association. 2012; 307(13):1405-1413.</w:t>
      </w:r>
      <w:r w:rsidRPr="00E752FF">
        <w:rPr>
          <w:iCs/>
          <w:color w:val="7030A0"/>
        </w:rPr>
        <w:t xml:space="preserve"> </w:t>
      </w:r>
    </w:p>
    <w:p w14:paraId="6787F344" w14:textId="77777777" w:rsidR="00E752FF" w:rsidRDefault="00E752FF" w:rsidP="00E752FF">
      <w:pPr>
        <w:spacing w:before="120" w:after="120"/>
        <w:ind w:left="0" w:firstLine="0"/>
        <w:rPr>
          <w:iCs/>
          <w:color w:val="C00000"/>
        </w:rPr>
      </w:pPr>
      <w:r w:rsidRPr="008854AC">
        <w:rPr>
          <w:iCs/>
          <w:color w:val="C00000"/>
        </w:rPr>
        <w:t>Lindenauer PK, Strait KM, Grady JN, et al. Variation in the Diagnosis of Aspiration Pneumonia and Association with Hospital Pneumonia Outcomes. Ann Am Thorac Soc. 2018;15(5):562-569.</w:t>
      </w:r>
      <w:bookmarkStart w:id="12" w:name="_GoBack"/>
      <w:bookmarkEnd w:id="12"/>
    </w:p>
    <w:p w14:paraId="47A9DF44" w14:textId="77777777" w:rsidR="00E752FF" w:rsidRPr="00E752FF" w:rsidRDefault="00C92222" w:rsidP="00E752FF">
      <w:pPr>
        <w:spacing w:before="120" w:after="120"/>
        <w:ind w:left="0" w:firstLine="0"/>
        <w:rPr>
          <w:rFonts w:ascii="Calibri" w:hAnsi="Calibri"/>
          <w:color w:val="7030A0"/>
        </w:rPr>
      </w:pPr>
      <w:r w:rsidRPr="00E752FF">
        <w:rPr>
          <w:rFonts w:ascii="Calibri" w:hAnsi="Calibri"/>
          <w:color w:val="7030A0"/>
        </w:rPr>
        <w:t>Medicare Payment Advisory Commission. Report to the Congress: Promoting Greater Efficiency in Medicare. 2007.</w:t>
      </w:r>
    </w:p>
    <w:p w14:paraId="6AF12B21" w14:textId="77777777" w:rsidR="00E752FF" w:rsidRDefault="002271B5" w:rsidP="00E752FF">
      <w:pPr>
        <w:spacing w:before="120" w:after="120"/>
        <w:ind w:left="0" w:firstLine="0"/>
        <w:rPr>
          <w:color w:val="C00000"/>
        </w:rPr>
      </w:pPr>
      <w:r w:rsidRPr="008854AC">
        <w:rPr>
          <w:color w:val="C00000"/>
        </w:rPr>
        <w:t xml:space="preserve">Mehta AB, Cooke CR, Douglas IS, Lindenauer PK, Wiener RS, Walkey AJ. Association of Early Do-Not-Resuscitate Orders with Unplanned Readmissions among Patients Hospitalized for Pneumonia. </w:t>
      </w:r>
      <w:r w:rsidRPr="008854AC">
        <w:rPr>
          <w:i/>
          <w:iCs/>
          <w:color w:val="C00000"/>
        </w:rPr>
        <w:t xml:space="preserve">Ann Am Thorac Soc. </w:t>
      </w:r>
      <w:r w:rsidRPr="008854AC">
        <w:rPr>
          <w:color w:val="C00000"/>
        </w:rPr>
        <w:t>2017;14(1):103-109.</w:t>
      </w:r>
    </w:p>
    <w:p w14:paraId="68A0729E" w14:textId="6BA66EAF" w:rsidR="003A0739" w:rsidRPr="008854AC" w:rsidRDefault="00D1724A" w:rsidP="00E752FF">
      <w:pPr>
        <w:spacing w:before="120" w:after="120"/>
        <w:ind w:left="0" w:firstLine="0"/>
        <w:rPr>
          <w:color w:val="C00000"/>
        </w:rPr>
      </w:pPr>
      <w:bookmarkStart w:id="13" w:name="_Hlk43466649"/>
      <w:r w:rsidRPr="008854AC">
        <w:rPr>
          <w:color w:val="C00000"/>
        </w:rPr>
        <w:t xml:space="preserve">Radhakrishnan K, Jones TL, Weems D, Knight TW, Rice WH. Seamless Transitions: Achieving Patient Safety Through Communication and Collaboration. </w:t>
      </w:r>
      <w:r w:rsidRPr="008854AC">
        <w:rPr>
          <w:i/>
          <w:iCs/>
          <w:color w:val="C00000"/>
        </w:rPr>
        <w:t xml:space="preserve">J Patient Saf. </w:t>
      </w:r>
      <w:r w:rsidRPr="008854AC">
        <w:rPr>
          <w:color w:val="C00000"/>
        </w:rPr>
        <w:t>2018;14(1):e3-e5.</w:t>
      </w:r>
    </w:p>
    <w:bookmarkEnd w:id="13"/>
    <w:p w14:paraId="55B8DA65" w14:textId="77777777" w:rsidR="00676BD4" w:rsidRDefault="00676BD4" w:rsidP="002E2177">
      <w:pPr>
        <w:ind w:left="0" w:firstLine="0"/>
        <w:rPr>
          <w:i/>
          <w:iCs/>
          <w:highlight w:val="green"/>
          <w:u w:val="single"/>
        </w:rPr>
      </w:pPr>
    </w:p>
    <w:p w14:paraId="55B8DA66" w14:textId="28390C7A" w:rsidR="00C41794" w:rsidRPr="003B1CC5" w:rsidRDefault="002B06BD" w:rsidP="00C41794">
      <w:pPr>
        <w:ind w:left="0" w:firstLine="0"/>
        <w:rPr>
          <w:b/>
          <w:iCs/>
        </w:rPr>
      </w:pPr>
      <w:bookmarkStart w:id="14" w:name="Section1a3"/>
      <w:bookmarkEnd w:id="14"/>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15" w:name="Section1a8"/>
      <w:bookmarkEnd w:id="15"/>
      <w:r>
        <w:rPr>
          <w:b/>
          <w:color w:val="0000FF"/>
        </w:rPr>
        <w:t>1a.4</w:t>
      </w:r>
      <w:r w:rsidR="00837121" w:rsidRPr="003B1CC5">
        <w:rPr>
          <w:b/>
          <w:color w:val="0000FF"/>
        </w:rPr>
        <w:t xml:space="preserve"> </w:t>
      </w:r>
      <w:r w:rsidR="00837121" w:rsidRPr="003B1CC5">
        <w:rPr>
          <w:b/>
        </w:rPr>
        <w:t>OTHER SOURCE OF EVIDENCE</w:t>
      </w:r>
    </w:p>
    <w:p w14:paraId="55B8DA97" w14:textId="41107F0F"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30E735D8" w14:textId="6E8827D9" w:rsidR="00E752FF" w:rsidRPr="00E752FF" w:rsidRDefault="00E752FF" w:rsidP="00E752FF">
      <w:pPr>
        <w:spacing w:before="120" w:after="120"/>
        <w:ind w:left="0" w:firstLine="0"/>
        <w:rPr>
          <w:color w:val="7030A0"/>
        </w:rPr>
      </w:pPr>
      <w:r>
        <w:rPr>
          <w:color w:val="7030A0"/>
        </w:rPr>
        <w:lastRenderedPageBreak/>
        <w:t>N/A</w:t>
      </w:r>
    </w:p>
    <w:p w14:paraId="55B8DA99" w14:textId="6178917D"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641E8C79" w14:textId="77777777" w:rsidR="00E752FF" w:rsidRPr="00E752FF" w:rsidRDefault="00E752FF" w:rsidP="00E752FF">
      <w:pPr>
        <w:spacing w:before="120" w:after="120"/>
        <w:ind w:left="0" w:firstLine="0"/>
        <w:rPr>
          <w:color w:val="7030A0"/>
        </w:rPr>
      </w:pPr>
      <w:r>
        <w:rPr>
          <w:color w:val="7030A0"/>
        </w:rPr>
        <w:t>N/A</w:t>
      </w:r>
    </w:p>
    <w:p w14:paraId="55B8DA9B" w14:textId="02FFF519" w:rsidR="00837121" w:rsidRDefault="000E5C93" w:rsidP="002E2177">
      <w:pPr>
        <w:ind w:left="0" w:firstLine="0"/>
        <w:rPr>
          <w:b/>
        </w:rPr>
      </w:pPr>
      <w:r w:rsidRPr="000E5C93">
        <w:rPr>
          <w:b/>
          <w:color w:val="244061" w:themeColor="accent1" w:themeShade="80"/>
        </w:rPr>
        <w:t xml:space="preserve">1a.4.2 </w:t>
      </w:r>
      <w:r w:rsidR="00837121" w:rsidRPr="003B1CC5">
        <w:rPr>
          <w:b/>
        </w:rPr>
        <w:t>What process was used to identify the evidence?</w:t>
      </w:r>
    </w:p>
    <w:p w14:paraId="7DC6534B" w14:textId="77777777" w:rsidR="00E752FF" w:rsidRPr="00E752FF" w:rsidRDefault="00E752FF" w:rsidP="00E752FF">
      <w:pPr>
        <w:spacing w:before="120" w:after="120"/>
        <w:ind w:left="0" w:firstLine="0"/>
        <w:rPr>
          <w:color w:val="7030A0"/>
        </w:rPr>
      </w:pPr>
      <w:r>
        <w:rPr>
          <w:color w:val="7030A0"/>
        </w:rPr>
        <w:t>N/A</w:t>
      </w:r>
    </w:p>
    <w:p w14:paraId="55B8DA9D" w14:textId="3C7668DF"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51FF7975" w14:textId="77777777" w:rsidR="00E752FF" w:rsidRPr="00E752FF" w:rsidRDefault="00E752FF" w:rsidP="00E752FF">
      <w:pPr>
        <w:spacing w:before="120" w:after="120"/>
        <w:ind w:left="0" w:firstLine="0"/>
        <w:rPr>
          <w:color w:val="7030A0"/>
        </w:rPr>
      </w:pPr>
      <w:r>
        <w:rPr>
          <w:color w:val="7030A0"/>
        </w:rPr>
        <w:t>N/A</w:t>
      </w:r>
    </w:p>
    <w:sectPr w:rsidR="00E752FF" w:rsidRPr="00E752FF">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70782C79"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A5A1E">
      <w:rPr>
        <w:noProof/>
      </w:rPr>
      <w:t>4</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47AE"/>
    <w:rsid w:val="00015986"/>
    <w:rsid w:val="000160E6"/>
    <w:rsid w:val="00024526"/>
    <w:rsid w:val="00030F43"/>
    <w:rsid w:val="000313F8"/>
    <w:rsid w:val="00040DCF"/>
    <w:rsid w:val="00052C0B"/>
    <w:rsid w:val="0005764D"/>
    <w:rsid w:val="00061CF3"/>
    <w:rsid w:val="00063601"/>
    <w:rsid w:val="00073079"/>
    <w:rsid w:val="0007593F"/>
    <w:rsid w:val="00095EC9"/>
    <w:rsid w:val="00096A37"/>
    <w:rsid w:val="000A0810"/>
    <w:rsid w:val="000A0DA7"/>
    <w:rsid w:val="000B627F"/>
    <w:rsid w:val="000D649E"/>
    <w:rsid w:val="000D6D06"/>
    <w:rsid w:val="000E4AFB"/>
    <w:rsid w:val="000E5C93"/>
    <w:rsid w:val="000F37D4"/>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C41AA"/>
    <w:rsid w:val="001D50F7"/>
    <w:rsid w:val="001D5B5D"/>
    <w:rsid w:val="001E6153"/>
    <w:rsid w:val="00201FF9"/>
    <w:rsid w:val="00205857"/>
    <w:rsid w:val="002271B5"/>
    <w:rsid w:val="0023164B"/>
    <w:rsid w:val="00235ADC"/>
    <w:rsid w:val="00236F87"/>
    <w:rsid w:val="00253411"/>
    <w:rsid w:val="00265702"/>
    <w:rsid w:val="002662B2"/>
    <w:rsid w:val="002717C7"/>
    <w:rsid w:val="002875E9"/>
    <w:rsid w:val="00287EB3"/>
    <w:rsid w:val="002A47BA"/>
    <w:rsid w:val="002A6777"/>
    <w:rsid w:val="002B06BD"/>
    <w:rsid w:val="002C0E48"/>
    <w:rsid w:val="002C6F04"/>
    <w:rsid w:val="002E0BC8"/>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A0739"/>
    <w:rsid w:val="003A5DE1"/>
    <w:rsid w:val="003B1CC5"/>
    <w:rsid w:val="003B32D5"/>
    <w:rsid w:val="003B65CE"/>
    <w:rsid w:val="003D6721"/>
    <w:rsid w:val="003E039E"/>
    <w:rsid w:val="003E25BB"/>
    <w:rsid w:val="003F001D"/>
    <w:rsid w:val="003F1764"/>
    <w:rsid w:val="00400E01"/>
    <w:rsid w:val="0040230E"/>
    <w:rsid w:val="0041662F"/>
    <w:rsid w:val="00422917"/>
    <w:rsid w:val="00440687"/>
    <w:rsid w:val="0044131D"/>
    <w:rsid w:val="00441ADA"/>
    <w:rsid w:val="00457E46"/>
    <w:rsid w:val="004922E4"/>
    <w:rsid w:val="00495E40"/>
    <w:rsid w:val="00496AF8"/>
    <w:rsid w:val="004A575D"/>
    <w:rsid w:val="004B65C6"/>
    <w:rsid w:val="004D1DC7"/>
    <w:rsid w:val="004D6A62"/>
    <w:rsid w:val="004E7215"/>
    <w:rsid w:val="004F7D7E"/>
    <w:rsid w:val="00500B0C"/>
    <w:rsid w:val="005138BE"/>
    <w:rsid w:val="00515FDB"/>
    <w:rsid w:val="00537150"/>
    <w:rsid w:val="00540984"/>
    <w:rsid w:val="00543851"/>
    <w:rsid w:val="0055559D"/>
    <w:rsid w:val="005569AE"/>
    <w:rsid w:val="00573A3A"/>
    <w:rsid w:val="005857F8"/>
    <w:rsid w:val="005B0D18"/>
    <w:rsid w:val="005B12C3"/>
    <w:rsid w:val="005B409D"/>
    <w:rsid w:val="005D0FDB"/>
    <w:rsid w:val="005D25E9"/>
    <w:rsid w:val="005D6D59"/>
    <w:rsid w:val="00610DED"/>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1CA4"/>
    <w:rsid w:val="006F4B7F"/>
    <w:rsid w:val="006F760B"/>
    <w:rsid w:val="00701CC3"/>
    <w:rsid w:val="00722DEC"/>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E7329"/>
    <w:rsid w:val="007F49D8"/>
    <w:rsid w:val="007F7E59"/>
    <w:rsid w:val="00805940"/>
    <w:rsid w:val="0081599C"/>
    <w:rsid w:val="00837121"/>
    <w:rsid w:val="008471E5"/>
    <w:rsid w:val="00850C35"/>
    <w:rsid w:val="00851466"/>
    <w:rsid w:val="00863E43"/>
    <w:rsid w:val="008647C3"/>
    <w:rsid w:val="008659ED"/>
    <w:rsid w:val="00867FAD"/>
    <w:rsid w:val="008708DC"/>
    <w:rsid w:val="00870987"/>
    <w:rsid w:val="0087564A"/>
    <w:rsid w:val="00881160"/>
    <w:rsid w:val="0088371C"/>
    <w:rsid w:val="008854AC"/>
    <w:rsid w:val="008A3DE3"/>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A51F4"/>
    <w:rsid w:val="009B5A93"/>
    <w:rsid w:val="009B5BEA"/>
    <w:rsid w:val="009B71ED"/>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C7DE9"/>
    <w:rsid w:val="00AD79C8"/>
    <w:rsid w:val="00AE6CE0"/>
    <w:rsid w:val="00B058A6"/>
    <w:rsid w:val="00B117D0"/>
    <w:rsid w:val="00B13998"/>
    <w:rsid w:val="00B22205"/>
    <w:rsid w:val="00B30EEE"/>
    <w:rsid w:val="00B35C5F"/>
    <w:rsid w:val="00B439DD"/>
    <w:rsid w:val="00B52E0F"/>
    <w:rsid w:val="00B74629"/>
    <w:rsid w:val="00B91F58"/>
    <w:rsid w:val="00BA579E"/>
    <w:rsid w:val="00BA5A1E"/>
    <w:rsid w:val="00BE2295"/>
    <w:rsid w:val="00BE6373"/>
    <w:rsid w:val="00BF533A"/>
    <w:rsid w:val="00C05685"/>
    <w:rsid w:val="00C33486"/>
    <w:rsid w:val="00C41794"/>
    <w:rsid w:val="00C46677"/>
    <w:rsid w:val="00C5180E"/>
    <w:rsid w:val="00C54E40"/>
    <w:rsid w:val="00C55F56"/>
    <w:rsid w:val="00C57BA4"/>
    <w:rsid w:val="00C613EB"/>
    <w:rsid w:val="00C71C1A"/>
    <w:rsid w:val="00C77F4D"/>
    <w:rsid w:val="00C84623"/>
    <w:rsid w:val="00C92222"/>
    <w:rsid w:val="00C93284"/>
    <w:rsid w:val="00CA02A1"/>
    <w:rsid w:val="00CB06C9"/>
    <w:rsid w:val="00CB1E41"/>
    <w:rsid w:val="00CB22EA"/>
    <w:rsid w:val="00CB271C"/>
    <w:rsid w:val="00CC0F87"/>
    <w:rsid w:val="00CE4F96"/>
    <w:rsid w:val="00CF0AB1"/>
    <w:rsid w:val="00CF4B9B"/>
    <w:rsid w:val="00CF55E6"/>
    <w:rsid w:val="00CF772F"/>
    <w:rsid w:val="00D048DB"/>
    <w:rsid w:val="00D14019"/>
    <w:rsid w:val="00D14F0B"/>
    <w:rsid w:val="00D1724A"/>
    <w:rsid w:val="00D178CA"/>
    <w:rsid w:val="00D3311C"/>
    <w:rsid w:val="00D53405"/>
    <w:rsid w:val="00D53DE2"/>
    <w:rsid w:val="00D5457B"/>
    <w:rsid w:val="00D64C6D"/>
    <w:rsid w:val="00D72995"/>
    <w:rsid w:val="00D73685"/>
    <w:rsid w:val="00DA7FA2"/>
    <w:rsid w:val="00DC2D8D"/>
    <w:rsid w:val="00DC7F67"/>
    <w:rsid w:val="00DE1F5D"/>
    <w:rsid w:val="00DE50D8"/>
    <w:rsid w:val="00DF278A"/>
    <w:rsid w:val="00E12153"/>
    <w:rsid w:val="00E1664B"/>
    <w:rsid w:val="00E30D12"/>
    <w:rsid w:val="00E32A6F"/>
    <w:rsid w:val="00E3394E"/>
    <w:rsid w:val="00E35241"/>
    <w:rsid w:val="00E41417"/>
    <w:rsid w:val="00E42FAA"/>
    <w:rsid w:val="00E536D3"/>
    <w:rsid w:val="00E57BE2"/>
    <w:rsid w:val="00E62A95"/>
    <w:rsid w:val="00E746A2"/>
    <w:rsid w:val="00E752FF"/>
    <w:rsid w:val="00E90D06"/>
    <w:rsid w:val="00E97E59"/>
    <w:rsid w:val="00EA79C9"/>
    <w:rsid w:val="00EB66AC"/>
    <w:rsid w:val="00EB6B5B"/>
    <w:rsid w:val="00EC1225"/>
    <w:rsid w:val="00EC2247"/>
    <w:rsid w:val="00EE1F87"/>
    <w:rsid w:val="00EE3931"/>
    <w:rsid w:val="00EE5AF6"/>
    <w:rsid w:val="00EF2CEF"/>
    <w:rsid w:val="00F1092D"/>
    <w:rsid w:val="00F42C20"/>
    <w:rsid w:val="00F431D8"/>
    <w:rsid w:val="00F63E8D"/>
    <w:rsid w:val="00F67706"/>
    <w:rsid w:val="00F81FE3"/>
    <w:rsid w:val="00F90F82"/>
    <w:rsid w:val="00F90FF4"/>
    <w:rsid w:val="00F92D75"/>
    <w:rsid w:val="00F97327"/>
    <w:rsid w:val="00FA296F"/>
    <w:rsid w:val="00FA4E05"/>
    <w:rsid w:val="00FA7323"/>
    <w:rsid w:val="00FB1299"/>
    <w:rsid w:val="00FB3B20"/>
    <w:rsid w:val="00FB3FB3"/>
    <w:rsid w:val="00FC32D3"/>
    <w:rsid w:val="00FD4D82"/>
    <w:rsid w:val="00FD5E44"/>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mixed-citation">
    <w:name w:val="mixed-citation"/>
    <w:basedOn w:val="DefaultParagraphFont"/>
    <w:rsid w:val="00C93284"/>
  </w:style>
  <w:style w:type="character" w:customStyle="1" w:styleId="ref-journal">
    <w:name w:val="ref-journal"/>
    <w:basedOn w:val="DefaultParagraphFont"/>
    <w:rsid w:val="00C93284"/>
  </w:style>
  <w:style w:type="character" w:customStyle="1" w:styleId="nowrap">
    <w:name w:val="nowrap"/>
    <w:basedOn w:val="DefaultParagraphFont"/>
    <w:rsid w:val="00C932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www.hcup-us.ahrq.gov/reports/statbriefs/sb172-Conditions-Readmissions-Payer.js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BF472B245A9042539DCC35B163AAB003"/>
        <w:category>
          <w:name w:val="General"/>
          <w:gallery w:val="placeholder"/>
        </w:category>
        <w:types>
          <w:type w:val="bbPlcHdr"/>
        </w:types>
        <w:behaviors>
          <w:behavior w:val="content"/>
        </w:behaviors>
        <w:guid w:val="{766878B1-66F7-4DEF-BD4C-900B27009558}"/>
      </w:docPartPr>
      <w:docPartBody>
        <w:p w:rsidR="00143B8E" w:rsidRDefault="009C7225" w:rsidP="009C7225">
          <w:pPr>
            <w:pStyle w:val="BF472B245A9042539DCC35B163AAB003"/>
          </w:pPr>
          <w:r w:rsidRPr="003B1CC5">
            <w:rPr>
              <w:rStyle w:val="PlaceholderText"/>
              <w:rFonts w:cstheme="minorHAnsi"/>
              <w:color w:val="A6A6A6" w:themeColor="background1" w:themeShade="A6"/>
            </w:rPr>
            <w:t>Click here to enter measure title</w:t>
          </w:r>
        </w:p>
      </w:docPartBody>
    </w:docPart>
    <w:docPart>
      <w:docPartPr>
        <w:name w:val="B05380E141F649928B9D35234A265E06"/>
        <w:category>
          <w:name w:val="General"/>
          <w:gallery w:val="placeholder"/>
        </w:category>
        <w:types>
          <w:type w:val="bbPlcHdr"/>
        </w:types>
        <w:behaviors>
          <w:behavior w:val="content"/>
        </w:behaviors>
        <w:guid w:val="{9CC76247-B75E-4826-910E-D0B5A9E35648}"/>
      </w:docPartPr>
      <w:docPartBody>
        <w:p w:rsidR="00143B8E" w:rsidRDefault="009C7225" w:rsidP="009C7225">
          <w:pPr>
            <w:pStyle w:val="B05380E141F649928B9D35234A265E06"/>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43B8E"/>
    <w:rsid w:val="00160241"/>
    <w:rsid w:val="001F47A0"/>
    <w:rsid w:val="002B5F47"/>
    <w:rsid w:val="003A1E4B"/>
    <w:rsid w:val="00455EB5"/>
    <w:rsid w:val="00461C1C"/>
    <w:rsid w:val="004E2027"/>
    <w:rsid w:val="005F21F3"/>
    <w:rsid w:val="008F6A9B"/>
    <w:rsid w:val="009C7225"/>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7225"/>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BF472B245A9042539DCC35B163AAB003">
    <w:name w:val="BF472B245A9042539DCC35B163AAB003"/>
    <w:rsid w:val="009C7225"/>
    <w:pPr>
      <w:spacing w:after="160" w:line="259" w:lineRule="auto"/>
    </w:pPr>
  </w:style>
  <w:style w:type="paragraph" w:customStyle="1" w:styleId="B05380E141F649928B9D35234A265E06">
    <w:name w:val="B05380E141F649928B9D35234A265E06"/>
    <w:rsid w:val="009C72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purl.org/dc/terms/"/>
    <ds:schemaRef ds:uri="http://purl.org/dc/elements/1.1/"/>
    <ds:schemaRef ds:uri="836b82f1-340d-495e-85b5-201c5296619a"/>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9BDFBF-11EE-435D-9B64-DB48C161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2346</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Harris, Alexandra</cp:lastModifiedBy>
  <cp:revision>4</cp:revision>
  <dcterms:created xsi:type="dcterms:W3CDTF">2020-06-18T13:44:00Z</dcterms:created>
  <dcterms:modified xsi:type="dcterms:W3CDTF">2020-06-22T15:02:00Z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