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15867CB9"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E555C3">
            <w:rPr>
              <w:rStyle w:val="Style1"/>
            </w:rPr>
            <w:t>0513</w:t>
          </w:r>
        </w:sdtContent>
      </w:sdt>
    </w:p>
    <w:p w14:paraId="39BA6899" w14:textId="43109DD6" w:rsidR="00105D8B" w:rsidRPr="002A3AE1" w:rsidRDefault="00105D8B" w:rsidP="00105D8B">
      <w:pPr>
        <w:contextualSpacing/>
        <w:rPr>
          <w:rFonts w:cstheme="minorHAnsi"/>
          <w:noProof/>
        </w:rPr>
      </w:pPr>
      <w:r w:rsidRPr="00A25024">
        <w:rPr>
          <w:rFonts w:cstheme="minorHAnsi"/>
          <w:b/>
          <w:noProof/>
        </w:rPr>
        <w:t>Measure Title</w:t>
      </w:r>
      <w:r w:rsidRPr="002A3AE1">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E555C3" w:rsidRPr="002A3AE1">
            <w:rPr>
              <w:rFonts w:ascii="Calibri" w:hAnsi="Calibri"/>
              <w:color w:val="0000FF"/>
            </w:rPr>
            <w:t>Thorax CT</w:t>
          </w:r>
          <w:r w:rsidR="00E878B2" w:rsidRPr="002A3AE1">
            <w:rPr>
              <w:rFonts w:ascii="Calibri" w:hAnsi="Calibri"/>
              <w:color w:val="0000FF"/>
            </w:rPr>
            <w:t>—</w:t>
          </w:r>
          <w:r w:rsidR="00E555C3" w:rsidRPr="002A3AE1">
            <w:rPr>
              <w:rFonts w:ascii="Calibri" w:hAnsi="Calibri"/>
              <w:color w:val="0000FF"/>
            </w:rPr>
            <w:t>Use of Contrast Material</w:t>
          </w:r>
        </w:sdtContent>
      </w:sdt>
    </w:p>
    <w:p w14:paraId="3F4B9B6A" w14:textId="02AACB35"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12-10T00:00:00Z">
            <w:dateFormat w:val="M/d/yyyy"/>
            <w:lid w:val="en-US"/>
            <w:storeMappedDataAs w:val="dateTime"/>
            <w:calendar w:val="gregorian"/>
          </w:date>
        </w:sdtPr>
        <w:sdtEndPr>
          <w:rPr>
            <w:rStyle w:val="DefaultParagraphFont"/>
            <w:noProof/>
            <w:color w:val="auto"/>
            <w:u w:val="none"/>
          </w:rPr>
        </w:sdtEndPr>
        <w:sdtContent>
          <w:r w:rsidR="002A3AE1" w:rsidRPr="002A3AE1">
            <w:rPr>
              <w:rStyle w:val="Style2"/>
              <w:rFonts w:cstheme="minorHAnsi"/>
            </w:rPr>
            <w:t>12/10/2015</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E25381"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77777777" w:rsidR="00CD364B" w:rsidRPr="00B82A57" w:rsidRDefault="00E25381"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E25381"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435DCC96" w:rsidR="00CD364B" w:rsidRPr="00B82A57" w:rsidRDefault="00E25381"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E555C3">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E25381"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E25381"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1"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2FF81106" w:rsidR="00145149" w:rsidRPr="000F034A" w:rsidRDefault="00145149" w:rsidP="00145149">
            <w:pPr>
              <w:rPr>
                <w:rFonts w:cstheme="minorHAnsi"/>
              </w:rPr>
            </w:pPr>
            <w:r w:rsidRPr="000F034A">
              <w:rPr>
                <w:rFonts w:cstheme="minorHAnsi"/>
              </w:rPr>
              <w:t>If patient preference (e.g., informed decision</w:t>
            </w:r>
            <w:r w:rsidR="001E3A5A">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0F034A">
              <w:rPr>
                <w:rFonts w:cstheme="minorHAnsi"/>
              </w:rPr>
              <w:lastRenderedPageBreak/>
              <w:t xml:space="preserve">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2"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64932554" w14:textId="77777777" w:rsidR="00145149" w:rsidRPr="000F034A" w:rsidRDefault="00145149" w:rsidP="00145149">
            <w:pPr>
              <w:rPr>
                <w:rFonts w:cstheme="minorHAnsi"/>
                <w:b/>
                <w:bCs/>
              </w:rPr>
            </w:pPr>
          </w:p>
          <w:bookmarkEnd w:id="2"/>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1"/>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p>
          <w:p w14:paraId="06306D5A" w14:textId="304BBB34"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Pr="00702C73" w:rsidRDefault="00702C73"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lastRenderedPageBreak/>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77777777" w:rsidR="00A01494" w:rsidRPr="00A01494" w:rsidRDefault="00E25381"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77777777" w:rsidR="00A01494" w:rsidRPr="00A01494" w:rsidRDefault="00E25381"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7C73940E" w:rsidR="00A01494" w:rsidRPr="00A01494" w:rsidRDefault="00E25381"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E555C3">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9714DB7" w14:textId="25EDFECE" w:rsidR="00A01494" w:rsidRPr="00A01494" w:rsidRDefault="00E25381"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E555C3">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14773C">
        <w:trPr>
          <w:jc w:val="center"/>
        </w:trPr>
        <w:tc>
          <w:tcPr>
            <w:tcW w:w="5208" w:type="dxa"/>
          </w:tcPr>
          <w:p w14:paraId="59F21029" w14:textId="77777777" w:rsidR="00A01494" w:rsidRPr="00A01494" w:rsidRDefault="00E25381"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77777777" w:rsidR="00A01494" w:rsidRPr="00A01494" w:rsidRDefault="00E25381"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77777777" w:rsidR="00A01494" w:rsidRPr="00A01494" w:rsidRDefault="00E25381"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77777777" w:rsidR="00A01494" w:rsidRPr="00A01494" w:rsidRDefault="00E25381"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E25381"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77777777" w:rsidR="00A01494" w:rsidRPr="00A01494" w:rsidRDefault="00E25381"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E25381"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E25381"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68252481" w14:textId="40A147B2" w:rsidR="00E555C3" w:rsidRDefault="00E555C3" w:rsidP="00DB3627">
      <w:pPr>
        <w:autoSpaceDE w:val="0"/>
        <w:autoSpaceDN w:val="0"/>
        <w:adjustRightInd w:val="0"/>
        <w:spacing w:after="0" w:line="240" w:lineRule="auto"/>
        <w:rPr>
          <w:rFonts w:cstheme="minorHAnsi"/>
        </w:rPr>
      </w:pPr>
      <w:r>
        <w:rPr>
          <w:rFonts w:cstheme="minorHAnsi"/>
        </w:rPr>
        <w:t xml:space="preserve">We tested the measure using 2013 Medicare fee-for-service </w:t>
      </w:r>
      <w:r w:rsidR="003A01C9">
        <w:rPr>
          <w:rFonts w:cstheme="minorHAnsi"/>
        </w:rPr>
        <w:t xml:space="preserve">(FFS) data from the 100% </w:t>
      </w:r>
      <w:r>
        <w:rPr>
          <w:rFonts w:cstheme="minorHAnsi"/>
        </w:rPr>
        <w:t xml:space="preserve">Outpatient Standard Analytic File (SAF-O). </w:t>
      </w:r>
    </w:p>
    <w:p w14:paraId="65C458DC" w14:textId="77777777" w:rsidR="00E555C3" w:rsidRDefault="00E555C3" w:rsidP="00DB3627">
      <w:pPr>
        <w:autoSpaceDE w:val="0"/>
        <w:autoSpaceDN w:val="0"/>
        <w:adjustRightInd w:val="0"/>
        <w:spacing w:after="0" w:line="240" w:lineRule="auto"/>
        <w:rPr>
          <w:rFonts w:cstheme="minorHAnsi"/>
        </w:rPr>
      </w:pPr>
    </w:p>
    <w:p w14:paraId="4C43AC05" w14:textId="77777777" w:rsidR="00E555C3" w:rsidRDefault="00E555C3" w:rsidP="00E555C3">
      <w:pPr>
        <w:autoSpaceDE w:val="0"/>
        <w:autoSpaceDN w:val="0"/>
        <w:adjustRightInd w:val="0"/>
        <w:spacing w:after="0" w:line="240" w:lineRule="auto"/>
        <w:rPr>
          <w:rFonts w:cstheme="minorHAnsi"/>
        </w:rPr>
      </w:pPr>
      <w:r>
        <w:rPr>
          <w:rFonts w:cstheme="minorHAnsi"/>
        </w:rPr>
        <w:t xml:space="preserve">Facility Analysis </w:t>
      </w:r>
    </w:p>
    <w:p w14:paraId="5B2B1907" w14:textId="77777777" w:rsidR="00E555C3" w:rsidRDefault="00E555C3" w:rsidP="00E555C3">
      <w:pPr>
        <w:pStyle w:val="ListParagraph"/>
        <w:numPr>
          <w:ilvl w:val="0"/>
          <w:numId w:val="31"/>
        </w:numPr>
        <w:autoSpaceDE w:val="0"/>
        <w:autoSpaceDN w:val="0"/>
        <w:adjustRightInd w:val="0"/>
        <w:spacing w:after="0" w:line="240" w:lineRule="auto"/>
        <w:rPr>
          <w:rFonts w:cstheme="minorHAnsi"/>
        </w:rPr>
      </w:pPr>
      <w:r>
        <w:rPr>
          <w:rFonts w:cstheme="minorHAnsi"/>
        </w:rPr>
        <w:t xml:space="preserve">Datasets used to </w:t>
      </w:r>
      <w:r w:rsidRPr="00BF675B">
        <w:rPr>
          <w:rFonts w:cstheme="minorHAnsi"/>
          <w:u w:val="single"/>
        </w:rPr>
        <w:t xml:space="preserve">define the </w:t>
      </w:r>
      <w:r>
        <w:rPr>
          <w:rFonts w:cstheme="minorHAnsi"/>
          <w:u w:val="single"/>
        </w:rPr>
        <w:t>initial patient population (denominator)</w:t>
      </w:r>
      <w:r>
        <w:rPr>
          <w:rFonts w:cstheme="minorHAnsi"/>
        </w:rPr>
        <w:t xml:space="preserve">: </w:t>
      </w:r>
    </w:p>
    <w:p w14:paraId="1F6BF9E3" w14:textId="60E0A259" w:rsidR="00E555C3" w:rsidRDefault="00E555C3" w:rsidP="00E555C3">
      <w:pPr>
        <w:pStyle w:val="ListParagraph"/>
        <w:numPr>
          <w:ilvl w:val="0"/>
          <w:numId w:val="30"/>
        </w:numPr>
        <w:autoSpaceDE w:val="0"/>
        <w:autoSpaceDN w:val="0"/>
        <w:adjustRightInd w:val="0"/>
        <w:spacing w:after="0" w:line="240" w:lineRule="auto"/>
        <w:rPr>
          <w:rFonts w:cstheme="minorHAnsi"/>
        </w:rPr>
      </w:pPr>
      <w:r w:rsidRPr="00AD6D4B">
        <w:rPr>
          <w:rFonts w:cstheme="minorHAnsi"/>
          <w:i/>
        </w:rPr>
        <w:t xml:space="preserve">SAF-O: </w:t>
      </w:r>
      <w:r>
        <w:rPr>
          <w:rFonts w:cstheme="minorHAnsi"/>
        </w:rPr>
        <w:t>CORE and Lewin defined t</w:t>
      </w:r>
      <w:r w:rsidRPr="00BF675B">
        <w:rPr>
          <w:rFonts w:cstheme="minorHAnsi"/>
        </w:rPr>
        <w:t xml:space="preserve">he </w:t>
      </w:r>
      <w:r>
        <w:rPr>
          <w:rFonts w:cstheme="minorHAnsi"/>
        </w:rPr>
        <w:t>initial patient population</w:t>
      </w:r>
      <w:r w:rsidRPr="00BF675B">
        <w:rPr>
          <w:rFonts w:cstheme="minorHAnsi"/>
        </w:rPr>
        <w:t xml:space="preserve"> based on the 2013 100% SAF-O file. </w:t>
      </w:r>
      <w:r>
        <w:rPr>
          <w:rFonts w:cstheme="minorHAnsi"/>
        </w:rPr>
        <w:t>The initial patient population includes a</w:t>
      </w:r>
      <w:r w:rsidRPr="00BF675B">
        <w:rPr>
          <w:rFonts w:cstheme="minorHAnsi"/>
        </w:rPr>
        <w:t>ll claims f</w:t>
      </w:r>
      <w:r>
        <w:rPr>
          <w:rFonts w:cstheme="minorHAnsi"/>
        </w:rPr>
        <w:t xml:space="preserve">or a CT thorax study from January 1, 2013-December 31, 2013, provided in a hospital outpatient setting. This dataset also includes unique patient and facility identifiers. </w:t>
      </w:r>
    </w:p>
    <w:p w14:paraId="0C5E32DD" w14:textId="37DC84C7" w:rsidR="00E555C3" w:rsidRDefault="00E555C3" w:rsidP="00E555C3">
      <w:pPr>
        <w:pStyle w:val="ListParagraph"/>
        <w:numPr>
          <w:ilvl w:val="0"/>
          <w:numId w:val="30"/>
        </w:numPr>
        <w:autoSpaceDE w:val="0"/>
        <w:autoSpaceDN w:val="0"/>
        <w:adjustRightInd w:val="0"/>
        <w:spacing w:after="0" w:line="240" w:lineRule="auto"/>
        <w:rPr>
          <w:rFonts w:cstheme="minorHAnsi"/>
        </w:rPr>
      </w:pPr>
      <w:r w:rsidRPr="00AD6D4B">
        <w:rPr>
          <w:rFonts w:cstheme="minorHAnsi"/>
          <w:i/>
        </w:rPr>
        <w:t>Enrollment and denominator files:</w:t>
      </w:r>
      <w:r>
        <w:rPr>
          <w:rFonts w:cstheme="minorHAnsi"/>
        </w:rPr>
        <w:t xml:space="preserve"> This dataset contains Medicare FFS enrollment, demographic, and death information for patients identified in the above file. </w:t>
      </w:r>
    </w:p>
    <w:p w14:paraId="14D20102" w14:textId="77777777" w:rsidR="00E555C3" w:rsidRDefault="00E555C3" w:rsidP="00E555C3">
      <w:pPr>
        <w:pStyle w:val="ListParagraph"/>
        <w:numPr>
          <w:ilvl w:val="0"/>
          <w:numId w:val="30"/>
        </w:numPr>
        <w:autoSpaceDE w:val="0"/>
        <w:autoSpaceDN w:val="0"/>
        <w:adjustRightInd w:val="0"/>
        <w:spacing w:after="0" w:line="240" w:lineRule="auto"/>
        <w:rPr>
          <w:rFonts w:cstheme="minorHAnsi"/>
        </w:rPr>
      </w:pPr>
      <w:r w:rsidRPr="00AD6D4B">
        <w:rPr>
          <w:rFonts w:cstheme="minorHAnsi"/>
          <w:i/>
        </w:rPr>
        <w:t>Provider of services (POS) file:</w:t>
      </w:r>
      <w:r>
        <w:rPr>
          <w:rFonts w:cstheme="minorHAnsi"/>
        </w:rPr>
        <w:t xml:space="preserve"> The POS file contains data on facility characteristics including urbanicity, bed count, and teaching status. </w:t>
      </w:r>
    </w:p>
    <w:p w14:paraId="577D7075" w14:textId="77777777" w:rsidR="00E555C3" w:rsidRDefault="00E555C3" w:rsidP="00E555C3">
      <w:pPr>
        <w:pStyle w:val="ListParagraph"/>
        <w:autoSpaceDE w:val="0"/>
        <w:autoSpaceDN w:val="0"/>
        <w:adjustRightInd w:val="0"/>
        <w:spacing w:after="0" w:line="240" w:lineRule="auto"/>
        <w:rPr>
          <w:rFonts w:cstheme="minorHAnsi"/>
        </w:rPr>
      </w:pPr>
    </w:p>
    <w:p w14:paraId="02502454" w14:textId="77777777" w:rsidR="00E555C3" w:rsidRDefault="00E555C3" w:rsidP="00E555C3">
      <w:pPr>
        <w:pStyle w:val="ListParagraph"/>
        <w:numPr>
          <w:ilvl w:val="0"/>
          <w:numId w:val="31"/>
        </w:numPr>
        <w:autoSpaceDE w:val="0"/>
        <w:autoSpaceDN w:val="0"/>
        <w:adjustRightInd w:val="0"/>
        <w:spacing w:after="0" w:line="240" w:lineRule="auto"/>
        <w:rPr>
          <w:rFonts w:cstheme="minorHAnsi"/>
        </w:rPr>
      </w:pPr>
      <w:r>
        <w:rPr>
          <w:rFonts w:cstheme="minorHAnsi"/>
        </w:rPr>
        <w:t xml:space="preserve">Datasets used to </w:t>
      </w:r>
      <w:r w:rsidRPr="00BF675B">
        <w:rPr>
          <w:rFonts w:cstheme="minorHAnsi"/>
          <w:u w:val="single"/>
        </w:rPr>
        <w:t>capture the numerator</w:t>
      </w:r>
      <w:r>
        <w:rPr>
          <w:rFonts w:cstheme="minorHAnsi"/>
        </w:rPr>
        <w:t>:</w:t>
      </w:r>
    </w:p>
    <w:p w14:paraId="578E6C9A" w14:textId="4D634A2E" w:rsidR="00E555C3" w:rsidRDefault="00E555C3" w:rsidP="00E555C3">
      <w:pPr>
        <w:pStyle w:val="ListParagraph"/>
        <w:numPr>
          <w:ilvl w:val="0"/>
          <w:numId w:val="30"/>
        </w:numPr>
        <w:autoSpaceDE w:val="0"/>
        <w:autoSpaceDN w:val="0"/>
        <w:adjustRightInd w:val="0"/>
        <w:spacing w:after="0" w:line="240" w:lineRule="auto"/>
        <w:rPr>
          <w:rFonts w:cstheme="minorHAnsi"/>
        </w:rPr>
      </w:pPr>
      <w:r w:rsidRPr="00AD6D4B">
        <w:rPr>
          <w:rFonts w:cstheme="minorHAnsi"/>
          <w:i/>
        </w:rPr>
        <w:t>SAF-O:</w:t>
      </w:r>
      <w:r>
        <w:rPr>
          <w:rFonts w:cstheme="minorHAnsi"/>
        </w:rPr>
        <w:t xml:space="preserve"> For patients included in the initial patient population, CORE and Lewin identified numerator cases, patients with a combined CT thorax study</w:t>
      </w:r>
      <w:r w:rsidR="0091557E">
        <w:rPr>
          <w:rFonts w:cstheme="minorHAnsi"/>
        </w:rPr>
        <w:t xml:space="preserve"> </w:t>
      </w:r>
      <w:r w:rsidR="00F31E51">
        <w:rPr>
          <w:rFonts w:cstheme="minorHAnsi"/>
        </w:rPr>
        <w:t>(performed with and without contrast)</w:t>
      </w:r>
      <w:proofErr w:type="gramStart"/>
      <w:r w:rsidR="0045503D">
        <w:rPr>
          <w:rFonts w:cstheme="minorHAnsi"/>
        </w:rPr>
        <w:t>,</w:t>
      </w:r>
      <w:proofErr w:type="gramEnd"/>
      <w:r>
        <w:rPr>
          <w:rFonts w:cstheme="minorHAnsi"/>
        </w:rPr>
        <w:t xml:space="preserve"> by searching the 2013 100% SAF-O file for the CPT code </w:t>
      </w:r>
      <w:r>
        <w:t>71270 – Thorax CT With and Without Contrast</w:t>
      </w:r>
      <w:r>
        <w:rPr>
          <w:rFonts w:cstheme="minorHAnsi"/>
        </w:rPr>
        <w:t xml:space="preserve">. </w:t>
      </w:r>
    </w:p>
    <w:p w14:paraId="0DE931BC" w14:textId="77777777" w:rsidR="00E555C3" w:rsidRDefault="00E555C3" w:rsidP="00E555C3">
      <w:pPr>
        <w:autoSpaceDE w:val="0"/>
        <w:autoSpaceDN w:val="0"/>
        <w:adjustRightInd w:val="0"/>
        <w:spacing w:after="0" w:line="240" w:lineRule="auto"/>
        <w:rPr>
          <w:rFonts w:cstheme="minorHAnsi"/>
        </w:rPr>
      </w:pPr>
    </w:p>
    <w:p w14:paraId="46259EFC" w14:textId="77777777" w:rsidR="00E555C3" w:rsidRPr="00467CE8" w:rsidRDefault="00E555C3" w:rsidP="00E555C3">
      <w:pPr>
        <w:pStyle w:val="ListParagraph"/>
        <w:numPr>
          <w:ilvl w:val="0"/>
          <w:numId w:val="31"/>
        </w:numPr>
        <w:autoSpaceDE w:val="0"/>
        <w:autoSpaceDN w:val="0"/>
        <w:adjustRightInd w:val="0"/>
        <w:spacing w:after="0" w:line="240" w:lineRule="auto"/>
        <w:rPr>
          <w:rFonts w:cstheme="minorHAnsi"/>
        </w:rPr>
      </w:pPr>
      <w:r w:rsidRPr="00467CE8">
        <w:rPr>
          <w:rFonts w:cstheme="minorHAnsi"/>
        </w:rPr>
        <w:t xml:space="preserve"> </w:t>
      </w:r>
      <w:r>
        <w:rPr>
          <w:rFonts w:cstheme="minorHAnsi"/>
        </w:rPr>
        <w:t xml:space="preserve">Datasets used to </w:t>
      </w:r>
      <w:r w:rsidRPr="00467CE8">
        <w:rPr>
          <w:rFonts w:cstheme="minorHAnsi"/>
          <w:u w:val="single"/>
        </w:rPr>
        <w:t>identify measure exclusions</w:t>
      </w:r>
      <w:r>
        <w:rPr>
          <w:rFonts w:cstheme="minorHAnsi"/>
        </w:rPr>
        <w:t xml:space="preserve">: </w:t>
      </w:r>
    </w:p>
    <w:p w14:paraId="2C511166" w14:textId="22C7EB07" w:rsidR="00E555C3" w:rsidRPr="00712770" w:rsidRDefault="00E555C3" w:rsidP="00E555C3">
      <w:pPr>
        <w:pStyle w:val="ListParagraph"/>
        <w:numPr>
          <w:ilvl w:val="0"/>
          <w:numId w:val="30"/>
        </w:numPr>
        <w:autoSpaceDE w:val="0"/>
        <w:autoSpaceDN w:val="0"/>
        <w:adjustRightInd w:val="0"/>
        <w:spacing w:after="0" w:line="240" w:lineRule="auto"/>
        <w:rPr>
          <w:rFonts w:cstheme="minorHAnsi"/>
          <w:b/>
        </w:rPr>
      </w:pPr>
      <w:r w:rsidRPr="00AD6D4B">
        <w:rPr>
          <w:rFonts w:cstheme="minorHAnsi"/>
          <w:i/>
        </w:rPr>
        <w:t>SAF-O:</w:t>
      </w:r>
      <w:r>
        <w:rPr>
          <w:rFonts w:cstheme="minorHAnsi"/>
        </w:rPr>
        <w:t xml:space="preserve"> For patients included in the initial patient population, CORE and Lewin identified denominator exclusions by reviewing the CT thorax study claims for diagnoses associated with exclusion conditions. </w:t>
      </w:r>
      <w:r w:rsidRPr="00712770">
        <w:rPr>
          <w:rFonts w:cstheme="minorHAnsi"/>
        </w:rPr>
        <w:t xml:space="preserve"> </w:t>
      </w:r>
    </w:p>
    <w:p w14:paraId="05F73BA5" w14:textId="77777777" w:rsidR="009E1846" w:rsidRDefault="009E1846" w:rsidP="00DB3627">
      <w:pPr>
        <w:autoSpaceDE w:val="0"/>
        <w:autoSpaceDN w:val="0"/>
        <w:adjustRightInd w:val="0"/>
        <w:spacing w:after="0" w:line="240" w:lineRule="auto"/>
        <w:rPr>
          <w:rFonts w:cstheme="minorHAnsi"/>
          <w:b/>
        </w:rPr>
      </w:pPr>
    </w:p>
    <w:p w14:paraId="78B7DDC3" w14:textId="2F4AEF01"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035284">
            <w:rPr>
              <w:rStyle w:val="Style1"/>
            </w:rPr>
            <w:t>January 2013 – December 2013</w:t>
          </w:r>
        </w:sdtContent>
      </w:sdt>
    </w:p>
    <w:p w14:paraId="40C38437" w14:textId="77777777" w:rsidR="000574AB" w:rsidRDefault="000574AB"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77777777" w:rsidR="000414E8" w:rsidRPr="00A01494" w:rsidRDefault="00E25381"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4861D414" w14:textId="77777777" w:rsidR="000414E8" w:rsidRPr="00A01494" w:rsidRDefault="00E25381"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0414E8">
        <w:trPr>
          <w:jc w:val="center"/>
        </w:trPr>
        <w:tc>
          <w:tcPr>
            <w:tcW w:w="5027" w:type="dxa"/>
          </w:tcPr>
          <w:p w14:paraId="046A85D6" w14:textId="77777777" w:rsidR="000414E8" w:rsidRPr="00A01494" w:rsidRDefault="00E25381"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77777777" w:rsidR="000414E8" w:rsidRPr="00A01494" w:rsidRDefault="00E25381"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384D3A1B" w:rsidR="000414E8" w:rsidRPr="00A01494" w:rsidRDefault="00E25381"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E555C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8EB19D0" w14:textId="6773A99F" w:rsidR="000414E8" w:rsidRPr="00A01494" w:rsidRDefault="00E25381"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E555C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77777777" w:rsidR="000414E8" w:rsidRPr="00A01494" w:rsidRDefault="00E25381"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36A27C1" w14:textId="77777777" w:rsidR="000414E8" w:rsidRPr="00A01494" w:rsidRDefault="00E25381"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0414E8">
        <w:trPr>
          <w:jc w:val="center"/>
        </w:trPr>
        <w:tc>
          <w:tcPr>
            <w:tcW w:w="5027" w:type="dxa"/>
          </w:tcPr>
          <w:p w14:paraId="5EA381A5" w14:textId="348366DD" w:rsidR="000414E8" w:rsidRPr="00A01494" w:rsidRDefault="00E25381" w:rsidP="00E555C3">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EndPr/>
              <w:sdtContent>
                <w:r w:rsidR="00E555C3">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035284">
                  <w:rPr>
                    <w:rStyle w:val="Style1"/>
                  </w:rPr>
                  <w:t>state, national</w:t>
                </w:r>
              </w:sdtContent>
            </w:sdt>
          </w:p>
        </w:tc>
        <w:tc>
          <w:tcPr>
            <w:tcW w:w="5028" w:type="dxa"/>
          </w:tcPr>
          <w:p w14:paraId="41B17C78" w14:textId="0A27DAA5" w:rsidR="000414E8" w:rsidRPr="00A01494" w:rsidRDefault="00E25381" w:rsidP="00E555C3">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E555C3">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035284">
                  <w:rPr>
                    <w:rStyle w:val="Style1"/>
                  </w:rPr>
                  <w:t>state, national</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1461119D" w14:textId="21DE8B27" w:rsidR="00E555C3" w:rsidRDefault="00F31E51" w:rsidP="00E555C3">
      <w:pPr>
        <w:autoSpaceDE w:val="0"/>
        <w:autoSpaceDN w:val="0"/>
        <w:adjustRightInd w:val="0"/>
        <w:spacing w:after="0" w:line="240" w:lineRule="auto"/>
        <w:rPr>
          <w:rFonts w:cstheme="minorHAnsi"/>
          <w:bCs/>
        </w:rPr>
      </w:pPr>
      <w:r>
        <w:rPr>
          <w:rFonts w:cstheme="minorHAnsi"/>
          <w:bCs/>
        </w:rPr>
        <w:t xml:space="preserve">The testing sample included </w:t>
      </w:r>
      <w:r w:rsidR="00E878B2">
        <w:rPr>
          <w:rFonts w:cstheme="minorHAnsi"/>
          <w:bCs/>
        </w:rPr>
        <w:t>3,666 facilities that met minimum case count requirements</w:t>
      </w:r>
      <w:r>
        <w:rPr>
          <w:rFonts w:cstheme="minorHAnsi"/>
          <w:bCs/>
        </w:rPr>
        <w:t xml:space="preserve">. </w:t>
      </w:r>
      <w:r w:rsidR="00E555C3">
        <w:rPr>
          <w:rFonts w:cstheme="minorHAnsi"/>
          <w:bCs/>
        </w:rPr>
        <w:t xml:space="preserve">The number of measured entities (hospital outpatient </w:t>
      </w:r>
      <w:r w:rsidR="00E878B2">
        <w:rPr>
          <w:rFonts w:cstheme="minorHAnsi"/>
          <w:bCs/>
        </w:rPr>
        <w:t>facilities</w:t>
      </w:r>
      <w:r w:rsidR="00E555C3">
        <w:rPr>
          <w:rFonts w:cstheme="minorHAnsi"/>
          <w:bCs/>
        </w:rPr>
        <w:t xml:space="preserve">) varies by testing type; see Section </w:t>
      </w:r>
      <w:r w:rsidR="00E555C3" w:rsidRPr="00AD6D4B">
        <w:rPr>
          <w:rFonts w:cstheme="minorHAnsi"/>
          <w:b/>
          <w:bCs/>
        </w:rPr>
        <w:t>1.7</w:t>
      </w:r>
      <w:r w:rsidR="00E555C3">
        <w:rPr>
          <w:rFonts w:cstheme="minorHAnsi"/>
          <w:bCs/>
        </w:rPr>
        <w:t xml:space="preserve"> for details. </w:t>
      </w:r>
    </w:p>
    <w:p w14:paraId="6D95178A" w14:textId="77777777" w:rsidR="002B5016" w:rsidRPr="00A25024" w:rsidRDefault="002B5016" w:rsidP="00DB3627">
      <w:pPr>
        <w:autoSpaceDE w:val="0"/>
        <w:autoSpaceDN w:val="0"/>
        <w:adjustRightInd w:val="0"/>
        <w:spacing w:after="0" w:line="240" w:lineRule="auto"/>
        <w:rPr>
          <w:rFonts w:cstheme="minorHAnsi"/>
          <w:bCs/>
        </w:rPr>
      </w:pPr>
    </w:p>
    <w:p w14:paraId="0BB50392" w14:textId="4F22B4E4"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E555C3">
        <w:rPr>
          <w:rFonts w:cstheme="minorHAnsi"/>
          <w:bCs/>
        </w:rPr>
        <w:t xml:space="preserve">The number of patients varies by testing type; see Section </w:t>
      </w:r>
      <w:r w:rsidR="00E555C3" w:rsidRPr="00AD6D4B">
        <w:rPr>
          <w:rFonts w:cstheme="minorHAnsi"/>
          <w:b/>
          <w:bCs/>
        </w:rPr>
        <w:t>1.7</w:t>
      </w:r>
      <w:r w:rsidR="00E555C3">
        <w:rPr>
          <w:rFonts w:cstheme="minorHAnsi"/>
          <w:bCs/>
        </w:rPr>
        <w:t xml:space="preserve"> for details.</w:t>
      </w:r>
      <w:r w:rsidR="00F31E51">
        <w:rPr>
          <w:rFonts w:cstheme="minorHAnsi"/>
          <w:bCs/>
        </w:rPr>
        <w:t xml:space="preserve"> Prior to applying minimum case count</w:t>
      </w:r>
      <w:r w:rsidR="00E878B2">
        <w:rPr>
          <w:rFonts w:cstheme="minorHAnsi"/>
          <w:bCs/>
        </w:rPr>
        <w:t xml:space="preserve"> and exclusion criteria</w:t>
      </w:r>
      <w:r w:rsidR="00F31E51">
        <w:rPr>
          <w:rFonts w:cstheme="minorHAnsi"/>
          <w:bCs/>
        </w:rPr>
        <w:t xml:space="preserve">, there were </w:t>
      </w:r>
      <w:r w:rsidR="00E878B2">
        <w:rPr>
          <w:rFonts w:cstheme="minorHAnsi"/>
          <w:bCs/>
        </w:rPr>
        <w:t xml:space="preserve">1,669,952 </w:t>
      </w:r>
      <w:r w:rsidR="00F31E51">
        <w:rPr>
          <w:rFonts w:cstheme="minorHAnsi"/>
          <w:bCs/>
        </w:rPr>
        <w:t>CT thorax study denominator cases in the hospital outpatient (facility) setting</w:t>
      </w:r>
      <w:r w:rsidR="00E878B2">
        <w:rPr>
          <w:rFonts w:cstheme="minorHAnsi"/>
          <w:bCs/>
        </w:rPr>
        <w:t xml:space="preserve"> associated with 1,270,899 patients</w:t>
      </w:r>
      <w:r w:rsidR="00F31E51">
        <w:rPr>
          <w:rFonts w:cstheme="minorHAnsi"/>
          <w:bCs/>
        </w:rPr>
        <w:t xml:space="preserve">. </w:t>
      </w:r>
    </w:p>
    <w:p w14:paraId="705501F8" w14:textId="77777777" w:rsidR="00E555C3" w:rsidRDefault="00E555C3" w:rsidP="00DB3627">
      <w:pPr>
        <w:autoSpaceDE w:val="0"/>
        <w:autoSpaceDN w:val="0"/>
        <w:adjustRightInd w:val="0"/>
        <w:spacing w:after="0" w:line="240" w:lineRule="auto"/>
        <w:rPr>
          <w:rFonts w:cstheme="minorHAnsi"/>
          <w:bCs/>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55C79E47" w14:textId="25AC6A69" w:rsidR="00E555C3" w:rsidRDefault="00E555C3" w:rsidP="00E555C3">
      <w:pPr>
        <w:autoSpaceDE w:val="0"/>
        <w:autoSpaceDN w:val="0"/>
        <w:adjustRightInd w:val="0"/>
        <w:spacing w:after="0" w:line="240" w:lineRule="auto"/>
        <w:rPr>
          <w:rFonts w:cstheme="minorHAnsi"/>
          <w:bCs/>
        </w:rPr>
      </w:pPr>
      <w:r>
        <w:rPr>
          <w:rFonts w:cstheme="minorHAnsi"/>
          <w:bCs/>
        </w:rPr>
        <w:t xml:space="preserve">The data sources, dates, number of measured entities, number of CT thorax studies, number of combined CT thorax studies, level of analysis, and demographic profile for the patients used in each type of testing are as follows: </w:t>
      </w:r>
    </w:p>
    <w:p w14:paraId="627B0506" w14:textId="77777777" w:rsidR="00E555C3" w:rsidRDefault="00E555C3" w:rsidP="00E555C3">
      <w:pPr>
        <w:autoSpaceDE w:val="0"/>
        <w:autoSpaceDN w:val="0"/>
        <w:adjustRightInd w:val="0"/>
        <w:spacing w:after="0" w:line="240" w:lineRule="auto"/>
        <w:rPr>
          <w:rFonts w:cstheme="minorHAnsi"/>
          <w:bCs/>
        </w:rPr>
      </w:pPr>
    </w:p>
    <w:p w14:paraId="044145BA" w14:textId="77777777" w:rsidR="00E555C3" w:rsidRDefault="00E555C3" w:rsidP="00E555C3">
      <w:pPr>
        <w:autoSpaceDE w:val="0"/>
        <w:autoSpaceDN w:val="0"/>
        <w:spacing w:after="0" w:line="240" w:lineRule="auto"/>
        <w:rPr>
          <w:b/>
          <w:bCs/>
        </w:rPr>
      </w:pPr>
      <w:r>
        <w:rPr>
          <w:b/>
          <w:bCs/>
        </w:rPr>
        <w:t>Reliability Testing</w:t>
      </w:r>
    </w:p>
    <w:p w14:paraId="571CA23F" w14:textId="5143F37B" w:rsidR="00E555C3" w:rsidRDefault="00E555C3" w:rsidP="00E555C3">
      <w:pPr>
        <w:autoSpaceDE w:val="0"/>
        <w:autoSpaceDN w:val="0"/>
        <w:spacing w:after="0" w:line="240" w:lineRule="auto"/>
      </w:pPr>
      <w:r>
        <w:rPr>
          <w:u w:val="single"/>
        </w:rPr>
        <w:t>Data Source</w:t>
      </w:r>
      <w:r>
        <w:t xml:space="preserve">: Denominator: SAF-O; Numerator: SAF-O; Exclusions: SAF-O </w:t>
      </w:r>
    </w:p>
    <w:p w14:paraId="00893524" w14:textId="06BB86BD" w:rsidR="00E555C3" w:rsidRDefault="00E555C3" w:rsidP="00E555C3">
      <w:pPr>
        <w:autoSpaceDE w:val="0"/>
        <w:autoSpaceDN w:val="0"/>
        <w:spacing w:after="0" w:line="240" w:lineRule="auto"/>
      </w:pPr>
      <w:r>
        <w:rPr>
          <w:u w:val="single"/>
        </w:rPr>
        <w:t>Dates</w:t>
      </w:r>
      <w:r>
        <w:t>: Denominator: January 1, 2013-December 31, 2013; Numerator: January 1, 2013-December 31, 2013; Exclusions: January 1, 2013-December 31, 2013</w:t>
      </w:r>
    </w:p>
    <w:p w14:paraId="2AC848EC" w14:textId="191433A4" w:rsidR="00E555C3" w:rsidRPr="00327C2A" w:rsidRDefault="00E555C3" w:rsidP="00E555C3">
      <w:pPr>
        <w:autoSpaceDE w:val="0"/>
        <w:autoSpaceDN w:val="0"/>
        <w:spacing w:after="0" w:line="240" w:lineRule="auto"/>
      </w:pPr>
      <w:r w:rsidRPr="00327C2A">
        <w:rPr>
          <w:u w:val="single"/>
        </w:rPr>
        <w:t>Number of Measured Entities</w:t>
      </w:r>
      <w:r w:rsidRPr="00327C2A">
        <w:t xml:space="preserve">: </w:t>
      </w:r>
      <w:r w:rsidR="00587B43" w:rsidRPr="00327C2A">
        <w:t>3,666 Facilities</w:t>
      </w:r>
    </w:p>
    <w:p w14:paraId="60A24AF8" w14:textId="60F9ABB0" w:rsidR="00E555C3" w:rsidRPr="00327C2A" w:rsidRDefault="00E555C3" w:rsidP="00E555C3">
      <w:pPr>
        <w:autoSpaceDE w:val="0"/>
        <w:autoSpaceDN w:val="0"/>
        <w:spacing w:after="0" w:line="240" w:lineRule="auto"/>
      </w:pPr>
      <w:r w:rsidRPr="00327C2A">
        <w:rPr>
          <w:u w:val="single"/>
        </w:rPr>
        <w:t>Number of CT Thorax Studies</w:t>
      </w:r>
      <w:r w:rsidRPr="00327C2A">
        <w:t xml:space="preserve">: </w:t>
      </w:r>
      <w:r w:rsidR="00327C2A" w:rsidRPr="00327C2A">
        <w:t>1,640,642</w:t>
      </w:r>
    </w:p>
    <w:p w14:paraId="4D22EB24" w14:textId="05425745" w:rsidR="00E555C3" w:rsidRPr="00327C2A" w:rsidRDefault="00E555C3" w:rsidP="00E555C3">
      <w:pPr>
        <w:autoSpaceDE w:val="0"/>
        <w:autoSpaceDN w:val="0"/>
        <w:spacing w:after="0" w:line="240" w:lineRule="auto"/>
      </w:pPr>
      <w:r w:rsidRPr="00327C2A">
        <w:rPr>
          <w:u w:val="single"/>
        </w:rPr>
        <w:t>Number of Combined CT Thorax Studies</w:t>
      </w:r>
      <w:r w:rsidRPr="00327C2A">
        <w:t xml:space="preserve">: </w:t>
      </w:r>
      <w:r w:rsidR="00327C2A" w:rsidRPr="00327C2A">
        <w:t>39,549</w:t>
      </w:r>
    </w:p>
    <w:p w14:paraId="4FA39A8B" w14:textId="5D1AAAC9" w:rsidR="00E555C3" w:rsidRPr="00327C2A" w:rsidRDefault="00E555C3" w:rsidP="00E555C3">
      <w:pPr>
        <w:autoSpaceDE w:val="0"/>
        <w:autoSpaceDN w:val="0"/>
        <w:spacing w:after="0" w:line="240" w:lineRule="auto"/>
      </w:pPr>
      <w:r w:rsidRPr="00327C2A">
        <w:rPr>
          <w:u w:val="single"/>
        </w:rPr>
        <w:t>Level of Analysis</w:t>
      </w:r>
      <w:r w:rsidRPr="00327C2A">
        <w:t xml:space="preserve">: </w:t>
      </w:r>
      <w:r w:rsidR="00327C2A" w:rsidRPr="00327C2A">
        <w:t>Facility</w:t>
      </w:r>
    </w:p>
    <w:p w14:paraId="526CB7DD" w14:textId="1123B55E" w:rsidR="00E555C3" w:rsidRDefault="00E555C3" w:rsidP="00E555C3">
      <w:pPr>
        <w:autoSpaceDE w:val="0"/>
        <w:autoSpaceDN w:val="0"/>
        <w:adjustRightInd w:val="0"/>
        <w:spacing w:after="0" w:line="240" w:lineRule="auto"/>
      </w:pPr>
      <w:r w:rsidRPr="00183720">
        <w:rPr>
          <w:u w:val="single"/>
        </w:rPr>
        <w:t>Patient Characteristics</w:t>
      </w:r>
      <w:r w:rsidRPr="00183720">
        <w:t xml:space="preserve">: </w:t>
      </w:r>
      <w:r w:rsidR="00C74D3B" w:rsidRPr="00183720">
        <w:t xml:space="preserve">Gender (% Male): 45.9; Mean Age (Years): 71.1 (St. Dev.: 10.7); Race/Ethnicity (% Minority): </w:t>
      </w:r>
      <w:r w:rsidR="00183720" w:rsidRPr="00183720">
        <w:t>13.9</w:t>
      </w:r>
    </w:p>
    <w:p w14:paraId="2FD66C4F" w14:textId="77777777" w:rsidR="00E555C3" w:rsidRDefault="00E555C3" w:rsidP="00E555C3">
      <w:pPr>
        <w:autoSpaceDE w:val="0"/>
        <w:autoSpaceDN w:val="0"/>
        <w:adjustRightInd w:val="0"/>
        <w:spacing w:after="0" w:line="240" w:lineRule="auto"/>
        <w:rPr>
          <w:rFonts w:cstheme="minorHAnsi"/>
          <w:bCs/>
        </w:rPr>
      </w:pPr>
    </w:p>
    <w:p w14:paraId="5005D011" w14:textId="77777777" w:rsidR="00E555C3" w:rsidRPr="00AD6D4B" w:rsidRDefault="00E555C3" w:rsidP="00E555C3">
      <w:pPr>
        <w:autoSpaceDE w:val="0"/>
        <w:autoSpaceDN w:val="0"/>
        <w:adjustRightInd w:val="0"/>
        <w:spacing w:after="0" w:line="240" w:lineRule="auto"/>
        <w:rPr>
          <w:rFonts w:cstheme="minorHAnsi"/>
          <w:b/>
          <w:bCs/>
        </w:rPr>
      </w:pPr>
      <w:r w:rsidRPr="00AD6D4B">
        <w:rPr>
          <w:rFonts w:cstheme="minorHAnsi"/>
          <w:b/>
          <w:bCs/>
        </w:rPr>
        <w:t>Validity Testing</w:t>
      </w:r>
    </w:p>
    <w:p w14:paraId="0A0BECF4" w14:textId="732BF1A7" w:rsidR="00E555C3" w:rsidRPr="00046C54" w:rsidRDefault="00E555C3" w:rsidP="00E555C3">
      <w:pPr>
        <w:autoSpaceDE w:val="0"/>
        <w:autoSpaceDN w:val="0"/>
        <w:adjustRightInd w:val="0"/>
        <w:spacing w:after="0" w:line="240" w:lineRule="auto"/>
        <w:rPr>
          <w:rFonts w:cstheme="minorHAnsi"/>
          <w:bCs/>
        </w:rPr>
      </w:pPr>
      <w:r>
        <w:rPr>
          <w:u w:val="single"/>
        </w:rPr>
        <w:t>Data Source</w:t>
      </w:r>
      <w:r>
        <w:t xml:space="preserve">: </w:t>
      </w:r>
      <w:r>
        <w:rPr>
          <w:rFonts w:cstheme="minorHAnsi"/>
          <w:bCs/>
        </w:rPr>
        <w:t xml:space="preserve">Structured qualitative survey questions completed by </w:t>
      </w:r>
      <w:r w:rsidR="00306C90">
        <w:rPr>
          <w:rFonts w:cstheme="minorHAnsi"/>
          <w:bCs/>
        </w:rPr>
        <w:t>T</w:t>
      </w:r>
      <w:r>
        <w:rPr>
          <w:rFonts w:cstheme="minorHAnsi"/>
          <w:bCs/>
        </w:rPr>
        <w:t xml:space="preserve">echnical </w:t>
      </w:r>
      <w:r w:rsidR="00306C90">
        <w:rPr>
          <w:rFonts w:cstheme="minorHAnsi"/>
          <w:bCs/>
        </w:rPr>
        <w:t>E</w:t>
      </w:r>
      <w:r>
        <w:rPr>
          <w:rFonts w:cstheme="minorHAnsi"/>
          <w:bCs/>
        </w:rPr>
        <w:t xml:space="preserve">xpert </w:t>
      </w:r>
      <w:r w:rsidR="00306C90">
        <w:rPr>
          <w:rFonts w:cstheme="minorHAnsi"/>
          <w:bCs/>
        </w:rPr>
        <w:t>P</w:t>
      </w:r>
      <w:r>
        <w:rPr>
          <w:rFonts w:cstheme="minorHAnsi"/>
          <w:bCs/>
        </w:rPr>
        <w:t>anel (TEP) members</w:t>
      </w:r>
    </w:p>
    <w:p w14:paraId="068DF8C7" w14:textId="6D986891" w:rsidR="00E555C3" w:rsidRDefault="00E555C3" w:rsidP="00E555C3">
      <w:pPr>
        <w:autoSpaceDE w:val="0"/>
        <w:autoSpaceDN w:val="0"/>
        <w:spacing w:after="0" w:line="240" w:lineRule="auto"/>
      </w:pPr>
      <w:r>
        <w:rPr>
          <w:u w:val="single"/>
        </w:rPr>
        <w:t>Dates</w:t>
      </w:r>
      <w:r>
        <w:t>: June 2015</w:t>
      </w:r>
    </w:p>
    <w:p w14:paraId="0F8D9D3F" w14:textId="107905A1" w:rsidR="00E555C3" w:rsidRDefault="00E555C3" w:rsidP="00E555C3">
      <w:pPr>
        <w:autoSpaceDE w:val="0"/>
        <w:autoSpaceDN w:val="0"/>
        <w:spacing w:after="0" w:line="240" w:lineRule="auto"/>
      </w:pPr>
      <w:r>
        <w:rPr>
          <w:u w:val="single"/>
        </w:rPr>
        <w:t>Number of Responses</w:t>
      </w:r>
      <w:r>
        <w:t xml:space="preserve">: </w:t>
      </w:r>
      <w:r w:rsidR="007E525F">
        <w:t>10</w:t>
      </w:r>
    </w:p>
    <w:p w14:paraId="46D64125" w14:textId="71B4483C" w:rsidR="00E555C3" w:rsidRPr="008E019B" w:rsidRDefault="00E555C3" w:rsidP="00E555C3">
      <w:pPr>
        <w:autoSpaceDE w:val="0"/>
        <w:autoSpaceDN w:val="0"/>
        <w:adjustRightInd w:val="0"/>
        <w:spacing w:after="0" w:line="240" w:lineRule="auto"/>
      </w:pPr>
      <w:r>
        <w:rPr>
          <w:rFonts w:cstheme="minorHAnsi"/>
          <w:bCs/>
          <w:u w:val="single"/>
        </w:rPr>
        <w:t xml:space="preserve">Respondent </w:t>
      </w:r>
      <w:r w:rsidRPr="007E525F">
        <w:rPr>
          <w:rFonts w:cstheme="minorHAnsi"/>
          <w:bCs/>
          <w:u w:val="single"/>
        </w:rPr>
        <w:t>Characteristics:</w:t>
      </w:r>
      <w:r w:rsidRPr="007E525F">
        <w:rPr>
          <w:rFonts w:cstheme="minorHAnsi"/>
          <w:bCs/>
        </w:rPr>
        <w:t xml:space="preserve"> CORE and Lewin asked respondents to select at least one of the following categories: insurer/purchaser (3); payer (1); clinician (</w:t>
      </w:r>
      <w:r w:rsidR="007E525F" w:rsidRPr="007E525F">
        <w:rPr>
          <w:rFonts w:cstheme="minorHAnsi"/>
          <w:bCs/>
        </w:rPr>
        <w:t>5</w:t>
      </w:r>
      <w:r w:rsidRPr="007E525F">
        <w:rPr>
          <w:rFonts w:cstheme="minorHAnsi"/>
          <w:bCs/>
        </w:rPr>
        <w:t>); management/administration (5); patient/patient advocate/caregiver (3).</w:t>
      </w:r>
    </w:p>
    <w:p w14:paraId="248DF851" w14:textId="77777777" w:rsidR="00E555C3" w:rsidRDefault="00E555C3" w:rsidP="00E555C3">
      <w:pPr>
        <w:autoSpaceDE w:val="0"/>
        <w:autoSpaceDN w:val="0"/>
        <w:adjustRightInd w:val="0"/>
        <w:spacing w:after="0" w:line="240" w:lineRule="auto"/>
        <w:rPr>
          <w:rFonts w:cstheme="minorHAnsi"/>
          <w:bCs/>
        </w:rPr>
      </w:pPr>
    </w:p>
    <w:p w14:paraId="757C0707" w14:textId="77777777" w:rsidR="00E555C3" w:rsidRDefault="00E555C3" w:rsidP="00E555C3">
      <w:pPr>
        <w:autoSpaceDE w:val="0"/>
        <w:autoSpaceDN w:val="0"/>
        <w:spacing w:after="0" w:line="240" w:lineRule="auto"/>
        <w:rPr>
          <w:b/>
          <w:bCs/>
        </w:rPr>
      </w:pPr>
      <w:r>
        <w:rPr>
          <w:b/>
          <w:bCs/>
        </w:rPr>
        <w:t>Exclusions Analysis</w:t>
      </w:r>
    </w:p>
    <w:p w14:paraId="413C4B50" w14:textId="77777777" w:rsidR="00E555C3" w:rsidRDefault="00E555C3" w:rsidP="00E555C3">
      <w:pPr>
        <w:autoSpaceDE w:val="0"/>
        <w:autoSpaceDN w:val="0"/>
        <w:spacing w:after="0" w:line="240" w:lineRule="auto"/>
      </w:pPr>
      <w:r>
        <w:rPr>
          <w:u w:val="single"/>
        </w:rPr>
        <w:t>Data Source</w:t>
      </w:r>
      <w:r>
        <w:t xml:space="preserve">: Denominator: SAF-O; Numerator: SAF-O; Exclusions: SAF-O </w:t>
      </w:r>
    </w:p>
    <w:p w14:paraId="412205A4" w14:textId="77777777" w:rsidR="00E555C3" w:rsidRDefault="00E555C3" w:rsidP="00E555C3">
      <w:pPr>
        <w:autoSpaceDE w:val="0"/>
        <w:autoSpaceDN w:val="0"/>
        <w:spacing w:after="0" w:line="240" w:lineRule="auto"/>
      </w:pPr>
      <w:r>
        <w:rPr>
          <w:u w:val="single"/>
        </w:rPr>
        <w:t>Dates</w:t>
      </w:r>
      <w:r>
        <w:t>: Denominator: January 1, 2013-December 31, 2013; Numerator: January 1, 2013-December 31, 2013; Exclusions: January 1, 2013-December 31, 2013</w:t>
      </w:r>
    </w:p>
    <w:p w14:paraId="513F4CA7" w14:textId="34D04E2D" w:rsidR="00E555C3" w:rsidRPr="004770AF" w:rsidRDefault="00E555C3" w:rsidP="00E555C3">
      <w:pPr>
        <w:autoSpaceDE w:val="0"/>
        <w:autoSpaceDN w:val="0"/>
        <w:spacing w:after="0" w:line="240" w:lineRule="auto"/>
      </w:pPr>
      <w:r w:rsidRPr="004770AF">
        <w:rPr>
          <w:u w:val="single"/>
        </w:rPr>
        <w:t>Number of Measured Entities</w:t>
      </w:r>
      <w:r w:rsidRPr="004770AF">
        <w:t xml:space="preserve">: </w:t>
      </w:r>
      <w:r w:rsidR="004770AF" w:rsidRPr="004770AF">
        <w:t xml:space="preserve">3,664 </w:t>
      </w:r>
      <w:r w:rsidR="009E6CAC">
        <w:t>F</w:t>
      </w:r>
      <w:r w:rsidR="004770AF" w:rsidRPr="004770AF">
        <w:t xml:space="preserve">acilities </w:t>
      </w:r>
    </w:p>
    <w:p w14:paraId="046C87FA" w14:textId="4B27E8DC" w:rsidR="00E555C3" w:rsidRPr="004770AF" w:rsidRDefault="00E555C3" w:rsidP="00E555C3">
      <w:pPr>
        <w:autoSpaceDE w:val="0"/>
        <w:autoSpaceDN w:val="0"/>
        <w:spacing w:after="0" w:line="240" w:lineRule="auto"/>
      </w:pPr>
      <w:r w:rsidRPr="004770AF">
        <w:rPr>
          <w:u w:val="single"/>
        </w:rPr>
        <w:t>Number of CT Thorax Studies</w:t>
      </w:r>
      <w:r w:rsidRPr="004770AF">
        <w:t xml:space="preserve">: </w:t>
      </w:r>
      <w:r w:rsidR="004770AF" w:rsidRPr="004770AF">
        <w:rPr>
          <w:rFonts w:cstheme="minorHAnsi"/>
          <w:bCs/>
        </w:rPr>
        <w:t>1,644,708</w:t>
      </w:r>
    </w:p>
    <w:p w14:paraId="52A9251C" w14:textId="3FDD6E10" w:rsidR="00E555C3" w:rsidRPr="009E6CAC" w:rsidRDefault="00E555C3" w:rsidP="00E555C3">
      <w:pPr>
        <w:autoSpaceDE w:val="0"/>
        <w:autoSpaceDN w:val="0"/>
        <w:spacing w:after="0" w:line="240" w:lineRule="auto"/>
      </w:pPr>
      <w:r w:rsidRPr="009E6CAC">
        <w:rPr>
          <w:u w:val="single"/>
        </w:rPr>
        <w:t>Number of Combined CT Thorax Studies</w:t>
      </w:r>
      <w:r w:rsidRPr="009E6CAC">
        <w:t xml:space="preserve">: </w:t>
      </w:r>
      <w:r w:rsidR="004770AF" w:rsidRPr="009E6CAC">
        <w:t xml:space="preserve">39,890 </w:t>
      </w:r>
    </w:p>
    <w:p w14:paraId="3E019237" w14:textId="4910E429" w:rsidR="00E555C3" w:rsidRPr="009E6CAC" w:rsidRDefault="00E555C3" w:rsidP="00E555C3">
      <w:pPr>
        <w:autoSpaceDE w:val="0"/>
        <w:autoSpaceDN w:val="0"/>
        <w:spacing w:after="0" w:line="240" w:lineRule="auto"/>
      </w:pPr>
      <w:r w:rsidRPr="009E6CAC">
        <w:rPr>
          <w:u w:val="single"/>
        </w:rPr>
        <w:t>Level of Analysis</w:t>
      </w:r>
      <w:r w:rsidRPr="009E6CAC">
        <w:t xml:space="preserve">: </w:t>
      </w:r>
      <w:r w:rsidR="009E6CAC" w:rsidRPr="009E6CAC">
        <w:t xml:space="preserve">Facility </w:t>
      </w:r>
    </w:p>
    <w:p w14:paraId="5D532929" w14:textId="7ABE9C78" w:rsidR="00E555C3" w:rsidRDefault="00E555C3" w:rsidP="00E555C3">
      <w:pPr>
        <w:autoSpaceDE w:val="0"/>
        <w:autoSpaceDN w:val="0"/>
        <w:adjustRightInd w:val="0"/>
        <w:spacing w:after="0" w:line="240" w:lineRule="auto"/>
      </w:pPr>
      <w:r w:rsidRPr="009E6CAC">
        <w:rPr>
          <w:u w:val="single"/>
        </w:rPr>
        <w:t>Patient Characteristics</w:t>
      </w:r>
      <w:r w:rsidRPr="009E6CAC">
        <w:t xml:space="preserve">: </w:t>
      </w:r>
      <w:r w:rsidR="009E6CAC" w:rsidRPr="009E6CAC">
        <w:t>Gender (% Male): 45.9; Mean Age (Years): 71.1 (St. Dev.: 10.7); Race/Ethnicity (% Minority): 13.9</w:t>
      </w:r>
    </w:p>
    <w:p w14:paraId="0EB6F69B" w14:textId="77777777" w:rsidR="00E555C3" w:rsidRDefault="00E555C3" w:rsidP="00E555C3">
      <w:pPr>
        <w:autoSpaceDE w:val="0"/>
        <w:autoSpaceDN w:val="0"/>
        <w:adjustRightInd w:val="0"/>
        <w:spacing w:after="0" w:line="240" w:lineRule="auto"/>
        <w:rPr>
          <w:rFonts w:cstheme="minorHAnsi"/>
          <w:bCs/>
        </w:rPr>
      </w:pPr>
    </w:p>
    <w:p w14:paraId="1C1F548E" w14:textId="77777777" w:rsidR="00E555C3" w:rsidRPr="00EE092F" w:rsidRDefault="00E555C3" w:rsidP="00E555C3">
      <w:pPr>
        <w:autoSpaceDE w:val="0"/>
        <w:autoSpaceDN w:val="0"/>
        <w:adjustRightInd w:val="0"/>
        <w:spacing w:after="0" w:line="240" w:lineRule="auto"/>
        <w:rPr>
          <w:rFonts w:cstheme="minorHAnsi"/>
          <w:bCs/>
          <w:u w:val="single"/>
        </w:rPr>
      </w:pPr>
      <w:r w:rsidRPr="00C42F13">
        <w:rPr>
          <w:rFonts w:cstheme="minorHAnsi"/>
          <w:b/>
          <w:bCs/>
        </w:rPr>
        <w:t>Risk Adjustment/Stratification</w:t>
      </w:r>
      <w:r w:rsidRPr="00EE092F">
        <w:rPr>
          <w:rFonts w:cstheme="minorHAnsi"/>
          <w:bCs/>
          <w:u w:val="single"/>
        </w:rPr>
        <w:t xml:space="preserve"> </w:t>
      </w:r>
    </w:p>
    <w:p w14:paraId="78FB808F" w14:textId="77777777" w:rsidR="00E555C3" w:rsidRDefault="00E555C3" w:rsidP="00E555C3">
      <w:pPr>
        <w:autoSpaceDE w:val="0"/>
        <w:autoSpaceDN w:val="0"/>
        <w:adjustRightInd w:val="0"/>
        <w:spacing w:after="0" w:line="240" w:lineRule="auto"/>
        <w:rPr>
          <w:rFonts w:cstheme="minorHAnsi"/>
          <w:bCs/>
        </w:rPr>
      </w:pPr>
      <w:r>
        <w:rPr>
          <w:rFonts w:cstheme="minorHAnsi"/>
          <w:bCs/>
        </w:rPr>
        <w:t xml:space="preserve">N/A </w:t>
      </w:r>
    </w:p>
    <w:p w14:paraId="637FD7E5" w14:textId="77777777" w:rsidR="00E555C3" w:rsidRDefault="00E555C3" w:rsidP="00E555C3">
      <w:pPr>
        <w:autoSpaceDE w:val="0"/>
        <w:autoSpaceDN w:val="0"/>
        <w:adjustRightInd w:val="0"/>
        <w:spacing w:after="0" w:line="240" w:lineRule="auto"/>
        <w:rPr>
          <w:rFonts w:cstheme="minorHAnsi"/>
          <w:bCs/>
        </w:rPr>
      </w:pPr>
    </w:p>
    <w:p w14:paraId="3A8A6640" w14:textId="77777777" w:rsidR="00E555C3" w:rsidRPr="0051626E" w:rsidRDefault="00E555C3" w:rsidP="00E555C3">
      <w:pPr>
        <w:autoSpaceDE w:val="0"/>
        <w:autoSpaceDN w:val="0"/>
        <w:adjustRightInd w:val="0"/>
        <w:spacing w:after="0" w:line="240" w:lineRule="auto"/>
        <w:rPr>
          <w:rFonts w:cstheme="minorHAnsi"/>
          <w:b/>
          <w:bCs/>
        </w:rPr>
      </w:pPr>
      <w:r w:rsidRPr="0051626E">
        <w:rPr>
          <w:rFonts w:cstheme="minorHAnsi"/>
          <w:b/>
          <w:bCs/>
        </w:rPr>
        <w:t>Identification of Statistically Significant &amp; Meaningful Differences in Performance</w:t>
      </w:r>
    </w:p>
    <w:p w14:paraId="5C506212" w14:textId="77777777" w:rsidR="009B173B" w:rsidRDefault="009B173B" w:rsidP="009B173B">
      <w:pPr>
        <w:autoSpaceDE w:val="0"/>
        <w:autoSpaceDN w:val="0"/>
        <w:spacing w:after="0" w:line="240" w:lineRule="auto"/>
      </w:pPr>
      <w:r>
        <w:rPr>
          <w:u w:val="single"/>
        </w:rPr>
        <w:t>Data Source</w:t>
      </w:r>
      <w:r>
        <w:t xml:space="preserve">: Denominator: SAF-O; Numerator: SAF-O; Exclusions: SAF-O </w:t>
      </w:r>
    </w:p>
    <w:p w14:paraId="12CF3D76" w14:textId="77777777" w:rsidR="009B173B" w:rsidRDefault="009B173B" w:rsidP="009B173B">
      <w:pPr>
        <w:autoSpaceDE w:val="0"/>
        <w:autoSpaceDN w:val="0"/>
        <w:spacing w:after="0" w:line="240" w:lineRule="auto"/>
      </w:pPr>
      <w:r>
        <w:rPr>
          <w:u w:val="single"/>
        </w:rPr>
        <w:t>Dates</w:t>
      </w:r>
      <w:r>
        <w:t>: Denominator: January 1, 2013-December 31, 2013; Numerator: January 1, 2013-December 31, 2013; Exclusions: January 1, 2013-December 31, 2013</w:t>
      </w:r>
    </w:p>
    <w:p w14:paraId="33758114" w14:textId="77777777" w:rsidR="009B173B" w:rsidRPr="00327C2A" w:rsidRDefault="009B173B" w:rsidP="009B173B">
      <w:pPr>
        <w:autoSpaceDE w:val="0"/>
        <w:autoSpaceDN w:val="0"/>
        <w:spacing w:after="0" w:line="240" w:lineRule="auto"/>
      </w:pPr>
      <w:r w:rsidRPr="00327C2A">
        <w:rPr>
          <w:u w:val="single"/>
        </w:rPr>
        <w:t>Number of Measured Entities</w:t>
      </w:r>
      <w:r w:rsidRPr="00327C2A">
        <w:t>: 3,666 Facilities</w:t>
      </w:r>
    </w:p>
    <w:p w14:paraId="3DE5B25C" w14:textId="77777777" w:rsidR="009B173B" w:rsidRPr="00327C2A" w:rsidRDefault="009B173B" w:rsidP="009B173B">
      <w:pPr>
        <w:autoSpaceDE w:val="0"/>
        <w:autoSpaceDN w:val="0"/>
        <w:spacing w:after="0" w:line="240" w:lineRule="auto"/>
      </w:pPr>
      <w:r w:rsidRPr="00327C2A">
        <w:rPr>
          <w:u w:val="single"/>
        </w:rPr>
        <w:t>Number of CT Thorax Studies</w:t>
      </w:r>
      <w:r w:rsidRPr="00327C2A">
        <w:t>: 1,640,642</w:t>
      </w:r>
    </w:p>
    <w:p w14:paraId="2FF841F3" w14:textId="77777777" w:rsidR="009B173B" w:rsidRPr="00327C2A" w:rsidRDefault="009B173B" w:rsidP="009B173B">
      <w:pPr>
        <w:autoSpaceDE w:val="0"/>
        <w:autoSpaceDN w:val="0"/>
        <w:spacing w:after="0" w:line="240" w:lineRule="auto"/>
      </w:pPr>
      <w:r w:rsidRPr="00327C2A">
        <w:rPr>
          <w:u w:val="single"/>
        </w:rPr>
        <w:t>Number of Combined CT Thorax Studies</w:t>
      </w:r>
      <w:r w:rsidRPr="00327C2A">
        <w:t>: 39,549</w:t>
      </w:r>
    </w:p>
    <w:p w14:paraId="6206C88A" w14:textId="77777777" w:rsidR="009B173B" w:rsidRPr="00327C2A" w:rsidRDefault="009B173B" w:rsidP="009B173B">
      <w:pPr>
        <w:autoSpaceDE w:val="0"/>
        <w:autoSpaceDN w:val="0"/>
        <w:spacing w:after="0" w:line="240" w:lineRule="auto"/>
      </w:pPr>
      <w:r w:rsidRPr="00327C2A">
        <w:rPr>
          <w:u w:val="single"/>
        </w:rPr>
        <w:t>Level of Analysis</w:t>
      </w:r>
      <w:r w:rsidRPr="00327C2A">
        <w:t>: Facility</w:t>
      </w:r>
    </w:p>
    <w:p w14:paraId="394837FD" w14:textId="77777777" w:rsidR="009B173B" w:rsidRDefault="009B173B" w:rsidP="009B173B">
      <w:pPr>
        <w:autoSpaceDE w:val="0"/>
        <w:autoSpaceDN w:val="0"/>
        <w:adjustRightInd w:val="0"/>
        <w:spacing w:after="0" w:line="240" w:lineRule="auto"/>
      </w:pPr>
      <w:r w:rsidRPr="00183720">
        <w:rPr>
          <w:u w:val="single"/>
        </w:rPr>
        <w:t>Patient Characteristics</w:t>
      </w:r>
      <w:r w:rsidRPr="00183720">
        <w:t>: Gender (% Male): 45.9; Mean Age (Years): 71.1 (St. Dev.: 10.7); Race/Ethnicity (% Minority): 13.9</w:t>
      </w:r>
    </w:p>
    <w:p w14:paraId="26E98C86" w14:textId="77777777" w:rsidR="00E555C3" w:rsidRDefault="00E555C3" w:rsidP="00E555C3">
      <w:pPr>
        <w:autoSpaceDE w:val="0"/>
        <w:autoSpaceDN w:val="0"/>
        <w:adjustRightInd w:val="0"/>
        <w:spacing w:after="0" w:line="240" w:lineRule="auto"/>
        <w:rPr>
          <w:rFonts w:cstheme="minorHAnsi"/>
          <w:bCs/>
        </w:rPr>
      </w:pPr>
    </w:p>
    <w:p w14:paraId="68C0BB02" w14:textId="77777777" w:rsidR="00E555C3" w:rsidRPr="00E338C9" w:rsidRDefault="00E555C3" w:rsidP="00E555C3">
      <w:pPr>
        <w:autoSpaceDE w:val="0"/>
        <w:autoSpaceDN w:val="0"/>
        <w:adjustRightInd w:val="0"/>
        <w:spacing w:after="0" w:line="240" w:lineRule="auto"/>
        <w:rPr>
          <w:rFonts w:cstheme="minorHAnsi"/>
          <w:b/>
          <w:bCs/>
        </w:rPr>
      </w:pPr>
      <w:r w:rsidRPr="00E338C9">
        <w:rPr>
          <w:rFonts w:cstheme="minorHAnsi"/>
          <w:b/>
          <w:bCs/>
        </w:rPr>
        <w:t>Comparabil</w:t>
      </w:r>
      <w:r>
        <w:rPr>
          <w:rFonts w:cstheme="minorHAnsi"/>
          <w:b/>
          <w:bCs/>
        </w:rPr>
        <w:t>ity of Performance Scores when M</w:t>
      </w:r>
      <w:r w:rsidRPr="00E338C9">
        <w:rPr>
          <w:rFonts w:cstheme="minorHAnsi"/>
          <w:b/>
          <w:bCs/>
        </w:rPr>
        <w:t xml:space="preserve">ore than </w:t>
      </w:r>
      <w:r>
        <w:rPr>
          <w:rFonts w:cstheme="minorHAnsi"/>
          <w:b/>
          <w:bCs/>
        </w:rPr>
        <w:t>O</w:t>
      </w:r>
      <w:r w:rsidRPr="00E338C9">
        <w:rPr>
          <w:rFonts w:cstheme="minorHAnsi"/>
          <w:b/>
          <w:bCs/>
        </w:rPr>
        <w:t>ne Set of Specifications</w:t>
      </w:r>
    </w:p>
    <w:p w14:paraId="44D31CC2" w14:textId="77777777" w:rsidR="00E555C3" w:rsidRDefault="00E555C3" w:rsidP="00E555C3">
      <w:pPr>
        <w:autoSpaceDE w:val="0"/>
        <w:autoSpaceDN w:val="0"/>
        <w:adjustRightInd w:val="0"/>
        <w:spacing w:after="0" w:line="240" w:lineRule="auto"/>
        <w:rPr>
          <w:rFonts w:cstheme="minorHAnsi"/>
          <w:bCs/>
        </w:rPr>
      </w:pPr>
      <w:r>
        <w:rPr>
          <w:rFonts w:cstheme="minorHAnsi"/>
          <w:bCs/>
        </w:rPr>
        <w:t>N/A</w:t>
      </w:r>
    </w:p>
    <w:p w14:paraId="720320EE" w14:textId="77777777" w:rsidR="00E555C3" w:rsidRDefault="00E555C3" w:rsidP="00E555C3">
      <w:pPr>
        <w:autoSpaceDE w:val="0"/>
        <w:autoSpaceDN w:val="0"/>
        <w:adjustRightInd w:val="0"/>
        <w:spacing w:after="0" w:line="240" w:lineRule="auto"/>
        <w:rPr>
          <w:rFonts w:cstheme="minorHAnsi"/>
          <w:bCs/>
        </w:rPr>
      </w:pPr>
    </w:p>
    <w:p w14:paraId="7D133E39" w14:textId="77777777" w:rsidR="00E555C3" w:rsidRPr="00E338C9" w:rsidRDefault="00E555C3" w:rsidP="00E555C3">
      <w:pPr>
        <w:autoSpaceDE w:val="0"/>
        <w:autoSpaceDN w:val="0"/>
        <w:adjustRightInd w:val="0"/>
        <w:spacing w:after="0" w:line="240" w:lineRule="auto"/>
        <w:rPr>
          <w:rFonts w:cstheme="minorHAnsi"/>
          <w:b/>
          <w:bCs/>
        </w:rPr>
      </w:pPr>
      <w:r w:rsidRPr="00E338C9">
        <w:rPr>
          <w:rFonts w:cstheme="minorHAnsi"/>
          <w:b/>
          <w:bCs/>
        </w:rPr>
        <w:t>Missing Data Analysis and Minimizing Bias</w:t>
      </w:r>
    </w:p>
    <w:p w14:paraId="664702F8" w14:textId="77777777" w:rsidR="00E555C3" w:rsidRDefault="00E555C3" w:rsidP="00E555C3">
      <w:pPr>
        <w:autoSpaceDE w:val="0"/>
        <w:autoSpaceDN w:val="0"/>
        <w:adjustRightInd w:val="0"/>
        <w:spacing w:after="0" w:line="240" w:lineRule="auto"/>
        <w:rPr>
          <w:rFonts w:cstheme="minorHAnsi"/>
          <w:bCs/>
        </w:rPr>
      </w:pPr>
      <w:r>
        <w:rPr>
          <w:rFonts w:cstheme="minorHAnsi"/>
          <w:bCs/>
        </w:rPr>
        <w:t>N/A</w:t>
      </w:r>
    </w:p>
    <w:p w14:paraId="28DF458F" w14:textId="77777777" w:rsidR="00E37E1B" w:rsidRDefault="00E37E1B"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Cs/>
        </w:rPr>
      </w:pPr>
      <w:r w:rsidRPr="00E555C3">
        <w:rPr>
          <w:rFonts w:cstheme="minorHAnsi"/>
          <w:b/>
          <w:bCs/>
        </w:rPr>
        <w:t>1.8 What were the patient-level sociodemographic (SDS) variables that were available and analyzed in the data or sample used?</w:t>
      </w:r>
      <w:r>
        <w:rPr>
          <w:rFonts w:cstheme="minorHAnsi"/>
          <w:bCs/>
        </w:rPr>
        <w:t xml:space="preserve"> </w:t>
      </w:r>
      <w:proofErr w:type="gramStart"/>
      <w:r w:rsidRPr="00E555C3">
        <w:rPr>
          <w:rFonts w:cstheme="minorHAnsi"/>
          <w:bCs/>
          <w:i/>
        </w:rPr>
        <w:t>For example, patient-reported data (e.g., income, education, language), proxy variables when SDS data are not collected from each patient (e.g. census tract), or patient community characteristics (e.g. percent vacant housing, crime rate).</w:t>
      </w:r>
      <w:proofErr w:type="gramEnd"/>
      <w:r>
        <w:rPr>
          <w:rFonts w:cstheme="minorHAnsi"/>
          <w:bCs/>
        </w:rPr>
        <w:t xml:space="preserve"> </w:t>
      </w:r>
    </w:p>
    <w:p w14:paraId="7EC014A9" w14:textId="77777777" w:rsidR="009E6CAC" w:rsidRDefault="009E6CAC" w:rsidP="009E6CAC">
      <w:pPr>
        <w:autoSpaceDE w:val="0"/>
        <w:autoSpaceDN w:val="0"/>
        <w:adjustRightInd w:val="0"/>
        <w:spacing w:after="0" w:line="240" w:lineRule="auto"/>
        <w:rPr>
          <w:rFonts w:cstheme="minorHAnsi"/>
          <w:bCs/>
        </w:rPr>
      </w:pPr>
      <w:r>
        <w:rPr>
          <w:rFonts w:cstheme="minorHAnsi"/>
          <w:bCs/>
        </w:rPr>
        <w:t xml:space="preserve">We assessed patient-level SDS factors as part of the regression model reported in Section </w:t>
      </w:r>
      <w:r w:rsidRPr="00051702">
        <w:rPr>
          <w:rFonts w:cstheme="minorHAnsi"/>
          <w:b/>
          <w:bCs/>
        </w:rPr>
        <w:t>1b.4</w:t>
      </w:r>
      <w:r>
        <w:rPr>
          <w:rFonts w:cstheme="minorHAnsi"/>
          <w:bCs/>
        </w:rPr>
        <w:t xml:space="preserve">, which provides an overview of disparities in care for patient sub-populations. CORE and Lewin based this analysis on SDS variables included in the CMS Patient Eligibility file: </w:t>
      </w:r>
    </w:p>
    <w:p w14:paraId="29E589E3" w14:textId="77777777" w:rsidR="009E6CAC" w:rsidRDefault="009E6CAC" w:rsidP="009E6CAC">
      <w:pPr>
        <w:pStyle w:val="ListParagraph"/>
        <w:numPr>
          <w:ilvl w:val="0"/>
          <w:numId w:val="33"/>
        </w:numPr>
        <w:autoSpaceDE w:val="0"/>
        <w:autoSpaceDN w:val="0"/>
        <w:adjustRightInd w:val="0"/>
        <w:spacing w:after="0" w:line="240" w:lineRule="auto"/>
        <w:rPr>
          <w:rFonts w:cstheme="minorHAnsi"/>
          <w:bCs/>
        </w:rPr>
      </w:pPr>
      <w:r>
        <w:rPr>
          <w:rFonts w:cstheme="minorHAnsi"/>
          <w:bCs/>
        </w:rPr>
        <w:t>Age group</w:t>
      </w:r>
    </w:p>
    <w:p w14:paraId="65E791EB" w14:textId="77777777" w:rsidR="009E6CAC" w:rsidRDefault="009E6CAC" w:rsidP="009E6CAC">
      <w:pPr>
        <w:pStyle w:val="ListParagraph"/>
        <w:numPr>
          <w:ilvl w:val="0"/>
          <w:numId w:val="33"/>
        </w:numPr>
        <w:autoSpaceDE w:val="0"/>
        <w:autoSpaceDN w:val="0"/>
        <w:adjustRightInd w:val="0"/>
        <w:spacing w:after="0" w:line="240" w:lineRule="auto"/>
        <w:rPr>
          <w:rFonts w:cstheme="minorHAnsi"/>
          <w:bCs/>
        </w:rPr>
      </w:pPr>
      <w:r>
        <w:rPr>
          <w:rFonts w:cstheme="minorHAnsi"/>
          <w:bCs/>
        </w:rPr>
        <w:t>Gender</w:t>
      </w:r>
    </w:p>
    <w:p w14:paraId="7FD5D702" w14:textId="77777777" w:rsidR="009E6CAC" w:rsidRPr="00051702" w:rsidRDefault="009E6CAC" w:rsidP="009E6CAC">
      <w:pPr>
        <w:pStyle w:val="ListParagraph"/>
        <w:numPr>
          <w:ilvl w:val="0"/>
          <w:numId w:val="33"/>
        </w:numPr>
        <w:autoSpaceDE w:val="0"/>
        <w:autoSpaceDN w:val="0"/>
        <w:adjustRightInd w:val="0"/>
        <w:spacing w:after="0" w:line="240" w:lineRule="auto"/>
        <w:rPr>
          <w:rFonts w:cstheme="minorHAnsi"/>
          <w:bCs/>
        </w:rPr>
      </w:pPr>
      <w:r>
        <w:rPr>
          <w:rFonts w:cstheme="minorHAnsi"/>
          <w:bCs/>
        </w:rPr>
        <w:t>Race</w:t>
      </w:r>
    </w:p>
    <w:p w14:paraId="49A6647B" w14:textId="6009920F" w:rsidR="009E6CAC" w:rsidRDefault="009E6CAC" w:rsidP="009E6CAC">
      <w:pPr>
        <w:autoSpaceDE w:val="0"/>
        <w:autoSpaceDN w:val="0"/>
        <w:adjustRightInd w:val="0"/>
        <w:spacing w:after="0" w:line="240" w:lineRule="auto"/>
        <w:rPr>
          <w:rFonts w:cstheme="minorHAnsi"/>
          <w:bCs/>
        </w:rPr>
      </w:pPr>
      <w:r>
        <w:rPr>
          <w:rFonts w:cstheme="minorHAnsi"/>
          <w:bCs/>
        </w:rPr>
        <w:t xml:space="preserve">While an analysis of SDS factors is important in understanding differences in care for patient sub-populations, this measure is a process measure </w:t>
      </w:r>
      <w:r w:rsidR="007715F4">
        <w:rPr>
          <w:rFonts w:cstheme="minorHAnsi"/>
          <w:bCs/>
        </w:rPr>
        <w:t xml:space="preserve">that is </w:t>
      </w:r>
      <w:r w:rsidR="00730C79">
        <w:rPr>
          <w:rFonts w:cstheme="minorHAnsi"/>
          <w:bCs/>
        </w:rPr>
        <w:t>neither risk-adjusted nor</w:t>
      </w:r>
      <w:r w:rsidR="007715F4">
        <w:rPr>
          <w:rFonts w:cstheme="minorHAnsi"/>
          <w:bCs/>
        </w:rPr>
        <w:t xml:space="preserve"> </w:t>
      </w:r>
      <w:r>
        <w:rPr>
          <w:rFonts w:cstheme="minorHAnsi"/>
          <w:bCs/>
        </w:rPr>
        <w:t>risk</w:t>
      </w:r>
      <w:r w:rsidR="005801E2">
        <w:rPr>
          <w:rFonts w:cstheme="minorHAnsi"/>
          <w:bCs/>
        </w:rPr>
        <w:t>-</w:t>
      </w:r>
      <w:r>
        <w:rPr>
          <w:rFonts w:cstheme="minorHAnsi"/>
          <w:bCs/>
        </w:rPr>
        <w:t>stratifi</w:t>
      </w:r>
      <w:r w:rsidR="007715F4">
        <w:rPr>
          <w:rFonts w:cstheme="minorHAnsi"/>
          <w:bCs/>
        </w:rPr>
        <w:t>ed</w:t>
      </w:r>
      <w:r>
        <w:rPr>
          <w:rFonts w:cstheme="minorHAnsi"/>
          <w:bCs/>
        </w:rPr>
        <w:t xml:space="preserve">. We determined </w:t>
      </w:r>
      <w:r w:rsidR="007715F4">
        <w:rPr>
          <w:rFonts w:cstheme="minorHAnsi"/>
          <w:bCs/>
        </w:rPr>
        <w:t xml:space="preserve">that </w:t>
      </w:r>
      <w:r>
        <w:rPr>
          <w:rFonts w:cstheme="minorHAnsi"/>
          <w:bCs/>
        </w:rPr>
        <w:t xml:space="preserve">risk adjustment and risk stratification were not appropriate based on the </w:t>
      </w:r>
      <w:r w:rsidR="007715F4">
        <w:rPr>
          <w:rFonts w:cstheme="minorHAnsi"/>
          <w:bCs/>
        </w:rPr>
        <w:t xml:space="preserve">current </w:t>
      </w:r>
      <w:r>
        <w:rPr>
          <w:rFonts w:cstheme="minorHAnsi"/>
          <w:bCs/>
        </w:rPr>
        <w:t xml:space="preserve">evidence base and the measure construct. Additional information on this determination is provided in Section </w:t>
      </w:r>
      <w:r w:rsidRPr="00051702">
        <w:rPr>
          <w:rFonts w:cstheme="minorHAnsi"/>
          <w:b/>
          <w:bCs/>
        </w:rPr>
        <w:t>2b4.2</w:t>
      </w:r>
      <w:r>
        <w:rPr>
          <w:rFonts w:cstheme="minorHAnsi"/>
          <w:bCs/>
        </w:rPr>
        <w:t>.</w:t>
      </w: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0120D891" w14:textId="17F06708"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E555C3">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33DB43CB" w14:textId="1EDA2AE8" w:rsidR="008B1709" w:rsidRPr="00F43DC8" w:rsidRDefault="00F31E51" w:rsidP="008B1709">
      <w:pPr>
        <w:autoSpaceDE w:val="0"/>
        <w:autoSpaceDN w:val="0"/>
        <w:adjustRightInd w:val="0"/>
        <w:spacing w:after="0" w:line="240" w:lineRule="auto"/>
        <w:rPr>
          <w:rFonts w:cstheme="minorHAnsi"/>
          <w:bCs/>
        </w:rPr>
      </w:pPr>
      <w:r>
        <w:rPr>
          <w:rFonts w:cstheme="minorHAnsi"/>
          <w:bCs/>
        </w:rPr>
        <w:t xml:space="preserve">We calculate reliability in a manner consistent with NQF guidance and </w:t>
      </w:r>
      <w:r w:rsidRPr="00F43DC8">
        <w:rPr>
          <w:rFonts w:cstheme="minorHAnsi"/>
          <w:bCs/>
        </w:rPr>
        <w:t>in accordance with</w:t>
      </w:r>
      <w:r w:rsidR="002E5ED9">
        <w:rPr>
          <w:rFonts w:cstheme="minorHAnsi"/>
          <w:bCs/>
        </w:rPr>
        <w:t xml:space="preserve"> </w:t>
      </w:r>
      <w:r w:rsidR="008B1709" w:rsidRPr="00F43DC8">
        <w:rPr>
          <w:rFonts w:cstheme="minorHAnsi"/>
          <w:bCs/>
        </w:rPr>
        <w:t xml:space="preserve">the methods discussed in </w:t>
      </w:r>
      <w:r w:rsidR="008B1709" w:rsidRPr="00F43DC8">
        <w:rPr>
          <w:rFonts w:cstheme="minorHAnsi"/>
          <w:bCs/>
          <w:i/>
        </w:rPr>
        <w:t>The Reliability of Provider Profiling: A Tutorial</w:t>
      </w:r>
      <w:r w:rsidR="008B1709" w:rsidRPr="00F43DC8">
        <w:rPr>
          <w:rFonts w:cstheme="minorHAnsi"/>
          <w:bCs/>
        </w:rPr>
        <w:t xml:space="preserve"> (2009). The reliability testing calculates the ability of the measure to distinguish between the </w:t>
      </w:r>
      <w:proofErr w:type="gramStart"/>
      <w:r w:rsidR="008B1709" w:rsidRPr="00F43DC8">
        <w:rPr>
          <w:rFonts w:cstheme="minorHAnsi"/>
          <w:bCs/>
        </w:rPr>
        <w:t>performance</w:t>
      </w:r>
      <w:proofErr w:type="gramEnd"/>
      <w:r w:rsidR="008B1709" w:rsidRPr="00F43DC8">
        <w:rPr>
          <w:rFonts w:cstheme="minorHAnsi"/>
          <w:bCs/>
        </w:rPr>
        <w:t xml:space="preserve"> of different facilities. Specifically, the testing calculated the signal-to-noise ratio for each facility</w:t>
      </w:r>
      <w:r w:rsidR="008B1709">
        <w:rPr>
          <w:rFonts w:cstheme="minorHAnsi"/>
          <w:bCs/>
        </w:rPr>
        <w:t xml:space="preserve"> </w:t>
      </w:r>
      <w:r w:rsidR="008B1709" w:rsidRPr="00F43DC8">
        <w:rPr>
          <w:rFonts w:cstheme="minorHAnsi"/>
          <w:bCs/>
        </w:rPr>
        <w:t xml:space="preserve">meeting the minimum case count </w:t>
      </w:r>
      <w:r w:rsidR="008B1709">
        <w:rPr>
          <w:rFonts w:cstheme="minorHAnsi"/>
          <w:bCs/>
        </w:rPr>
        <w:t>in 2013</w:t>
      </w:r>
      <w:r w:rsidR="008B1709" w:rsidRPr="00F43DC8">
        <w:rPr>
          <w:rFonts w:cstheme="minorHAnsi"/>
          <w:bCs/>
        </w:rPr>
        <w:t xml:space="preserve">. </w:t>
      </w:r>
      <w:r w:rsidR="008B1709">
        <w:rPr>
          <w:rFonts w:cstheme="minorHAnsi"/>
          <w:bCs/>
        </w:rPr>
        <w:t>CORE and Lewin estimate t</w:t>
      </w:r>
      <w:r w:rsidR="008B1709" w:rsidRPr="00F43DC8">
        <w:rPr>
          <w:rFonts w:cstheme="minorHAnsi"/>
          <w:bCs/>
        </w:rPr>
        <w:t>he reliability score using a beta-binomial model, which is appropriate for the reliability testing of pass/fail measures. The reliability score for each facility is a function of the facility</w:t>
      </w:r>
      <w:r w:rsidR="008B1709">
        <w:rPr>
          <w:rFonts w:cstheme="minorHAnsi"/>
          <w:bCs/>
        </w:rPr>
        <w:t xml:space="preserve">’s </w:t>
      </w:r>
      <w:r w:rsidR="008B1709" w:rsidRPr="00F43DC8">
        <w:rPr>
          <w:rFonts w:cstheme="minorHAnsi"/>
          <w:bCs/>
        </w:rPr>
        <w:t xml:space="preserve">sample size and score on the measure, and the variance across facilities. </w:t>
      </w:r>
    </w:p>
    <w:p w14:paraId="509D0BD1" w14:textId="77777777" w:rsidR="008B1709" w:rsidRPr="00A25024" w:rsidRDefault="008B1709" w:rsidP="008C54A9">
      <w:pPr>
        <w:autoSpaceDE w:val="0"/>
        <w:autoSpaceDN w:val="0"/>
        <w:adjustRightInd w:val="0"/>
        <w:spacing w:after="0" w:line="240" w:lineRule="auto"/>
        <w:rPr>
          <w:rFonts w:cstheme="minorHAnsi"/>
          <w:bCs/>
        </w:rPr>
      </w:pPr>
    </w:p>
    <w:p w14:paraId="690ED08F" w14:textId="00FC0CDD" w:rsidR="008B1709" w:rsidRDefault="00092566" w:rsidP="008B170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8B1709" w:rsidRPr="00537135">
        <w:rPr>
          <w:rFonts w:cstheme="minorHAnsi"/>
          <w:bCs/>
          <w:i/>
        </w:rPr>
        <w:t>Figure 1</w:t>
      </w:r>
      <w:r w:rsidR="008B1709">
        <w:rPr>
          <w:rFonts w:cstheme="minorHAnsi"/>
          <w:bCs/>
        </w:rPr>
        <w:t xml:space="preserve"> (below) is a histogram of the distribution of the reliability scores for the facilities meeting the minimum case count in 2013. Reliability scores ranged from 30.3% to 100.0%, with a median reliability score of 99.0%. </w:t>
      </w:r>
    </w:p>
    <w:p w14:paraId="60862298" w14:textId="77777777" w:rsidR="008B1709" w:rsidRDefault="008B1709" w:rsidP="008B1709">
      <w:pPr>
        <w:autoSpaceDE w:val="0"/>
        <w:autoSpaceDN w:val="0"/>
        <w:adjustRightInd w:val="0"/>
        <w:spacing w:after="0" w:line="240" w:lineRule="auto"/>
        <w:rPr>
          <w:rFonts w:cstheme="minorHAnsi"/>
          <w:bCs/>
        </w:rPr>
      </w:pPr>
    </w:p>
    <w:p w14:paraId="2EE07E18" w14:textId="48299756" w:rsidR="008B1709" w:rsidRPr="008B1709" w:rsidRDefault="008B1709" w:rsidP="008B1709">
      <w:pPr>
        <w:keepNext/>
        <w:autoSpaceDE w:val="0"/>
        <w:autoSpaceDN w:val="0"/>
        <w:adjustRightInd w:val="0"/>
        <w:spacing w:after="0" w:line="240" w:lineRule="auto"/>
        <w:rPr>
          <w:rFonts w:cstheme="minorHAnsi"/>
          <w:b/>
          <w:bCs/>
        </w:rPr>
      </w:pPr>
      <w:r w:rsidRPr="0099664F">
        <w:rPr>
          <w:rFonts w:cstheme="minorHAnsi"/>
          <w:b/>
          <w:bCs/>
        </w:rPr>
        <w:t>Figure</w:t>
      </w:r>
      <w:r>
        <w:rPr>
          <w:rFonts w:cstheme="minorHAnsi"/>
          <w:b/>
          <w:bCs/>
        </w:rPr>
        <w:t xml:space="preserve"> </w:t>
      </w:r>
      <w:r w:rsidRPr="0099664F">
        <w:rPr>
          <w:rFonts w:cstheme="minorHAnsi"/>
          <w:b/>
          <w:bCs/>
        </w:rPr>
        <w:t xml:space="preserve">1 </w:t>
      </w:r>
    </w:p>
    <w:p w14:paraId="14EA16C9" w14:textId="23DFED9A" w:rsidR="008B1709" w:rsidRDefault="00AC3DE3" w:rsidP="008B1709">
      <w:pPr>
        <w:autoSpaceDE w:val="0"/>
        <w:autoSpaceDN w:val="0"/>
        <w:adjustRightInd w:val="0"/>
        <w:spacing w:after="0" w:line="240" w:lineRule="auto"/>
        <w:rPr>
          <w:rFonts w:cstheme="minorHAnsi"/>
          <w:bCs/>
        </w:rPr>
      </w:pPr>
      <w:r w:rsidRPr="00AC3DE3">
        <w:rPr>
          <w:rFonts w:cstheme="minorHAnsi"/>
          <w:bCs/>
          <w:noProof/>
        </w:rPr>
        <w:t xml:space="preserve"> </w:t>
      </w:r>
      <w:r>
        <w:rPr>
          <w:rFonts w:cstheme="minorHAnsi"/>
          <w:bCs/>
          <w:noProof/>
        </w:rPr>
        <w:drawing>
          <wp:inline distT="0" distB="0" distL="0" distR="0" wp14:anchorId="4BFD529A" wp14:editId="7585AA37">
            <wp:extent cx="5848350" cy="4391025"/>
            <wp:effectExtent l="0" t="0" r="0" b="9525"/>
            <wp:docPr id="4" name="Picture 4" descr="S:\Project\MIDS\5368.02.01\OP-8 Comprehensive Reeval\Working Files\SGPl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roject\MIDS\5368.02.01\OP-8 Comprehensive Reeval\Working Files\SGPlo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8350" cy="4391025"/>
                    </a:xfrm>
                    <a:prstGeom prst="rect">
                      <a:avLst/>
                    </a:prstGeom>
                    <a:noFill/>
                    <a:ln>
                      <a:noFill/>
                    </a:ln>
                  </pic:spPr>
                </pic:pic>
              </a:graphicData>
            </a:graphic>
          </wp:inline>
        </w:drawing>
      </w:r>
    </w:p>
    <w:p w14:paraId="5B2A8EDC" w14:textId="77777777" w:rsidR="007422FD" w:rsidRPr="00A25024" w:rsidRDefault="007422FD" w:rsidP="008C54A9">
      <w:pPr>
        <w:autoSpaceDE w:val="0"/>
        <w:autoSpaceDN w:val="0"/>
        <w:adjustRightInd w:val="0"/>
        <w:spacing w:after="0" w:line="240" w:lineRule="auto"/>
        <w:rPr>
          <w:rFonts w:cstheme="minorHAnsi"/>
          <w:bCs/>
        </w:rPr>
      </w:pPr>
    </w:p>
    <w:p w14:paraId="0AB7776D" w14:textId="12799988"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8B1709">
        <w:rPr>
          <w:rFonts w:cstheme="minorHAnsi"/>
          <w:bCs/>
        </w:rPr>
        <w:t>Calculated using a beta-binomial model, a median reliability score of 99.0% is indicative of strong measure reliability. The results of this test indicate that the measure is able to identify true differences in performance between individual facilities.</w:t>
      </w: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4F342247" w:rsidR="00696262" w:rsidRPr="00A25024" w:rsidRDefault="00E25381"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8B170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E60D7FB" w14:textId="7DDEEA02" w:rsidR="000574AB" w:rsidRPr="00A25024" w:rsidRDefault="00E25381"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8B170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384D0A55" w14:textId="77777777" w:rsidR="00D50704" w:rsidRPr="00A25024" w:rsidRDefault="00D50704" w:rsidP="00DB3627">
      <w:pPr>
        <w:autoSpaceDE w:val="0"/>
        <w:autoSpaceDN w:val="0"/>
        <w:adjustRightInd w:val="0"/>
        <w:spacing w:after="0" w:line="240" w:lineRule="auto"/>
        <w:rPr>
          <w:rFonts w:cstheme="minorHAnsi"/>
          <w:bCs/>
        </w:rPr>
      </w:pPr>
    </w:p>
    <w:p w14:paraId="6C2265D8" w14:textId="2B6AC87B" w:rsidR="00695014" w:rsidRDefault="00092566" w:rsidP="00695014">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proofErr w:type="gramStart"/>
      <w:r w:rsidR="00696262" w:rsidRPr="00A25024">
        <w:rPr>
          <w:rFonts w:cstheme="minorHAnsi"/>
          <w:bCs/>
          <w:i/>
        </w:rPr>
        <w:t>)</w:t>
      </w:r>
      <w:proofErr w:type="gramEnd"/>
      <w:r w:rsidR="00833325" w:rsidRPr="00A25024">
        <w:rPr>
          <w:rFonts w:cstheme="minorHAnsi"/>
          <w:bCs/>
        </w:rPr>
        <w:br/>
      </w:r>
      <w:r w:rsidR="00695014">
        <w:rPr>
          <w:rFonts w:cstheme="minorHAnsi"/>
          <w:bCs/>
        </w:rPr>
        <w:t xml:space="preserve">Face validity of the measure score was systematically assessed through survey of the Technical Expert Panel (TEP). </w:t>
      </w:r>
      <w:r w:rsidR="000C65B4">
        <w:rPr>
          <w:rFonts w:cstheme="minorHAnsi"/>
          <w:bCs/>
        </w:rPr>
        <w:t>Ten</w:t>
      </w:r>
      <w:r w:rsidR="00695014">
        <w:rPr>
          <w:rFonts w:cstheme="minorHAnsi"/>
          <w:bCs/>
        </w:rPr>
        <w:t xml:space="preserve"> TEP members </w:t>
      </w:r>
      <w:r w:rsidR="000233B9">
        <w:rPr>
          <w:rFonts w:cstheme="minorHAnsi"/>
          <w:bCs/>
        </w:rPr>
        <w:t>responded to the survey</w:t>
      </w:r>
      <w:r w:rsidR="00695014">
        <w:rPr>
          <w:rFonts w:cstheme="minorHAnsi"/>
          <w:bCs/>
        </w:rPr>
        <w:t>. Respondent</w:t>
      </w:r>
      <w:r w:rsidR="000C65B4">
        <w:rPr>
          <w:rFonts w:cstheme="minorHAnsi"/>
          <w:bCs/>
        </w:rPr>
        <w:t xml:space="preserve"> </w:t>
      </w:r>
      <w:r w:rsidR="00695014">
        <w:rPr>
          <w:rFonts w:cstheme="minorHAnsi"/>
          <w:bCs/>
        </w:rPr>
        <w:t xml:space="preserve">perspectives include insurers/purchasers, </w:t>
      </w:r>
      <w:r w:rsidR="00695014" w:rsidRPr="005C6C5A">
        <w:rPr>
          <w:rFonts w:cstheme="minorHAnsi"/>
          <w:bCs/>
        </w:rPr>
        <w:t>clinician</w:t>
      </w:r>
      <w:r w:rsidR="00695014">
        <w:rPr>
          <w:rFonts w:cstheme="minorHAnsi"/>
          <w:bCs/>
        </w:rPr>
        <w:t>s,</w:t>
      </w:r>
      <w:r w:rsidR="00695014" w:rsidRPr="005C6C5A">
        <w:rPr>
          <w:rFonts w:cstheme="minorHAnsi"/>
          <w:bCs/>
        </w:rPr>
        <w:t xml:space="preserve"> management</w:t>
      </w:r>
      <w:r w:rsidR="00695014">
        <w:rPr>
          <w:rFonts w:cstheme="minorHAnsi"/>
          <w:bCs/>
        </w:rPr>
        <w:t xml:space="preserve"> or administration, patients/patient advocates, and caregivers. Prior to responding to questions related to measure-score and data-element face validity, </w:t>
      </w:r>
      <w:r w:rsidR="000C65B4">
        <w:rPr>
          <w:rFonts w:cstheme="minorHAnsi"/>
          <w:bCs/>
        </w:rPr>
        <w:t xml:space="preserve">we provided </w:t>
      </w:r>
      <w:r w:rsidR="00695014">
        <w:rPr>
          <w:rFonts w:cstheme="minorHAnsi"/>
          <w:bCs/>
        </w:rPr>
        <w:t xml:space="preserve">TEP members </w:t>
      </w:r>
      <w:r w:rsidR="00744DB1">
        <w:rPr>
          <w:rFonts w:cstheme="minorHAnsi"/>
          <w:bCs/>
        </w:rPr>
        <w:t xml:space="preserve">with </w:t>
      </w:r>
      <w:r w:rsidR="00695014">
        <w:rPr>
          <w:rFonts w:cstheme="minorHAnsi"/>
          <w:bCs/>
        </w:rPr>
        <w:t>detailed measure specifications.</w:t>
      </w:r>
    </w:p>
    <w:p w14:paraId="7EAA0ED8" w14:textId="77777777" w:rsidR="00695014" w:rsidRDefault="00695014" w:rsidP="00695014">
      <w:pPr>
        <w:autoSpaceDE w:val="0"/>
        <w:autoSpaceDN w:val="0"/>
        <w:adjustRightInd w:val="0"/>
        <w:spacing w:after="0" w:line="240" w:lineRule="auto"/>
        <w:rPr>
          <w:rFonts w:cstheme="minorHAnsi"/>
          <w:bCs/>
        </w:rPr>
      </w:pPr>
    </w:p>
    <w:p w14:paraId="5D086C94" w14:textId="08CBF2C6" w:rsidR="00695014" w:rsidRPr="00353F62" w:rsidRDefault="00695014" w:rsidP="00695014">
      <w:pPr>
        <w:autoSpaceDE w:val="0"/>
        <w:autoSpaceDN w:val="0"/>
        <w:adjustRightInd w:val="0"/>
        <w:spacing w:after="0" w:line="240" w:lineRule="auto"/>
        <w:rPr>
          <w:rFonts w:cstheme="minorHAnsi"/>
          <w:bCs/>
        </w:rPr>
      </w:pPr>
      <w:r w:rsidRPr="00353F62">
        <w:rPr>
          <w:rFonts w:cstheme="minorHAnsi"/>
          <w:bCs/>
        </w:rPr>
        <w:t xml:space="preserve">The following </w:t>
      </w:r>
      <w:r w:rsidR="00353F62">
        <w:rPr>
          <w:rFonts w:cstheme="minorHAnsi"/>
          <w:bCs/>
        </w:rPr>
        <w:t>statement</w:t>
      </w:r>
      <w:r w:rsidRPr="00353F62">
        <w:rPr>
          <w:rFonts w:cstheme="minorHAnsi"/>
          <w:bCs/>
        </w:rPr>
        <w:t xml:space="preserve"> related to measure-score face validity </w:t>
      </w:r>
      <w:r w:rsidR="00353F62">
        <w:rPr>
          <w:rFonts w:cstheme="minorHAnsi"/>
          <w:bCs/>
        </w:rPr>
        <w:t>was</w:t>
      </w:r>
      <w:r w:rsidRPr="00353F62">
        <w:rPr>
          <w:rFonts w:cstheme="minorHAnsi"/>
          <w:bCs/>
        </w:rPr>
        <w:t xml:space="preserve"> posed to the TEP:</w:t>
      </w:r>
    </w:p>
    <w:p w14:paraId="273A4A33" w14:textId="04647579" w:rsidR="00695014" w:rsidRPr="00353F62" w:rsidRDefault="00353F62" w:rsidP="000233B9">
      <w:pPr>
        <w:pStyle w:val="ListParagraph"/>
        <w:numPr>
          <w:ilvl w:val="0"/>
          <w:numId w:val="34"/>
        </w:numPr>
        <w:autoSpaceDE w:val="0"/>
        <w:autoSpaceDN w:val="0"/>
        <w:adjustRightInd w:val="0"/>
        <w:spacing w:after="0" w:line="240" w:lineRule="auto"/>
        <w:ind w:left="720"/>
        <w:rPr>
          <w:rFonts w:cstheme="minorHAnsi"/>
          <w:bCs/>
        </w:rPr>
      </w:pPr>
      <w:r w:rsidRPr="00353F62">
        <w:rPr>
          <w:rFonts w:cstheme="minorHAnsi"/>
          <w:bCs/>
        </w:rPr>
        <w:t>The measure helps assess the inappropriate use of thorax CT studies with and without contrast (combined scan).</w:t>
      </w:r>
    </w:p>
    <w:p w14:paraId="065676F5" w14:textId="77777777" w:rsidR="00695014" w:rsidRDefault="00695014" w:rsidP="00695014">
      <w:pPr>
        <w:autoSpaceDE w:val="0"/>
        <w:autoSpaceDN w:val="0"/>
        <w:adjustRightInd w:val="0"/>
        <w:spacing w:after="0" w:line="240" w:lineRule="auto"/>
        <w:rPr>
          <w:rFonts w:cstheme="minorHAnsi"/>
          <w:bCs/>
        </w:rPr>
      </w:pPr>
    </w:p>
    <w:p w14:paraId="3E1E3779" w14:textId="77777777" w:rsidR="00695014" w:rsidRPr="008008D4" w:rsidRDefault="00695014" w:rsidP="00695014">
      <w:pPr>
        <w:autoSpaceDE w:val="0"/>
        <w:autoSpaceDN w:val="0"/>
        <w:adjustRightInd w:val="0"/>
        <w:spacing w:after="0" w:line="240" w:lineRule="auto"/>
        <w:rPr>
          <w:rFonts w:cstheme="minorHAnsi"/>
          <w:bCs/>
        </w:rPr>
      </w:pPr>
      <w:r>
        <w:rPr>
          <w:rFonts w:cstheme="minorHAnsi"/>
          <w:bCs/>
        </w:rPr>
        <w:t>Data-element face validity was also assessed, using the following questions and statements:</w:t>
      </w:r>
    </w:p>
    <w:p w14:paraId="54ED5D59" w14:textId="3DCA2C24" w:rsidR="00353F62" w:rsidRDefault="00353F62" w:rsidP="00353F62">
      <w:pPr>
        <w:pStyle w:val="ListParagraph"/>
        <w:numPr>
          <w:ilvl w:val="0"/>
          <w:numId w:val="35"/>
        </w:numPr>
        <w:autoSpaceDE w:val="0"/>
        <w:autoSpaceDN w:val="0"/>
        <w:adjustRightInd w:val="0"/>
        <w:spacing w:after="0" w:line="240" w:lineRule="auto"/>
        <w:rPr>
          <w:rFonts w:cstheme="minorHAnsi"/>
          <w:bCs/>
        </w:rPr>
      </w:pPr>
      <w:r w:rsidRPr="00353F62">
        <w:rPr>
          <w:rFonts w:cstheme="minorHAnsi"/>
          <w:bCs/>
        </w:rPr>
        <w:t>Thorax CT tests performed (those with contrast, those without contrast, and those with/ without contrast (combined scan</w:t>
      </w:r>
      <w:r w:rsidR="0094766B">
        <w:rPr>
          <w:rFonts w:cstheme="minorHAnsi"/>
          <w:bCs/>
        </w:rPr>
        <w:t>)</w:t>
      </w:r>
      <w:r w:rsidRPr="00353F62">
        <w:rPr>
          <w:rFonts w:cstheme="minorHAnsi"/>
          <w:bCs/>
        </w:rPr>
        <w:t>) can be accurately captured using claims data.</w:t>
      </w:r>
    </w:p>
    <w:p w14:paraId="3B9200F3" w14:textId="5536F275" w:rsidR="00B81054" w:rsidRDefault="00B81054" w:rsidP="00353F62">
      <w:pPr>
        <w:pStyle w:val="ListParagraph"/>
        <w:numPr>
          <w:ilvl w:val="0"/>
          <w:numId w:val="35"/>
        </w:numPr>
        <w:autoSpaceDE w:val="0"/>
        <w:autoSpaceDN w:val="0"/>
        <w:adjustRightInd w:val="0"/>
        <w:spacing w:after="0" w:line="240" w:lineRule="auto"/>
        <w:rPr>
          <w:rFonts w:cstheme="minorHAnsi"/>
          <w:bCs/>
        </w:rPr>
      </w:pPr>
      <w:r w:rsidRPr="00B81054">
        <w:rPr>
          <w:rFonts w:cstheme="minorHAnsi"/>
          <w:bCs/>
        </w:rPr>
        <w:t xml:space="preserve">For </w:t>
      </w:r>
      <w:r w:rsidR="007E525F">
        <w:rPr>
          <w:rFonts w:cstheme="minorHAnsi"/>
          <w:bCs/>
        </w:rPr>
        <w:t>NQF #0513</w:t>
      </w:r>
      <w:r w:rsidRPr="00B81054">
        <w:rPr>
          <w:rFonts w:cstheme="minorHAnsi"/>
          <w:bCs/>
        </w:rPr>
        <w:t>, do you foresee any challenges in capturing any of these exclusions in claims data?</w:t>
      </w:r>
    </w:p>
    <w:p w14:paraId="01A6ABD1" w14:textId="76543A87" w:rsidR="00695014" w:rsidRPr="00695014" w:rsidRDefault="00695014" w:rsidP="00B81054">
      <w:pPr>
        <w:pStyle w:val="ListParagraph"/>
        <w:numPr>
          <w:ilvl w:val="0"/>
          <w:numId w:val="35"/>
        </w:numPr>
        <w:autoSpaceDE w:val="0"/>
        <w:autoSpaceDN w:val="0"/>
        <w:adjustRightInd w:val="0"/>
        <w:spacing w:after="0" w:line="240" w:lineRule="auto"/>
        <w:rPr>
          <w:rFonts w:cstheme="minorHAnsi"/>
          <w:bCs/>
        </w:rPr>
      </w:pPr>
      <w:r w:rsidRPr="00695014">
        <w:rPr>
          <w:rFonts w:cstheme="minorHAnsi"/>
          <w:bCs/>
        </w:rPr>
        <w:t xml:space="preserve">Certain conditions exclude patients from </w:t>
      </w:r>
      <w:r w:rsidR="007E525F">
        <w:rPr>
          <w:rFonts w:cstheme="minorHAnsi"/>
          <w:bCs/>
        </w:rPr>
        <w:t>NQF #0513</w:t>
      </w:r>
      <w:r w:rsidRPr="00695014">
        <w:rPr>
          <w:rFonts w:cstheme="minorHAnsi"/>
          <w:bCs/>
        </w:rPr>
        <w:t xml:space="preserve"> as thorax CT studies with and without contrast may be appropriate for these patients. For this measure, indications for measure exclusion include any patients with diagnosis codes from the following categories.</w:t>
      </w:r>
    </w:p>
    <w:p w14:paraId="721A34BC" w14:textId="77777777" w:rsidR="00695014" w:rsidRDefault="00695014" w:rsidP="00695014">
      <w:pPr>
        <w:autoSpaceDE w:val="0"/>
        <w:autoSpaceDN w:val="0"/>
        <w:adjustRightInd w:val="0"/>
        <w:spacing w:after="0" w:line="240" w:lineRule="auto"/>
        <w:rPr>
          <w:rFonts w:cstheme="minorHAnsi"/>
          <w:bCs/>
        </w:rPr>
      </w:pPr>
    </w:p>
    <w:p w14:paraId="7265F8E5" w14:textId="159F0A86" w:rsidR="00695014" w:rsidRPr="006B150E" w:rsidRDefault="00695014" w:rsidP="00695014">
      <w:pPr>
        <w:autoSpaceDE w:val="0"/>
        <w:autoSpaceDN w:val="0"/>
        <w:adjustRightInd w:val="0"/>
        <w:spacing w:after="0" w:line="240" w:lineRule="auto"/>
        <w:rPr>
          <w:rFonts w:cstheme="minorHAnsi"/>
          <w:bCs/>
        </w:rPr>
      </w:pPr>
      <w:r>
        <w:rPr>
          <w:rFonts w:cstheme="minorHAnsi"/>
          <w:bCs/>
        </w:rPr>
        <w:t xml:space="preserve">Responses to </w:t>
      </w:r>
      <w:r w:rsidR="007E525F">
        <w:rPr>
          <w:rFonts w:cstheme="minorHAnsi"/>
          <w:bCs/>
        </w:rPr>
        <w:t xml:space="preserve">Question </w:t>
      </w:r>
      <w:r w:rsidR="00353F62">
        <w:rPr>
          <w:rFonts w:cstheme="minorHAnsi"/>
          <w:bCs/>
        </w:rPr>
        <w:t>#</w:t>
      </w:r>
      <w:r w:rsidRPr="00353F62">
        <w:rPr>
          <w:rFonts w:cstheme="minorHAnsi"/>
          <w:bCs/>
        </w:rPr>
        <w:t>1</w:t>
      </w:r>
      <w:r>
        <w:rPr>
          <w:rFonts w:cstheme="minorHAnsi"/>
          <w:bCs/>
        </w:rPr>
        <w:t xml:space="preserve"> in the measure-score face-validity section </w:t>
      </w:r>
      <w:r w:rsidRPr="00353F62">
        <w:rPr>
          <w:rFonts w:cstheme="minorHAnsi"/>
          <w:bCs/>
        </w:rPr>
        <w:t xml:space="preserve">and </w:t>
      </w:r>
      <w:r w:rsidR="007E525F">
        <w:rPr>
          <w:rFonts w:cstheme="minorHAnsi"/>
          <w:bCs/>
        </w:rPr>
        <w:t>Q</w:t>
      </w:r>
      <w:r w:rsidRPr="00353F62">
        <w:rPr>
          <w:rFonts w:cstheme="minorHAnsi"/>
          <w:bCs/>
        </w:rPr>
        <w:t xml:space="preserve">uestion </w:t>
      </w:r>
      <w:r w:rsidR="00353F62" w:rsidRPr="00353F62">
        <w:rPr>
          <w:rFonts w:cstheme="minorHAnsi"/>
          <w:bCs/>
        </w:rPr>
        <w:t>#</w:t>
      </w:r>
      <w:r w:rsidRPr="00353F62">
        <w:rPr>
          <w:rFonts w:cstheme="minorHAnsi"/>
          <w:bCs/>
        </w:rPr>
        <w:t>1 in</w:t>
      </w:r>
      <w:r>
        <w:rPr>
          <w:rFonts w:cstheme="minorHAnsi"/>
          <w:bCs/>
        </w:rPr>
        <w:t xml:space="preserve"> the data-element face-validity section were collected using a five-point scale: </w:t>
      </w:r>
      <w:r w:rsidRPr="007E525F">
        <w:rPr>
          <w:rFonts w:cstheme="minorHAnsi"/>
          <w:bCs/>
          <w:i/>
        </w:rPr>
        <w:t>strongly agree</w:t>
      </w:r>
      <w:r>
        <w:rPr>
          <w:rFonts w:cstheme="minorHAnsi"/>
          <w:bCs/>
        </w:rPr>
        <w:t xml:space="preserve">, </w:t>
      </w:r>
      <w:proofErr w:type="gramStart"/>
      <w:r w:rsidRPr="007E525F">
        <w:rPr>
          <w:rFonts w:cstheme="minorHAnsi"/>
          <w:bCs/>
          <w:i/>
        </w:rPr>
        <w:t>agree</w:t>
      </w:r>
      <w:r>
        <w:rPr>
          <w:rFonts w:cstheme="minorHAnsi"/>
          <w:bCs/>
        </w:rPr>
        <w:t>,</w:t>
      </w:r>
      <w:proofErr w:type="gramEnd"/>
      <w:r>
        <w:rPr>
          <w:rFonts w:cstheme="minorHAnsi"/>
          <w:bCs/>
        </w:rPr>
        <w:t xml:space="preserve"> </w:t>
      </w:r>
      <w:r w:rsidRPr="007E525F">
        <w:rPr>
          <w:rFonts w:cstheme="minorHAnsi"/>
          <w:bCs/>
          <w:i/>
        </w:rPr>
        <w:t>undecided</w:t>
      </w:r>
      <w:r>
        <w:rPr>
          <w:rFonts w:cstheme="minorHAnsi"/>
          <w:bCs/>
        </w:rPr>
        <w:t xml:space="preserve">, </w:t>
      </w:r>
      <w:r w:rsidRPr="007E525F">
        <w:rPr>
          <w:rFonts w:cstheme="minorHAnsi"/>
          <w:bCs/>
          <w:i/>
        </w:rPr>
        <w:t>disagree</w:t>
      </w:r>
      <w:r>
        <w:rPr>
          <w:rFonts w:cstheme="minorHAnsi"/>
          <w:bCs/>
        </w:rPr>
        <w:t xml:space="preserve">, </w:t>
      </w:r>
      <w:r w:rsidRPr="007E525F">
        <w:rPr>
          <w:rFonts w:cstheme="minorHAnsi"/>
          <w:bCs/>
          <w:i/>
        </w:rPr>
        <w:t>strongly disagree</w:t>
      </w:r>
      <w:r>
        <w:rPr>
          <w:rFonts w:cstheme="minorHAnsi"/>
          <w:bCs/>
        </w:rPr>
        <w:t xml:space="preserve">, and </w:t>
      </w:r>
      <w:r w:rsidRPr="007E525F">
        <w:rPr>
          <w:rFonts w:cstheme="minorHAnsi"/>
          <w:bCs/>
          <w:i/>
        </w:rPr>
        <w:t>do not know</w:t>
      </w:r>
      <w:r>
        <w:rPr>
          <w:rFonts w:cstheme="minorHAnsi"/>
          <w:bCs/>
        </w:rPr>
        <w:t>. For data</w:t>
      </w:r>
      <w:r w:rsidRPr="00353F62">
        <w:rPr>
          <w:rFonts w:cstheme="minorHAnsi"/>
          <w:bCs/>
        </w:rPr>
        <w:t xml:space="preserve">-element face validity, responses to </w:t>
      </w:r>
      <w:r w:rsidR="007E525F">
        <w:rPr>
          <w:rFonts w:cstheme="minorHAnsi"/>
          <w:bCs/>
        </w:rPr>
        <w:t>Q</w:t>
      </w:r>
      <w:r w:rsidRPr="00353F62">
        <w:rPr>
          <w:rFonts w:cstheme="minorHAnsi"/>
          <w:bCs/>
        </w:rPr>
        <w:t xml:space="preserve">uestion </w:t>
      </w:r>
      <w:r w:rsidR="00353F62" w:rsidRPr="00353F62">
        <w:rPr>
          <w:rFonts w:cstheme="minorHAnsi"/>
          <w:bCs/>
        </w:rPr>
        <w:t>#</w:t>
      </w:r>
      <w:r w:rsidRPr="00353F62">
        <w:rPr>
          <w:rFonts w:cstheme="minorHAnsi"/>
          <w:bCs/>
        </w:rPr>
        <w:t xml:space="preserve">2 were collected using </w:t>
      </w:r>
      <w:r w:rsidRPr="007E525F">
        <w:rPr>
          <w:rFonts w:cstheme="minorHAnsi"/>
          <w:bCs/>
          <w:i/>
        </w:rPr>
        <w:t>yes/no</w:t>
      </w:r>
      <w:r w:rsidRPr="00353F62">
        <w:rPr>
          <w:rFonts w:cstheme="minorHAnsi"/>
          <w:bCs/>
        </w:rPr>
        <w:t xml:space="preserve"> response options; responses to </w:t>
      </w:r>
      <w:r w:rsidR="007E525F">
        <w:rPr>
          <w:rFonts w:cstheme="minorHAnsi"/>
          <w:bCs/>
        </w:rPr>
        <w:t>Q</w:t>
      </w:r>
      <w:r w:rsidRPr="00353F62">
        <w:rPr>
          <w:rFonts w:cstheme="minorHAnsi"/>
          <w:bCs/>
        </w:rPr>
        <w:t xml:space="preserve">uestion </w:t>
      </w:r>
      <w:r w:rsidR="00353F62" w:rsidRPr="00353F62">
        <w:rPr>
          <w:rFonts w:cstheme="minorHAnsi"/>
          <w:bCs/>
        </w:rPr>
        <w:t>#</w:t>
      </w:r>
      <w:r w:rsidRPr="00353F62">
        <w:rPr>
          <w:rFonts w:cstheme="minorHAnsi"/>
          <w:bCs/>
        </w:rPr>
        <w:t>3</w:t>
      </w:r>
      <w:r>
        <w:rPr>
          <w:rFonts w:cstheme="minorHAnsi"/>
          <w:bCs/>
        </w:rPr>
        <w:t xml:space="preserve"> were collected using </w:t>
      </w:r>
      <w:r w:rsidRPr="007E525F">
        <w:rPr>
          <w:rFonts w:cstheme="minorHAnsi"/>
          <w:bCs/>
          <w:i/>
        </w:rPr>
        <w:t>keep/remove</w:t>
      </w:r>
      <w:r>
        <w:rPr>
          <w:rFonts w:cstheme="minorHAnsi"/>
          <w:bCs/>
        </w:rPr>
        <w:t xml:space="preserve"> response options.</w:t>
      </w:r>
    </w:p>
    <w:p w14:paraId="485AB640" w14:textId="77777777" w:rsidR="00833325" w:rsidRPr="00A25024" w:rsidRDefault="00833325" w:rsidP="00DB3627">
      <w:pPr>
        <w:autoSpaceDE w:val="0"/>
        <w:autoSpaceDN w:val="0"/>
        <w:adjustRightInd w:val="0"/>
        <w:spacing w:after="0" w:line="240" w:lineRule="auto"/>
        <w:rPr>
          <w:rFonts w:cstheme="minorHAnsi"/>
          <w:bCs/>
        </w:rPr>
      </w:pPr>
    </w:p>
    <w:p w14:paraId="4B66C79B" w14:textId="77777777" w:rsidR="006B560F"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54C2E2D8" w14:textId="77777777" w:rsidR="007E525F" w:rsidRDefault="00695014" w:rsidP="007E525F">
      <w:pPr>
        <w:autoSpaceDE w:val="0"/>
        <w:autoSpaceDN w:val="0"/>
        <w:adjustRightInd w:val="0"/>
        <w:spacing w:after="0" w:line="240" w:lineRule="auto"/>
        <w:rPr>
          <w:rFonts w:cstheme="minorHAnsi"/>
          <w:bCs/>
        </w:rPr>
      </w:pPr>
      <w:r w:rsidRPr="007E525F">
        <w:rPr>
          <w:rFonts w:cstheme="minorHAnsi"/>
          <w:bCs/>
        </w:rPr>
        <w:t>Results of the face-validity assessment indicate that a diverse group of stakeholders, a majority of whom were not involved in the measure’s development, support the validity of the measure. Results for each of the questions provided above follow.</w:t>
      </w:r>
    </w:p>
    <w:p w14:paraId="44CDE130" w14:textId="538569D6" w:rsidR="00353F62" w:rsidRPr="007E525F" w:rsidRDefault="00833325" w:rsidP="007E525F">
      <w:pPr>
        <w:autoSpaceDE w:val="0"/>
        <w:autoSpaceDN w:val="0"/>
        <w:adjustRightInd w:val="0"/>
        <w:spacing w:after="0" w:line="240" w:lineRule="auto"/>
        <w:rPr>
          <w:rFonts w:cstheme="minorHAnsi"/>
          <w:bCs/>
        </w:rPr>
      </w:pPr>
      <w:r w:rsidRPr="007E525F">
        <w:rPr>
          <w:rFonts w:cstheme="minorHAnsi"/>
          <w:bCs/>
        </w:rPr>
        <w:br/>
      </w:r>
      <w:r w:rsidR="000A6F67" w:rsidRPr="007E525F">
        <w:rPr>
          <w:rFonts w:cstheme="minorHAnsi"/>
          <w:b/>
          <w:bCs/>
        </w:rPr>
        <w:t>Measure-Score Face Validity</w:t>
      </w:r>
    </w:p>
    <w:p w14:paraId="5AA2BA7F" w14:textId="4EC17DA1" w:rsidR="00B81054" w:rsidRDefault="00353F62" w:rsidP="00092566">
      <w:pPr>
        <w:pStyle w:val="ListParagraph"/>
        <w:numPr>
          <w:ilvl w:val="0"/>
          <w:numId w:val="36"/>
        </w:numPr>
        <w:autoSpaceDE w:val="0"/>
        <w:autoSpaceDN w:val="0"/>
        <w:adjustRightInd w:val="0"/>
        <w:spacing w:after="0" w:line="240" w:lineRule="auto"/>
        <w:rPr>
          <w:rFonts w:cstheme="minorHAnsi"/>
          <w:bCs/>
          <w:i/>
        </w:rPr>
      </w:pPr>
      <w:r w:rsidRPr="00353F62">
        <w:rPr>
          <w:rFonts w:cstheme="minorHAnsi"/>
          <w:bCs/>
          <w:i/>
        </w:rPr>
        <w:t>The measure helps assess the inappropriate use of thorax CT studies with and without contrast (combined scan).</w:t>
      </w:r>
    </w:p>
    <w:tbl>
      <w:tblPr>
        <w:tblStyle w:val="TableGrid"/>
        <w:tblW w:w="9360" w:type="dxa"/>
        <w:tblBorders>
          <w:top w:val="single" w:sz="12" w:space="0" w:color="auto"/>
          <w:left w:val="single" w:sz="12" w:space="0" w:color="auto"/>
          <w:bottom w:val="single" w:sz="12" w:space="0" w:color="auto"/>
          <w:right w:val="single" w:sz="12" w:space="0" w:color="auto"/>
          <w:insideH w:val="single" w:sz="8" w:space="0" w:color="auto"/>
          <w:insideV w:val="dashed" w:sz="4" w:space="0" w:color="auto"/>
        </w:tblBorders>
        <w:tblLayout w:type="fixed"/>
        <w:tblLook w:val="04A0" w:firstRow="1" w:lastRow="0" w:firstColumn="1" w:lastColumn="0" w:noHBand="0" w:noVBand="1"/>
      </w:tblPr>
      <w:tblGrid>
        <w:gridCol w:w="5418"/>
        <w:gridCol w:w="1971"/>
        <w:gridCol w:w="1971"/>
      </w:tblGrid>
      <w:tr w:rsidR="007E525F" w:rsidRPr="006E3C40" w14:paraId="699903FF" w14:textId="77777777" w:rsidTr="00DD68B5">
        <w:trPr>
          <w:trHeight w:val="255"/>
        </w:trPr>
        <w:tc>
          <w:tcPr>
            <w:tcW w:w="5418" w:type="dxa"/>
            <w:tcBorders>
              <w:top w:val="single" w:sz="12" w:space="0" w:color="auto"/>
              <w:bottom w:val="single" w:sz="12" w:space="0" w:color="auto"/>
              <w:right w:val="nil"/>
            </w:tcBorders>
            <w:shd w:val="clear" w:color="auto" w:fill="808080" w:themeFill="background1" w:themeFillShade="80"/>
          </w:tcPr>
          <w:p w14:paraId="770DD86D" w14:textId="77777777" w:rsidR="007E525F" w:rsidRPr="00185E7E" w:rsidRDefault="007E525F" w:rsidP="00DD68B5">
            <w:pPr>
              <w:jc w:val="center"/>
              <w:rPr>
                <w:rFonts w:ascii="Calibri" w:eastAsia="Times New Roman" w:hAnsi="Calibri" w:cs="Microsoft Sans Serif"/>
                <w:b/>
                <w:color w:val="FFFFFF" w:themeColor="background1"/>
                <w:sz w:val="20"/>
                <w:szCs w:val="20"/>
              </w:rPr>
            </w:pPr>
            <w:r w:rsidRPr="00185E7E">
              <w:rPr>
                <w:rFonts w:ascii="Calibri" w:eastAsia="Times New Roman" w:hAnsi="Calibri" w:cs="Microsoft Sans Serif"/>
                <w:b/>
                <w:color w:val="FFFFFF" w:themeColor="background1"/>
                <w:sz w:val="20"/>
                <w:szCs w:val="20"/>
              </w:rPr>
              <w:t>Response Option</w:t>
            </w:r>
          </w:p>
        </w:tc>
        <w:tc>
          <w:tcPr>
            <w:tcW w:w="1971" w:type="dxa"/>
            <w:tcBorders>
              <w:top w:val="single" w:sz="12" w:space="0" w:color="auto"/>
              <w:left w:val="nil"/>
              <w:bottom w:val="single" w:sz="12" w:space="0" w:color="auto"/>
              <w:right w:val="nil"/>
            </w:tcBorders>
            <w:shd w:val="clear" w:color="auto" w:fill="808080" w:themeFill="background1" w:themeFillShade="80"/>
            <w:noWrap/>
          </w:tcPr>
          <w:p w14:paraId="6934C6D4" w14:textId="77777777" w:rsidR="007E525F" w:rsidRPr="00185E7E" w:rsidRDefault="007E525F" w:rsidP="00DD68B5">
            <w:pPr>
              <w:jc w:val="center"/>
              <w:rPr>
                <w:rFonts w:ascii="Calibri" w:eastAsia="Times New Roman" w:hAnsi="Calibri" w:cs="Microsoft Sans Serif"/>
                <w:b/>
                <w:color w:val="FFFFFF" w:themeColor="background1"/>
                <w:sz w:val="20"/>
                <w:szCs w:val="20"/>
              </w:rPr>
            </w:pPr>
            <w:r w:rsidRPr="00185E7E">
              <w:rPr>
                <w:rFonts w:ascii="Calibri" w:eastAsia="Times New Roman" w:hAnsi="Calibri" w:cs="Microsoft Sans Serif"/>
                <w:b/>
                <w:color w:val="FFFFFF" w:themeColor="background1"/>
                <w:sz w:val="20"/>
                <w:szCs w:val="20"/>
              </w:rPr>
              <w:t xml:space="preserve">Response </w:t>
            </w:r>
            <w:r>
              <w:rPr>
                <w:rFonts w:ascii="Calibri" w:eastAsia="Times New Roman" w:hAnsi="Calibri" w:cs="Microsoft Sans Serif"/>
                <w:b/>
                <w:color w:val="FFFFFF" w:themeColor="background1"/>
                <w:sz w:val="20"/>
                <w:szCs w:val="20"/>
              </w:rPr>
              <w:t>(%)</w:t>
            </w:r>
          </w:p>
        </w:tc>
        <w:tc>
          <w:tcPr>
            <w:tcW w:w="1971" w:type="dxa"/>
            <w:tcBorders>
              <w:top w:val="single" w:sz="12" w:space="0" w:color="auto"/>
              <w:left w:val="nil"/>
              <w:bottom w:val="single" w:sz="12" w:space="0" w:color="auto"/>
            </w:tcBorders>
            <w:shd w:val="clear" w:color="auto" w:fill="808080" w:themeFill="background1" w:themeFillShade="80"/>
            <w:noWrap/>
          </w:tcPr>
          <w:p w14:paraId="28BCAF2C" w14:textId="77777777" w:rsidR="007E525F" w:rsidRPr="00185E7E" w:rsidRDefault="007E525F" w:rsidP="00DD68B5">
            <w:pPr>
              <w:jc w:val="center"/>
              <w:rPr>
                <w:rFonts w:ascii="Calibri" w:eastAsia="Times New Roman" w:hAnsi="Calibri" w:cs="Microsoft Sans Serif"/>
                <w:b/>
                <w:color w:val="FFFFFF" w:themeColor="background1"/>
                <w:sz w:val="20"/>
                <w:szCs w:val="20"/>
              </w:rPr>
            </w:pPr>
            <w:r w:rsidRPr="00185E7E">
              <w:rPr>
                <w:rFonts w:ascii="Calibri" w:eastAsia="Times New Roman" w:hAnsi="Calibri" w:cs="Microsoft Sans Serif"/>
                <w:b/>
                <w:color w:val="FFFFFF" w:themeColor="background1"/>
                <w:sz w:val="20"/>
                <w:szCs w:val="20"/>
              </w:rPr>
              <w:t>Respons</w:t>
            </w:r>
            <w:r>
              <w:rPr>
                <w:rFonts w:ascii="Calibri" w:eastAsia="Times New Roman" w:hAnsi="Calibri" w:cs="Microsoft Sans Serif"/>
                <w:b/>
                <w:color w:val="FFFFFF" w:themeColor="background1"/>
                <w:sz w:val="20"/>
                <w:szCs w:val="20"/>
              </w:rPr>
              <w:t>e (#)</w:t>
            </w:r>
          </w:p>
        </w:tc>
      </w:tr>
      <w:tr w:rsidR="007E525F" w:rsidRPr="006E3C40" w14:paraId="6A28E2E6" w14:textId="77777777" w:rsidTr="00DD68B5">
        <w:trPr>
          <w:trHeight w:val="255"/>
        </w:trPr>
        <w:tc>
          <w:tcPr>
            <w:tcW w:w="5418" w:type="dxa"/>
            <w:tcBorders>
              <w:top w:val="single" w:sz="12" w:space="0" w:color="auto"/>
            </w:tcBorders>
            <w:hideMark/>
          </w:tcPr>
          <w:p w14:paraId="2E3B45C0" w14:textId="77777777" w:rsidR="007E525F" w:rsidRPr="00185E7E" w:rsidRDefault="007E525F" w:rsidP="00DD68B5">
            <w:pPr>
              <w:ind w:left="144"/>
              <w:rPr>
                <w:rFonts w:ascii="Calibri" w:eastAsia="Times New Roman" w:hAnsi="Calibri" w:cs="Microsoft Sans Serif"/>
                <w:sz w:val="20"/>
                <w:szCs w:val="20"/>
              </w:rPr>
            </w:pPr>
            <w:r w:rsidRPr="00185E7E">
              <w:rPr>
                <w:rFonts w:ascii="Calibri" w:eastAsia="Times New Roman" w:hAnsi="Calibri" w:cs="Microsoft Sans Serif"/>
                <w:sz w:val="20"/>
                <w:szCs w:val="20"/>
              </w:rPr>
              <w:t>Strongly Agree</w:t>
            </w:r>
          </w:p>
        </w:tc>
        <w:tc>
          <w:tcPr>
            <w:tcW w:w="1971" w:type="dxa"/>
            <w:tcBorders>
              <w:top w:val="single" w:sz="12" w:space="0" w:color="auto"/>
            </w:tcBorders>
            <w:noWrap/>
            <w:vAlign w:val="center"/>
            <w:hideMark/>
          </w:tcPr>
          <w:p w14:paraId="32EF90BF" w14:textId="3A99D1BA"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40</w:t>
            </w:r>
          </w:p>
        </w:tc>
        <w:tc>
          <w:tcPr>
            <w:tcW w:w="1971" w:type="dxa"/>
            <w:tcBorders>
              <w:top w:val="single" w:sz="12" w:space="0" w:color="auto"/>
            </w:tcBorders>
            <w:noWrap/>
            <w:vAlign w:val="center"/>
            <w:hideMark/>
          </w:tcPr>
          <w:p w14:paraId="2B90B97E" w14:textId="77777777"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4</w:t>
            </w:r>
          </w:p>
        </w:tc>
      </w:tr>
      <w:tr w:rsidR="007E525F" w:rsidRPr="006E3C40" w14:paraId="21B5F559" w14:textId="77777777" w:rsidTr="00DD68B5">
        <w:trPr>
          <w:trHeight w:val="255"/>
        </w:trPr>
        <w:tc>
          <w:tcPr>
            <w:tcW w:w="5418" w:type="dxa"/>
            <w:hideMark/>
          </w:tcPr>
          <w:p w14:paraId="3D958060" w14:textId="77777777" w:rsidR="007E525F" w:rsidRPr="00185E7E" w:rsidRDefault="007E525F" w:rsidP="00DD68B5">
            <w:pPr>
              <w:ind w:left="144"/>
              <w:rPr>
                <w:rFonts w:ascii="Calibri" w:eastAsia="Times New Roman" w:hAnsi="Calibri" w:cs="Microsoft Sans Serif"/>
                <w:sz w:val="20"/>
                <w:szCs w:val="20"/>
              </w:rPr>
            </w:pPr>
            <w:r w:rsidRPr="00185E7E">
              <w:rPr>
                <w:rFonts w:ascii="Calibri" w:eastAsia="Times New Roman" w:hAnsi="Calibri" w:cs="Microsoft Sans Serif"/>
                <w:sz w:val="20"/>
                <w:szCs w:val="20"/>
              </w:rPr>
              <w:t>Agree</w:t>
            </w:r>
          </w:p>
        </w:tc>
        <w:tc>
          <w:tcPr>
            <w:tcW w:w="1971" w:type="dxa"/>
            <w:noWrap/>
            <w:vAlign w:val="center"/>
            <w:hideMark/>
          </w:tcPr>
          <w:p w14:paraId="2B6AAF27" w14:textId="3A0FAB81"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50</w:t>
            </w:r>
          </w:p>
        </w:tc>
        <w:tc>
          <w:tcPr>
            <w:tcW w:w="1971" w:type="dxa"/>
            <w:noWrap/>
            <w:vAlign w:val="center"/>
            <w:hideMark/>
          </w:tcPr>
          <w:p w14:paraId="36CE4190" w14:textId="6D9C98AF"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5</w:t>
            </w:r>
          </w:p>
        </w:tc>
      </w:tr>
      <w:tr w:rsidR="007E525F" w:rsidRPr="006E3C40" w14:paraId="7BFB4A3B" w14:textId="77777777" w:rsidTr="00DD68B5">
        <w:trPr>
          <w:trHeight w:val="255"/>
        </w:trPr>
        <w:tc>
          <w:tcPr>
            <w:tcW w:w="5418" w:type="dxa"/>
            <w:hideMark/>
          </w:tcPr>
          <w:p w14:paraId="5C922E79" w14:textId="77777777" w:rsidR="007E525F" w:rsidRPr="00185E7E" w:rsidRDefault="007E525F" w:rsidP="00DD68B5">
            <w:pPr>
              <w:ind w:left="144"/>
              <w:rPr>
                <w:rFonts w:ascii="Calibri" w:eastAsia="Times New Roman" w:hAnsi="Calibri" w:cs="Microsoft Sans Serif"/>
                <w:sz w:val="20"/>
                <w:szCs w:val="20"/>
              </w:rPr>
            </w:pPr>
            <w:r w:rsidRPr="00185E7E">
              <w:rPr>
                <w:rFonts w:ascii="Calibri" w:eastAsia="Times New Roman" w:hAnsi="Calibri" w:cs="Microsoft Sans Serif"/>
                <w:sz w:val="20"/>
                <w:szCs w:val="20"/>
              </w:rPr>
              <w:t>Undecided</w:t>
            </w:r>
          </w:p>
        </w:tc>
        <w:tc>
          <w:tcPr>
            <w:tcW w:w="1971" w:type="dxa"/>
            <w:noWrap/>
            <w:vAlign w:val="center"/>
            <w:hideMark/>
          </w:tcPr>
          <w:p w14:paraId="6F0DBB4F" w14:textId="06335307"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0</w:t>
            </w:r>
          </w:p>
        </w:tc>
        <w:tc>
          <w:tcPr>
            <w:tcW w:w="1971" w:type="dxa"/>
            <w:noWrap/>
            <w:vAlign w:val="center"/>
            <w:hideMark/>
          </w:tcPr>
          <w:p w14:paraId="7CD7C05A" w14:textId="77777777"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0</w:t>
            </w:r>
          </w:p>
        </w:tc>
      </w:tr>
      <w:tr w:rsidR="007E525F" w:rsidRPr="006E3C40" w14:paraId="1B1CEA1F" w14:textId="77777777" w:rsidTr="00DD68B5">
        <w:trPr>
          <w:trHeight w:val="255"/>
        </w:trPr>
        <w:tc>
          <w:tcPr>
            <w:tcW w:w="5418" w:type="dxa"/>
            <w:hideMark/>
          </w:tcPr>
          <w:p w14:paraId="725BBE47" w14:textId="77777777" w:rsidR="007E525F" w:rsidRPr="00185E7E" w:rsidRDefault="007E525F" w:rsidP="00DD68B5">
            <w:pPr>
              <w:ind w:left="144"/>
              <w:rPr>
                <w:rFonts w:ascii="Calibri" w:eastAsia="Times New Roman" w:hAnsi="Calibri" w:cs="Microsoft Sans Serif"/>
                <w:sz w:val="20"/>
                <w:szCs w:val="20"/>
              </w:rPr>
            </w:pPr>
            <w:r w:rsidRPr="00185E7E">
              <w:rPr>
                <w:rFonts w:ascii="Calibri" w:eastAsia="Times New Roman" w:hAnsi="Calibri" w:cs="Microsoft Sans Serif"/>
                <w:sz w:val="20"/>
                <w:szCs w:val="20"/>
              </w:rPr>
              <w:t>Disagree</w:t>
            </w:r>
          </w:p>
        </w:tc>
        <w:tc>
          <w:tcPr>
            <w:tcW w:w="1971" w:type="dxa"/>
            <w:noWrap/>
            <w:vAlign w:val="center"/>
            <w:hideMark/>
          </w:tcPr>
          <w:p w14:paraId="449FABF2" w14:textId="7A04DAE1"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0</w:t>
            </w:r>
          </w:p>
        </w:tc>
        <w:tc>
          <w:tcPr>
            <w:tcW w:w="1971" w:type="dxa"/>
            <w:noWrap/>
            <w:vAlign w:val="center"/>
            <w:hideMark/>
          </w:tcPr>
          <w:p w14:paraId="3C942A06" w14:textId="5E2B7B20"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0</w:t>
            </w:r>
          </w:p>
        </w:tc>
      </w:tr>
      <w:tr w:rsidR="007E525F" w:rsidRPr="006E3C40" w14:paraId="67869911" w14:textId="77777777" w:rsidTr="00DD68B5">
        <w:trPr>
          <w:trHeight w:val="255"/>
        </w:trPr>
        <w:tc>
          <w:tcPr>
            <w:tcW w:w="5418" w:type="dxa"/>
            <w:hideMark/>
          </w:tcPr>
          <w:p w14:paraId="3F4E54BE" w14:textId="77777777" w:rsidR="007E525F" w:rsidRPr="00185E7E" w:rsidRDefault="007E525F" w:rsidP="00DD68B5">
            <w:pPr>
              <w:ind w:left="144"/>
              <w:rPr>
                <w:rFonts w:ascii="Calibri" w:eastAsia="Times New Roman" w:hAnsi="Calibri" w:cs="Microsoft Sans Serif"/>
                <w:sz w:val="20"/>
                <w:szCs w:val="20"/>
              </w:rPr>
            </w:pPr>
            <w:r w:rsidRPr="00185E7E">
              <w:rPr>
                <w:rFonts w:ascii="Calibri" w:eastAsia="Times New Roman" w:hAnsi="Calibri" w:cs="Microsoft Sans Serif"/>
                <w:sz w:val="20"/>
                <w:szCs w:val="20"/>
              </w:rPr>
              <w:t>Strongly Disagree</w:t>
            </w:r>
          </w:p>
        </w:tc>
        <w:tc>
          <w:tcPr>
            <w:tcW w:w="1971" w:type="dxa"/>
            <w:noWrap/>
            <w:vAlign w:val="center"/>
            <w:hideMark/>
          </w:tcPr>
          <w:p w14:paraId="3B15E0AE" w14:textId="274DD171"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0</w:t>
            </w:r>
          </w:p>
        </w:tc>
        <w:tc>
          <w:tcPr>
            <w:tcW w:w="1971" w:type="dxa"/>
            <w:noWrap/>
            <w:vAlign w:val="center"/>
            <w:hideMark/>
          </w:tcPr>
          <w:p w14:paraId="51593D04" w14:textId="77777777"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0</w:t>
            </w:r>
          </w:p>
        </w:tc>
      </w:tr>
      <w:tr w:rsidR="007E525F" w:rsidRPr="006E3C40" w14:paraId="67F7E80F" w14:textId="77777777" w:rsidTr="00DD68B5">
        <w:trPr>
          <w:trHeight w:val="255"/>
        </w:trPr>
        <w:tc>
          <w:tcPr>
            <w:tcW w:w="5418" w:type="dxa"/>
            <w:hideMark/>
          </w:tcPr>
          <w:p w14:paraId="31AB207B" w14:textId="77777777" w:rsidR="007E525F" w:rsidRPr="00185E7E" w:rsidRDefault="007E525F" w:rsidP="00DD68B5">
            <w:pPr>
              <w:ind w:left="144"/>
              <w:rPr>
                <w:rFonts w:ascii="Calibri" w:eastAsia="Times New Roman" w:hAnsi="Calibri" w:cs="Microsoft Sans Serif"/>
                <w:sz w:val="20"/>
                <w:szCs w:val="20"/>
              </w:rPr>
            </w:pPr>
            <w:r w:rsidRPr="00185E7E">
              <w:rPr>
                <w:rFonts w:ascii="Calibri" w:eastAsia="Times New Roman" w:hAnsi="Calibri" w:cs="Microsoft Sans Serif"/>
                <w:sz w:val="20"/>
                <w:szCs w:val="20"/>
              </w:rPr>
              <w:t>Do Not Know or Not Applicable</w:t>
            </w:r>
          </w:p>
        </w:tc>
        <w:tc>
          <w:tcPr>
            <w:tcW w:w="1971" w:type="dxa"/>
            <w:noWrap/>
            <w:vAlign w:val="center"/>
            <w:hideMark/>
          </w:tcPr>
          <w:p w14:paraId="0D09D977" w14:textId="6F689E82"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10</w:t>
            </w:r>
          </w:p>
        </w:tc>
        <w:tc>
          <w:tcPr>
            <w:tcW w:w="1971" w:type="dxa"/>
            <w:noWrap/>
            <w:vAlign w:val="center"/>
            <w:hideMark/>
          </w:tcPr>
          <w:p w14:paraId="4DE86858" w14:textId="611FE68F"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1</w:t>
            </w:r>
          </w:p>
        </w:tc>
      </w:tr>
    </w:tbl>
    <w:p w14:paraId="45459D1A" w14:textId="77777777" w:rsidR="000A6F67" w:rsidRDefault="000A6F67" w:rsidP="007E525F">
      <w:pPr>
        <w:autoSpaceDE w:val="0"/>
        <w:autoSpaceDN w:val="0"/>
        <w:adjustRightInd w:val="0"/>
        <w:spacing w:after="0" w:line="240" w:lineRule="auto"/>
        <w:rPr>
          <w:rFonts w:cstheme="minorHAnsi"/>
          <w:b/>
          <w:bCs/>
        </w:rPr>
      </w:pPr>
    </w:p>
    <w:p w14:paraId="5B0E9D2D" w14:textId="24A61785" w:rsidR="007422FD" w:rsidRDefault="000A6F67" w:rsidP="000233B9">
      <w:pPr>
        <w:autoSpaceDE w:val="0"/>
        <w:autoSpaceDN w:val="0"/>
        <w:adjustRightInd w:val="0"/>
        <w:spacing w:after="0" w:line="240" w:lineRule="auto"/>
        <w:rPr>
          <w:rFonts w:cstheme="minorHAnsi"/>
          <w:b/>
          <w:bCs/>
        </w:rPr>
      </w:pPr>
      <w:r>
        <w:rPr>
          <w:rFonts w:cstheme="minorHAnsi"/>
          <w:b/>
          <w:bCs/>
        </w:rPr>
        <w:t>Data-Element Face Validity</w:t>
      </w:r>
    </w:p>
    <w:p w14:paraId="67F26FEF" w14:textId="100C3FDE" w:rsidR="000A6F67" w:rsidRDefault="000A6F67" w:rsidP="000A6F67">
      <w:pPr>
        <w:pStyle w:val="ListParagraph"/>
        <w:numPr>
          <w:ilvl w:val="0"/>
          <w:numId w:val="37"/>
        </w:numPr>
        <w:autoSpaceDE w:val="0"/>
        <w:autoSpaceDN w:val="0"/>
        <w:adjustRightInd w:val="0"/>
        <w:spacing w:after="0" w:line="240" w:lineRule="auto"/>
        <w:rPr>
          <w:rFonts w:cstheme="minorHAnsi"/>
          <w:bCs/>
          <w:i/>
        </w:rPr>
      </w:pPr>
      <w:r w:rsidRPr="000A6F67">
        <w:rPr>
          <w:rFonts w:cstheme="minorHAnsi"/>
          <w:bCs/>
          <w:i/>
        </w:rPr>
        <w:t>Thorax CT tests performed (those with contrast, those without contrast, and those with/ without contrast (combined scan</w:t>
      </w:r>
      <w:r w:rsidR="0094766B">
        <w:rPr>
          <w:rFonts w:cstheme="minorHAnsi"/>
          <w:bCs/>
          <w:i/>
        </w:rPr>
        <w:t>)</w:t>
      </w:r>
      <w:r w:rsidRPr="000A6F67">
        <w:rPr>
          <w:rFonts w:cstheme="minorHAnsi"/>
          <w:bCs/>
          <w:i/>
        </w:rPr>
        <w:t>) can be accurately captured using claims data.</w:t>
      </w:r>
    </w:p>
    <w:tbl>
      <w:tblPr>
        <w:tblStyle w:val="TableGrid"/>
        <w:tblW w:w="9360" w:type="dxa"/>
        <w:tblBorders>
          <w:top w:val="single" w:sz="12" w:space="0" w:color="auto"/>
          <w:left w:val="single" w:sz="12" w:space="0" w:color="auto"/>
          <w:bottom w:val="single" w:sz="12" w:space="0" w:color="auto"/>
          <w:right w:val="single" w:sz="12" w:space="0" w:color="auto"/>
          <w:insideH w:val="single" w:sz="8" w:space="0" w:color="auto"/>
          <w:insideV w:val="dashed" w:sz="4" w:space="0" w:color="auto"/>
        </w:tblBorders>
        <w:tblLayout w:type="fixed"/>
        <w:tblLook w:val="04A0" w:firstRow="1" w:lastRow="0" w:firstColumn="1" w:lastColumn="0" w:noHBand="0" w:noVBand="1"/>
      </w:tblPr>
      <w:tblGrid>
        <w:gridCol w:w="5418"/>
        <w:gridCol w:w="1971"/>
        <w:gridCol w:w="1971"/>
      </w:tblGrid>
      <w:tr w:rsidR="007E525F" w:rsidRPr="006E3C40" w14:paraId="4659DA84" w14:textId="77777777" w:rsidTr="007476FA">
        <w:trPr>
          <w:trHeight w:val="255"/>
          <w:tblHeader/>
        </w:trPr>
        <w:tc>
          <w:tcPr>
            <w:tcW w:w="5418" w:type="dxa"/>
            <w:tcBorders>
              <w:top w:val="single" w:sz="12" w:space="0" w:color="auto"/>
              <w:bottom w:val="single" w:sz="12" w:space="0" w:color="auto"/>
              <w:right w:val="nil"/>
            </w:tcBorders>
            <w:shd w:val="clear" w:color="auto" w:fill="808080" w:themeFill="background1" w:themeFillShade="80"/>
          </w:tcPr>
          <w:p w14:paraId="37AF9BB4" w14:textId="77777777" w:rsidR="007E525F" w:rsidRPr="00185E7E" w:rsidRDefault="007E525F" w:rsidP="00DD68B5">
            <w:pPr>
              <w:jc w:val="center"/>
              <w:rPr>
                <w:rFonts w:ascii="Calibri" w:eastAsia="Times New Roman" w:hAnsi="Calibri" w:cs="Microsoft Sans Serif"/>
                <w:b/>
                <w:color w:val="FFFFFF" w:themeColor="background1"/>
                <w:sz w:val="20"/>
                <w:szCs w:val="20"/>
              </w:rPr>
            </w:pPr>
            <w:r w:rsidRPr="00185E7E">
              <w:rPr>
                <w:rFonts w:ascii="Calibri" w:eastAsia="Times New Roman" w:hAnsi="Calibri" w:cs="Microsoft Sans Serif"/>
                <w:b/>
                <w:color w:val="FFFFFF" w:themeColor="background1"/>
                <w:sz w:val="20"/>
                <w:szCs w:val="20"/>
              </w:rPr>
              <w:t>Response Option</w:t>
            </w:r>
          </w:p>
        </w:tc>
        <w:tc>
          <w:tcPr>
            <w:tcW w:w="1971" w:type="dxa"/>
            <w:tcBorders>
              <w:top w:val="single" w:sz="12" w:space="0" w:color="auto"/>
              <w:left w:val="nil"/>
              <w:bottom w:val="single" w:sz="12" w:space="0" w:color="auto"/>
              <w:right w:val="nil"/>
            </w:tcBorders>
            <w:shd w:val="clear" w:color="auto" w:fill="808080" w:themeFill="background1" w:themeFillShade="80"/>
            <w:noWrap/>
          </w:tcPr>
          <w:p w14:paraId="66F50ED2" w14:textId="77777777" w:rsidR="007E525F" w:rsidRPr="00185E7E" w:rsidRDefault="007E525F" w:rsidP="00DD68B5">
            <w:pPr>
              <w:jc w:val="center"/>
              <w:rPr>
                <w:rFonts w:ascii="Calibri" w:eastAsia="Times New Roman" w:hAnsi="Calibri" w:cs="Microsoft Sans Serif"/>
                <w:b/>
                <w:color w:val="FFFFFF" w:themeColor="background1"/>
                <w:sz w:val="20"/>
                <w:szCs w:val="20"/>
              </w:rPr>
            </w:pPr>
            <w:r w:rsidRPr="00185E7E">
              <w:rPr>
                <w:rFonts w:ascii="Calibri" w:eastAsia="Times New Roman" w:hAnsi="Calibri" w:cs="Microsoft Sans Serif"/>
                <w:b/>
                <w:color w:val="FFFFFF" w:themeColor="background1"/>
                <w:sz w:val="20"/>
                <w:szCs w:val="20"/>
              </w:rPr>
              <w:t xml:space="preserve">Response </w:t>
            </w:r>
            <w:r>
              <w:rPr>
                <w:rFonts w:ascii="Calibri" w:eastAsia="Times New Roman" w:hAnsi="Calibri" w:cs="Microsoft Sans Serif"/>
                <w:b/>
                <w:color w:val="FFFFFF" w:themeColor="background1"/>
                <w:sz w:val="20"/>
                <w:szCs w:val="20"/>
              </w:rPr>
              <w:t>(%)</w:t>
            </w:r>
          </w:p>
        </w:tc>
        <w:tc>
          <w:tcPr>
            <w:tcW w:w="1971" w:type="dxa"/>
            <w:tcBorders>
              <w:top w:val="single" w:sz="12" w:space="0" w:color="auto"/>
              <w:left w:val="nil"/>
              <w:bottom w:val="single" w:sz="12" w:space="0" w:color="auto"/>
            </w:tcBorders>
            <w:shd w:val="clear" w:color="auto" w:fill="808080" w:themeFill="background1" w:themeFillShade="80"/>
            <w:noWrap/>
          </w:tcPr>
          <w:p w14:paraId="62468499" w14:textId="77777777" w:rsidR="007E525F" w:rsidRPr="00185E7E" w:rsidRDefault="007E525F" w:rsidP="00DD68B5">
            <w:pPr>
              <w:jc w:val="center"/>
              <w:rPr>
                <w:rFonts w:ascii="Calibri" w:eastAsia="Times New Roman" w:hAnsi="Calibri" w:cs="Microsoft Sans Serif"/>
                <w:b/>
                <w:color w:val="FFFFFF" w:themeColor="background1"/>
                <w:sz w:val="20"/>
                <w:szCs w:val="20"/>
              </w:rPr>
            </w:pPr>
            <w:r w:rsidRPr="00185E7E">
              <w:rPr>
                <w:rFonts w:ascii="Calibri" w:eastAsia="Times New Roman" w:hAnsi="Calibri" w:cs="Microsoft Sans Serif"/>
                <w:b/>
                <w:color w:val="FFFFFF" w:themeColor="background1"/>
                <w:sz w:val="20"/>
                <w:szCs w:val="20"/>
              </w:rPr>
              <w:t>Respons</w:t>
            </w:r>
            <w:r>
              <w:rPr>
                <w:rFonts w:ascii="Calibri" w:eastAsia="Times New Roman" w:hAnsi="Calibri" w:cs="Microsoft Sans Serif"/>
                <w:b/>
                <w:color w:val="FFFFFF" w:themeColor="background1"/>
                <w:sz w:val="20"/>
                <w:szCs w:val="20"/>
              </w:rPr>
              <w:t>e (#)</w:t>
            </w:r>
          </w:p>
        </w:tc>
      </w:tr>
      <w:tr w:rsidR="007E525F" w:rsidRPr="006E3C40" w14:paraId="2C3BF662" w14:textId="77777777" w:rsidTr="00DD68B5">
        <w:trPr>
          <w:trHeight w:val="255"/>
        </w:trPr>
        <w:tc>
          <w:tcPr>
            <w:tcW w:w="5418" w:type="dxa"/>
            <w:tcBorders>
              <w:top w:val="single" w:sz="12" w:space="0" w:color="auto"/>
            </w:tcBorders>
            <w:hideMark/>
          </w:tcPr>
          <w:p w14:paraId="0020DA3D" w14:textId="77777777" w:rsidR="007E525F" w:rsidRPr="00185E7E" w:rsidRDefault="007E525F" w:rsidP="00DD68B5">
            <w:pPr>
              <w:ind w:left="144"/>
              <w:rPr>
                <w:rFonts w:ascii="Calibri" w:eastAsia="Times New Roman" w:hAnsi="Calibri" w:cs="Microsoft Sans Serif"/>
                <w:sz w:val="20"/>
                <w:szCs w:val="20"/>
              </w:rPr>
            </w:pPr>
            <w:r w:rsidRPr="00185E7E">
              <w:rPr>
                <w:rFonts w:ascii="Calibri" w:eastAsia="Times New Roman" w:hAnsi="Calibri" w:cs="Microsoft Sans Serif"/>
                <w:sz w:val="20"/>
                <w:szCs w:val="20"/>
              </w:rPr>
              <w:t>Strongly Agree</w:t>
            </w:r>
          </w:p>
        </w:tc>
        <w:tc>
          <w:tcPr>
            <w:tcW w:w="1971" w:type="dxa"/>
            <w:tcBorders>
              <w:top w:val="single" w:sz="12" w:space="0" w:color="auto"/>
            </w:tcBorders>
            <w:noWrap/>
            <w:vAlign w:val="center"/>
            <w:hideMark/>
          </w:tcPr>
          <w:p w14:paraId="0761194D" w14:textId="1B95E5DA"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50</w:t>
            </w:r>
          </w:p>
        </w:tc>
        <w:tc>
          <w:tcPr>
            <w:tcW w:w="1971" w:type="dxa"/>
            <w:tcBorders>
              <w:top w:val="single" w:sz="12" w:space="0" w:color="auto"/>
            </w:tcBorders>
            <w:noWrap/>
            <w:vAlign w:val="center"/>
            <w:hideMark/>
          </w:tcPr>
          <w:p w14:paraId="331448DC" w14:textId="072FEBA4"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5</w:t>
            </w:r>
          </w:p>
        </w:tc>
      </w:tr>
      <w:tr w:rsidR="007E525F" w:rsidRPr="006E3C40" w14:paraId="05F83F66" w14:textId="77777777" w:rsidTr="00DD68B5">
        <w:trPr>
          <w:trHeight w:val="255"/>
        </w:trPr>
        <w:tc>
          <w:tcPr>
            <w:tcW w:w="5418" w:type="dxa"/>
            <w:hideMark/>
          </w:tcPr>
          <w:p w14:paraId="1367C95C" w14:textId="77777777" w:rsidR="007E525F" w:rsidRPr="00185E7E" w:rsidRDefault="007E525F" w:rsidP="00DD68B5">
            <w:pPr>
              <w:ind w:left="144"/>
              <w:rPr>
                <w:rFonts w:ascii="Calibri" w:eastAsia="Times New Roman" w:hAnsi="Calibri" w:cs="Microsoft Sans Serif"/>
                <w:sz w:val="20"/>
                <w:szCs w:val="20"/>
              </w:rPr>
            </w:pPr>
            <w:r w:rsidRPr="00185E7E">
              <w:rPr>
                <w:rFonts w:ascii="Calibri" w:eastAsia="Times New Roman" w:hAnsi="Calibri" w:cs="Microsoft Sans Serif"/>
                <w:sz w:val="20"/>
                <w:szCs w:val="20"/>
              </w:rPr>
              <w:t>Agree</w:t>
            </w:r>
          </w:p>
        </w:tc>
        <w:tc>
          <w:tcPr>
            <w:tcW w:w="1971" w:type="dxa"/>
            <w:noWrap/>
            <w:vAlign w:val="center"/>
            <w:hideMark/>
          </w:tcPr>
          <w:p w14:paraId="0FA48FA6" w14:textId="609FA300"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40</w:t>
            </w:r>
          </w:p>
        </w:tc>
        <w:tc>
          <w:tcPr>
            <w:tcW w:w="1971" w:type="dxa"/>
            <w:noWrap/>
            <w:vAlign w:val="center"/>
            <w:hideMark/>
          </w:tcPr>
          <w:p w14:paraId="37279E7F" w14:textId="77777777"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4</w:t>
            </w:r>
          </w:p>
        </w:tc>
      </w:tr>
      <w:tr w:rsidR="007E525F" w:rsidRPr="006E3C40" w14:paraId="1BF27C27" w14:textId="77777777" w:rsidTr="00DD68B5">
        <w:trPr>
          <w:trHeight w:val="255"/>
        </w:trPr>
        <w:tc>
          <w:tcPr>
            <w:tcW w:w="5418" w:type="dxa"/>
            <w:hideMark/>
          </w:tcPr>
          <w:p w14:paraId="1FA4F257" w14:textId="77777777" w:rsidR="007E525F" w:rsidRPr="00185E7E" w:rsidRDefault="007E525F" w:rsidP="00DD68B5">
            <w:pPr>
              <w:ind w:left="144"/>
              <w:rPr>
                <w:rFonts w:ascii="Calibri" w:eastAsia="Times New Roman" w:hAnsi="Calibri" w:cs="Microsoft Sans Serif"/>
                <w:sz w:val="20"/>
                <w:szCs w:val="20"/>
              </w:rPr>
            </w:pPr>
            <w:r w:rsidRPr="00185E7E">
              <w:rPr>
                <w:rFonts w:ascii="Calibri" w:eastAsia="Times New Roman" w:hAnsi="Calibri" w:cs="Microsoft Sans Serif"/>
                <w:sz w:val="20"/>
                <w:szCs w:val="20"/>
              </w:rPr>
              <w:t>Undecided</w:t>
            </w:r>
          </w:p>
        </w:tc>
        <w:tc>
          <w:tcPr>
            <w:tcW w:w="1971" w:type="dxa"/>
            <w:noWrap/>
            <w:vAlign w:val="center"/>
            <w:hideMark/>
          </w:tcPr>
          <w:p w14:paraId="15F1B59F" w14:textId="673D29CA"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0</w:t>
            </w:r>
          </w:p>
        </w:tc>
        <w:tc>
          <w:tcPr>
            <w:tcW w:w="1971" w:type="dxa"/>
            <w:noWrap/>
            <w:vAlign w:val="center"/>
            <w:hideMark/>
          </w:tcPr>
          <w:p w14:paraId="74D14935" w14:textId="77777777"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0</w:t>
            </w:r>
          </w:p>
        </w:tc>
      </w:tr>
      <w:tr w:rsidR="007E525F" w:rsidRPr="006E3C40" w14:paraId="7B1C5776" w14:textId="77777777" w:rsidTr="00DD68B5">
        <w:trPr>
          <w:trHeight w:val="255"/>
        </w:trPr>
        <w:tc>
          <w:tcPr>
            <w:tcW w:w="5418" w:type="dxa"/>
            <w:hideMark/>
          </w:tcPr>
          <w:p w14:paraId="4091AE6C" w14:textId="77777777" w:rsidR="007E525F" w:rsidRPr="00185E7E" w:rsidRDefault="007E525F" w:rsidP="00DD68B5">
            <w:pPr>
              <w:ind w:left="144"/>
              <w:rPr>
                <w:rFonts w:ascii="Calibri" w:eastAsia="Times New Roman" w:hAnsi="Calibri" w:cs="Microsoft Sans Serif"/>
                <w:sz w:val="20"/>
                <w:szCs w:val="20"/>
              </w:rPr>
            </w:pPr>
            <w:r w:rsidRPr="00185E7E">
              <w:rPr>
                <w:rFonts w:ascii="Calibri" w:eastAsia="Times New Roman" w:hAnsi="Calibri" w:cs="Microsoft Sans Serif"/>
                <w:sz w:val="20"/>
                <w:szCs w:val="20"/>
              </w:rPr>
              <w:t>Disagree</w:t>
            </w:r>
          </w:p>
        </w:tc>
        <w:tc>
          <w:tcPr>
            <w:tcW w:w="1971" w:type="dxa"/>
            <w:noWrap/>
            <w:vAlign w:val="center"/>
            <w:hideMark/>
          </w:tcPr>
          <w:p w14:paraId="2FDD3F4D" w14:textId="30790EB7"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0</w:t>
            </w:r>
          </w:p>
        </w:tc>
        <w:tc>
          <w:tcPr>
            <w:tcW w:w="1971" w:type="dxa"/>
            <w:noWrap/>
            <w:vAlign w:val="center"/>
            <w:hideMark/>
          </w:tcPr>
          <w:p w14:paraId="55D22D2F" w14:textId="5856AEDF"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0</w:t>
            </w:r>
          </w:p>
        </w:tc>
      </w:tr>
      <w:tr w:rsidR="007E525F" w:rsidRPr="006E3C40" w14:paraId="64114B74" w14:textId="77777777" w:rsidTr="00DD68B5">
        <w:trPr>
          <w:trHeight w:val="255"/>
        </w:trPr>
        <w:tc>
          <w:tcPr>
            <w:tcW w:w="5418" w:type="dxa"/>
            <w:hideMark/>
          </w:tcPr>
          <w:p w14:paraId="09543F95" w14:textId="77777777" w:rsidR="007E525F" w:rsidRPr="00185E7E" w:rsidRDefault="007E525F" w:rsidP="00DD68B5">
            <w:pPr>
              <w:ind w:left="144"/>
              <w:rPr>
                <w:rFonts w:ascii="Calibri" w:eastAsia="Times New Roman" w:hAnsi="Calibri" w:cs="Microsoft Sans Serif"/>
                <w:sz w:val="20"/>
                <w:szCs w:val="20"/>
              </w:rPr>
            </w:pPr>
            <w:r w:rsidRPr="00185E7E">
              <w:rPr>
                <w:rFonts w:ascii="Calibri" w:eastAsia="Times New Roman" w:hAnsi="Calibri" w:cs="Microsoft Sans Serif"/>
                <w:sz w:val="20"/>
                <w:szCs w:val="20"/>
              </w:rPr>
              <w:t>Strongly Disagree</w:t>
            </w:r>
          </w:p>
        </w:tc>
        <w:tc>
          <w:tcPr>
            <w:tcW w:w="1971" w:type="dxa"/>
            <w:noWrap/>
            <w:vAlign w:val="center"/>
            <w:hideMark/>
          </w:tcPr>
          <w:p w14:paraId="0017F865" w14:textId="2F363E46"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0</w:t>
            </w:r>
          </w:p>
        </w:tc>
        <w:tc>
          <w:tcPr>
            <w:tcW w:w="1971" w:type="dxa"/>
            <w:noWrap/>
            <w:vAlign w:val="center"/>
            <w:hideMark/>
          </w:tcPr>
          <w:p w14:paraId="32A0F630" w14:textId="77777777"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0</w:t>
            </w:r>
          </w:p>
        </w:tc>
      </w:tr>
      <w:tr w:rsidR="007E525F" w:rsidRPr="006E3C40" w14:paraId="527902B4" w14:textId="77777777" w:rsidTr="00DD68B5">
        <w:trPr>
          <w:trHeight w:val="255"/>
        </w:trPr>
        <w:tc>
          <w:tcPr>
            <w:tcW w:w="5418" w:type="dxa"/>
            <w:hideMark/>
          </w:tcPr>
          <w:p w14:paraId="06889B94" w14:textId="77777777" w:rsidR="007E525F" w:rsidRPr="00185E7E" w:rsidRDefault="007E525F" w:rsidP="00DD68B5">
            <w:pPr>
              <w:ind w:left="144"/>
              <w:rPr>
                <w:rFonts w:ascii="Calibri" w:eastAsia="Times New Roman" w:hAnsi="Calibri" w:cs="Microsoft Sans Serif"/>
                <w:sz w:val="20"/>
                <w:szCs w:val="20"/>
              </w:rPr>
            </w:pPr>
            <w:r w:rsidRPr="00185E7E">
              <w:rPr>
                <w:rFonts w:ascii="Calibri" w:eastAsia="Times New Roman" w:hAnsi="Calibri" w:cs="Microsoft Sans Serif"/>
                <w:sz w:val="20"/>
                <w:szCs w:val="20"/>
              </w:rPr>
              <w:t>Do Not Know or Not Applicable</w:t>
            </w:r>
          </w:p>
        </w:tc>
        <w:tc>
          <w:tcPr>
            <w:tcW w:w="1971" w:type="dxa"/>
            <w:noWrap/>
            <w:vAlign w:val="center"/>
            <w:hideMark/>
          </w:tcPr>
          <w:p w14:paraId="41C52899" w14:textId="4EFFDB52"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10</w:t>
            </w:r>
          </w:p>
        </w:tc>
        <w:tc>
          <w:tcPr>
            <w:tcW w:w="1971" w:type="dxa"/>
            <w:noWrap/>
            <w:vAlign w:val="center"/>
            <w:hideMark/>
          </w:tcPr>
          <w:p w14:paraId="43B35963" w14:textId="07A6D734"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1</w:t>
            </w:r>
          </w:p>
        </w:tc>
      </w:tr>
    </w:tbl>
    <w:p w14:paraId="4A74166B" w14:textId="77777777" w:rsidR="000A6F67" w:rsidRPr="007E525F" w:rsidRDefault="000A6F67" w:rsidP="007E525F">
      <w:pPr>
        <w:autoSpaceDE w:val="0"/>
        <w:autoSpaceDN w:val="0"/>
        <w:adjustRightInd w:val="0"/>
        <w:spacing w:after="0" w:line="240" w:lineRule="auto"/>
        <w:rPr>
          <w:rFonts w:cstheme="minorHAnsi"/>
          <w:bCs/>
        </w:rPr>
      </w:pPr>
    </w:p>
    <w:p w14:paraId="353F481C" w14:textId="5C5AC84F" w:rsidR="000A6F67" w:rsidRDefault="000A6F67" w:rsidP="000A6F67">
      <w:pPr>
        <w:pStyle w:val="ListParagraph"/>
        <w:numPr>
          <w:ilvl w:val="0"/>
          <w:numId w:val="37"/>
        </w:numPr>
        <w:autoSpaceDE w:val="0"/>
        <w:autoSpaceDN w:val="0"/>
        <w:adjustRightInd w:val="0"/>
        <w:spacing w:after="0" w:line="240" w:lineRule="auto"/>
        <w:rPr>
          <w:rFonts w:cstheme="minorHAnsi"/>
          <w:bCs/>
          <w:i/>
        </w:rPr>
      </w:pPr>
      <w:r w:rsidRPr="000A6F67">
        <w:rPr>
          <w:rFonts w:cstheme="minorHAnsi"/>
          <w:bCs/>
          <w:i/>
        </w:rPr>
        <w:t xml:space="preserve">For </w:t>
      </w:r>
      <w:r w:rsidR="007E525F">
        <w:rPr>
          <w:rFonts w:cstheme="minorHAnsi"/>
          <w:bCs/>
          <w:i/>
        </w:rPr>
        <w:t>NQF #0513</w:t>
      </w:r>
      <w:r w:rsidRPr="000A6F67">
        <w:rPr>
          <w:rFonts w:cstheme="minorHAnsi"/>
          <w:bCs/>
          <w:i/>
        </w:rPr>
        <w:t>, do you foresee any challenges in capturing any of these exclusions in claims data?</w:t>
      </w:r>
    </w:p>
    <w:tbl>
      <w:tblPr>
        <w:tblStyle w:val="TableGrid"/>
        <w:tblW w:w="9360" w:type="dxa"/>
        <w:tblBorders>
          <w:top w:val="single" w:sz="12" w:space="0" w:color="auto"/>
          <w:left w:val="single" w:sz="12" w:space="0" w:color="auto"/>
          <w:bottom w:val="single" w:sz="12" w:space="0" w:color="auto"/>
          <w:right w:val="single" w:sz="12" w:space="0" w:color="auto"/>
          <w:insideH w:val="single" w:sz="8" w:space="0" w:color="auto"/>
          <w:insideV w:val="dashed" w:sz="4" w:space="0" w:color="auto"/>
        </w:tblBorders>
        <w:tblLayout w:type="fixed"/>
        <w:tblLook w:val="04A0" w:firstRow="1" w:lastRow="0" w:firstColumn="1" w:lastColumn="0" w:noHBand="0" w:noVBand="1"/>
      </w:tblPr>
      <w:tblGrid>
        <w:gridCol w:w="5418"/>
        <w:gridCol w:w="1971"/>
        <w:gridCol w:w="1971"/>
      </w:tblGrid>
      <w:tr w:rsidR="007E525F" w:rsidRPr="006E3C40" w14:paraId="74F0736D" w14:textId="77777777" w:rsidTr="00DD68B5">
        <w:trPr>
          <w:trHeight w:val="255"/>
        </w:trPr>
        <w:tc>
          <w:tcPr>
            <w:tcW w:w="5418" w:type="dxa"/>
            <w:tcBorders>
              <w:top w:val="single" w:sz="12" w:space="0" w:color="auto"/>
              <w:bottom w:val="single" w:sz="12" w:space="0" w:color="auto"/>
              <w:right w:val="nil"/>
            </w:tcBorders>
            <w:shd w:val="clear" w:color="auto" w:fill="808080" w:themeFill="background1" w:themeFillShade="80"/>
          </w:tcPr>
          <w:p w14:paraId="61F5080C" w14:textId="77777777" w:rsidR="007E525F" w:rsidRPr="00185E7E" w:rsidRDefault="007E525F" w:rsidP="00DD68B5">
            <w:pPr>
              <w:jc w:val="center"/>
              <w:rPr>
                <w:rFonts w:ascii="Calibri" w:eastAsia="Times New Roman" w:hAnsi="Calibri" w:cs="Microsoft Sans Serif"/>
                <w:b/>
                <w:color w:val="FFFFFF" w:themeColor="background1"/>
                <w:sz w:val="20"/>
                <w:szCs w:val="20"/>
              </w:rPr>
            </w:pPr>
            <w:r w:rsidRPr="00185E7E">
              <w:rPr>
                <w:rFonts w:ascii="Calibri" w:eastAsia="Times New Roman" w:hAnsi="Calibri" w:cs="Microsoft Sans Serif"/>
                <w:b/>
                <w:color w:val="FFFFFF" w:themeColor="background1"/>
                <w:sz w:val="20"/>
                <w:szCs w:val="20"/>
              </w:rPr>
              <w:t>Response Option</w:t>
            </w:r>
          </w:p>
        </w:tc>
        <w:tc>
          <w:tcPr>
            <w:tcW w:w="1971" w:type="dxa"/>
            <w:tcBorders>
              <w:top w:val="single" w:sz="12" w:space="0" w:color="auto"/>
              <w:left w:val="nil"/>
              <w:bottom w:val="single" w:sz="12" w:space="0" w:color="auto"/>
              <w:right w:val="nil"/>
            </w:tcBorders>
            <w:shd w:val="clear" w:color="auto" w:fill="808080" w:themeFill="background1" w:themeFillShade="80"/>
            <w:noWrap/>
          </w:tcPr>
          <w:p w14:paraId="1042A894" w14:textId="77777777" w:rsidR="007E525F" w:rsidRPr="00185E7E" w:rsidRDefault="007E525F" w:rsidP="00DD68B5">
            <w:pPr>
              <w:jc w:val="center"/>
              <w:rPr>
                <w:rFonts w:ascii="Calibri" w:eastAsia="Times New Roman" w:hAnsi="Calibri" w:cs="Microsoft Sans Serif"/>
                <w:b/>
                <w:color w:val="FFFFFF" w:themeColor="background1"/>
                <w:sz w:val="20"/>
                <w:szCs w:val="20"/>
              </w:rPr>
            </w:pPr>
            <w:r w:rsidRPr="00185E7E">
              <w:rPr>
                <w:rFonts w:ascii="Calibri" w:eastAsia="Times New Roman" w:hAnsi="Calibri" w:cs="Microsoft Sans Serif"/>
                <w:b/>
                <w:color w:val="FFFFFF" w:themeColor="background1"/>
                <w:sz w:val="20"/>
                <w:szCs w:val="20"/>
              </w:rPr>
              <w:t xml:space="preserve">Response </w:t>
            </w:r>
            <w:r>
              <w:rPr>
                <w:rFonts w:ascii="Calibri" w:eastAsia="Times New Roman" w:hAnsi="Calibri" w:cs="Microsoft Sans Serif"/>
                <w:b/>
                <w:color w:val="FFFFFF" w:themeColor="background1"/>
                <w:sz w:val="20"/>
                <w:szCs w:val="20"/>
              </w:rPr>
              <w:t>(%)</w:t>
            </w:r>
          </w:p>
        </w:tc>
        <w:tc>
          <w:tcPr>
            <w:tcW w:w="1971" w:type="dxa"/>
            <w:tcBorders>
              <w:top w:val="single" w:sz="12" w:space="0" w:color="auto"/>
              <w:left w:val="nil"/>
              <w:bottom w:val="single" w:sz="12" w:space="0" w:color="auto"/>
            </w:tcBorders>
            <w:shd w:val="clear" w:color="auto" w:fill="808080" w:themeFill="background1" w:themeFillShade="80"/>
            <w:noWrap/>
          </w:tcPr>
          <w:p w14:paraId="6849DEAD" w14:textId="77777777" w:rsidR="007E525F" w:rsidRPr="00185E7E" w:rsidRDefault="007E525F" w:rsidP="00DD68B5">
            <w:pPr>
              <w:jc w:val="center"/>
              <w:rPr>
                <w:rFonts w:ascii="Calibri" w:eastAsia="Times New Roman" w:hAnsi="Calibri" w:cs="Microsoft Sans Serif"/>
                <w:b/>
                <w:color w:val="FFFFFF" w:themeColor="background1"/>
                <w:sz w:val="20"/>
                <w:szCs w:val="20"/>
              </w:rPr>
            </w:pPr>
            <w:r w:rsidRPr="00185E7E">
              <w:rPr>
                <w:rFonts w:ascii="Calibri" w:eastAsia="Times New Roman" w:hAnsi="Calibri" w:cs="Microsoft Sans Serif"/>
                <w:b/>
                <w:color w:val="FFFFFF" w:themeColor="background1"/>
                <w:sz w:val="20"/>
                <w:szCs w:val="20"/>
              </w:rPr>
              <w:t>Respons</w:t>
            </w:r>
            <w:r>
              <w:rPr>
                <w:rFonts w:ascii="Calibri" w:eastAsia="Times New Roman" w:hAnsi="Calibri" w:cs="Microsoft Sans Serif"/>
                <w:b/>
                <w:color w:val="FFFFFF" w:themeColor="background1"/>
                <w:sz w:val="20"/>
                <w:szCs w:val="20"/>
              </w:rPr>
              <w:t>e (#)</w:t>
            </w:r>
          </w:p>
        </w:tc>
      </w:tr>
      <w:tr w:rsidR="007E525F" w:rsidRPr="006E3C40" w14:paraId="16E39199" w14:textId="77777777" w:rsidTr="00DD68B5">
        <w:trPr>
          <w:trHeight w:val="255"/>
        </w:trPr>
        <w:tc>
          <w:tcPr>
            <w:tcW w:w="5418" w:type="dxa"/>
            <w:tcBorders>
              <w:top w:val="single" w:sz="12" w:space="0" w:color="auto"/>
            </w:tcBorders>
          </w:tcPr>
          <w:p w14:paraId="478921F8" w14:textId="77777777" w:rsidR="007E525F" w:rsidRPr="00185E7E" w:rsidRDefault="007E525F" w:rsidP="00DD68B5">
            <w:pPr>
              <w:ind w:left="144"/>
              <w:rPr>
                <w:rFonts w:ascii="Calibri" w:eastAsia="Times New Roman" w:hAnsi="Calibri" w:cs="Microsoft Sans Serif"/>
                <w:sz w:val="20"/>
                <w:szCs w:val="20"/>
              </w:rPr>
            </w:pPr>
            <w:r>
              <w:rPr>
                <w:rFonts w:ascii="Calibri" w:eastAsia="Times New Roman" w:hAnsi="Calibri" w:cs="Microsoft Sans Serif"/>
                <w:sz w:val="20"/>
                <w:szCs w:val="20"/>
              </w:rPr>
              <w:t>Yes</w:t>
            </w:r>
          </w:p>
        </w:tc>
        <w:tc>
          <w:tcPr>
            <w:tcW w:w="1971" w:type="dxa"/>
            <w:tcBorders>
              <w:top w:val="single" w:sz="12" w:space="0" w:color="auto"/>
            </w:tcBorders>
            <w:noWrap/>
            <w:vAlign w:val="center"/>
          </w:tcPr>
          <w:p w14:paraId="72E90D38" w14:textId="1EB61360" w:rsidR="007E525F" w:rsidRPr="006E3C40" w:rsidRDefault="007E525F" w:rsidP="00DD68B5">
            <w:pPr>
              <w:jc w:val="center"/>
              <w:rPr>
                <w:rFonts w:ascii="Calibri" w:eastAsia="Times New Roman" w:hAnsi="Calibri" w:cs="Microsoft Sans Serif"/>
                <w:sz w:val="20"/>
                <w:szCs w:val="20"/>
              </w:rPr>
            </w:pPr>
            <w:r>
              <w:rPr>
                <w:rFonts w:ascii="Calibri" w:eastAsia="Times New Roman" w:hAnsi="Calibri" w:cs="Microsoft Sans Serif"/>
                <w:sz w:val="20"/>
                <w:szCs w:val="20"/>
              </w:rPr>
              <w:t>0</w:t>
            </w:r>
          </w:p>
        </w:tc>
        <w:tc>
          <w:tcPr>
            <w:tcW w:w="1971" w:type="dxa"/>
            <w:tcBorders>
              <w:top w:val="single" w:sz="12" w:space="0" w:color="auto"/>
            </w:tcBorders>
            <w:noWrap/>
            <w:vAlign w:val="center"/>
          </w:tcPr>
          <w:p w14:paraId="71AD0D49" w14:textId="5970C089" w:rsidR="007E525F" w:rsidRPr="006E3C40" w:rsidRDefault="007E525F" w:rsidP="00DD68B5">
            <w:pPr>
              <w:jc w:val="center"/>
              <w:rPr>
                <w:rFonts w:ascii="Calibri" w:eastAsia="Times New Roman" w:hAnsi="Calibri" w:cs="Microsoft Sans Serif"/>
                <w:sz w:val="20"/>
                <w:szCs w:val="20"/>
              </w:rPr>
            </w:pPr>
            <w:r>
              <w:rPr>
                <w:rFonts w:ascii="Calibri" w:eastAsia="Times New Roman" w:hAnsi="Calibri" w:cs="Microsoft Sans Serif"/>
                <w:sz w:val="20"/>
                <w:szCs w:val="20"/>
              </w:rPr>
              <w:t>0</w:t>
            </w:r>
          </w:p>
        </w:tc>
      </w:tr>
      <w:tr w:rsidR="007E525F" w:rsidRPr="006E3C40" w14:paraId="0218B933" w14:textId="77777777" w:rsidTr="00DD68B5">
        <w:trPr>
          <w:trHeight w:val="255"/>
        </w:trPr>
        <w:tc>
          <w:tcPr>
            <w:tcW w:w="5418" w:type="dxa"/>
          </w:tcPr>
          <w:p w14:paraId="33555999" w14:textId="77777777" w:rsidR="007E525F" w:rsidRPr="00185E7E" w:rsidRDefault="007E525F" w:rsidP="00DD68B5">
            <w:pPr>
              <w:ind w:left="144"/>
              <w:rPr>
                <w:rFonts w:ascii="Calibri" w:eastAsia="Times New Roman" w:hAnsi="Calibri" w:cs="Microsoft Sans Serif"/>
                <w:sz w:val="20"/>
                <w:szCs w:val="20"/>
              </w:rPr>
            </w:pPr>
            <w:r>
              <w:rPr>
                <w:rFonts w:ascii="Calibri" w:eastAsia="Times New Roman" w:hAnsi="Calibri" w:cs="Microsoft Sans Serif"/>
                <w:sz w:val="20"/>
                <w:szCs w:val="20"/>
              </w:rPr>
              <w:t>Not Sure or Do not Know</w:t>
            </w:r>
          </w:p>
        </w:tc>
        <w:tc>
          <w:tcPr>
            <w:tcW w:w="1971" w:type="dxa"/>
            <w:noWrap/>
            <w:vAlign w:val="center"/>
          </w:tcPr>
          <w:p w14:paraId="6C5B1334" w14:textId="4A121567" w:rsidR="007E525F" w:rsidRPr="006E3C40" w:rsidRDefault="007E525F" w:rsidP="00DD68B5">
            <w:pPr>
              <w:jc w:val="center"/>
              <w:rPr>
                <w:rFonts w:ascii="Calibri" w:eastAsia="Times New Roman" w:hAnsi="Calibri" w:cs="Microsoft Sans Serif"/>
                <w:sz w:val="20"/>
                <w:szCs w:val="20"/>
              </w:rPr>
            </w:pPr>
            <w:r>
              <w:rPr>
                <w:rFonts w:ascii="Calibri" w:eastAsia="Times New Roman" w:hAnsi="Calibri" w:cs="Microsoft Sans Serif"/>
                <w:sz w:val="20"/>
                <w:szCs w:val="20"/>
              </w:rPr>
              <w:t>40</w:t>
            </w:r>
          </w:p>
        </w:tc>
        <w:tc>
          <w:tcPr>
            <w:tcW w:w="1971" w:type="dxa"/>
            <w:noWrap/>
            <w:vAlign w:val="center"/>
          </w:tcPr>
          <w:p w14:paraId="7CFC9CCF" w14:textId="02830222" w:rsidR="007E525F" w:rsidRPr="006E3C40" w:rsidRDefault="007E525F" w:rsidP="00DD68B5">
            <w:pPr>
              <w:jc w:val="center"/>
              <w:rPr>
                <w:rFonts w:ascii="Calibri" w:eastAsia="Times New Roman" w:hAnsi="Calibri" w:cs="Microsoft Sans Serif"/>
                <w:sz w:val="20"/>
                <w:szCs w:val="20"/>
              </w:rPr>
            </w:pPr>
            <w:r>
              <w:rPr>
                <w:rFonts w:ascii="Calibri" w:eastAsia="Times New Roman" w:hAnsi="Calibri" w:cs="Microsoft Sans Serif"/>
                <w:sz w:val="20"/>
                <w:szCs w:val="20"/>
              </w:rPr>
              <w:t>4</w:t>
            </w:r>
          </w:p>
        </w:tc>
      </w:tr>
      <w:tr w:rsidR="007E525F" w:rsidRPr="006E3C40" w14:paraId="06537FA8" w14:textId="77777777" w:rsidTr="00DD68B5">
        <w:trPr>
          <w:trHeight w:val="255"/>
        </w:trPr>
        <w:tc>
          <w:tcPr>
            <w:tcW w:w="5418" w:type="dxa"/>
          </w:tcPr>
          <w:p w14:paraId="098580B8" w14:textId="77777777" w:rsidR="007E525F" w:rsidRPr="00185E7E" w:rsidRDefault="007E525F" w:rsidP="00DD68B5">
            <w:pPr>
              <w:ind w:left="144"/>
              <w:rPr>
                <w:rFonts w:ascii="Calibri" w:eastAsia="Times New Roman" w:hAnsi="Calibri" w:cs="Microsoft Sans Serif"/>
                <w:sz w:val="20"/>
                <w:szCs w:val="20"/>
              </w:rPr>
            </w:pPr>
            <w:r>
              <w:rPr>
                <w:rFonts w:ascii="Calibri" w:eastAsia="Times New Roman" w:hAnsi="Calibri" w:cs="Microsoft Sans Serif"/>
                <w:sz w:val="20"/>
                <w:szCs w:val="20"/>
              </w:rPr>
              <w:t>No</w:t>
            </w:r>
          </w:p>
        </w:tc>
        <w:tc>
          <w:tcPr>
            <w:tcW w:w="1971" w:type="dxa"/>
            <w:noWrap/>
            <w:vAlign w:val="center"/>
          </w:tcPr>
          <w:p w14:paraId="61A7C63F" w14:textId="32CBEDDB" w:rsidR="007E525F" w:rsidRPr="006E3C40" w:rsidRDefault="007E525F" w:rsidP="00DD68B5">
            <w:pPr>
              <w:jc w:val="center"/>
              <w:rPr>
                <w:rFonts w:ascii="Calibri" w:eastAsia="Times New Roman" w:hAnsi="Calibri" w:cs="Microsoft Sans Serif"/>
                <w:sz w:val="20"/>
                <w:szCs w:val="20"/>
              </w:rPr>
            </w:pPr>
            <w:r>
              <w:rPr>
                <w:rFonts w:ascii="Calibri" w:eastAsia="Times New Roman" w:hAnsi="Calibri" w:cs="Microsoft Sans Serif"/>
                <w:sz w:val="20"/>
                <w:szCs w:val="20"/>
              </w:rPr>
              <w:t>60</w:t>
            </w:r>
          </w:p>
        </w:tc>
        <w:tc>
          <w:tcPr>
            <w:tcW w:w="1971" w:type="dxa"/>
            <w:noWrap/>
            <w:vAlign w:val="center"/>
          </w:tcPr>
          <w:p w14:paraId="7C6D4095" w14:textId="78D448C1" w:rsidR="007E525F" w:rsidRPr="006E3C40" w:rsidRDefault="007E525F" w:rsidP="00DD68B5">
            <w:pPr>
              <w:jc w:val="center"/>
              <w:rPr>
                <w:rFonts w:ascii="Calibri" w:eastAsia="Times New Roman" w:hAnsi="Calibri" w:cs="Microsoft Sans Serif"/>
                <w:sz w:val="20"/>
                <w:szCs w:val="20"/>
              </w:rPr>
            </w:pPr>
            <w:r>
              <w:rPr>
                <w:rFonts w:ascii="Calibri" w:eastAsia="Times New Roman" w:hAnsi="Calibri" w:cs="Microsoft Sans Serif"/>
                <w:sz w:val="20"/>
                <w:szCs w:val="20"/>
              </w:rPr>
              <w:t>6</w:t>
            </w:r>
          </w:p>
        </w:tc>
      </w:tr>
    </w:tbl>
    <w:p w14:paraId="2EF59AE6" w14:textId="77777777" w:rsidR="000A6F67" w:rsidRPr="007E525F" w:rsidRDefault="000A6F67" w:rsidP="007E525F">
      <w:pPr>
        <w:autoSpaceDE w:val="0"/>
        <w:autoSpaceDN w:val="0"/>
        <w:adjustRightInd w:val="0"/>
        <w:spacing w:after="0" w:line="240" w:lineRule="auto"/>
        <w:rPr>
          <w:rFonts w:ascii="Calibri" w:eastAsia="Times New Roman" w:hAnsi="Calibri" w:cs="Microsoft Sans Serif"/>
          <w:i/>
          <w:sz w:val="20"/>
          <w:szCs w:val="20"/>
        </w:rPr>
      </w:pPr>
    </w:p>
    <w:p w14:paraId="27901DE9" w14:textId="3021D1B7" w:rsidR="007E525F" w:rsidRPr="007E525F" w:rsidRDefault="000A6F67" w:rsidP="007E525F">
      <w:pPr>
        <w:pStyle w:val="ListParagraph"/>
        <w:numPr>
          <w:ilvl w:val="0"/>
          <w:numId w:val="37"/>
        </w:numPr>
        <w:autoSpaceDE w:val="0"/>
        <w:autoSpaceDN w:val="0"/>
        <w:adjustRightInd w:val="0"/>
        <w:spacing w:after="0" w:line="240" w:lineRule="auto"/>
        <w:rPr>
          <w:rFonts w:ascii="Calibri" w:eastAsia="Times New Roman" w:hAnsi="Calibri" w:cs="Microsoft Sans Serif"/>
          <w:i/>
          <w:sz w:val="20"/>
          <w:szCs w:val="20"/>
        </w:rPr>
      </w:pPr>
      <w:r w:rsidRPr="000A6F67">
        <w:rPr>
          <w:rFonts w:cstheme="minorHAnsi"/>
          <w:bCs/>
          <w:i/>
        </w:rPr>
        <w:t xml:space="preserve">Certain conditions exclude patients from </w:t>
      </w:r>
      <w:r w:rsidR="007E525F">
        <w:rPr>
          <w:rFonts w:cstheme="minorHAnsi"/>
          <w:bCs/>
          <w:i/>
        </w:rPr>
        <w:t>NQF #0513</w:t>
      </w:r>
      <w:r w:rsidRPr="000A6F67">
        <w:rPr>
          <w:rFonts w:cstheme="minorHAnsi"/>
          <w:bCs/>
          <w:i/>
        </w:rPr>
        <w:t xml:space="preserve"> as thorax CT studies with and without contrast may be appropriate for these patients. For this measure, indications for measure exclusion include any patients with diagnosis codes from the following categories.</w:t>
      </w:r>
    </w:p>
    <w:tbl>
      <w:tblPr>
        <w:tblStyle w:val="TableGrid"/>
        <w:tblW w:w="9360" w:type="dxa"/>
        <w:tblBorders>
          <w:top w:val="single" w:sz="12" w:space="0" w:color="auto"/>
          <w:left w:val="single" w:sz="12" w:space="0" w:color="auto"/>
          <w:bottom w:val="single" w:sz="12" w:space="0" w:color="auto"/>
          <w:right w:val="single" w:sz="12" w:space="0" w:color="auto"/>
          <w:insideH w:val="single" w:sz="8" w:space="0" w:color="auto"/>
          <w:insideV w:val="dashed" w:sz="4" w:space="0" w:color="auto"/>
        </w:tblBorders>
        <w:tblLayout w:type="fixed"/>
        <w:tblLook w:val="04A0" w:firstRow="1" w:lastRow="0" w:firstColumn="1" w:lastColumn="0" w:noHBand="0" w:noVBand="1"/>
      </w:tblPr>
      <w:tblGrid>
        <w:gridCol w:w="4248"/>
        <w:gridCol w:w="1704"/>
        <w:gridCol w:w="1704"/>
        <w:gridCol w:w="1704"/>
      </w:tblGrid>
      <w:tr w:rsidR="007E525F" w:rsidRPr="006E3C40" w14:paraId="32789AA1" w14:textId="77777777" w:rsidTr="00DD68B5">
        <w:trPr>
          <w:trHeight w:val="255"/>
          <w:tblHeader/>
        </w:trPr>
        <w:tc>
          <w:tcPr>
            <w:tcW w:w="4248" w:type="dxa"/>
            <w:tcBorders>
              <w:top w:val="single" w:sz="12" w:space="0" w:color="auto"/>
              <w:bottom w:val="single" w:sz="12" w:space="0" w:color="auto"/>
              <w:right w:val="nil"/>
            </w:tcBorders>
            <w:shd w:val="clear" w:color="auto" w:fill="808080" w:themeFill="background1" w:themeFillShade="80"/>
          </w:tcPr>
          <w:p w14:paraId="5363C25C" w14:textId="77777777" w:rsidR="007E525F" w:rsidRPr="00185E7E" w:rsidRDefault="007E525F" w:rsidP="00DD68B5">
            <w:pPr>
              <w:jc w:val="center"/>
              <w:rPr>
                <w:rFonts w:ascii="Calibri" w:eastAsia="Times New Roman" w:hAnsi="Calibri" w:cs="Microsoft Sans Serif"/>
                <w:b/>
                <w:color w:val="FFFFFF" w:themeColor="background1"/>
                <w:sz w:val="20"/>
                <w:szCs w:val="20"/>
              </w:rPr>
            </w:pPr>
            <w:r w:rsidRPr="00185E7E">
              <w:rPr>
                <w:rFonts w:ascii="Calibri" w:eastAsia="Times New Roman" w:hAnsi="Calibri" w:cs="Microsoft Sans Serif"/>
                <w:b/>
                <w:color w:val="FFFFFF" w:themeColor="background1"/>
                <w:sz w:val="20"/>
                <w:szCs w:val="20"/>
              </w:rPr>
              <w:t>Response Option</w:t>
            </w:r>
          </w:p>
        </w:tc>
        <w:tc>
          <w:tcPr>
            <w:tcW w:w="1704" w:type="dxa"/>
            <w:tcBorders>
              <w:top w:val="single" w:sz="12" w:space="0" w:color="auto"/>
              <w:left w:val="nil"/>
              <w:bottom w:val="single" w:sz="12" w:space="0" w:color="auto"/>
              <w:right w:val="nil"/>
            </w:tcBorders>
            <w:shd w:val="clear" w:color="auto" w:fill="808080" w:themeFill="background1" w:themeFillShade="80"/>
            <w:noWrap/>
          </w:tcPr>
          <w:p w14:paraId="352430BE" w14:textId="77777777" w:rsidR="007E525F" w:rsidRPr="00185E7E" w:rsidRDefault="007E525F" w:rsidP="00DD68B5">
            <w:pPr>
              <w:jc w:val="center"/>
              <w:rPr>
                <w:rFonts w:ascii="Calibri" w:eastAsia="Times New Roman" w:hAnsi="Calibri" w:cs="Microsoft Sans Serif"/>
                <w:b/>
                <w:color w:val="FFFFFF" w:themeColor="background1"/>
                <w:sz w:val="20"/>
                <w:szCs w:val="20"/>
              </w:rPr>
            </w:pPr>
            <w:r>
              <w:rPr>
                <w:rFonts w:ascii="Calibri" w:eastAsia="Times New Roman" w:hAnsi="Calibri" w:cs="Microsoft Sans Serif"/>
                <w:b/>
                <w:color w:val="FFFFFF" w:themeColor="background1"/>
                <w:sz w:val="20"/>
                <w:szCs w:val="20"/>
              </w:rPr>
              <w:t>Keep this Exclusion</w:t>
            </w:r>
          </w:p>
        </w:tc>
        <w:tc>
          <w:tcPr>
            <w:tcW w:w="1704" w:type="dxa"/>
            <w:tcBorders>
              <w:top w:val="single" w:sz="12" w:space="0" w:color="auto"/>
              <w:left w:val="nil"/>
              <w:bottom w:val="single" w:sz="12" w:space="0" w:color="auto"/>
              <w:right w:val="nil"/>
            </w:tcBorders>
            <w:shd w:val="clear" w:color="auto" w:fill="808080" w:themeFill="background1" w:themeFillShade="80"/>
          </w:tcPr>
          <w:p w14:paraId="486EC363" w14:textId="77777777" w:rsidR="007E525F" w:rsidRPr="00185E7E" w:rsidRDefault="007E525F" w:rsidP="00DD68B5">
            <w:pPr>
              <w:jc w:val="center"/>
              <w:rPr>
                <w:rFonts w:ascii="Calibri" w:eastAsia="Times New Roman" w:hAnsi="Calibri" w:cs="Microsoft Sans Serif"/>
                <w:b/>
                <w:color w:val="FFFFFF" w:themeColor="background1"/>
                <w:sz w:val="20"/>
                <w:szCs w:val="20"/>
              </w:rPr>
            </w:pPr>
            <w:r>
              <w:rPr>
                <w:rFonts w:ascii="Calibri" w:eastAsia="Times New Roman" w:hAnsi="Calibri" w:cs="Microsoft Sans Serif"/>
                <w:b/>
                <w:color w:val="FFFFFF" w:themeColor="background1"/>
                <w:sz w:val="20"/>
                <w:szCs w:val="20"/>
              </w:rPr>
              <w:t>Remove this Exclusion</w:t>
            </w:r>
          </w:p>
        </w:tc>
        <w:tc>
          <w:tcPr>
            <w:tcW w:w="1704" w:type="dxa"/>
            <w:tcBorders>
              <w:top w:val="single" w:sz="12" w:space="0" w:color="auto"/>
              <w:left w:val="nil"/>
              <w:bottom w:val="single" w:sz="12" w:space="0" w:color="auto"/>
            </w:tcBorders>
            <w:shd w:val="clear" w:color="auto" w:fill="808080" w:themeFill="background1" w:themeFillShade="80"/>
          </w:tcPr>
          <w:p w14:paraId="5C4A890D" w14:textId="77777777" w:rsidR="007E525F" w:rsidRPr="00185E7E" w:rsidRDefault="007E525F" w:rsidP="00DD68B5">
            <w:pPr>
              <w:jc w:val="center"/>
              <w:rPr>
                <w:rFonts w:ascii="Calibri" w:eastAsia="Times New Roman" w:hAnsi="Calibri" w:cs="Microsoft Sans Serif"/>
                <w:b/>
                <w:color w:val="FFFFFF" w:themeColor="background1"/>
                <w:sz w:val="20"/>
                <w:szCs w:val="20"/>
              </w:rPr>
            </w:pPr>
            <w:r>
              <w:rPr>
                <w:rFonts w:ascii="Calibri" w:eastAsia="Times New Roman" w:hAnsi="Calibri" w:cs="Microsoft Sans Serif"/>
                <w:b/>
                <w:color w:val="FFFFFF" w:themeColor="background1"/>
                <w:sz w:val="20"/>
                <w:szCs w:val="20"/>
              </w:rPr>
              <w:t>Do not Know or Not Applicable</w:t>
            </w:r>
          </w:p>
        </w:tc>
      </w:tr>
      <w:tr w:rsidR="007E525F" w:rsidRPr="006E3C40" w14:paraId="5A1616FF" w14:textId="77777777" w:rsidTr="00DD68B5">
        <w:trPr>
          <w:trHeight w:val="255"/>
        </w:trPr>
        <w:tc>
          <w:tcPr>
            <w:tcW w:w="4248" w:type="dxa"/>
            <w:tcBorders>
              <w:top w:val="single" w:sz="12" w:space="0" w:color="auto"/>
            </w:tcBorders>
            <w:vAlign w:val="bottom"/>
          </w:tcPr>
          <w:p w14:paraId="57D0E356" w14:textId="163AE01A" w:rsidR="007E525F" w:rsidRPr="00185E7E" w:rsidRDefault="007E525F" w:rsidP="00DD68B5">
            <w:pPr>
              <w:ind w:left="144"/>
              <w:rPr>
                <w:rFonts w:ascii="Calibri" w:eastAsia="Times New Roman" w:hAnsi="Calibri" w:cs="Microsoft Sans Serif"/>
                <w:sz w:val="20"/>
                <w:szCs w:val="20"/>
              </w:rPr>
            </w:pPr>
            <w:r w:rsidRPr="007E525F">
              <w:rPr>
                <w:rFonts w:ascii="Calibri" w:eastAsia="Times New Roman" w:hAnsi="Calibri" w:cs="Microsoft Sans Serif"/>
                <w:sz w:val="20"/>
                <w:szCs w:val="20"/>
              </w:rPr>
              <w:t>Internal Injury of Chest, Abdomen, and Pelvis</w:t>
            </w:r>
          </w:p>
        </w:tc>
        <w:tc>
          <w:tcPr>
            <w:tcW w:w="1704" w:type="dxa"/>
            <w:tcBorders>
              <w:top w:val="single" w:sz="12" w:space="0" w:color="auto"/>
            </w:tcBorders>
            <w:shd w:val="clear" w:color="auto" w:fill="auto"/>
            <w:noWrap/>
            <w:vAlign w:val="center"/>
          </w:tcPr>
          <w:p w14:paraId="03AE33B6" w14:textId="1B8B7DEC"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6</w:t>
            </w:r>
          </w:p>
        </w:tc>
        <w:tc>
          <w:tcPr>
            <w:tcW w:w="1704" w:type="dxa"/>
            <w:tcBorders>
              <w:top w:val="single" w:sz="12" w:space="0" w:color="auto"/>
            </w:tcBorders>
            <w:shd w:val="clear" w:color="auto" w:fill="auto"/>
            <w:vAlign w:val="center"/>
          </w:tcPr>
          <w:p w14:paraId="4D027BF2" w14:textId="77777777"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0</w:t>
            </w:r>
          </w:p>
        </w:tc>
        <w:tc>
          <w:tcPr>
            <w:tcW w:w="1704" w:type="dxa"/>
            <w:tcBorders>
              <w:top w:val="single" w:sz="12" w:space="0" w:color="auto"/>
            </w:tcBorders>
            <w:shd w:val="clear" w:color="auto" w:fill="auto"/>
            <w:vAlign w:val="center"/>
          </w:tcPr>
          <w:p w14:paraId="7359E0E8" w14:textId="54E38940"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4</w:t>
            </w:r>
          </w:p>
        </w:tc>
      </w:tr>
      <w:tr w:rsidR="007E525F" w:rsidRPr="006E3C40" w14:paraId="6DA89802" w14:textId="77777777" w:rsidTr="00DD68B5">
        <w:trPr>
          <w:trHeight w:val="255"/>
        </w:trPr>
        <w:tc>
          <w:tcPr>
            <w:tcW w:w="4248" w:type="dxa"/>
            <w:vAlign w:val="bottom"/>
          </w:tcPr>
          <w:p w14:paraId="1C7D1213" w14:textId="74B72C81" w:rsidR="007E525F" w:rsidRPr="00185E7E" w:rsidRDefault="007E525F" w:rsidP="00DD68B5">
            <w:pPr>
              <w:ind w:left="144"/>
              <w:rPr>
                <w:rFonts w:ascii="Calibri" w:eastAsia="Times New Roman" w:hAnsi="Calibri" w:cs="Microsoft Sans Serif"/>
                <w:sz w:val="20"/>
                <w:szCs w:val="20"/>
              </w:rPr>
            </w:pPr>
            <w:r w:rsidRPr="007E525F">
              <w:rPr>
                <w:rFonts w:ascii="Calibri" w:eastAsia="Times New Roman" w:hAnsi="Calibri" w:cs="Microsoft Sans Serif"/>
                <w:sz w:val="20"/>
                <w:szCs w:val="20"/>
              </w:rPr>
              <w:t>Injury to Blood Vessels</w:t>
            </w:r>
          </w:p>
        </w:tc>
        <w:tc>
          <w:tcPr>
            <w:tcW w:w="1704" w:type="dxa"/>
            <w:shd w:val="clear" w:color="auto" w:fill="auto"/>
            <w:noWrap/>
            <w:vAlign w:val="center"/>
          </w:tcPr>
          <w:p w14:paraId="052B29CA" w14:textId="7EE1C423"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6</w:t>
            </w:r>
          </w:p>
        </w:tc>
        <w:tc>
          <w:tcPr>
            <w:tcW w:w="1704" w:type="dxa"/>
            <w:shd w:val="clear" w:color="auto" w:fill="auto"/>
            <w:vAlign w:val="center"/>
          </w:tcPr>
          <w:p w14:paraId="63EED76A" w14:textId="77777777"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0</w:t>
            </w:r>
          </w:p>
        </w:tc>
        <w:tc>
          <w:tcPr>
            <w:tcW w:w="1704" w:type="dxa"/>
            <w:shd w:val="clear" w:color="auto" w:fill="auto"/>
            <w:vAlign w:val="center"/>
          </w:tcPr>
          <w:p w14:paraId="5CCADDB7" w14:textId="2058C713" w:rsidR="007E525F" w:rsidRPr="006E3C40"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4</w:t>
            </w:r>
          </w:p>
        </w:tc>
      </w:tr>
      <w:tr w:rsidR="007E525F" w:rsidRPr="006E3C40" w14:paraId="5181836B" w14:textId="77777777" w:rsidTr="00DD68B5">
        <w:trPr>
          <w:trHeight w:val="255"/>
        </w:trPr>
        <w:tc>
          <w:tcPr>
            <w:tcW w:w="4248" w:type="dxa"/>
            <w:vAlign w:val="center"/>
          </w:tcPr>
          <w:p w14:paraId="04F67148" w14:textId="08FFA6FF" w:rsidR="007E525F" w:rsidRDefault="007E525F" w:rsidP="00DD68B5">
            <w:pPr>
              <w:ind w:left="144"/>
              <w:rPr>
                <w:rFonts w:ascii="Calibri" w:eastAsia="Times New Roman" w:hAnsi="Calibri" w:cs="Microsoft Sans Serif"/>
                <w:sz w:val="20"/>
                <w:szCs w:val="20"/>
              </w:rPr>
            </w:pPr>
            <w:r>
              <w:rPr>
                <w:rFonts w:ascii="Calibri" w:hAnsi="Calibri" w:cs="Microsoft Sans Serif"/>
                <w:sz w:val="20"/>
                <w:szCs w:val="20"/>
              </w:rPr>
              <w:t>Crushing Injury</w:t>
            </w:r>
          </w:p>
        </w:tc>
        <w:tc>
          <w:tcPr>
            <w:tcW w:w="1704" w:type="dxa"/>
            <w:shd w:val="clear" w:color="auto" w:fill="auto"/>
            <w:noWrap/>
            <w:vAlign w:val="center"/>
          </w:tcPr>
          <w:p w14:paraId="7D6479EB" w14:textId="2D99E2F4" w:rsidR="007E525F"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6</w:t>
            </w:r>
          </w:p>
        </w:tc>
        <w:tc>
          <w:tcPr>
            <w:tcW w:w="1704" w:type="dxa"/>
            <w:shd w:val="clear" w:color="auto" w:fill="auto"/>
            <w:vAlign w:val="center"/>
          </w:tcPr>
          <w:p w14:paraId="12A6375E" w14:textId="77777777" w:rsidR="007E525F"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0</w:t>
            </w:r>
          </w:p>
        </w:tc>
        <w:tc>
          <w:tcPr>
            <w:tcW w:w="1704" w:type="dxa"/>
            <w:shd w:val="clear" w:color="auto" w:fill="auto"/>
            <w:vAlign w:val="center"/>
          </w:tcPr>
          <w:p w14:paraId="0DA6C288" w14:textId="292E0A25" w:rsidR="007E525F" w:rsidRDefault="007E525F" w:rsidP="00DD68B5">
            <w:pPr>
              <w:jc w:val="center"/>
              <w:rPr>
                <w:rFonts w:ascii="Calibri" w:eastAsia="Times New Roman" w:hAnsi="Calibri" w:cs="Microsoft Sans Serif"/>
                <w:sz w:val="20"/>
                <w:szCs w:val="20"/>
              </w:rPr>
            </w:pPr>
            <w:r>
              <w:rPr>
                <w:rFonts w:ascii="Calibri" w:hAnsi="Calibri" w:cs="Microsoft Sans Serif"/>
                <w:sz w:val="20"/>
                <w:szCs w:val="20"/>
              </w:rPr>
              <w:t>4</w:t>
            </w:r>
          </w:p>
        </w:tc>
      </w:tr>
    </w:tbl>
    <w:p w14:paraId="78700CEB" w14:textId="77777777" w:rsidR="000A6F67" w:rsidRPr="00E0471B" w:rsidRDefault="000A6F67" w:rsidP="00E0471B">
      <w:pPr>
        <w:autoSpaceDE w:val="0"/>
        <w:autoSpaceDN w:val="0"/>
        <w:adjustRightInd w:val="0"/>
        <w:spacing w:after="0" w:line="240" w:lineRule="auto"/>
        <w:rPr>
          <w:rFonts w:ascii="Calibri" w:eastAsia="Times New Roman" w:hAnsi="Calibri" w:cs="Microsoft Sans Serif"/>
          <w:sz w:val="20"/>
          <w:szCs w:val="20"/>
        </w:rPr>
      </w:pPr>
    </w:p>
    <w:p w14:paraId="6EED8B43" w14:textId="52559C22" w:rsidR="00D33C57" w:rsidRPr="00D33C57" w:rsidRDefault="00092566" w:rsidP="00D33C57">
      <w:pPr>
        <w:autoSpaceDE w:val="0"/>
        <w:autoSpaceDN w:val="0"/>
        <w:adjustRightInd w:val="0"/>
        <w:spacing w:after="0" w:line="240" w:lineRule="auto"/>
        <w:rPr>
          <w:rFonts w:cstheme="minorHAnsi"/>
          <w:bCs/>
        </w:rPr>
      </w:pPr>
      <w:r w:rsidRPr="00D33C57">
        <w:rPr>
          <w:rFonts w:cstheme="minorHAnsi"/>
          <w:b/>
          <w:bCs/>
        </w:rPr>
        <w:t>2b2.</w:t>
      </w:r>
      <w:r w:rsidR="007757CE" w:rsidRPr="00D33C57">
        <w:rPr>
          <w:rFonts w:cstheme="minorHAnsi"/>
          <w:b/>
          <w:bCs/>
        </w:rPr>
        <w:t xml:space="preserve">4. </w:t>
      </w:r>
      <w:proofErr w:type="gramStart"/>
      <w:r w:rsidR="000B2DF7" w:rsidRPr="00D33C57">
        <w:rPr>
          <w:rFonts w:cstheme="minorHAnsi"/>
          <w:b/>
          <w:bCs/>
        </w:rPr>
        <w:t>What</w:t>
      </w:r>
      <w:proofErr w:type="gramEnd"/>
      <w:r w:rsidR="000B2DF7" w:rsidRPr="00D33C57">
        <w:rPr>
          <w:rFonts w:cstheme="minorHAnsi"/>
          <w:b/>
          <w:bCs/>
        </w:rPr>
        <w:t xml:space="preserve"> is your interpretation of the results </w:t>
      </w:r>
      <w:r w:rsidR="007422FD" w:rsidRPr="00D33C57">
        <w:rPr>
          <w:rFonts w:cstheme="minorHAnsi"/>
          <w:b/>
          <w:bCs/>
        </w:rPr>
        <w:t>in terms of demonstrating validity</w:t>
      </w:r>
      <w:r w:rsidR="007422FD" w:rsidRPr="00D33C57">
        <w:rPr>
          <w:rFonts w:cstheme="minorHAnsi"/>
          <w:bCs/>
        </w:rPr>
        <w:t xml:space="preserve">? </w:t>
      </w:r>
      <w:r w:rsidR="000B2DF7" w:rsidRPr="00D33C57">
        <w:rPr>
          <w:rFonts w:cstheme="minorHAnsi"/>
          <w:bCs/>
        </w:rPr>
        <w:t>(i</w:t>
      </w:r>
      <w:r w:rsidR="000B2DF7" w:rsidRPr="00D33C57">
        <w:rPr>
          <w:rFonts w:cstheme="minorHAnsi"/>
          <w:bCs/>
          <w:i/>
        </w:rPr>
        <w:t>.e., what do the results mean and what are the norms for the test conducted</w:t>
      </w:r>
      <w:r w:rsidR="00A25024" w:rsidRPr="00D33C57">
        <w:rPr>
          <w:rFonts w:cstheme="minorHAnsi"/>
          <w:bCs/>
          <w:i/>
        </w:rPr>
        <w:t>?</w:t>
      </w:r>
      <w:r w:rsidR="000B2DF7" w:rsidRPr="00D33C57">
        <w:rPr>
          <w:rFonts w:cstheme="minorHAnsi"/>
          <w:bCs/>
        </w:rPr>
        <w:t>)</w:t>
      </w:r>
      <w:r w:rsidR="007422FD" w:rsidRPr="00D33C57">
        <w:rPr>
          <w:rFonts w:cstheme="minorHAnsi"/>
          <w:bCs/>
        </w:rPr>
        <w:br/>
      </w:r>
      <w:r w:rsidR="00D33C57" w:rsidRPr="00D33C57">
        <w:rPr>
          <w:rFonts w:cstheme="minorHAnsi"/>
          <w:bCs/>
        </w:rPr>
        <w:t xml:space="preserve">TEP members evaluated the face validity of </w:t>
      </w:r>
      <w:r w:rsidR="007E525F">
        <w:rPr>
          <w:rFonts w:cstheme="minorHAnsi"/>
          <w:bCs/>
        </w:rPr>
        <w:t>NQF #0513</w:t>
      </w:r>
      <w:r w:rsidR="00D33C57" w:rsidRPr="00D33C57">
        <w:rPr>
          <w:rFonts w:cstheme="minorHAnsi"/>
          <w:bCs/>
        </w:rPr>
        <w:t xml:space="preserve"> at the data-element and </w:t>
      </w:r>
      <w:r w:rsidR="0094766B">
        <w:rPr>
          <w:rFonts w:cstheme="minorHAnsi"/>
          <w:bCs/>
        </w:rPr>
        <w:t>measure-score level.</w:t>
      </w:r>
      <w:r w:rsidR="00D33C57" w:rsidRPr="00D33C57">
        <w:rPr>
          <w:rFonts w:cstheme="minorHAnsi"/>
          <w:bCs/>
        </w:rPr>
        <w:t xml:space="preserve"> </w:t>
      </w:r>
      <w:r w:rsidR="00E0471B">
        <w:rPr>
          <w:rFonts w:cstheme="minorHAnsi"/>
          <w:bCs/>
        </w:rPr>
        <w:t xml:space="preserve">For questions where TEP members provided a response of </w:t>
      </w:r>
      <w:r w:rsidR="00E0471B" w:rsidRPr="00E0471B">
        <w:rPr>
          <w:rFonts w:cstheme="minorHAnsi"/>
          <w:bCs/>
          <w:i/>
        </w:rPr>
        <w:t>Do Not Know</w:t>
      </w:r>
      <w:r w:rsidR="00E0471B">
        <w:rPr>
          <w:rFonts w:cstheme="minorHAnsi"/>
          <w:bCs/>
        </w:rPr>
        <w:t xml:space="preserve">, respondents did not feel they had the clinical knowledge to provide a definitive response. </w:t>
      </w:r>
      <w:r w:rsidR="0094766B">
        <w:rPr>
          <w:rFonts w:cstheme="minorHAnsi"/>
          <w:bCs/>
        </w:rPr>
        <w:t>Ninety</w:t>
      </w:r>
      <w:r w:rsidR="00D33C57" w:rsidRPr="00D33C57">
        <w:rPr>
          <w:rFonts w:cstheme="minorHAnsi"/>
          <w:bCs/>
        </w:rPr>
        <w:t xml:space="preserve"> percent of respondents </w:t>
      </w:r>
      <w:r w:rsidR="0094766B">
        <w:rPr>
          <w:rFonts w:cstheme="minorHAnsi"/>
          <w:bCs/>
        </w:rPr>
        <w:t xml:space="preserve">believe this measure </w:t>
      </w:r>
      <w:r w:rsidR="0094766B" w:rsidRPr="0094766B">
        <w:rPr>
          <w:rFonts w:cstheme="minorHAnsi"/>
          <w:bCs/>
        </w:rPr>
        <w:t>helps assess the inappropriate use of thorax CT studies with and without contrast (combined scan</w:t>
      </w:r>
      <w:r w:rsidR="002E0055">
        <w:rPr>
          <w:rFonts w:cstheme="minorHAnsi"/>
          <w:bCs/>
        </w:rPr>
        <w:t>s</w:t>
      </w:r>
      <w:r w:rsidR="0094766B" w:rsidRPr="0094766B">
        <w:rPr>
          <w:rFonts w:cstheme="minorHAnsi"/>
          <w:bCs/>
        </w:rPr>
        <w:t>)</w:t>
      </w:r>
      <w:r w:rsidR="00D33C57" w:rsidRPr="0094766B">
        <w:rPr>
          <w:rFonts w:cstheme="minorHAnsi"/>
          <w:bCs/>
        </w:rPr>
        <w:t>.</w:t>
      </w:r>
      <w:r w:rsidR="0094766B">
        <w:rPr>
          <w:rFonts w:cstheme="minorHAnsi"/>
          <w:bCs/>
        </w:rPr>
        <w:t xml:space="preserve"> Ninety</w:t>
      </w:r>
      <w:r w:rsidR="00D33C57" w:rsidRPr="00D33C57">
        <w:rPr>
          <w:rFonts w:cstheme="minorHAnsi"/>
          <w:bCs/>
        </w:rPr>
        <w:t xml:space="preserve"> percent of respondents also </w:t>
      </w:r>
      <w:r w:rsidR="0094766B">
        <w:rPr>
          <w:rFonts w:cstheme="minorHAnsi"/>
          <w:bCs/>
        </w:rPr>
        <w:t xml:space="preserve">believe that </w:t>
      </w:r>
      <w:r w:rsidR="007E525F">
        <w:rPr>
          <w:rFonts w:cstheme="minorHAnsi"/>
          <w:bCs/>
        </w:rPr>
        <w:t>NQF #0513</w:t>
      </w:r>
      <w:r w:rsidR="00D33C57" w:rsidRPr="00D33C57">
        <w:rPr>
          <w:rFonts w:cstheme="minorHAnsi"/>
          <w:bCs/>
        </w:rPr>
        <w:t xml:space="preserve"> </w:t>
      </w:r>
      <w:r w:rsidR="0094766B">
        <w:rPr>
          <w:rFonts w:cstheme="minorHAnsi"/>
          <w:bCs/>
        </w:rPr>
        <w:t xml:space="preserve">accurately </w:t>
      </w:r>
      <w:r w:rsidR="00D33C57" w:rsidRPr="00D33C57">
        <w:rPr>
          <w:rFonts w:cstheme="minorHAnsi"/>
          <w:bCs/>
        </w:rPr>
        <w:t xml:space="preserve">captures </w:t>
      </w:r>
      <w:r w:rsidR="0094766B" w:rsidRPr="0094766B">
        <w:rPr>
          <w:rFonts w:cstheme="minorHAnsi"/>
          <w:bCs/>
        </w:rPr>
        <w:t>Thorax CT tests performed (those with contrast, those without contrast, and those with/without contrast</w:t>
      </w:r>
      <w:r w:rsidR="0094766B">
        <w:rPr>
          <w:rFonts w:cstheme="minorHAnsi"/>
          <w:bCs/>
        </w:rPr>
        <w:t xml:space="preserve"> (combined studies)) </w:t>
      </w:r>
      <w:r w:rsidR="00D33C57" w:rsidRPr="00D33C57">
        <w:rPr>
          <w:rFonts w:cstheme="minorHAnsi"/>
          <w:bCs/>
        </w:rPr>
        <w:t xml:space="preserve">through claims data. </w:t>
      </w:r>
      <w:r w:rsidR="001E3A5A">
        <w:rPr>
          <w:rFonts w:cstheme="minorHAnsi"/>
          <w:bCs/>
        </w:rPr>
        <w:t xml:space="preserve">Sixty </w:t>
      </w:r>
      <w:r w:rsidR="00D33C57" w:rsidRPr="00D33C57">
        <w:rPr>
          <w:rFonts w:cstheme="minorHAnsi"/>
          <w:bCs/>
        </w:rPr>
        <w:t>per</w:t>
      </w:r>
      <w:r w:rsidR="001E3A5A">
        <w:rPr>
          <w:rFonts w:cstheme="minorHAnsi"/>
          <w:bCs/>
        </w:rPr>
        <w:t>cent do not foresee any challenges capturing exclusion through claims data</w:t>
      </w:r>
      <w:r w:rsidR="00D33C57" w:rsidRPr="00D33C57">
        <w:rPr>
          <w:rFonts w:cstheme="minorHAnsi"/>
          <w:bCs/>
        </w:rPr>
        <w:t xml:space="preserve">. The TEP members believe that none of the exclusion conditions should be removed. </w:t>
      </w:r>
    </w:p>
    <w:p w14:paraId="580D0D5C" w14:textId="77777777" w:rsidR="007E525F" w:rsidRDefault="007E525F" w:rsidP="00B81054">
      <w:pPr>
        <w:autoSpaceDE w:val="0"/>
        <w:autoSpaceDN w:val="0"/>
        <w:adjustRightInd w:val="0"/>
        <w:spacing w:after="0" w:line="240" w:lineRule="auto"/>
        <w:rPr>
          <w:rFonts w:cstheme="minorHAnsi"/>
          <w:bCs/>
        </w:rPr>
      </w:pPr>
    </w:p>
    <w:p w14:paraId="5AB09EB6" w14:textId="69325A58" w:rsidR="007422FD" w:rsidRPr="00A25024" w:rsidRDefault="00B81054" w:rsidP="00DB3627">
      <w:pPr>
        <w:autoSpaceDE w:val="0"/>
        <w:autoSpaceDN w:val="0"/>
        <w:adjustRightInd w:val="0"/>
        <w:spacing w:after="0" w:line="240" w:lineRule="auto"/>
        <w:rPr>
          <w:rFonts w:cstheme="minorHAnsi"/>
          <w:bCs/>
        </w:rPr>
      </w:pPr>
      <w:r>
        <w:rPr>
          <w:rFonts w:cstheme="minorHAnsi"/>
          <w:bCs/>
        </w:rPr>
        <w:t>Historically, measures that rely on claims data for calculation of performance are assumed to have strong face validity. This assumption of face validity is due in part to the rigor with which data are cleaned and audited prior to payment and subsequent use in measure calculation. For other public reporting programs for which payment is adjusted based on provider performance, few concerns about use of claims data for face validity have been raised.</w:t>
      </w:r>
    </w:p>
    <w:p w14:paraId="44C5A4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163F6F03"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p>
    <w:p w14:paraId="1EA673C9" w14:textId="77777777" w:rsidR="00001D73" w:rsidRDefault="00001D73" w:rsidP="00DB3627">
      <w:pPr>
        <w:autoSpaceDE w:val="0"/>
        <w:autoSpaceDN w:val="0"/>
        <w:adjustRightInd w:val="0"/>
        <w:spacing w:after="0" w:line="240" w:lineRule="auto"/>
        <w:rPr>
          <w:rFonts w:cstheme="minorHAnsi"/>
          <w:b/>
          <w:bCs/>
        </w:rPr>
      </w:pPr>
    </w:p>
    <w:p w14:paraId="0E8C59E5" w14:textId="0351CC7B" w:rsidR="00994CFB" w:rsidRDefault="00092566" w:rsidP="00994CFB">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proofErr w:type="gramStart"/>
      <w:r w:rsidR="007E525F">
        <w:rPr>
          <w:rFonts w:cstheme="minorHAnsi"/>
          <w:bCs/>
        </w:rPr>
        <w:t>)</w:t>
      </w:r>
      <w:proofErr w:type="gramEnd"/>
      <w:r w:rsidR="007E525F">
        <w:rPr>
          <w:rFonts w:cstheme="minorHAnsi"/>
          <w:bCs/>
        </w:rPr>
        <w:br/>
      </w:r>
      <w:r w:rsidR="00994CFB">
        <w:rPr>
          <w:rFonts w:cstheme="minorHAnsi"/>
          <w:bCs/>
        </w:rPr>
        <w:t xml:space="preserve">CORE and Lewin tested measure exclusions to determine the prevalence of each exclusion, by facility, and at an aggregate level. We also tested the effect of all exclusions to determine the total effect of measure exclusions on performance, both by reporting summary statistics and by calculating a spearman rank correlation coefficient. The analysis tested the following categories of measure exclusions in 2013 performance data: </w:t>
      </w:r>
    </w:p>
    <w:p w14:paraId="396158FE" w14:textId="77777777" w:rsidR="00994CFB" w:rsidRDefault="00994CFB" w:rsidP="00994CFB">
      <w:pPr>
        <w:pStyle w:val="ListParagraph"/>
        <w:numPr>
          <w:ilvl w:val="0"/>
          <w:numId w:val="32"/>
        </w:numPr>
        <w:autoSpaceDE w:val="0"/>
        <w:autoSpaceDN w:val="0"/>
        <w:adjustRightInd w:val="0"/>
        <w:spacing w:after="0" w:line="240" w:lineRule="auto"/>
        <w:rPr>
          <w:rFonts w:cstheme="minorHAnsi"/>
          <w:bCs/>
        </w:rPr>
      </w:pPr>
      <w:r>
        <w:rPr>
          <w:rFonts w:cstheme="minorHAnsi"/>
          <w:bCs/>
        </w:rPr>
        <w:t>Internal Injury of Chest, Abdomen, and Pelvis</w:t>
      </w:r>
    </w:p>
    <w:p w14:paraId="669FE7F4" w14:textId="77777777" w:rsidR="00994CFB" w:rsidRDefault="00994CFB" w:rsidP="00994CFB">
      <w:pPr>
        <w:pStyle w:val="ListParagraph"/>
        <w:numPr>
          <w:ilvl w:val="0"/>
          <w:numId w:val="32"/>
        </w:numPr>
        <w:autoSpaceDE w:val="0"/>
        <w:autoSpaceDN w:val="0"/>
        <w:adjustRightInd w:val="0"/>
        <w:spacing w:after="0" w:line="240" w:lineRule="auto"/>
        <w:rPr>
          <w:rFonts w:cstheme="minorHAnsi"/>
          <w:bCs/>
        </w:rPr>
      </w:pPr>
      <w:r>
        <w:rPr>
          <w:rFonts w:cstheme="minorHAnsi"/>
          <w:bCs/>
        </w:rPr>
        <w:t>Injury to Blood Vessels</w:t>
      </w:r>
    </w:p>
    <w:p w14:paraId="1F927A1F" w14:textId="77777777" w:rsidR="00994CFB" w:rsidRPr="006B560F" w:rsidRDefault="00994CFB" w:rsidP="00994CFB">
      <w:pPr>
        <w:pStyle w:val="ListParagraph"/>
        <w:numPr>
          <w:ilvl w:val="0"/>
          <w:numId w:val="32"/>
        </w:numPr>
        <w:autoSpaceDE w:val="0"/>
        <w:autoSpaceDN w:val="0"/>
        <w:adjustRightInd w:val="0"/>
        <w:spacing w:after="0" w:line="240" w:lineRule="auto"/>
        <w:rPr>
          <w:rFonts w:cstheme="minorHAnsi"/>
          <w:bCs/>
        </w:rPr>
      </w:pPr>
      <w:r>
        <w:rPr>
          <w:rFonts w:cstheme="minorHAnsi"/>
          <w:bCs/>
        </w:rPr>
        <w:t xml:space="preserve">Crushing Injury </w:t>
      </w:r>
    </w:p>
    <w:p w14:paraId="5163C21D" w14:textId="77777777" w:rsidR="00994CFB" w:rsidRDefault="00994CFB" w:rsidP="00994CFB">
      <w:pPr>
        <w:autoSpaceDE w:val="0"/>
        <w:autoSpaceDN w:val="0"/>
        <w:adjustRightInd w:val="0"/>
        <w:spacing w:after="0" w:line="240" w:lineRule="auto"/>
        <w:rPr>
          <w:rFonts w:cstheme="minorHAnsi"/>
          <w:bCs/>
        </w:rPr>
      </w:pPr>
    </w:p>
    <w:p w14:paraId="7B1ABDFB" w14:textId="77777777" w:rsidR="00994CFB" w:rsidRDefault="00994CFB" w:rsidP="00994CFB">
      <w:pPr>
        <w:autoSpaceDE w:val="0"/>
        <w:autoSpaceDN w:val="0"/>
        <w:adjustRightInd w:val="0"/>
        <w:spacing w:after="0" w:line="240" w:lineRule="auto"/>
        <w:rPr>
          <w:rFonts w:cstheme="minorHAnsi"/>
          <w:bCs/>
        </w:rPr>
      </w:pPr>
      <w:r>
        <w:rPr>
          <w:rFonts w:cstheme="minorHAnsi"/>
          <w:bCs/>
        </w:rPr>
        <w:t xml:space="preserve">Currently, the measure excludes patients with any one of the above-listed conditions. </w:t>
      </w:r>
    </w:p>
    <w:p w14:paraId="18936ABB" w14:textId="77777777" w:rsidR="00833325" w:rsidRPr="00A25024" w:rsidRDefault="00833325" w:rsidP="00DB3627">
      <w:pPr>
        <w:autoSpaceDE w:val="0"/>
        <w:autoSpaceDN w:val="0"/>
        <w:adjustRightInd w:val="0"/>
        <w:spacing w:after="0" w:line="240" w:lineRule="auto"/>
        <w:rPr>
          <w:rFonts w:cstheme="minorHAnsi"/>
          <w:bCs/>
        </w:rPr>
      </w:pPr>
    </w:p>
    <w:p w14:paraId="654BF8A1" w14:textId="7FA5B508" w:rsidR="00994CFB" w:rsidRDefault="00092566" w:rsidP="00994CFB">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994CFB">
        <w:rPr>
          <w:rFonts w:cstheme="minorHAnsi"/>
          <w:bCs/>
        </w:rPr>
        <w:t xml:space="preserve">CORE and Lewin examined overall frequencies and proportions of denominator cases excluded </w:t>
      </w:r>
      <w:proofErr w:type="gramStart"/>
      <w:r w:rsidR="00994CFB">
        <w:rPr>
          <w:rFonts w:cstheme="minorHAnsi"/>
          <w:bCs/>
        </w:rPr>
        <w:t>for each exclusion</w:t>
      </w:r>
      <w:proofErr w:type="gramEnd"/>
      <w:r w:rsidR="00994CFB">
        <w:rPr>
          <w:rFonts w:cstheme="minorHAnsi"/>
          <w:bCs/>
        </w:rPr>
        <w:t xml:space="preserve">, among all CT thorax studies, for a sample of </w:t>
      </w:r>
      <w:r w:rsidR="004770AF">
        <w:rPr>
          <w:rFonts w:cstheme="minorHAnsi"/>
          <w:bCs/>
        </w:rPr>
        <w:t>3,664</w:t>
      </w:r>
      <w:r w:rsidR="00994CFB">
        <w:rPr>
          <w:rFonts w:cstheme="minorHAnsi"/>
          <w:bCs/>
        </w:rPr>
        <w:t xml:space="preserve"> facilities meeting the minimum case count requirements in 2013, imposing no measure exclusions. The initial patient population included </w:t>
      </w:r>
      <w:r w:rsidR="004770AF" w:rsidRPr="004770AF">
        <w:rPr>
          <w:rFonts w:cstheme="minorHAnsi"/>
          <w:bCs/>
        </w:rPr>
        <w:t>1</w:t>
      </w:r>
      <w:r w:rsidR="004770AF">
        <w:rPr>
          <w:rFonts w:cstheme="minorHAnsi"/>
          <w:bCs/>
        </w:rPr>
        <w:t>,</w:t>
      </w:r>
      <w:r w:rsidR="004770AF" w:rsidRPr="004770AF">
        <w:rPr>
          <w:rFonts w:cstheme="minorHAnsi"/>
          <w:bCs/>
        </w:rPr>
        <w:t>644</w:t>
      </w:r>
      <w:r w:rsidR="004770AF">
        <w:rPr>
          <w:rFonts w:cstheme="minorHAnsi"/>
          <w:bCs/>
        </w:rPr>
        <w:t>,</w:t>
      </w:r>
      <w:r w:rsidR="004770AF" w:rsidRPr="004770AF">
        <w:rPr>
          <w:rFonts w:cstheme="minorHAnsi"/>
          <w:bCs/>
        </w:rPr>
        <w:t>708</w:t>
      </w:r>
      <w:r w:rsidR="00994CFB">
        <w:rPr>
          <w:rFonts w:cstheme="minorHAnsi"/>
          <w:bCs/>
        </w:rPr>
        <w:t xml:space="preserve"> CT thorax studies in facilities. The total number of exclusion occurrences exceeded the number of excluded cases because a single beneficiary might meet multiple exclusion criteria. </w:t>
      </w:r>
    </w:p>
    <w:p w14:paraId="30CAE406" w14:textId="77777777" w:rsidR="00994CFB" w:rsidRDefault="00994CFB" w:rsidP="00994CFB">
      <w:pPr>
        <w:autoSpaceDE w:val="0"/>
        <w:autoSpaceDN w:val="0"/>
        <w:adjustRightInd w:val="0"/>
        <w:spacing w:after="0" w:line="240" w:lineRule="auto"/>
        <w:rPr>
          <w:rFonts w:cstheme="minorHAnsi"/>
          <w:bCs/>
        </w:rPr>
      </w:pPr>
    </w:p>
    <w:tbl>
      <w:tblPr>
        <w:tblW w:w="9360" w:type="dxa"/>
        <w:jc w:val="center"/>
        <w:tblBorders>
          <w:top w:val="single" w:sz="12" w:space="0" w:color="auto"/>
          <w:left w:val="single" w:sz="12" w:space="0" w:color="auto"/>
          <w:bottom w:val="single" w:sz="12" w:space="0" w:color="auto"/>
          <w:right w:val="single" w:sz="12" w:space="0" w:color="auto"/>
          <w:insideH w:val="single" w:sz="8" w:space="0" w:color="auto"/>
        </w:tblBorders>
        <w:tblLayout w:type="fixed"/>
        <w:tblLook w:val="04A0" w:firstRow="1" w:lastRow="0" w:firstColumn="1" w:lastColumn="0" w:noHBand="0" w:noVBand="1"/>
      </w:tblPr>
      <w:tblGrid>
        <w:gridCol w:w="3420"/>
        <w:gridCol w:w="1440"/>
        <w:gridCol w:w="1440"/>
        <w:gridCol w:w="1020"/>
        <w:gridCol w:w="1020"/>
        <w:gridCol w:w="1020"/>
      </w:tblGrid>
      <w:tr w:rsidR="00994CFB" w:rsidRPr="00FC14D5" w14:paraId="70AF7C13" w14:textId="77777777" w:rsidTr="00994CFB">
        <w:trPr>
          <w:trHeight w:val="288"/>
          <w:tblHeader/>
          <w:jc w:val="center"/>
        </w:trPr>
        <w:tc>
          <w:tcPr>
            <w:tcW w:w="9360" w:type="dxa"/>
            <w:gridSpan w:val="6"/>
            <w:tcBorders>
              <w:top w:val="single" w:sz="12" w:space="0" w:color="auto"/>
              <w:bottom w:val="nil"/>
            </w:tcBorders>
            <w:shd w:val="clear" w:color="auto" w:fill="808080" w:themeFill="background1" w:themeFillShade="80"/>
            <w:vAlign w:val="center"/>
          </w:tcPr>
          <w:p w14:paraId="776B768A" w14:textId="77777777" w:rsidR="00994CFB" w:rsidRPr="00FC14D5" w:rsidRDefault="00994CFB" w:rsidP="00994CFB">
            <w:pPr>
              <w:spacing w:after="0" w:line="240" w:lineRule="auto"/>
              <w:jc w:val="center"/>
              <w:rPr>
                <w:b/>
                <w:color w:val="000000"/>
                <w:sz w:val="20"/>
                <w:szCs w:val="20"/>
              </w:rPr>
            </w:pPr>
            <w:r>
              <w:rPr>
                <w:b/>
                <w:color w:val="FFFFFF" w:themeColor="background1"/>
                <w:sz w:val="20"/>
                <w:szCs w:val="20"/>
              </w:rPr>
              <w:t>Facilities</w:t>
            </w:r>
          </w:p>
        </w:tc>
      </w:tr>
      <w:tr w:rsidR="00994CFB" w:rsidRPr="00FC14D5" w14:paraId="7801A220" w14:textId="77777777" w:rsidTr="00994CFB">
        <w:trPr>
          <w:trHeight w:val="288"/>
          <w:tblHeader/>
          <w:jc w:val="center"/>
        </w:trPr>
        <w:tc>
          <w:tcPr>
            <w:tcW w:w="3420" w:type="dxa"/>
            <w:vMerge w:val="restart"/>
            <w:tcBorders>
              <w:top w:val="nil"/>
              <w:bottom w:val="nil"/>
              <w:right w:val="single" w:sz="12" w:space="0" w:color="auto"/>
            </w:tcBorders>
            <w:shd w:val="clear" w:color="auto" w:fill="BFBFBF" w:themeFill="background1" w:themeFillShade="BF"/>
            <w:vAlign w:val="center"/>
          </w:tcPr>
          <w:p w14:paraId="1737CCFB" w14:textId="77777777" w:rsidR="00994CFB" w:rsidRPr="00FC14D5" w:rsidRDefault="00994CFB" w:rsidP="00994CFB">
            <w:pPr>
              <w:spacing w:after="0" w:line="240" w:lineRule="auto"/>
              <w:jc w:val="center"/>
              <w:rPr>
                <w:rFonts w:eastAsia="Times New Roman" w:cs="Times New Roman"/>
                <w:i/>
                <w:color w:val="000000"/>
                <w:sz w:val="20"/>
                <w:szCs w:val="20"/>
              </w:rPr>
            </w:pPr>
            <w:r w:rsidRPr="00FC14D5">
              <w:rPr>
                <w:rFonts w:eastAsia="Times New Roman" w:cs="Times New Roman"/>
                <w:i/>
                <w:color w:val="000000"/>
                <w:sz w:val="20"/>
                <w:szCs w:val="20"/>
              </w:rPr>
              <w:t>Exclusion</w:t>
            </w:r>
          </w:p>
        </w:tc>
        <w:tc>
          <w:tcPr>
            <w:tcW w:w="1440" w:type="dxa"/>
            <w:vMerge w:val="restart"/>
            <w:tcBorders>
              <w:top w:val="nil"/>
              <w:left w:val="single" w:sz="12" w:space="0" w:color="auto"/>
              <w:bottom w:val="nil"/>
              <w:right w:val="nil"/>
            </w:tcBorders>
            <w:shd w:val="clear" w:color="auto" w:fill="BFBFBF" w:themeFill="background1" w:themeFillShade="BF"/>
            <w:vAlign w:val="center"/>
          </w:tcPr>
          <w:p w14:paraId="52BF7833" w14:textId="77777777" w:rsidR="00994CFB" w:rsidRPr="00FC14D5" w:rsidRDefault="00994CFB" w:rsidP="00994CFB">
            <w:pPr>
              <w:spacing w:after="0" w:line="240" w:lineRule="auto"/>
              <w:jc w:val="center"/>
              <w:rPr>
                <w:i/>
                <w:color w:val="000000"/>
                <w:sz w:val="20"/>
                <w:szCs w:val="20"/>
              </w:rPr>
            </w:pPr>
            <w:r w:rsidRPr="00FC14D5">
              <w:rPr>
                <w:i/>
                <w:color w:val="000000"/>
                <w:sz w:val="20"/>
                <w:szCs w:val="20"/>
              </w:rPr>
              <w:t>Overall Occurrence (N)</w:t>
            </w:r>
          </w:p>
        </w:tc>
        <w:tc>
          <w:tcPr>
            <w:tcW w:w="1440" w:type="dxa"/>
            <w:vMerge w:val="restart"/>
            <w:tcBorders>
              <w:top w:val="nil"/>
              <w:left w:val="nil"/>
              <w:bottom w:val="nil"/>
              <w:right w:val="single" w:sz="12" w:space="0" w:color="auto"/>
            </w:tcBorders>
            <w:shd w:val="clear" w:color="auto" w:fill="BFBFBF" w:themeFill="background1" w:themeFillShade="BF"/>
            <w:vAlign w:val="center"/>
          </w:tcPr>
          <w:p w14:paraId="16730D27" w14:textId="77777777" w:rsidR="00994CFB" w:rsidRPr="00FC14D5" w:rsidRDefault="00994CFB" w:rsidP="00994CFB">
            <w:pPr>
              <w:spacing w:after="0" w:line="240" w:lineRule="auto"/>
              <w:jc w:val="center"/>
              <w:rPr>
                <w:i/>
                <w:color w:val="000000"/>
                <w:sz w:val="20"/>
                <w:szCs w:val="20"/>
              </w:rPr>
            </w:pPr>
            <w:r w:rsidRPr="00FC14D5">
              <w:rPr>
                <w:i/>
                <w:color w:val="000000"/>
                <w:sz w:val="20"/>
                <w:szCs w:val="20"/>
              </w:rPr>
              <w:t>Overall Occurrence (%)</w:t>
            </w:r>
          </w:p>
        </w:tc>
        <w:tc>
          <w:tcPr>
            <w:tcW w:w="3060" w:type="dxa"/>
            <w:gridSpan w:val="3"/>
            <w:tcBorders>
              <w:top w:val="nil"/>
              <w:left w:val="single" w:sz="12" w:space="0" w:color="auto"/>
              <w:bottom w:val="nil"/>
            </w:tcBorders>
            <w:shd w:val="clear" w:color="auto" w:fill="BFBFBF" w:themeFill="background1" w:themeFillShade="BF"/>
            <w:vAlign w:val="center"/>
          </w:tcPr>
          <w:p w14:paraId="56CC55BA" w14:textId="77777777" w:rsidR="00994CFB" w:rsidRPr="00FC14D5" w:rsidRDefault="00994CFB" w:rsidP="00994CFB">
            <w:pPr>
              <w:spacing w:after="0" w:line="240" w:lineRule="auto"/>
              <w:jc w:val="center"/>
              <w:rPr>
                <w:i/>
                <w:color w:val="000000"/>
                <w:sz w:val="20"/>
                <w:szCs w:val="20"/>
              </w:rPr>
            </w:pPr>
            <w:r w:rsidRPr="00FC14D5">
              <w:rPr>
                <w:i/>
                <w:color w:val="000000"/>
                <w:sz w:val="20"/>
                <w:szCs w:val="20"/>
              </w:rPr>
              <w:t>Distribution Across Facilities (%)</w:t>
            </w:r>
          </w:p>
        </w:tc>
      </w:tr>
      <w:tr w:rsidR="00994CFB" w:rsidRPr="00FC14D5" w14:paraId="388DEC60" w14:textId="77777777" w:rsidTr="00994CFB">
        <w:trPr>
          <w:trHeight w:val="288"/>
          <w:tblHeader/>
          <w:jc w:val="center"/>
        </w:trPr>
        <w:tc>
          <w:tcPr>
            <w:tcW w:w="3420" w:type="dxa"/>
            <w:vMerge/>
            <w:tcBorders>
              <w:top w:val="nil"/>
              <w:bottom w:val="single" w:sz="12" w:space="0" w:color="auto"/>
              <w:right w:val="single" w:sz="12" w:space="0" w:color="auto"/>
            </w:tcBorders>
            <w:shd w:val="clear" w:color="auto" w:fill="BFBFBF" w:themeFill="background1" w:themeFillShade="BF"/>
            <w:vAlign w:val="center"/>
          </w:tcPr>
          <w:p w14:paraId="71B5927E" w14:textId="77777777" w:rsidR="00994CFB" w:rsidRPr="00FC14D5" w:rsidRDefault="00994CFB" w:rsidP="00994CFB">
            <w:pPr>
              <w:spacing w:after="0" w:line="240" w:lineRule="auto"/>
              <w:jc w:val="center"/>
              <w:rPr>
                <w:rFonts w:eastAsia="Times New Roman" w:cs="Times New Roman"/>
                <w:i/>
                <w:color w:val="000000"/>
                <w:sz w:val="20"/>
                <w:szCs w:val="20"/>
              </w:rPr>
            </w:pPr>
          </w:p>
        </w:tc>
        <w:tc>
          <w:tcPr>
            <w:tcW w:w="1440" w:type="dxa"/>
            <w:vMerge/>
            <w:tcBorders>
              <w:top w:val="nil"/>
              <w:left w:val="single" w:sz="12" w:space="0" w:color="auto"/>
              <w:bottom w:val="single" w:sz="12" w:space="0" w:color="auto"/>
              <w:right w:val="nil"/>
            </w:tcBorders>
            <w:shd w:val="clear" w:color="auto" w:fill="BFBFBF" w:themeFill="background1" w:themeFillShade="BF"/>
            <w:vAlign w:val="center"/>
          </w:tcPr>
          <w:p w14:paraId="5DC1E921" w14:textId="77777777" w:rsidR="00994CFB" w:rsidRPr="00FC14D5" w:rsidRDefault="00994CFB" w:rsidP="00994CFB">
            <w:pPr>
              <w:spacing w:after="0" w:line="240" w:lineRule="auto"/>
              <w:jc w:val="center"/>
              <w:rPr>
                <w:i/>
                <w:color w:val="000000"/>
                <w:sz w:val="20"/>
                <w:szCs w:val="20"/>
              </w:rPr>
            </w:pPr>
          </w:p>
        </w:tc>
        <w:tc>
          <w:tcPr>
            <w:tcW w:w="1440" w:type="dxa"/>
            <w:vMerge/>
            <w:tcBorders>
              <w:top w:val="nil"/>
              <w:left w:val="nil"/>
              <w:bottom w:val="single" w:sz="12" w:space="0" w:color="auto"/>
              <w:right w:val="single" w:sz="12" w:space="0" w:color="auto"/>
            </w:tcBorders>
            <w:shd w:val="clear" w:color="auto" w:fill="BFBFBF" w:themeFill="background1" w:themeFillShade="BF"/>
            <w:vAlign w:val="center"/>
          </w:tcPr>
          <w:p w14:paraId="73196C7B" w14:textId="77777777" w:rsidR="00994CFB" w:rsidRPr="00FC14D5" w:rsidRDefault="00994CFB" w:rsidP="00994CFB">
            <w:pPr>
              <w:spacing w:after="0" w:line="240" w:lineRule="auto"/>
              <w:jc w:val="center"/>
              <w:rPr>
                <w:i/>
                <w:color w:val="000000"/>
                <w:sz w:val="20"/>
                <w:szCs w:val="20"/>
              </w:rPr>
            </w:pPr>
          </w:p>
        </w:tc>
        <w:tc>
          <w:tcPr>
            <w:tcW w:w="1020" w:type="dxa"/>
            <w:tcBorders>
              <w:top w:val="nil"/>
              <w:left w:val="single" w:sz="12" w:space="0" w:color="auto"/>
              <w:bottom w:val="single" w:sz="12" w:space="0" w:color="auto"/>
              <w:right w:val="nil"/>
            </w:tcBorders>
            <w:shd w:val="clear" w:color="auto" w:fill="BFBFBF" w:themeFill="background1" w:themeFillShade="BF"/>
            <w:vAlign w:val="center"/>
          </w:tcPr>
          <w:p w14:paraId="31638E31" w14:textId="77777777" w:rsidR="00994CFB" w:rsidRPr="00FC14D5" w:rsidRDefault="00994CFB" w:rsidP="00994CFB">
            <w:pPr>
              <w:spacing w:after="0" w:line="240" w:lineRule="auto"/>
              <w:jc w:val="center"/>
              <w:rPr>
                <w:i/>
                <w:color w:val="000000"/>
                <w:sz w:val="20"/>
                <w:szCs w:val="20"/>
              </w:rPr>
            </w:pPr>
            <w:r w:rsidRPr="00FC14D5">
              <w:rPr>
                <w:i/>
                <w:color w:val="000000"/>
                <w:sz w:val="20"/>
                <w:szCs w:val="20"/>
              </w:rPr>
              <w:t>25</w:t>
            </w:r>
            <w:r w:rsidRPr="00FC14D5">
              <w:rPr>
                <w:i/>
                <w:color w:val="000000"/>
                <w:sz w:val="20"/>
                <w:szCs w:val="20"/>
                <w:vertAlign w:val="superscript"/>
              </w:rPr>
              <w:t>th</w:t>
            </w:r>
          </w:p>
        </w:tc>
        <w:tc>
          <w:tcPr>
            <w:tcW w:w="1020" w:type="dxa"/>
            <w:tcBorders>
              <w:top w:val="nil"/>
              <w:left w:val="nil"/>
              <w:bottom w:val="single" w:sz="12" w:space="0" w:color="auto"/>
              <w:right w:val="nil"/>
            </w:tcBorders>
            <w:shd w:val="clear" w:color="auto" w:fill="BFBFBF" w:themeFill="background1" w:themeFillShade="BF"/>
            <w:vAlign w:val="center"/>
          </w:tcPr>
          <w:p w14:paraId="5352A9AB" w14:textId="77777777" w:rsidR="00994CFB" w:rsidRPr="00FC14D5" w:rsidRDefault="00994CFB" w:rsidP="00994CFB">
            <w:pPr>
              <w:spacing w:after="0" w:line="240" w:lineRule="auto"/>
              <w:jc w:val="center"/>
              <w:rPr>
                <w:i/>
                <w:color w:val="000000"/>
                <w:sz w:val="20"/>
                <w:szCs w:val="20"/>
              </w:rPr>
            </w:pPr>
            <w:r w:rsidRPr="00FC14D5">
              <w:rPr>
                <w:i/>
                <w:color w:val="000000"/>
                <w:sz w:val="20"/>
                <w:szCs w:val="20"/>
              </w:rPr>
              <w:t>50</w:t>
            </w:r>
            <w:r w:rsidRPr="00FC14D5">
              <w:rPr>
                <w:i/>
                <w:color w:val="000000"/>
                <w:sz w:val="20"/>
                <w:szCs w:val="20"/>
                <w:vertAlign w:val="superscript"/>
              </w:rPr>
              <w:t>th</w:t>
            </w:r>
          </w:p>
        </w:tc>
        <w:tc>
          <w:tcPr>
            <w:tcW w:w="1020" w:type="dxa"/>
            <w:tcBorders>
              <w:top w:val="nil"/>
              <w:left w:val="nil"/>
              <w:bottom w:val="single" w:sz="12" w:space="0" w:color="auto"/>
            </w:tcBorders>
            <w:shd w:val="clear" w:color="auto" w:fill="BFBFBF" w:themeFill="background1" w:themeFillShade="BF"/>
            <w:vAlign w:val="center"/>
          </w:tcPr>
          <w:p w14:paraId="2543E3FB" w14:textId="77777777" w:rsidR="00994CFB" w:rsidRPr="00FC14D5" w:rsidRDefault="00994CFB" w:rsidP="00994CFB">
            <w:pPr>
              <w:spacing w:after="0" w:line="240" w:lineRule="auto"/>
              <w:jc w:val="center"/>
              <w:rPr>
                <w:i/>
                <w:color w:val="000000"/>
                <w:sz w:val="20"/>
                <w:szCs w:val="20"/>
              </w:rPr>
            </w:pPr>
            <w:r w:rsidRPr="00FC14D5">
              <w:rPr>
                <w:i/>
                <w:color w:val="000000"/>
                <w:sz w:val="20"/>
                <w:szCs w:val="20"/>
              </w:rPr>
              <w:t>75</w:t>
            </w:r>
            <w:r w:rsidRPr="00FC14D5">
              <w:rPr>
                <w:i/>
                <w:color w:val="000000"/>
                <w:sz w:val="20"/>
                <w:szCs w:val="20"/>
                <w:vertAlign w:val="superscript"/>
              </w:rPr>
              <w:t>th</w:t>
            </w:r>
          </w:p>
        </w:tc>
      </w:tr>
      <w:tr w:rsidR="00994CFB" w:rsidRPr="00FC14D5" w14:paraId="5168EDBD" w14:textId="77777777" w:rsidTr="00994CFB">
        <w:trPr>
          <w:trHeight w:val="288"/>
          <w:jc w:val="center"/>
        </w:trPr>
        <w:tc>
          <w:tcPr>
            <w:tcW w:w="3420" w:type="dxa"/>
            <w:tcBorders>
              <w:top w:val="single" w:sz="12" w:space="0" w:color="auto"/>
              <w:bottom w:val="single" w:sz="8" w:space="0" w:color="auto"/>
              <w:right w:val="single" w:sz="12" w:space="0" w:color="auto"/>
            </w:tcBorders>
            <w:shd w:val="clear" w:color="auto" w:fill="auto"/>
            <w:vAlign w:val="center"/>
            <w:hideMark/>
          </w:tcPr>
          <w:p w14:paraId="37B1F0B3" w14:textId="127A0CD7" w:rsidR="00994CFB" w:rsidRPr="00994CFB" w:rsidRDefault="00994CFB" w:rsidP="00994CFB">
            <w:pPr>
              <w:spacing w:after="0" w:line="240" w:lineRule="auto"/>
              <w:rPr>
                <w:rFonts w:ascii="Cambria" w:hAnsi="Cambria"/>
                <w:color w:val="000000"/>
                <w:sz w:val="16"/>
                <w:szCs w:val="16"/>
              </w:rPr>
            </w:pPr>
            <w:r w:rsidRPr="00994CFB">
              <w:rPr>
                <w:rFonts w:eastAsia="Times New Roman" w:cs="Times New Roman"/>
                <w:color w:val="000000"/>
                <w:sz w:val="20"/>
                <w:szCs w:val="20"/>
              </w:rPr>
              <w:t>Internal Injury of Chest, Abdomen, and Pelvis</w:t>
            </w:r>
          </w:p>
        </w:tc>
        <w:tc>
          <w:tcPr>
            <w:tcW w:w="1440" w:type="dxa"/>
            <w:tcBorders>
              <w:top w:val="single" w:sz="12" w:space="0" w:color="auto"/>
              <w:left w:val="single" w:sz="12" w:space="0" w:color="auto"/>
              <w:bottom w:val="single" w:sz="8" w:space="0" w:color="auto"/>
              <w:right w:val="dashed" w:sz="4" w:space="0" w:color="auto"/>
            </w:tcBorders>
            <w:shd w:val="clear" w:color="auto" w:fill="auto"/>
            <w:vAlign w:val="center"/>
          </w:tcPr>
          <w:p w14:paraId="406BC3FE" w14:textId="65FB2314" w:rsidR="00994CFB" w:rsidRPr="00CB2255" w:rsidRDefault="004770AF" w:rsidP="00994CFB">
            <w:pPr>
              <w:spacing w:after="0" w:line="240" w:lineRule="auto"/>
              <w:jc w:val="center"/>
              <w:rPr>
                <w:color w:val="000000"/>
                <w:sz w:val="20"/>
                <w:szCs w:val="20"/>
              </w:rPr>
            </w:pPr>
            <w:r>
              <w:rPr>
                <w:color w:val="000000"/>
                <w:sz w:val="20"/>
                <w:szCs w:val="20"/>
              </w:rPr>
              <w:t>3,501</w:t>
            </w:r>
          </w:p>
        </w:tc>
        <w:tc>
          <w:tcPr>
            <w:tcW w:w="1440" w:type="dxa"/>
            <w:tcBorders>
              <w:top w:val="single" w:sz="12" w:space="0" w:color="auto"/>
              <w:left w:val="dashed" w:sz="4" w:space="0" w:color="auto"/>
              <w:bottom w:val="single" w:sz="8" w:space="0" w:color="auto"/>
              <w:right w:val="single" w:sz="12" w:space="0" w:color="auto"/>
            </w:tcBorders>
            <w:shd w:val="clear" w:color="auto" w:fill="auto"/>
            <w:vAlign w:val="center"/>
          </w:tcPr>
          <w:p w14:paraId="014AAD43" w14:textId="2B33BBF2"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0.21</w:t>
            </w:r>
          </w:p>
        </w:tc>
        <w:tc>
          <w:tcPr>
            <w:tcW w:w="1020" w:type="dxa"/>
            <w:tcBorders>
              <w:top w:val="single" w:sz="12" w:space="0" w:color="auto"/>
              <w:left w:val="single" w:sz="12" w:space="0" w:color="auto"/>
              <w:bottom w:val="single" w:sz="8" w:space="0" w:color="auto"/>
              <w:right w:val="dashed" w:sz="4" w:space="0" w:color="auto"/>
            </w:tcBorders>
            <w:shd w:val="clear" w:color="auto" w:fill="auto"/>
            <w:vAlign w:val="center"/>
          </w:tcPr>
          <w:p w14:paraId="28E5897B" w14:textId="15ABA962"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0.00</w:t>
            </w:r>
          </w:p>
        </w:tc>
        <w:tc>
          <w:tcPr>
            <w:tcW w:w="1020" w:type="dxa"/>
            <w:tcBorders>
              <w:top w:val="single" w:sz="12" w:space="0" w:color="auto"/>
              <w:left w:val="dashed" w:sz="4" w:space="0" w:color="auto"/>
              <w:bottom w:val="single" w:sz="8" w:space="0" w:color="auto"/>
              <w:right w:val="dashed" w:sz="4" w:space="0" w:color="auto"/>
            </w:tcBorders>
            <w:shd w:val="clear" w:color="auto" w:fill="auto"/>
            <w:vAlign w:val="center"/>
          </w:tcPr>
          <w:p w14:paraId="08D7F89F" w14:textId="758DC3BB"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0.07</w:t>
            </w:r>
          </w:p>
        </w:tc>
        <w:tc>
          <w:tcPr>
            <w:tcW w:w="1020" w:type="dxa"/>
            <w:tcBorders>
              <w:top w:val="single" w:sz="12" w:space="0" w:color="auto"/>
              <w:left w:val="dashed" w:sz="4" w:space="0" w:color="auto"/>
              <w:bottom w:val="single" w:sz="8" w:space="0" w:color="auto"/>
            </w:tcBorders>
            <w:shd w:val="clear" w:color="auto" w:fill="auto"/>
            <w:vAlign w:val="center"/>
          </w:tcPr>
          <w:p w14:paraId="6069AEEF" w14:textId="5A9AC070"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0.52</w:t>
            </w:r>
          </w:p>
        </w:tc>
      </w:tr>
      <w:tr w:rsidR="00994CFB" w:rsidRPr="00FC14D5" w14:paraId="1B98D083" w14:textId="77777777" w:rsidTr="00994CFB">
        <w:trPr>
          <w:trHeight w:val="288"/>
          <w:jc w:val="center"/>
        </w:trPr>
        <w:tc>
          <w:tcPr>
            <w:tcW w:w="3420" w:type="dxa"/>
            <w:tcBorders>
              <w:top w:val="single" w:sz="8" w:space="0" w:color="auto"/>
              <w:bottom w:val="single" w:sz="8" w:space="0" w:color="auto"/>
              <w:right w:val="single" w:sz="12" w:space="0" w:color="auto"/>
            </w:tcBorders>
            <w:shd w:val="clear" w:color="auto" w:fill="auto"/>
            <w:vAlign w:val="center"/>
            <w:hideMark/>
          </w:tcPr>
          <w:p w14:paraId="417544E6" w14:textId="7C844244" w:rsidR="00994CFB" w:rsidRPr="00FC14D5" w:rsidRDefault="00994CFB" w:rsidP="00994CFB">
            <w:pPr>
              <w:spacing w:after="0" w:line="240" w:lineRule="auto"/>
              <w:rPr>
                <w:rFonts w:eastAsia="Times New Roman" w:cs="Times New Roman"/>
                <w:color w:val="000000"/>
                <w:sz w:val="20"/>
                <w:szCs w:val="20"/>
              </w:rPr>
            </w:pPr>
            <w:r w:rsidRPr="00994CFB">
              <w:rPr>
                <w:rFonts w:eastAsia="Times New Roman" w:cs="Times New Roman"/>
                <w:color w:val="000000"/>
                <w:sz w:val="20"/>
                <w:szCs w:val="20"/>
              </w:rPr>
              <w:t>Injury to Blood Vessels</w:t>
            </w:r>
          </w:p>
        </w:tc>
        <w:tc>
          <w:tcPr>
            <w:tcW w:w="1440" w:type="dxa"/>
            <w:tcBorders>
              <w:top w:val="single" w:sz="8" w:space="0" w:color="auto"/>
              <w:left w:val="single" w:sz="12" w:space="0" w:color="auto"/>
              <w:bottom w:val="single" w:sz="8" w:space="0" w:color="auto"/>
              <w:right w:val="dashed" w:sz="4" w:space="0" w:color="auto"/>
            </w:tcBorders>
            <w:shd w:val="clear" w:color="auto" w:fill="auto"/>
            <w:vAlign w:val="center"/>
          </w:tcPr>
          <w:p w14:paraId="4AE11235" w14:textId="6E7D9EDD"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60</w:t>
            </w:r>
          </w:p>
        </w:tc>
        <w:tc>
          <w:tcPr>
            <w:tcW w:w="1440" w:type="dxa"/>
            <w:tcBorders>
              <w:top w:val="single" w:sz="8" w:space="0" w:color="auto"/>
              <w:left w:val="dashed" w:sz="4" w:space="0" w:color="auto"/>
              <w:bottom w:val="single" w:sz="8" w:space="0" w:color="auto"/>
              <w:right w:val="single" w:sz="12" w:space="0" w:color="auto"/>
            </w:tcBorders>
            <w:shd w:val="clear" w:color="auto" w:fill="auto"/>
            <w:vAlign w:val="center"/>
          </w:tcPr>
          <w:p w14:paraId="37844F40" w14:textId="58E86C21" w:rsidR="00994CFB" w:rsidRPr="00CB2255" w:rsidRDefault="00345A47"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&lt;0.01</w:t>
            </w:r>
          </w:p>
        </w:tc>
        <w:tc>
          <w:tcPr>
            <w:tcW w:w="1020" w:type="dxa"/>
            <w:tcBorders>
              <w:top w:val="single" w:sz="8" w:space="0" w:color="auto"/>
              <w:left w:val="single" w:sz="12" w:space="0" w:color="auto"/>
              <w:bottom w:val="single" w:sz="8" w:space="0" w:color="auto"/>
              <w:right w:val="dashed" w:sz="4" w:space="0" w:color="auto"/>
            </w:tcBorders>
            <w:shd w:val="clear" w:color="auto" w:fill="auto"/>
            <w:noWrap/>
            <w:vAlign w:val="center"/>
          </w:tcPr>
          <w:p w14:paraId="69E1157A" w14:textId="7DD56AEA"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0.00</w:t>
            </w:r>
          </w:p>
        </w:tc>
        <w:tc>
          <w:tcPr>
            <w:tcW w:w="1020" w:type="dxa"/>
            <w:tcBorders>
              <w:top w:val="single" w:sz="8" w:space="0" w:color="auto"/>
              <w:left w:val="dashed" w:sz="4" w:space="0" w:color="auto"/>
              <w:bottom w:val="single" w:sz="8" w:space="0" w:color="auto"/>
              <w:right w:val="dashed" w:sz="4" w:space="0" w:color="auto"/>
            </w:tcBorders>
            <w:shd w:val="clear" w:color="auto" w:fill="auto"/>
            <w:noWrap/>
            <w:vAlign w:val="center"/>
          </w:tcPr>
          <w:p w14:paraId="7B01D13E" w14:textId="7F73983A"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0.00</w:t>
            </w:r>
          </w:p>
        </w:tc>
        <w:tc>
          <w:tcPr>
            <w:tcW w:w="1020" w:type="dxa"/>
            <w:tcBorders>
              <w:top w:val="single" w:sz="8" w:space="0" w:color="auto"/>
              <w:left w:val="dashed" w:sz="4" w:space="0" w:color="auto"/>
              <w:bottom w:val="single" w:sz="8" w:space="0" w:color="auto"/>
            </w:tcBorders>
            <w:shd w:val="clear" w:color="auto" w:fill="auto"/>
            <w:noWrap/>
            <w:vAlign w:val="center"/>
          </w:tcPr>
          <w:p w14:paraId="0FC53542" w14:textId="10A3E7A1"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0.00</w:t>
            </w:r>
          </w:p>
        </w:tc>
      </w:tr>
      <w:tr w:rsidR="00994CFB" w:rsidRPr="00FC14D5" w14:paraId="01C82114" w14:textId="77777777" w:rsidTr="00994CFB">
        <w:trPr>
          <w:trHeight w:val="288"/>
          <w:jc w:val="center"/>
        </w:trPr>
        <w:tc>
          <w:tcPr>
            <w:tcW w:w="3420" w:type="dxa"/>
            <w:tcBorders>
              <w:top w:val="single" w:sz="8" w:space="0" w:color="auto"/>
              <w:bottom w:val="single" w:sz="8" w:space="0" w:color="auto"/>
              <w:right w:val="single" w:sz="12" w:space="0" w:color="auto"/>
            </w:tcBorders>
            <w:shd w:val="clear" w:color="auto" w:fill="auto"/>
            <w:vAlign w:val="center"/>
            <w:hideMark/>
          </w:tcPr>
          <w:p w14:paraId="5083F985" w14:textId="0C2B0290" w:rsidR="00994CFB" w:rsidRPr="00FC14D5" w:rsidRDefault="00994CFB" w:rsidP="00994CFB">
            <w:pPr>
              <w:spacing w:after="0" w:line="240" w:lineRule="auto"/>
              <w:rPr>
                <w:rFonts w:eastAsia="Times New Roman" w:cs="Times New Roman"/>
                <w:color w:val="000000"/>
                <w:sz w:val="20"/>
                <w:szCs w:val="20"/>
              </w:rPr>
            </w:pPr>
            <w:r w:rsidRPr="00994CFB">
              <w:rPr>
                <w:rFonts w:eastAsia="Times New Roman" w:cs="Times New Roman"/>
                <w:color w:val="000000"/>
                <w:sz w:val="20"/>
                <w:szCs w:val="20"/>
              </w:rPr>
              <w:t xml:space="preserve">Crushing Injury </w:t>
            </w:r>
          </w:p>
        </w:tc>
        <w:tc>
          <w:tcPr>
            <w:tcW w:w="1440" w:type="dxa"/>
            <w:tcBorders>
              <w:top w:val="single" w:sz="8" w:space="0" w:color="auto"/>
              <w:left w:val="single" w:sz="12" w:space="0" w:color="auto"/>
              <w:bottom w:val="single" w:sz="8" w:space="0" w:color="auto"/>
              <w:right w:val="dashed" w:sz="4" w:space="0" w:color="auto"/>
            </w:tcBorders>
            <w:shd w:val="clear" w:color="auto" w:fill="auto"/>
            <w:vAlign w:val="center"/>
          </w:tcPr>
          <w:p w14:paraId="72084B8A" w14:textId="64447400"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57</w:t>
            </w:r>
          </w:p>
        </w:tc>
        <w:tc>
          <w:tcPr>
            <w:tcW w:w="1440" w:type="dxa"/>
            <w:tcBorders>
              <w:top w:val="single" w:sz="8" w:space="0" w:color="auto"/>
              <w:left w:val="dashed" w:sz="4" w:space="0" w:color="auto"/>
              <w:bottom w:val="single" w:sz="8" w:space="0" w:color="auto"/>
              <w:right w:val="single" w:sz="12" w:space="0" w:color="auto"/>
            </w:tcBorders>
            <w:shd w:val="clear" w:color="auto" w:fill="auto"/>
            <w:vAlign w:val="center"/>
          </w:tcPr>
          <w:p w14:paraId="4346E05F" w14:textId="1A76AE1B" w:rsidR="00994CFB" w:rsidRPr="00CB2255" w:rsidRDefault="00345A47"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&lt;0.01</w:t>
            </w:r>
          </w:p>
        </w:tc>
        <w:tc>
          <w:tcPr>
            <w:tcW w:w="1020" w:type="dxa"/>
            <w:tcBorders>
              <w:top w:val="single" w:sz="8" w:space="0" w:color="auto"/>
              <w:left w:val="single" w:sz="12" w:space="0" w:color="auto"/>
              <w:bottom w:val="single" w:sz="8" w:space="0" w:color="auto"/>
              <w:right w:val="dashed" w:sz="4" w:space="0" w:color="auto"/>
            </w:tcBorders>
            <w:shd w:val="clear" w:color="auto" w:fill="auto"/>
            <w:vAlign w:val="center"/>
          </w:tcPr>
          <w:p w14:paraId="111A844A" w14:textId="7AF9B705"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0.00</w:t>
            </w:r>
          </w:p>
        </w:tc>
        <w:tc>
          <w:tcPr>
            <w:tcW w:w="1020" w:type="dxa"/>
            <w:tcBorders>
              <w:top w:val="single" w:sz="8" w:space="0" w:color="auto"/>
              <w:left w:val="dashed" w:sz="4" w:space="0" w:color="auto"/>
              <w:bottom w:val="single" w:sz="8" w:space="0" w:color="auto"/>
              <w:right w:val="dashed" w:sz="4" w:space="0" w:color="auto"/>
            </w:tcBorders>
            <w:shd w:val="clear" w:color="auto" w:fill="auto"/>
            <w:vAlign w:val="center"/>
          </w:tcPr>
          <w:p w14:paraId="4151D450" w14:textId="58EF291C"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0.00</w:t>
            </w:r>
          </w:p>
        </w:tc>
        <w:tc>
          <w:tcPr>
            <w:tcW w:w="1020" w:type="dxa"/>
            <w:tcBorders>
              <w:top w:val="single" w:sz="8" w:space="0" w:color="auto"/>
              <w:left w:val="dashed" w:sz="4" w:space="0" w:color="auto"/>
              <w:bottom w:val="single" w:sz="8" w:space="0" w:color="auto"/>
            </w:tcBorders>
            <w:shd w:val="clear" w:color="auto" w:fill="auto"/>
            <w:vAlign w:val="center"/>
          </w:tcPr>
          <w:p w14:paraId="7B4ADB33" w14:textId="6A08FF65"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0.00</w:t>
            </w:r>
          </w:p>
        </w:tc>
      </w:tr>
      <w:tr w:rsidR="00994CFB" w:rsidRPr="00FC14D5" w14:paraId="0223E45B" w14:textId="77777777" w:rsidTr="00994CFB">
        <w:trPr>
          <w:trHeight w:val="288"/>
          <w:jc w:val="center"/>
        </w:trPr>
        <w:tc>
          <w:tcPr>
            <w:tcW w:w="3420" w:type="dxa"/>
            <w:tcBorders>
              <w:top w:val="single" w:sz="12" w:space="0" w:color="auto"/>
              <w:bottom w:val="single" w:sz="12" w:space="0" w:color="auto"/>
              <w:right w:val="single" w:sz="12" w:space="0" w:color="auto"/>
            </w:tcBorders>
            <w:shd w:val="clear" w:color="auto" w:fill="BFBFBF" w:themeFill="background1" w:themeFillShade="BF"/>
            <w:vAlign w:val="center"/>
            <w:hideMark/>
          </w:tcPr>
          <w:p w14:paraId="34C4F669" w14:textId="77777777" w:rsidR="00994CFB" w:rsidRPr="00FC14D5" w:rsidRDefault="00994CFB" w:rsidP="00994CFB">
            <w:pPr>
              <w:spacing w:after="0" w:line="240" w:lineRule="auto"/>
              <w:rPr>
                <w:rFonts w:eastAsia="Times New Roman" w:cs="Times New Roman"/>
                <w:b/>
                <w:bCs/>
                <w:color w:val="000000"/>
                <w:sz w:val="20"/>
                <w:szCs w:val="20"/>
              </w:rPr>
            </w:pPr>
            <w:r w:rsidRPr="00FC14D5">
              <w:rPr>
                <w:rFonts w:eastAsia="Times New Roman" w:cs="Times New Roman"/>
                <w:b/>
                <w:bCs/>
                <w:color w:val="000000"/>
                <w:sz w:val="20"/>
                <w:szCs w:val="20"/>
              </w:rPr>
              <w:t xml:space="preserve">All Current Exclusions </w:t>
            </w:r>
          </w:p>
        </w:tc>
        <w:tc>
          <w:tcPr>
            <w:tcW w:w="1440" w:type="dxa"/>
            <w:tcBorders>
              <w:top w:val="single" w:sz="12" w:space="0" w:color="auto"/>
              <w:left w:val="single" w:sz="12" w:space="0" w:color="auto"/>
              <w:bottom w:val="single" w:sz="12" w:space="0" w:color="auto"/>
              <w:right w:val="dashed" w:sz="4" w:space="0" w:color="auto"/>
            </w:tcBorders>
            <w:shd w:val="clear" w:color="auto" w:fill="BFBFBF" w:themeFill="background1" w:themeFillShade="BF"/>
            <w:vAlign w:val="center"/>
          </w:tcPr>
          <w:p w14:paraId="032DFC4E" w14:textId="31231D9C"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3,591</w:t>
            </w:r>
          </w:p>
        </w:tc>
        <w:tc>
          <w:tcPr>
            <w:tcW w:w="1440" w:type="dxa"/>
            <w:tcBorders>
              <w:top w:val="single" w:sz="12" w:space="0" w:color="auto"/>
              <w:left w:val="dashed" w:sz="4" w:space="0" w:color="auto"/>
              <w:bottom w:val="single" w:sz="12" w:space="0" w:color="auto"/>
              <w:right w:val="single" w:sz="12" w:space="0" w:color="auto"/>
            </w:tcBorders>
            <w:shd w:val="clear" w:color="auto" w:fill="BFBFBF" w:themeFill="background1" w:themeFillShade="BF"/>
            <w:vAlign w:val="center"/>
          </w:tcPr>
          <w:p w14:paraId="1634EDDE" w14:textId="1ACBC0AF"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0.22</w:t>
            </w:r>
          </w:p>
        </w:tc>
        <w:tc>
          <w:tcPr>
            <w:tcW w:w="1020" w:type="dxa"/>
            <w:tcBorders>
              <w:top w:val="single" w:sz="12" w:space="0" w:color="auto"/>
              <w:left w:val="single" w:sz="12" w:space="0" w:color="auto"/>
              <w:bottom w:val="single" w:sz="12" w:space="0" w:color="auto"/>
              <w:right w:val="dashed" w:sz="4" w:space="0" w:color="auto"/>
            </w:tcBorders>
            <w:shd w:val="clear" w:color="auto" w:fill="BFBFBF" w:themeFill="background1" w:themeFillShade="BF"/>
            <w:vAlign w:val="center"/>
          </w:tcPr>
          <w:p w14:paraId="0796139A" w14:textId="763AB8EE"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0.00</w:t>
            </w:r>
          </w:p>
        </w:tc>
        <w:tc>
          <w:tcPr>
            <w:tcW w:w="1020" w:type="dxa"/>
            <w:tcBorders>
              <w:top w:val="single" w:sz="12" w:space="0" w:color="auto"/>
              <w:left w:val="dashed" w:sz="4" w:space="0" w:color="auto"/>
              <w:bottom w:val="single" w:sz="12" w:space="0" w:color="auto"/>
              <w:right w:val="dashed" w:sz="4" w:space="0" w:color="auto"/>
            </w:tcBorders>
            <w:shd w:val="clear" w:color="auto" w:fill="BFBFBF" w:themeFill="background1" w:themeFillShade="BF"/>
            <w:vAlign w:val="center"/>
          </w:tcPr>
          <w:p w14:paraId="237ABD09" w14:textId="45D56A3D"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0.09</w:t>
            </w:r>
          </w:p>
        </w:tc>
        <w:tc>
          <w:tcPr>
            <w:tcW w:w="1020" w:type="dxa"/>
            <w:tcBorders>
              <w:top w:val="single" w:sz="12" w:space="0" w:color="auto"/>
              <w:left w:val="dashed" w:sz="4" w:space="0" w:color="auto"/>
              <w:bottom w:val="single" w:sz="12" w:space="0" w:color="auto"/>
            </w:tcBorders>
            <w:shd w:val="clear" w:color="auto" w:fill="BFBFBF" w:themeFill="background1" w:themeFillShade="BF"/>
            <w:vAlign w:val="center"/>
          </w:tcPr>
          <w:p w14:paraId="36B2BDB0" w14:textId="27596FAB" w:rsidR="00994CFB" w:rsidRPr="00CB2255" w:rsidRDefault="004770AF" w:rsidP="00994CFB">
            <w:pPr>
              <w:spacing w:after="0" w:line="240" w:lineRule="auto"/>
              <w:jc w:val="center"/>
              <w:rPr>
                <w:rFonts w:eastAsia="Times New Roman" w:cs="Times New Roman"/>
                <w:color w:val="000000"/>
                <w:sz w:val="20"/>
                <w:szCs w:val="20"/>
              </w:rPr>
            </w:pPr>
            <w:r>
              <w:rPr>
                <w:rFonts w:eastAsia="Times New Roman" w:cs="Times New Roman"/>
                <w:color w:val="000000"/>
                <w:sz w:val="20"/>
                <w:szCs w:val="20"/>
              </w:rPr>
              <w:t>0.54</w:t>
            </w:r>
          </w:p>
        </w:tc>
      </w:tr>
    </w:tbl>
    <w:p w14:paraId="5455B772" w14:textId="77777777" w:rsidR="00994CFB" w:rsidRDefault="00994CFB" w:rsidP="00994CFB">
      <w:pPr>
        <w:autoSpaceDE w:val="0"/>
        <w:autoSpaceDN w:val="0"/>
        <w:adjustRightInd w:val="0"/>
        <w:spacing w:after="0" w:line="240" w:lineRule="auto"/>
        <w:rPr>
          <w:rFonts w:cstheme="minorHAnsi"/>
          <w:bCs/>
        </w:rPr>
      </w:pPr>
    </w:p>
    <w:p w14:paraId="50C2DF4C" w14:textId="448A6E0E" w:rsidR="00994CFB" w:rsidRDefault="00994CFB" w:rsidP="00994CFB">
      <w:pPr>
        <w:autoSpaceDE w:val="0"/>
        <w:autoSpaceDN w:val="0"/>
        <w:adjustRightInd w:val="0"/>
        <w:spacing w:after="0" w:line="240" w:lineRule="auto"/>
        <w:rPr>
          <w:rFonts w:cstheme="minorHAnsi"/>
          <w:bCs/>
        </w:rPr>
      </w:pPr>
      <w:r>
        <w:rPr>
          <w:rFonts w:cstheme="minorHAnsi"/>
          <w:bCs/>
        </w:rPr>
        <w:t xml:space="preserve">Additionally, we calculated descriptive statistics for the measure scores of each facility, with and without exclusions. </w:t>
      </w:r>
    </w:p>
    <w:p w14:paraId="7BBAEB0B" w14:textId="77777777" w:rsidR="00994CFB" w:rsidRDefault="00994CFB" w:rsidP="00994CFB">
      <w:pPr>
        <w:autoSpaceDE w:val="0"/>
        <w:autoSpaceDN w:val="0"/>
        <w:adjustRightInd w:val="0"/>
        <w:spacing w:after="0" w:line="240" w:lineRule="auto"/>
        <w:rPr>
          <w:rFonts w:cstheme="minorHAnsi"/>
          <w:bCs/>
        </w:rPr>
      </w:pPr>
    </w:p>
    <w:tbl>
      <w:tblPr>
        <w:tblStyle w:val="TableGrid"/>
        <w:tblW w:w="9360" w:type="dxa"/>
        <w:jc w:val="center"/>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ook w:val="04A0" w:firstRow="1" w:lastRow="0" w:firstColumn="1" w:lastColumn="0" w:noHBand="0" w:noVBand="1"/>
      </w:tblPr>
      <w:tblGrid>
        <w:gridCol w:w="5414"/>
        <w:gridCol w:w="1973"/>
        <w:gridCol w:w="1973"/>
      </w:tblGrid>
      <w:tr w:rsidR="00994CFB" w:rsidRPr="00C53DBD" w14:paraId="56B7404A" w14:textId="77777777" w:rsidTr="00994CFB">
        <w:trPr>
          <w:jc w:val="center"/>
        </w:trPr>
        <w:tc>
          <w:tcPr>
            <w:tcW w:w="9360" w:type="dxa"/>
            <w:gridSpan w:val="3"/>
            <w:tcBorders>
              <w:top w:val="single" w:sz="12" w:space="0" w:color="auto"/>
              <w:bottom w:val="nil"/>
            </w:tcBorders>
            <w:shd w:val="clear" w:color="auto" w:fill="808080" w:themeFill="background1" w:themeFillShade="80"/>
            <w:vAlign w:val="center"/>
          </w:tcPr>
          <w:p w14:paraId="51737E0B" w14:textId="24D76E9A" w:rsidR="00994CFB" w:rsidRPr="00C53DBD" w:rsidRDefault="00994CFB" w:rsidP="00994CFB">
            <w:pPr>
              <w:autoSpaceDE w:val="0"/>
              <w:autoSpaceDN w:val="0"/>
              <w:adjustRightInd w:val="0"/>
              <w:jc w:val="center"/>
              <w:rPr>
                <w:b/>
                <w:color w:val="FFFFFF" w:themeColor="background1"/>
                <w:sz w:val="20"/>
                <w:szCs w:val="20"/>
              </w:rPr>
            </w:pPr>
            <w:r>
              <w:rPr>
                <w:rFonts w:eastAsia="Times New Roman" w:cs="Times New Roman"/>
                <w:b/>
                <w:color w:val="FFFFFF" w:themeColor="background1"/>
                <w:sz w:val="20"/>
                <w:szCs w:val="20"/>
              </w:rPr>
              <w:t>Facilities</w:t>
            </w:r>
          </w:p>
        </w:tc>
      </w:tr>
      <w:tr w:rsidR="00994CFB" w:rsidRPr="00C53DBD" w14:paraId="744F2B1A" w14:textId="77777777" w:rsidTr="00994CFB">
        <w:trPr>
          <w:jc w:val="center"/>
        </w:trPr>
        <w:tc>
          <w:tcPr>
            <w:tcW w:w="5414" w:type="dxa"/>
            <w:tcBorders>
              <w:top w:val="nil"/>
              <w:bottom w:val="single" w:sz="12" w:space="0" w:color="auto"/>
              <w:right w:val="nil"/>
            </w:tcBorders>
            <w:shd w:val="clear" w:color="auto" w:fill="BFBFBF" w:themeFill="background1" w:themeFillShade="BF"/>
            <w:vAlign w:val="center"/>
          </w:tcPr>
          <w:p w14:paraId="4F2A3DFC" w14:textId="77777777" w:rsidR="00994CFB" w:rsidRPr="00C53DBD" w:rsidRDefault="00994CFB" w:rsidP="00994CFB">
            <w:pPr>
              <w:autoSpaceDE w:val="0"/>
              <w:autoSpaceDN w:val="0"/>
              <w:adjustRightInd w:val="0"/>
              <w:jc w:val="center"/>
              <w:rPr>
                <w:rFonts w:cstheme="minorHAnsi"/>
                <w:bCs/>
              </w:rPr>
            </w:pPr>
            <w:r w:rsidRPr="00C53DBD">
              <w:rPr>
                <w:rFonts w:eastAsia="Times New Roman" w:cs="Times New Roman"/>
                <w:i/>
                <w:color w:val="000000"/>
                <w:sz w:val="20"/>
                <w:szCs w:val="20"/>
              </w:rPr>
              <w:t>Descriptive Statistic</w:t>
            </w:r>
          </w:p>
        </w:tc>
        <w:tc>
          <w:tcPr>
            <w:tcW w:w="1973" w:type="dxa"/>
            <w:tcBorders>
              <w:top w:val="nil"/>
              <w:left w:val="nil"/>
              <w:bottom w:val="single" w:sz="12" w:space="0" w:color="auto"/>
              <w:right w:val="nil"/>
            </w:tcBorders>
            <w:shd w:val="clear" w:color="auto" w:fill="BFBFBF" w:themeFill="background1" w:themeFillShade="BF"/>
            <w:vAlign w:val="center"/>
          </w:tcPr>
          <w:p w14:paraId="2298C3FE" w14:textId="77777777" w:rsidR="00994CFB" w:rsidRPr="00C53DBD" w:rsidRDefault="00994CFB" w:rsidP="00994CFB">
            <w:pPr>
              <w:autoSpaceDE w:val="0"/>
              <w:autoSpaceDN w:val="0"/>
              <w:adjustRightInd w:val="0"/>
              <w:jc w:val="center"/>
              <w:rPr>
                <w:rFonts w:cstheme="minorHAnsi"/>
                <w:bCs/>
              </w:rPr>
            </w:pPr>
            <w:r w:rsidRPr="00C53DBD">
              <w:rPr>
                <w:i/>
                <w:color w:val="000000"/>
                <w:sz w:val="20"/>
                <w:szCs w:val="20"/>
              </w:rPr>
              <w:t>With Exclusions (%)</w:t>
            </w:r>
          </w:p>
        </w:tc>
        <w:tc>
          <w:tcPr>
            <w:tcW w:w="1973" w:type="dxa"/>
            <w:tcBorders>
              <w:top w:val="nil"/>
              <w:left w:val="nil"/>
              <w:bottom w:val="single" w:sz="12" w:space="0" w:color="auto"/>
            </w:tcBorders>
            <w:shd w:val="clear" w:color="auto" w:fill="BFBFBF" w:themeFill="background1" w:themeFillShade="BF"/>
            <w:vAlign w:val="center"/>
          </w:tcPr>
          <w:p w14:paraId="59A399C6" w14:textId="77777777" w:rsidR="00994CFB" w:rsidRPr="00C53DBD" w:rsidRDefault="00994CFB" w:rsidP="00994CFB">
            <w:pPr>
              <w:autoSpaceDE w:val="0"/>
              <w:autoSpaceDN w:val="0"/>
              <w:adjustRightInd w:val="0"/>
              <w:jc w:val="center"/>
              <w:rPr>
                <w:rFonts w:cstheme="minorHAnsi"/>
                <w:bCs/>
              </w:rPr>
            </w:pPr>
            <w:r w:rsidRPr="00C53DBD">
              <w:rPr>
                <w:i/>
                <w:color w:val="000000"/>
                <w:sz w:val="20"/>
                <w:szCs w:val="20"/>
              </w:rPr>
              <w:t>No Exclusions (%)</w:t>
            </w:r>
          </w:p>
        </w:tc>
      </w:tr>
      <w:tr w:rsidR="00994CFB" w:rsidRPr="00C53DBD" w14:paraId="40C5D2F9" w14:textId="77777777" w:rsidTr="00994CFB">
        <w:trPr>
          <w:jc w:val="center"/>
        </w:trPr>
        <w:tc>
          <w:tcPr>
            <w:tcW w:w="5414" w:type="dxa"/>
            <w:tcBorders>
              <w:top w:val="single" w:sz="12" w:space="0" w:color="auto"/>
              <w:bottom w:val="single" w:sz="8" w:space="0" w:color="auto"/>
              <w:right w:val="dashed" w:sz="4" w:space="0" w:color="auto"/>
            </w:tcBorders>
            <w:vAlign w:val="center"/>
          </w:tcPr>
          <w:p w14:paraId="1C356D0C" w14:textId="77777777" w:rsidR="00994CFB" w:rsidRPr="00C53DBD" w:rsidRDefault="00994CFB" w:rsidP="00994CFB">
            <w:pPr>
              <w:autoSpaceDE w:val="0"/>
              <w:autoSpaceDN w:val="0"/>
              <w:adjustRightInd w:val="0"/>
              <w:rPr>
                <w:rFonts w:cstheme="minorHAnsi"/>
                <w:bCs/>
                <w:sz w:val="20"/>
                <w:szCs w:val="20"/>
              </w:rPr>
            </w:pPr>
            <w:r w:rsidRPr="00C53DBD">
              <w:rPr>
                <w:rFonts w:cstheme="minorHAnsi"/>
                <w:bCs/>
                <w:sz w:val="20"/>
                <w:szCs w:val="20"/>
              </w:rPr>
              <w:t>Minimum</w:t>
            </w:r>
          </w:p>
        </w:tc>
        <w:tc>
          <w:tcPr>
            <w:tcW w:w="1973" w:type="dxa"/>
            <w:tcBorders>
              <w:top w:val="single" w:sz="12" w:space="0" w:color="auto"/>
              <w:left w:val="dashed" w:sz="4" w:space="0" w:color="auto"/>
              <w:bottom w:val="single" w:sz="8" w:space="0" w:color="auto"/>
              <w:right w:val="dashed" w:sz="4" w:space="0" w:color="auto"/>
            </w:tcBorders>
            <w:vAlign w:val="center"/>
          </w:tcPr>
          <w:p w14:paraId="48A52EB7" w14:textId="054A1109" w:rsidR="00994CFB" w:rsidRPr="00584E56" w:rsidRDefault="004770AF" w:rsidP="00994CFB">
            <w:pPr>
              <w:autoSpaceDE w:val="0"/>
              <w:autoSpaceDN w:val="0"/>
              <w:adjustRightInd w:val="0"/>
              <w:jc w:val="center"/>
              <w:rPr>
                <w:rFonts w:cstheme="minorHAnsi"/>
                <w:bCs/>
                <w:sz w:val="20"/>
                <w:szCs w:val="20"/>
              </w:rPr>
            </w:pPr>
            <w:r>
              <w:rPr>
                <w:rFonts w:cstheme="minorHAnsi"/>
                <w:bCs/>
                <w:sz w:val="20"/>
                <w:szCs w:val="20"/>
              </w:rPr>
              <w:t>0.00</w:t>
            </w:r>
          </w:p>
        </w:tc>
        <w:tc>
          <w:tcPr>
            <w:tcW w:w="1973" w:type="dxa"/>
            <w:tcBorders>
              <w:top w:val="single" w:sz="12" w:space="0" w:color="auto"/>
              <w:left w:val="dashed" w:sz="4" w:space="0" w:color="auto"/>
              <w:bottom w:val="single" w:sz="8" w:space="0" w:color="auto"/>
            </w:tcBorders>
            <w:vAlign w:val="center"/>
          </w:tcPr>
          <w:p w14:paraId="03FDF5A8" w14:textId="6A7A01B2" w:rsidR="00994CFB" w:rsidRPr="00584E56" w:rsidRDefault="004770AF" w:rsidP="00994CFB">
            <w:pPr>
              <w:autoSpaceDE w:val="0"/>
              <w:autoSpaceDN w:val="0"/>
              <w:adjustRightInd w:val="0"/>
              <w:jc w:val="center"/>
              <w:rPr>
                <w:rFonts w:cstheme="minorHAnsi"/>
                <w:bCs/>
                <w:sz w:val="20"/>
                <w:szCs w:val="20"/>
              </w:rPr>
            </w:pPr>
            <w:r>
              <w:rPr>
                <w:rFonts w:cstheme="minorHAnsi"/>
                <w:bCs/>
                <w:sz w:val="20"/>
                <w:szCs w:val="20"/>
              </w:rPr>
              <w:t>0.00</w:t>
            </w:r>
          </w:p>
        </w:tc>
      </w:tr>
      <w:tr w:rsidR="00994CFB" w:rsidRPr="00C53DBD" w14:paraId="3AF9909F" w14:textId="77777777" w:rsidTr="00994CFB">
        <w:trPr>
          <w:jc w:val="center"/>
        </w:trPr>
        <w:tc>
          <w:tcPr>
            <w:tcW w:w="5414" w:type="dxa"/>
            <w:tcBorders>
              <w:top w:val="single" w:sz="8" w:space="0" w:color="auto"/>
              <w:bottom w:val="single" w:sz="8" w:space="0" w:color="auto"/>
              <w:right w:val="dashed" w:sz="4" w:space="0" w:color="auto"/>
            </w:tcBorders>
          </w:tcPr>
          <w:p w14:paraId="003B62FE" w14:textId="77777777" w:rsidR="00994CFB" w:rsidRPr="00C53DBD" w:rsidRDefault="00994CFB" w:rsidP="00994CFB">
            <w:pPr>
              <w:autoSpaceDE w:val="0"/>
              <w:autoSpaceDN w:val="0"/>
              <w:adjustRightInd w:val="0"/>
              <w:rPr>
                <w:rFonts w:cstheme="minorHAnsi"/>
                <w:bCs/>
                <w:sz w:val="20"/>
                <w:szCs w:val="20"/>
              </w:rPr>
            </w:pPr>
            <w:r w:rsidRPr="00C53DBD">
              <w:rPr>
                <w:rFonts w:cstheme="minorHAnsi"/>
                <w:bCs/>
                <w:sz w:val="20"/>
                <w:szCs w:val="20"/>
              </w:rPr>
              <w:t>Maximum</w:t>
            </w:r>
          </w:p>
        </w:tc>
        <w:tc>
          <w:tcPr>
            <w:tcW w:w="1973" w:type="dxa"/>
            <w:tcBorders>
              <w:top w:val="single" w:sz="8" w:space="0" w:color="auto"/>
              <w:left w:val="dashed" w:sz="4" w:space="0" w:color="auto"/>
              <w:bottom w:val="single" w:sz="8" w:space="0" w:color="auto"/>
              <w:right w:val="dashed" w:sz="4" w:space="0" w:color="auto"/>
            </w:tcBorders>
          </w:tcPr>
          <w:p w14:paraId="01515729" w14:textId="057C4A4F" w:rsidR="00994CFB" w:rsidRPr="00584E56" w:rsidRDefault="004770AF" w:rsidP="00994CFB">
            <w:pPr>
              <w:autoSpaceDE w:val="0"/>
              <w:autoSpaceDN w:val="0"/>
              <w:adjustRightInd w:val="0"/>
              <w:jc w:val="center"/>
              <w:rPr>
                <w:rFonts w:cstheme="minorHAnsi"/>
                <w:bCs/>
                <w:sz w:val="20"/>
                <w:szCs w:val="20"/>
              </w:rPr>
            </w:pPr>
            <w:r>
              <w:rPr>
                <w:rFonts w:cstheme="minorHAnsi"/>
                <w:bCs/>
                <w:sz w:val="20"/>
                <w:szCs w:val="20"/>
              </w:rPr>
              <w:t>56.84</w:t>
            </w:r>
          </w:p>
        </w:tc>
        <w:tc>
          <w:tcPr>
            <w:tcW w:w="1973" w:type="dxa"/>
            <w:tcBorders>
              <w:top w:val="single" w:sz="8" w:space="0" w:color="auto"/>
              <w:left w:val="dashed" w:sz="4" w:space="0" w:color="auto"/>
              <w:bottom w:val="single" w:sz="8" w:space="0" w:color="auto"/>
            </w:tcBorders>
          </w:tcPr>
          <w:p w14:paraId="28896BCE" w14:textId="62BEFFF7" w:rsidR="00994CFB" w:rsidRPr="00584E56" w:rsidRDefault="004770AF" w:rsidP="00994CFB">
            <w:pPr>
              <w:autoSpaceDE w:val="0"/>
              <w:autoSpaceDN w:val="0"/>
              <w:adjustRightInd w:val="0"/>
              <w:jc w:val="center"/>
              <w:rPr>
                <w:rFonts w:cstheme="minorHAnsi"/>
                <w:bCs/>
                <w:sz w:val="20"/>
                <w:szCs w:val="20"/>
              </w:rPr>
            </w:pPr>
            <w:r>
              <w:rPr>
                <w:rFonts w:cstheme="minorHAnsi"/>
                <w:bCs/>
                <w:sz w:val="20"/>
                <w:szCs w:val="20"/>
              </w:rPr>
              <w:t>56.84</w:t>
            </w:r>
          </w:p>
        </w:tc>
      </w:tr>
      <w:tr w:rsidR="00994CFB" w:rsidRPr="00C53DBD" w14:paraId="07FFD2FC" w14:textId="77777777" w:rsidTr="00994CFB">
        <w:trPr>
          <w:jc w:val="center"/>
        </w:trPr>
        <w:tc>
          <w:tcPr>
            <w:tcW w:w="5414" w:type="dxa"/>
            <w:tcBorders>
              <w:top w:val="single" w:sz="8" w:space="0" w:color="auto"/>
              <w:bottom w:val="single" w:sz="8" w:space="0" w:color="auto"/>
              <w:right w:val="dashed" w:sz="4" w:space="0" w:color="auto"/>
            </w:tcBorders>
          </w:tcPr>
          <w:p w14:paraId="132DE733" w14:textId="77777777" w:rsidR="00994CFB" w:rsidRPr="00C53DBD" w:rsidRDefault="00994CFB" w:rsidP="00994CFB">
            <w:pPr>
              <w:autoSpaceDE w:val="0"/>
              <w:autoSpaceDN w:val="0"/>
              <w:adjustRightInd w:val="0"/>
              <w:rPr>
                <w:rFonts w:cstheme="minorHAnsi"/>
                <w:bCs/>
                <w:sz w:val="20"/>
                <w:szCs w:val="20"/>
              </w:rPr>
            </w:pPr>
            <w:r w:rsidRPr="00C53DBD">
              <w:rPr>
                <w:rFonts w:cstheme="minorHAnsi"/>
                <w:bCs/>
                <w:sz w:val="20"/>
                <w:szCs w:val="20"/>
              </w:rPr>
              <w:t>Mean</w:t>
            </w:r>
          </w:p>
        </w:tc>
        <w:tc>
          <w:tcPr>
            <w:tcW w:w="1973" w:type="dxa"/>
            <w:tcBorders>
              <w:top w:val="single" w:sz="8" w:space="0" w:color="auto"/>
              <w:left w:val="dashed" w:sz="4" w:space="0" w:color="auto"/>
              <w:bottom w:val="single" w:sz="8" w:space="0" w:color="auto"/>
              <w:right w:val="dashed" w:sz="4" w:space="0" w:color="auto"/>
            </w:tcBorders>
          </w:tcPr>
          <w:p w14:paraId="630B5549" w14:textId="0C3B697B" w:rsidR="00994CFB" w:rsidRPr="00584E56" w:rsidRDefault="004770AF" w:rsidP="00994CFB">
            <w:pPr>
              <w:autoSpaceDE w:val="0"/>
              <w:autoSpaceDN w:val="0"/>
              <w:adjustRightInd w:val="0"/>
              <w:jc w:val="center"/>
              <w:rPr>
                <w:rFonts w:cstheme="minorHAnsi"/>
                <w:bCs/>
                <w:sz w:val="20"/>
                <w:szCs w:val="20"/>
              </w:rPr>
            </w:pPr>
            <w:r>
              <w:rPr>
                <w:rFonts w:cstheme="minorHAnsi"/>
                <w:bCs/>
                <w:sz w:val="20"/>
                <w:szCs w:val="20"/>
              </w:rPr>
              <w:t>3.96</w:t>
            </w:r>
          </w:p>
        </w:tc>
        <w:tc>
          <w:tcPr>
            <w:tcW w:w="1973" w:type="dxa"/>
            <w:tcBorders>
              <w:top w:val="single" w:sz="8" w:space="0" w:color="auto"/>
              <w:left w:val="dashed" w:sz="4" w:space="0" w:color="auto"/>
              <w:bottom w:val="single" w:sz="8" w:space="0" w:color="auto"/>
            </w:tcBorders>
          </w:tcPr>
          <w:p w14:paraId="44D3AF7B" w14:textId="546E8570" w:rsidR="00994CFB" w:rsidRPr="00584E56" w:rsidRDefault="004770AF" w:rsidP="00994CFB">
            <w:pPr>
              <w:autoSpaceDE w:val="0"/>
              <w:autoSpaceDN w:val="0"/>
              <w:adjustRightInd w:val="0"/>
              <w:jc w:val="center"/>
              <w:rPr>
                <w:rFonts w:cstheme="minorHAnsi"/>
                <w:bCs/>
                <w:sz w:val="20"/>
                <w:szCs w:val="20"/>
              </w:rPr>
            </w:pPr>
            <w:r>
              <w:rPr>
                <w:rFonts w:cstheme="minorHAnsi"/>
                <w:bCs/>
                <w:sz w:val="20"/>
                <w:szCs w:val="20"/>
              </w:rPr>
              <w:t>3.95</w:t>
            </w:r>
          </w:p>
        </w:tc>
      </w:tr>
      <w:tr w:rsidR="00994CFB" w:rsidRPr="00C53DBD" w14:paraId="69AC68E6" w14:textId="77777777" w:rsidTr="00994CFB">
        <w:trPr>
          <w:jc w:val="center"/>
        </w:trPr>
        <w:tc>
          <w:tcPr>
            <w:tcW w:w="5414" w:type="dxa"/>
            <w:tcBorders>
              <w:top w:val="single" w:sz="8" w:space="0" w:color="auto"/>
              <w:bottom w:val="single" w:sz="8" w:space="0" w:color="auto"/>
              <w:right w:val="dashed" w:sz="4" w:space="0" w:color="auto"/>
            </w:tcBorders>
          </w:tcPr>
          <w:p w14:paraId="7C4DC417" w14:textId="77777777" w:rsidR="00994CFB" w:rsidRPr="00C53DBD" w:rsidRDefault="00994CFB" w:rsidP="00994CFB">
            <w:pPr>
              <w:autoSpaceDE w:val="0"/>
              <w:autoSpaceDN w:val="0"/>
              <w:adjustRightInd w:val="0"/>
              <w:rPr>
                <w:rFonts w:cstheme="minorHAnsi"/>
                <w:bCs/>
                <w:sz w:val="20"/>
                <w:szCs w:val="20"/>
              </w:rPr>
            </w:pPr>
            <w:r w:rsidRPr="00C53DBD">
              <w:rPr>
                <w:rFonts w:cstheme="minorHAnsi"/>
                <w:bCs/>
                <w:sz w:val="20"/>
                <w:szCs w:val="20"/>
              </w:rPr>
              <w:t>Standard Deviation</w:t>
            </w:r>
          </w:p>
        </w:tc>
        <w:tc>
          <w:tcPr>
            <w:tcW w:w="1973" w:type="dxa"/>
            <w:tcBorders>
              <w:top w:val="single" w:sz="8" w:space="0" w:color="auto"/>
              <w:left w:val="dashed" w:sz="4" w:space="0" w:color="auto"/>
              <w:bottom w:val="single" w:sz="8" w:space="0" w:color="auto"/>
              <w:right w:val="dashed" w:sz="4" w:space="0" w:color="auto"/>
            </w:tcBorders>
          </w:tcPr>
          <w:p w14:paraId="4E68AF8C" w14:textId="5E4A50AC" w:rsidR="00994CFB" w:rsidRPr="00584E56" w:rsidRDefault="004770AF" w:rsidP="00994CFB">
            <w:pPr>
              <w:autoSpaceDE w:val="0"/>
              <w:autoSpaceDN w:val="0"/>
              <w:adjustRightInd w:val="0"/>
              <w:jc w:val="center"/>
              <w:rPr>
                <w:rFonts w:cstheme="minorHAnsi"/>
                <w:bCs/>
                <w:sz w:val="20"/>
                <w:szCs w:val="20"/>
              </w:rPr>
            </w:pPr>
            <w:r>
              <w:rPr>
                <w:rFonts w:cstheme="minorHAnsi"/>
                <w:bCs/>
                <w:sz w:val="20"/>
                <w:szCs w:val="20"/>
              </w:rPr>
              <w:t>6.95</w:t>
            </w:r>
          </w:p>
        </w:tc>
        <w:tc>
          <w:tcPr>
            <w:tcW w:w="1973" w:type="dxa"/>
            <w:tcBorders>
              <w:top w:val="single" w:sz="8" w:space="0" w:color="auto"/>
              <w:left w:val="dashed" w:sz="4" w:space="0" w:color="auto"/>
              <w:bottom w:val="single" w:sz="8" w:space="0" w:color="auto"/>
            </w:tcBorders>
          </w:tcPr>
          <w:p w14:paraId="21237E2E" w14:textId="2F020A4E" w:rsidR="00994CFB" w:rsidRPr="00584E56" w:rsidRDefault="004770AF" w:rsidP="00994CFB">
            <w:pPr>
              <w:autoSpaceDE w:val="0"/>
              <w:autoSpaceDN w:val="0"/>
              <w:adjustRightInd w:val="0"/>
              <w:jc w:val="center"/>
              <w:rPr>
                <w:rFonts w:cstheme="minorHAnsi"/>
                <w:bCs/>
                <w:sz w:val="20"/>
                <w:szCs w:val="20"/>
              </w:rPr>
            </w:pPr>
            <w:r>
              <w:rPr>
                <w:rFonts w:cstheme="minorHAnsi"/>
                <w:bCs/>
                <w:sz w:val="20"/>
                <w:szCs w:val="20"/>
              </w:rPr>
              <w:t>6.93</w:t>
            </w:r>
          </w:p>
        </w:tc>
      </w:tr>
      <w:tr w:rsidR="00994CFB" w:rsidRPr="00C53DBD" w14:paraId="51CAD1A7" w14:textId="77777777" w:rsidTr="00994CFB">
        <w:trPr>
          <w:jc w:val="center"/>
        </w:trPr>
        <w:tc>
          <w:tcPr>
            <w:tcW w:w="5414" w:type="dxa"/>
            <w:tcBorders>
              <w:top w:val="single" w:sz="8" w:space="0" w:color="auto"/>
              <w:bottom w:val="single" w:sz="8" w:space="0" w:color="auto"/>
              <w:right w:val="dashed" w:sz="4" w:space="0" w:color="auto"/>
            </w:tcBorders>
          </w:tcPr>
          <w:p w14:paraId="1641369E" w14:textId="77777777" w:rsidR="00994CFB" w:rsidRPr="00C53DBD" w:rsidRDefault="00994CFB" w:rsidP="00994CFB">
            <w:pPr>
              <w:autoSpaceDE w:val="0"/>
              <w:autoSpaceDN w:val="0"/>
              <w:adjustRightInd w:val="0"/>
              <w:rPr>
                <w:rFonts w:cstheme="minorHAnsi"/>
                <w:bCs/>
                <w:sz w:val="20"/>
                <w:szCs w:val="20"/>
              </w:rPr>
            </w:pPr>
            <w:r w:rsidRPr="00C53DBD">
              <w:rPr>
                <w:rFonts w:cstheme="minorHAnsi"/>
                <w:bCs/>
                <w:sz w:val="20"/>
                <w:szCs w:val="20"/>
              </w:rPr>
              <w:t>25</w:t>
            </w:r>
            <w:r w:rsidRPr="00C53DBD">
              <w:rPr>
                <w:rFonts w:cstheme="minorHAnsi"/>
                <w:bCs/>
                <w:sz w:val="20"/>
                <w:szCs w:val="20"/>
                <w:vertAlign w:val="superscript"/>
              </w:rPr>
              <w:t>th</w:t>
            </w:r>
            <w:r w:rsidRPr="00C53DBD">
              <w:rPr>
                <w:rFonts w:cstheme="minorHAnsi"/>
                <w:bCs/>
                <w:sz w:val="20"/>
                <w:szCs w:val="20"/>
              </w:rPr>
              <w:t xml:space="preserve"> Percentile</w:t>
            </w:r>
          </w:p>
        </w:tc>
        <w:tc>
          <w:tcPr>
            <w:tcW w:w="1973" w:type="dxa"/>
            <w:tcBorders>
              <w:top w:val="single" w:sz="8" w:space="0" w:color="auto"/>
              <w:left w:val="dashed" w:sz="4" w:space="0" w:color="auto"/>
              <w:bottom w:val="single" w:sz="8" w:space="0" w:color="auto"/>
              <w:right w:val="dashed" w:sz="4" w:space="0" w:color="auto"/>
            </w:tcBorders>
          </w:tcPr>
          <w:p w14:paraId="5ED916ED" w14:textId="6405D124" w:rsidR="00994CFB" w:rsidRPr="00584E56" w:rsidRDefault="004770AF" w:rsidP="00994CFB">
            <w:pPr>
              <w:autoSpaceDE w:val="0"/>
              <w:autoSpaceDN w:val="0"/>
              <w:adjustRightInd w:val="0"/>
              <w:jc w:val="center"/>
              <w:rPr>
                <w:rFonts w:cstheme="minorHAnsi"/>
                <w:bCs/>
                <w:sz w:val="20"/>
                <w:szCs w:val="20"/>
              </w:rPr>
            </w:pPr>
            <w:r>
              <w:rPr>
                <w:rFonts w:cstheme="minorHAnsi"/>
                <w:bCs/>
                <w:sz w:val="20"/>
                <w:szCs w:val="20"/>
              </w:rPr>
              <w:t>0.17</w:t>
            </w:r>
          </w:p>
        </w:tc>
        <w:tc>
          <w:tcPr>
            <w:tcW w:w="1973" w:type="dxa"/>
            <w:tcBorders>
              <w:top w:val="single" w:sz="8" w:space="0" w:color="auto"/>
              <w:left w:val="dashed" w:sz="4" w:space="0" w:color="auto"/>
              <w:bottom w:val="single" w:sz="8" w:space="0" w:color="auto"/>
            </w:tcBorders>
          </w:tcPr>
          <w:p w14:paraId="49515F88" w14:textId="7C522C65" w:rsidR="00994CFB" w:rsidRPr="00584E56" w:rsidRDefault="004770AF" w:rsidP="00994CFB">
            <w:pPr>
              <w:autoSpaceDE w:val="0"/>
              <w:autoSpaceDN w:val="0"/>
              <w:adjustRightInd w:val="0"/>
              <w:jc w:val="center"/>
              <w:rPr>
                <w:rFonts w:cstheme="minorHAnsi"/>
                <w:bCs/>
                <w:sz w:val="20"/>
                <w:szCs w:val="20"/>
              </w:rPr>
            </w:pPr>
            <w:r>
              <w:rPr>
                <w:rFonts w:cstheme="minorHAnsi"/>
                <w:bCs/>
                <w:sz w:val="20"/>
                <w:szCs w:val="20"/>
              </w:rPr>
              <w:t>0.17</w:t>
            </w:r>
          </w:p>
        </w:tc>
      </w:tr>
      <w:tr w:rsidR="00994CFB" w:rsidRPr="00C53DBD" w14:paraId="7D7EDDC6" w14:textId="77777777" w:rsidTr="00994CFB">
        <w:trPr>
          <w:jc w:val="center"/>
        </w:trPr>
        <w:tc>
          <w:tcPr>
            <w:tcW w:w="5414" w:type="dxa"/>
            <w:tcBorders>
              <w:top w:val="single" w:sz="8" w:space="0" w:color="auto"/>
              <w:bottom w:val="single" w:sz="8" w:space="0" w:color="auto"/>
              <w:right w:val="dashed" w:sz="4" w:space="0" w:color="auto"/>
            </w:tcBorders>
          </w:tcPr>
          <w:p w14:paraId="6CD9C710" w14:textId="77777777" w:rsidR="00994CFB" w:rsidRPr="00C53DBD" w:rsidRDefault="00994CFB" w:rsidP="00994CFB">
            <w:pPr>
              <w:autoSpaceDE w:val="0"/>
              <w:autoSpaceDN w:val="0"/>
              <w:adjustRightInd w:val="0"/>
              <w:rPr>
                <w:rFonts w:cstheme="minorHAnsi"/>
                <w:bCs/>
                <w:sz w:val="20"/>
                <w:szCs w:val="20"/>
              </w:rPr>
            </w:pPr>
            <w:r w:rsidRPr="00C53DBD">
              <w:rPr>
                <w:rFonts w:cstheme="minorHAnsi"/>
                <w:bCs/>
                <w:sz w:val="20"/>
                <w:szCs w:val="20"/>
              </w:rPr>
              <w:t>50</w:t>
            </w:r>
            <w:r w:rsidRPr="00C53DBD">
              <w:rPr>
                <w:rFonts w:cstheme="minorHAnsi"/>
                <w:bCs/>
                <w:sz w:val="20"/>
                <w:szCs w:val="20"/>
                <w:vertAlign w:val="superscript"/>
              </w:rPr>
              <w:t>th</w:t>
            </w:r>
            <w:r w:rsidRPr="00C53DBD">
              <w:rPr>
                <w:rFonts w:cstheme="minorHAnsi"/>
                <w:bCs/>
                <w:sz w:val="20"/>
                <w:szCs w:val="20"/>
              </w:rPr>
              <w:t xml:space="preserve"> Percentile</w:t>
            </w:r>
          </w:p>
        </w:tc>
        <w:tc>
          <w:tcPr>
            <w:tcW w:w="1973" w:type="dxa"/>
            <w:tcBorders>
              <w:top w:val="single" w:sz="8" w:space="0" w:color="auto"/>
              <w:left w:val="dashed" w:sz="4" w:space="0" w:color="auto"/>
              <w:bottom w:val="single" w:sz="8" w:space="0" w:color="auto"/>
              <w:right w:val="dashed" w:sz="4" w:space="0" w:color="auto"/>
            </w:tcBorders>
          </w:tcPr>
          <w:p w14:paraId="79B69104" w14:textId="4E35392E" w:rsidR="00994CFB" w:rsidRPr="00584E56" w:rsidRDefault="004770AF" w:rsidP="00994CFB">
            <w:pPr>
              <w:autoSpaceDE w:val="0"/>
              <w:autoSpaceDN w:val="0"/>
              <w:adjustRightInd w:val="0"/>
              <w:jc w:val="center"/>
              <w:rPr>
                <w:rFonts w:cstheme="minorHAnsi"/>
                <w:bCs/>
                <w:sz w:val="20"/>
                <w:szCs w:val="20"/>
              </w:rPr>
            </w:pPr>
            <w:r>
              <w:rPr>
                <w:rFonts w:cstheme="minorHAnsi"/>
                <w:bCs/>
                <w:sz w:val="20"/>
                <w:szCs w:val="20"/>
              </w:rPr>
              <w:t>1.22</w:t>
            </w:r>
          </w:p>
        </w:tc>
        <w:tc>
          <w:tcPr>
            <w:tcW w:w="1973" w:type="dxa"/>
            <w:tcBorders>
              <w:top w:val="single" w:sz="8" w:space="0" w:color="auto"/>
              <w:left w:val="dashed" w:sz="4" w:space="0" w:color="auto"/>
              <w:bottom w:val="single" w:sz="8" w:space="0" w:color="auto"/>
            </w:tcBorders>
          </w:tcPr>
          <w:p w14:paraId="6BE64F58" w14:textId="777E2BA1" w:rsidR="00994CFB" w:rsidRPr="00584E56" w:rsidRDefault="004770AF" w:rsidP="00994CFB">
            <w:pPr>
              <w:autoSpaceDE w:val="0"/>
              <w:autoSpaceDN w:val="0"/>
              <w:adjustRightInd w:val="0"/>
              <w:jc w:val="center"/>
              <w:rPr>
                <w:rFonts w:cstheme="minorHAnsi"/>
                <w:bCs/>
                <w:sz w:val="20"/>
                <w:szCs w:val="20"/>
              </w:rPr>
            </w:pPr>
            <w:r>
              <w:rPr>
                <w:rFonts w:cstheme="minorHAnsi"/>
                <w:bCs/>
                <w:sz w:val="20"/>
                <w:szCs w:val="20"/>
              </w:rPr>
              <w:t>1.21</w:t>
            </w:r>
          </w:p>
        </w:tc>
      </w:tr>
      <w:tr w:rsidR="00994CFB" w:rsidRPr="00C53DBD" w14:paraId="5228A125" w14:textId="77777777" w:rsidTr="00994CFB">
        <w:trPr>
          <w:jc w:val="center"/>
        </w:trPr>
        <w:tc>
          <w:tcPr>
            <w:tcW w:w="5414" w:type="dxa"/>
            <w:tcBorders>
              <w:top w:val="single" w:sz="8" w:space="0" w:color="auto"/>
              <w:bottom w:val="single" w:sz="12" w:space="0" w:color="auto"/>
              <w:right w:val="dashed" w:sz="4" w:space="0" w:color="auto"/>
            </w:tcBorders>
          </w:tcPr>
          <w:p w14:paraId="070EEA0C" w14:textId="77777777" w:rsidR="00994CFB" w:rsidRPr="00C53DBD" w:rsidRDefault="00994CFB" w:rsidP="00994CFB">
            <w:pPr>
              <w:autoSpaceDE w:val="0"/>
              <w:autoSpaceDN w:val="0"/>
              <w:adjustRightInd w:val="0"/>
              <w:rPr>
                <w:rFonts w:cstheme="minorHAnsi"/>
                <w:bCs/>
                <w:sz w:val="20"/>
                <w:szCs w:val="20"/>
              </w:rPr>
            </w:pPr>
            <w:r w:rsidRPr="00C53DBD">
              <w:rPr>
                <w:rFonts w:cstheme="minorHAnsi"/>
                <w:bCs/>
                <w:sz w:val="20"/>
                <w:szCs w:val="20"/>
              </w:rPr>
              <w:t>75</w:t>
            </w:r>
            <w:r w:rsidRPr="00C53DBD">
              <w:rPr>
                <w:rFonts w:cstheme="minorHAnsi"/>
                <w:bCs/>
                <w:sz w:val="20"/>
                <w:szCs w:val="20"/>
                <w:vertAlign w:val="superscript"/>
              </w:rPr>
              <w:t>th</w:t>
            </w:r>
            <w:r w:rsidRPr="00C53DBD">
              <w:rPr>
                <w:rFonts w:cstheme="minorHAnsi"/>
                <w:bCs/>
                <w:sz w:val="20"/>
                <w:szCs w:val="20"/>
              </w:rPr>
              <w:t xml:space="preserve"> Percentile</w:t>
            </w:r>
          </w:p>
        </w:tc>
        <w:tc>
          <w:tcPr>
            <w:tcW w:w="1973" w:type="dxa"/>
            <w:tcBorders>
              <w:top w:val="single" w:sz="8" w:space="0" w:color="auto"/>
              <w:left w:val="dashed" w:sz="4" w:space="0" w:color="auto"/>
              <w:bottom w:val="single" w:sz="12" w:space="0" w:color="auto"/>
              <w:right w:val="dashed" w:sz="4" w:space="0" w:color="auto"/>
            </w:tcBorders>
          </w:tcPr>
          <w:p w14:paraId="62357E3D" w14:textId="6ADF7126" w:rsidR="00994CFB" w:rsidRPr="00584E56" w:rsidRDefault="004770AF" w:rsidP="00994CFB">
            <w:pPr>
              <w:autoSpaceDE w:val="0"/>
              <w:autoSpaceDN w:val="0"/>
              <w:adjustRightInd w:val="0"/>
              <w:jc w:val="center"/>
              <w:rPr>
                <w:rFonts w:cstheme="minorHAnsi"/>
                <w:bCs/>
                <w:sz w:val="20"/>
                <w:szCs w:val="20"/>
              </w:rPr>
            </w:pPr>
            <w:r>
              <w:rPr>
                <w:rFonts w:cstheme="minorHAnsi"/>
                <w:bCs/>
                <w:sz w:val="20"/>
                <w:szCs w:val="20"/>
              </w:rPr>
              <w:t>4.39</w:t>
            </w:r>
          </w:p>
        </w:tc>
        <w:tc>
          <w:tcPr>
            <w:tcW w:w="1973" w:type="dxa"/>
            <w:tcBorders>
              <w:top w:val="single" w:sz="8" w:space="0" w:color="auto"/>
              <w:left w:val="dashed" w:sz="4" w:space="0" w:color="auto"/>
              <w:bottom w:val="single" w:sz="12" w:space="0" w:color="auto"/>
            </w:tcBorders>
          </w:tcPr>
          <w:p w14:paraId="3938C69F" w14:textId="3E5CB2F4" w:rsidR="00994CFB" w:rsidRPr="00584E56" w:rsidRDefault="004770AF" w:rsidP="00994CFB">
            <w:pPr>
              <w:autoSpaceDE w:val="0"/>
              <w:autoSpaceDN w:val="0"/>
              <w:adjustRightInd w:val="0"/>
              <w:jc w:val="center"/>
              <w:rPr>
                <w:rFonts w:cstheme="minorHAnsi"/>
                <w:bCs/>
                <w:sz w:val="20"/>
                <w:szCs w:val="20"/>
              </w:rPr>
            </w:pPr>
            <w:r>
              <w:rPr>
                <w:rFonts w:cstheme="minorHAnsi"/>
                <w:bCs/>
                <w:sz w:val="20"/>
                <w:szCs w:val="20"/>
              </w:rPr>
              <w:t>4.36</w:t>
            </w:r>
          </w:p>
        </w:tc>
      </w:tr>
    </w:tbl>
    <w:p w14:paraId="35503B54" w14:textId="77777777" w:rsidR="006B560F" w:rsidRDefault="006B560F" w:rsidP="00092566">
      <w:pPr>
        <w:autoSpaceDE w:val="0"/>
        <w:autoSpaceDN w:val="0"/>
        <w:adjustRightInd w:val="0"/>
        <w:spacing w:after="0" w:line="240" w:lineRule="auto"/>
        <w:rPr>
          <w:rFonts w:cstheme="minorHAnsi"/>
          <w:bCs/>
        </w:rPr>
      </w:pPr>
    </w:p>
    <w:p w14:paraId="3F7EA61A" w14:textId="78B719F2" w:rsidR="00994CFB" w:rsidRDefault="00994CFB" w:rsidP="00994CFB">
      <w:pPr>
        <w:autoSpaceDE w:val="0"/>
        <w:autoSpaceDN w:val="0"/>
        <w:adjustRightInd w:val="0"/>
        <w:spacing w:after="0" w:line="240" w:lineRule="auto"/>
        <w:rPr>
          <w:rFonts w:cstheme="minorHAnsi"/>
          <w:bCs/>
        </w:rPr>
      </w:pPr>
      <w:r>
        <w:rPr>
          <w:rFonts w:cstheme="minorHAnsi"/>
          <w:bCs/>
        </w:rPr>
        <w:t>Finally, CORE and Lewin calculated a Spearman rank correlation coefficient for facility score with and without exclusions:</w:t>
      </w:r>
    </w:p>
    <w:p w14:paraId="0ABF55DA" w14:textId="77777777" w:rsidR="00994CFB" w:rsidRPr="00584E56" w:rsidRDefault="00994CFB" w:rsidP="00994CFB">
      <w:pPr>
        <w:autoSpaceDE w:val="0"/>
        <w:autoSpaceDN w:val="0"/>
        <w:adjustRightInd w:val="0"/>
        <w:spacing w:after="0" w:line="240" w:lineRule="auto"/>
        <w:rPr>
          <w:rFonts w:cstheme="minorHAnsi"/>
          <w:bCs/>
        </w:rPr>
      </w:pPr>
    </w:p>
    <w:p w14:paraId="40B0582A" w14:textId="4075EDD8" w:rsidR="00994CFB" w:rsidRDefault="00994CFB" w:rsidP="00994CFB">
      <w:pPr>
        <w:autoSpaceDE w:val="0"/>
        <w:autoSpaceDN w:val="0"/>
        <w:adjustRightInd w:val="0"/>
        <w:spacing w:after="0" w:line="240" w:lineRule="auto"/>
        <w:ind w:firstLine="720"/>
        <w:rPr>
          <w:rFonts w:cstheme="minorHAnsi"/>
          <w:bCs/>
        </w:rPr>
      </w:pPr>
      <w:proofErr w:type="gramStart"/>
      <w:r w:rsidRPr="007E3EDA">
        <w:rPr>
          <w:rFonts w:cstheme="minorHAnsi"/>
          <w:bCs/>
          <w:i/>
        </w:rPr>
        <w:t>r</w:t>
      </w:r>
      <w:r w:rsidRPr="007E3EDA">
        <w:rPr>
          <w:rFonts w:cstheme="minorHAnsi"/>
          <w:bCs/>
          <w:i/>
          <w:vertAlign w:val="subscript"/>
        </w:rPr>
        <w:t>S</w:t>
      </w:r>
      <w:proofErr w:type="gramEnd"/>
      <w:r>
        <w:rPr>
          <w:rFonts w:cstheme="minorHAnsi"/>
          <w:bCs/>
          <w:vertAlign w:val="subscript"/>
        </w:rPr>
        <w:t xml:space="preserve"> </w:t>
      </w:r>
      <w:r>
        <w:rPr>
          <w:rFonts w:cstheme="minorHAnsi"/>
          <w:bCs/>
        </w:rPr>
        <w:t xml:space="preserve">= </w:t>
      </w:r>
      <w:r w:rsidR="004770AF" w:rsidRPr="004770AF">
        <w:rPr>
          <w:rFonts w:cstheme="minorHAnsi"/>
          <w:bCs/>
        </w:rPr>
        <w:t>0.9995</w:t>
      </w:r>
      <w:r>
        <w:rPr>
          <w:rFonts w:cstheme="minorHAnsi"/>
          <w:bCs/>
        </w:rPr>
        <w:tab/>
      </w:r>
      <w:r>
        <w:rPr>
          <w:rFonts w:cstheme="minorHAnsi"/>
          <w:bCs/>
        </w:rPr>
        <w:tab/>
      </w:r>
      <w:r>
        <w:rPr>
          <w:rFonts w:cstheme="minorHAnsi"/>
          <w:bCs/>
        </w:rPr>
        <w:tab/>
      </w:r>
      <w:r>
        <w:rPr>
          <w:rFonts w:cstheme="minorHAnsi"/>
          <w:bCs/>
        </w:rPr>
        <w:tab/>
      </w:r>
    </w:p>
    <w:p w14:paraId="0DACF6A4" w14:textId="21E3BA5D" w:rsidR="00994CFB" w:rsidRDefault="00994CFB" w:rsidP="00994CFB">
      <w:pPr>
        <w:autoSpaceDE w:val="0"/>
        <w:autoSpaceDN w:val="0"/>
        <w:adjustRightInd w:val="0"/>
        <w:spacing w:after="0" w:line="240" w:lineRule="auto"/>
        <w:ind w:firstLine="720"/>
        <w:rPr>
          <w:rFonts w:cstheme="minorHAnsi"/>
          <w:bCs/>
        </w:rPr>
      </w:pPr>
      <w:r w:rsidRPr="007E3EDA">
        <w:rPr>
          <w:rFonts w:cstheme="minorHAnsi"/>
          <w:bCs/>
          <w:i/>
        </w:rPr>
        <w:t>p</w:t>
      </w:r>
      <w:r>
        <w:rPr>
          <w:rFonts w:cstheme="minorHAnsi"/>
          <w:bCs/>
        </w:rPr>
        <w:t xml:space="preserve"> </w:t>
      </w:r>
      <w:r w:rsidR="004770AF">
        <w:rPr>
          <w:rFonts w:cstheme="minorHAnsi"/>
          <w:bCs/>
        </w:rPr>
        <w:t>= 0.0000</w:t>
      </w:r>
    </w:p>
    <w:p w14:paraId="286BFA71" w14:textId="77777777" w:rsidR="00994CFB" w:rsidRPr="00092566" w:rsidRDefault="00994CFB" w:rsidP="00092566">
      <w:pPr>
        <w:autoSpaceDE w:val="0"/>
        <w:autoSpaceDN w:val="0"/>
        <w:adjustRightInd w:val="0"/>
        <w:spacing w:after="0" w:line="240" w:lineRule="auto"/>
        <w:rPr>
          <w:rFonts w:cstheme="minorHAnsi"/>
          <w:bCs/>
        </w:rPr>
      </w:pPr>
    </w:p>
    <w:p w14:paraId="1E5A50E2" w14:textId="53527827" w:rsidR="00804220" w:rsidRDefault="00092566" w:rsidP="00994CFB">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proofErr w:type="gramStart"/>
      <w:r w:rsidR="00713394" w:rsidRPr="00A25024">
        <w:rPr>
          <w:rFonts w:cstheme="minorHAnsi"/>
          <w:bCs/>
        </w:rPr>
        <w:t>)</w:t>
      </w:r>
      <w:proofErr w:type="gramEnd"/>
      <w:r w:rsidR="007422FD" w:rsidRPr="00A25024">
        <w:rPr>
          <w:rFonts w:cstheme="minorHAnsi"/>
          <w:bCs/>
        </w:rPr>
        <w:br/>
      </w:r>
      <w:r w:rsidR="00804220">
        <w:rPr>
          <w:rFonts w:cstheme="minorHAnsi"/>
          <w:bCs/>
        </w:rPr>
        <w:t xml:space="preserve">The frequency of exclusions varied across facilities (IQR: </w:t>
      </w:r>
      <w:r w:rsidR="00AC3DE3">
        <w:rPr>
          <w:rFonts w:cstheme="minorHAnsi"/>
          <w:bCs/>
        </w:rPr>
        <w:t>0%-</w:t>
      </w:r>
      <w:r w:rsidR="00804220">
        <w:rPr>
          <w:rFonts w:cstheme="minorHAnsi"/>
          <w:bCs/>
        </w:rPr>
        <w:t xml:space="preserve">0.54%), however, the prevalence of exclusions for the denominator population was </w:t>
      </w:r>
      <w:r w:rsidR="002E0055">
        <w:rPr>
          <w:rFonts w:cstheme="minorHAnsi"/>
          <w:bCs/>
        </w:rPr>
        <w:t xml:space="preserve">very </w:t>
      </w:r>
      <w:r w:rsidR="00804220">
        <w:rPr>
          <w:rFonts w:cstheme="minorHAnsi"/>
          <w:bCs/>
        </w:rPr>
        <w:t xml:space="preserve">low. While median performance does not change significantly, exclusion of patients with a crushing injury or injury to the chest, abdomen, pelvis, or blood vessels </w:t>
      </w:r>
      <w:r w:rsidR="00E16616">
        <w:rPr>
          <w:rFonts w:cstheme="minorHAnsi"/>
          <w:bCs/>
        </w:rPr>
        <w:t xml:space="preserve">is necessary to ensure the face validity of the measure and to align with clinical guidelines. As noted in the American College of Radiology (ACR) Appropriate Use Criteria for Blunt Abdominal Trauma (2012), combined CT thorax studies are appropriate for stable patients with blunt abdominal trauma. </w:t>
      </w:r>
    </w:p>
    <w:p w14:paraId="6E78DA38" w14:textId="77777777" w:rsidR="007422FD" w:rsidRPr="00A25024" w:rsidRDefault="007422FD" w:rsidP="00DB3627">
      <w:pPr>
        <w:autoSpaceDE w:val="0"/>
        <w:autoSpaceDN w:val="0"/>
        <w:adjustRightInd w:val="0"/>
        <w:spacing w:after="0" w:line="240" w:lineRule="auto"/>
        <w:rPr>
          <w:rFonts w:cstheme="minorHAnsi"/>
          <w:bCs/>
        </w:rPr>
      </w:pP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5059D5A8" w14:textId="4B4685DF" w:rsidR="00033038" w:rsidRPr="005232D6" w:rsidRDefault="00E25381"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994CFB">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77777777" w:rsidR="00743E46" w:rsidRPr="005232D6" w:rsidRDefault="00E25381"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D13182" w14:textId="77777777" w:rsidR="00743E46" w:rsidRPr="005232D6" w:rsidRDefault="00E25381"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E25381"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CFEF254" w14:textId="6C0854B4" w:rsidR="00994CFB" w:rsidRDefault="00743E46" w:rsidP="00994CFB">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994CFB">
        <w:rPr>
          <w:rFonts w:cstheme="minorHAnsi"/>
          <w:bCs/>
        </w:rPr>
        <w:t>This measure is a process measure for which risk adjustment or risk stratification</w:t>
      </w:r>
      <w:r w:rsidR="002E0055">
        <w:rPr>
          <w:rFonts w:cstheme="minorHAnsi"/>
          <w:bCs/>
        </w:rPr>
        <w:t xml:space="preserve"> are not necessary</w:t>
      </w:r>
      <w:r w:rsidR="00994CFB">
        <w:rPr>
          <w:rFonts w:cstheme="minorHAnsi"/>
          <w:bCs/>
        </w:rPr>
        <w:t xml:space="preserve">. We determined risk adjustment and risk stratification were not appropriate based on the </w:t>
      </w:r>
      <w:r w:rsidR="002E0055">
        <w:rPr>
          <w:rFonts w:cstheme="minorHAnsi"/>
          <w:bCs/>
        </w:rPr>
        <w:t xml:space="preserve">current </w:t>
      </w:r>
      <w:r w:rsidR="00994CFB">
        <w:rPr>
          <w:rFonts w:cstheme="minorHAnsi"/>
          <w:bCs/>
        </w:rPr>
        <w:t>evidence base and the measure construct. During the measure development and maintenance process, we perform an annual review of the literature, which included a scan for potential patient subpopulations for which there are differences in the clinical decision to perform combined CT thorax studies, absent red flag conditions; this review identified n</w:t>
      </w:r>
      <w:r w:rsidR="00994CFB" w:rsidRPr="008E4019">
        <w:rPr>
          <w:rFonts w:cstheme="minorHAnsi"/>
          <w:bCs/>
        </w:rPr>
        <w:t xml:space="preserve">o clear evidence of </w:t>
      </w:r>
      <w:r w:rsidR="00994CFB">
        <w:rPr>
          <w:rFonts w:cstheme="minorHAnsi"/>
          <w:bCs/>
        </w:rPr>
        <w:t xml:space="preserve">an </w:t>
      </w:r>
      <w:r w:rsidR="00994CFB" w:rsidRPr="008E4019">
        <w:rPr>
          <w:rFonts w:cstheme="minorHAnsi"/>
          <w:bCs/>
        </w:rPr>
        <w:t xml:space="preserve">empirical relationship between </w:t>
      </w:r>
      <w:r w:rsidR="00994CFB">
        <w:rPr>
          <w:rFonts w:cstheme="minorHAnsi"/>
          <w:bCs/>
        </w:rPr>
        <w:t>SDS</w:t>
      </w:r>
      <w:r w:rsidR="00994CFB" w:rsidRPr="008E4019">
        <w:rPr>
          <w:rFonts w:cstheme="minorHAnsi"/>
          <w:bCs/>
        </w:rPr>
        <w:t xml:space="preserve"> and </w:t>
      </w:r>
      <w:r w:rsidR="00994CFB">
        <w:rPr>
          <w:rFonts w:cstheme="minorHAnsi"/>
          <w:bCs/>
        </w:rPr>
        <w:t>facility</w:t>
      </w:r>
      <w:r w:rsidR="00994CFB" w:rsidRPr="008E4019">
        <w:rPr>
          <w:rFonts w:cstheme="minorHAnsi"/>
          <w:bCs/>
        </w:rPr>
        <w:t>-level measure performance</w:t>
      </w:r>
      <w:r w:rsidR="00994CFB">
        <w:rPr>
          <w:rFonts w:cstheme="minorHAnsi"/>
          <w:bCs/>
        </w:rPr>
        <w:t>.</w:t>
      </w:r>
    </w:p>
    <w:p w14:paraId="5BA38390" w14:textId="77777777" w:rsidR="00994CFB" w:rsidRDefault="00994CFB" w:rsidP="00994CFB">
      <w:pPr>
        <w:autoSpaceDE w:val="0"/>
        <w:autoSpaceDN w:val="0"/>
        <w:adjustRightInd w:val="0"/>
        <w:spacing w:after="0" w:line="240" w:lineRule="auto"/>
        <w:rPr>
          <w:rFonts w:cstheme="minorHAnsi"/>
          <w:bCs/>
        </w:rPr>
      </w:pPr>
    </w:p>
    <w:p w14:paraId="745CC495" w14:textId="5470B171" w:rsidR="00092566" w:rsidRPr="00A25024" w:rsidRDefault="00994CFB" w:rsidP="00092566">
      <w:pPr>
        <w:autoSpaceDE w:val="0"/>
        <w:autoSpaceDN w:val="0"/>
        <w:adjustRightInd w:val="0"/>
        <w:spacing w:after="0" w:line="240" w:lineRule="auto"/>
        <w:rPr>
          <w:rFonts w:cstheme="minorHAnsi"/>
          <w:bCs/>
        </w:rPr>
      </w:pPr>
      <w:r>
        <w:rPr>
          <w:rFonts w:cstheme="minorHAnsi"/>
          <w:bCs/>
        </w:rPr>
        <w:t xml:space="preserve">In addition to the </w:t>
      </w:r>
      <w:r w:rsidR="002E0055">
        <w:rPr>
          <w:rFonts w:cstheme="minorHAnsi"/>
          <w:bCs/>
        </w:rPr>
        <w:t>literature review</w:t>
      </w:r>
      <w:r>
        <w:rPr>
          <w:rFonts w:cstheme="minorHAnsi"/>
          <w:bCs/>
        </w:rPr>
        <w:t xml:space="preserve">, stakeholder feedback obtained during implementation and public reporting has not identified concerns related to SDS factors and need for risk adjustment. This supports the conceptual model upon which the measure is based. As a process-of-care measure, SDS factors should not influence the decision to image a patient with and without contrast materials; rather, adjustment would </w:t>
      </w:r>
      <w:r w:rsidRPr="008E4019">
        <w:rPr>
          <w:rFonts w:cstheme="minorHAnsi"/>
          <w:bCs/>
        </w:rPr>
        <w:t xml:space="preserve">risk masking such important </w:t>
      </w:r>
      <w:r w:rsidR="002E0055">
        <w:rPr>
          <w:rFonts w:cstheme="minorHAnsi"/>
          <w:bCs/>
        </w:rPr>
        <w:t>disparities</w:t>
      </w:r>
      <w:r w:rsidR="002E0055" w:rsidRPr="008E4019">
        <w:rPr>
          <w:rFonts w:cstheme="minorHAnsi"/>
          <w:bCs/>
        </w:rPr>
        <w:t xml:space="preserve"> </w:t>
      </w:r>
      <w:r w:rsidRPr="008E4019">
        <w:rPr>
          <w:rFonts w:cstheme="minorHAnsi"/>
          <w:bCs/>
        </w:rPr>
        <w:t>in care delivery</w:t>
      </w:r>
      <w:r>
        <w:rPr>
          <w:rFonts w:cstheme="minorHAnsi"/>
          <w:bCs/>
        </w:rPr>
        <w:t xml:space="preserve">. Variation across patient populations is reflective of differences in the quality of care provided to the patient </w:t>
      </w:r>
      <w:r w:rsidR="00AC3DE3">
        <w:rPr>
          <w:rFonts w:cstheme="minorHAnsi"/>
          <w:bCs/>
        </w:rPr>
        <w:t>sub-</w:t>
      </w:r>
      <w:r>
        <w:rPr>
          <w:rFonts w:cstheme="minorHAnsi"/>
          <w:bCs/>
        </w:rPr>
        <w:t>population included in the measure’s denominator.</w:t>
      </w:r>
    </w:p>
    <w:p w14:paraId="25EE6F7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4736A190" w14:textId="00675BF9"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r w:rsidR="00994CFB">
        <w:rPr>
          <w:rFonts w:cstheme="minorHAnsi"/>
          <w:bCs/>
        </w:rPr>
        <w:t>CORE and Lewin did not perform risk adjustment or stratification.</w:t>
      </w:r>
    </w:p>
    <w:p w14:paraId="15E0E4C9" w14:textId="77777777" w:rsidR="00001D73" w:rsidRPr="00001D73" w:rsidRDefault="00001D73" w:rsidP="00001D73">
      <w:pPr>
        <w:autoSpaceDE w:val="0"/>
        <w:autoSpaceDN w:val="0"/>
        <w:adjustRightInd w:val="0"/>
        <w:spacing w:after="0" w:line="240" w:lineRule="auto"/>
        <w:rPr>
          <w:rFonts w:cstheme="minorHAnsi"/>
          <w:bCs/>
        </w:rPr>
      </w:pPr>
    </w:p>
    <w:p w14:paraId="6FB5B3D4" w14:textId="183FFCC2" w:rsidR="00092566" w:rsidRDefault="00092566" w:rsidP="00001D73">
      <w:pPr>
        <w:autoSpaceDE w:val="0"/>
        <w:autoSpaceDN w:val="0"/>
        <w:adjustRightInd w:val="0"/>
        <w:spacing w:after="0" w:line="240" w:lineRule="auto"/>
        <w:rPr>
          <w:rFonts w:cstheme="minorHAnsi"/>
          <w:bCs/>
        </w:rPr>
      </w:pPr>
      <w:r>
        <w:rPr>
          <w:rFonts w:cstheme="minorHAnsi"/>
          <w:b/>
          <w:bCs/>
        </w:rPr>
        <w:t>2b4.4</w:t>
      </w:r>
      <w:r w:rsidR="00193F21">
        <w:rPr>
          <w:rFonts w:cstheme="minorHAnsi"/>
          <w:b/>
          <w:bCs/>
        </w:rPr>
        <w:t>a</w:t>
      </w:r>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r w:rsidR="00994CFB">
        <w:rPr>
          <w:rFonts w:cstheme="minorHAnsi"/>
          <w:bCs/>
        </w:rPr>
        <w:t>CORE and Lewin did not perform risk adjustment or stratification.</w:t>
      </w:r>
    </w:p>
    <w:p w14:paraId="69D052C7" w14:textId="77777777" w:rsidR="00994CFB" w:rsidRDefault="00994CFB" w:rsidP="00001D73">
      <w:pPr>
        <w:autoSpaceDE w:val="0"/>
        <w:autoSpaceDN w:val="0"/>
        <w:adjustRightInd w:val="0"/>
        <w:spacing w:after="0" w:line="240" w:lineRule="auto"/>
        <w:rPr>
          <w:rFonts w:cstheme="minorHAnsi"/>
          <w:b/>
          <w:bCs/>
        </w:rPr>
      </w:pPr>
    </w:p>
    <w:p w14:paraId="28C0D0CA" w14:textId="3A1ED9F1"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4F78C8E8" w14:textId="78047C41" w:rsidR="00C1695E" w:rsidRDefault="00994CFB" w:rsidP="00001D73">
      <w:pPr>
        <w:autoSpaceDE w:val="0"/>
        <w:autoSpaceDN w:val="0"/>
        <w:adjustRightInd w:val="0"/>
        <w:spacing w:after="0" w:line="240" w:lineRule="auto"/>
        <w:rPr>
          <w:rFonts w:cstheme="minorHAnsi"/>
          <w:bCs/>
        </w:rPr>
      </w:pPr>
      <w:r>
        <w:rPr>
          <w:rFonts w:cstheme="minorHAnsi"/>
          <w:bCs/>
        </w:rPr>
        <w:t>CORE and Lewin did not perform risk adjustment or stratification.</w:t>
      </w:r>
    </w:p>
    <w:p w14:paraId="5F1FC578" w14:textId="77777777" w:rsidR="00994CFB" w:rsidRPr="00001D73" w:rsidRDefault="00994CFB" w:rsidP="00001D73">
      <w:pPr>
        <w:autoSpaceDE w:val="0"/>
        <w:autoSpaceDN w:val="0"/>
        <w:adjustRightInd w:val="0"/>
        <w:spacing w:after="0" w:line="240" w:lineRule="auto"/>
        <w:rPr>
          <w:rFonts w:cstheme="minorHAnsi"/>
          <w:b/>
          <w:bCs/>
        </w:rPr>
      </w:pPr>
    </w:p>
    <w:p w14:paraId="6889782C" w14:textId="7D305D5E"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6F38E1EC" w14:textId="6DE1689F" w:rsidR="00743E46" w:rsidRDefault="000233B9" w:rsidP="00092566">
      <w:pPr>
        <w:autoSpaceDE w:val="0"/>
        <w:autoSpaceDN w:val="0"/>
        <w:adjustRightInd w:val="0"/>
        <w:spacing w:after="0" w:line="240" w:lineRule="auto"/>
        <w:rPr>
          <w:rFonts w:cstheme="minorHAnsi"/>
          <w:bCs/>
        </w:rPr>
      </w:pPr>
      <w:r>
        <w:t>This measure is not risk adjusted or risk stratified</w:t>
      </w:r>
      <w:r w:rsidR="00994CFB">
        <w:rPr>
          <w:rFonts w:cstheme="minorHAnsi"/>
          <w:bCs/>
        </w:rPr>
        <w:t>.</w:t>
      </w:r>
    </w:p>
    <w:p w14:paraId="29C7312F" w14:textId="77777777" w:rsidR="00994CFB" w:rsidRDefault="00994CFB" w:rsidP="00092566">
      <w:pPr>
        <w:autoSpaceDE w:val="0"/>
        <w:autoSpaceDN w:val="0"/>
        <w:adjustRightInd w:val="0"/>
        <w:spacing w:after="0" w:line="240" w:lineRule="auto"/>
        <w:rPr>
          <w:rFonts w:cstheme="minorHAnsi"/>
          <w:b/>
          <w:bCs/>
        </w:rPr>
      </w:pPr>
    </w:p>
    <w:p w14:paraId="74401623" w14:textId="3234EE9F" w:rsidR="00001D73" w:rsidRDefault="00743E46" w:rsidP="00092566">
      <w:pPr>
        <w:autoSpaceDE w:val="0"/>
        <w:autoSpaceDN w:val="0"/>
        <w:adjustRightInd w:val="0"/>
        <w:spacing w:after="0" w:line="240" w:lineRule="auto"/>
        <w:rPr>
          <w:rFonts w:cstheme="minorHAnsi"/>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0233B9">
        <w:t>This measure is not risk adjusted or risk stratified</w:t>
      </w:r>
      <w:r w:rsidR="00994CFB">
        <w:rPr>
          <w:rFonts w:cstheme="minorHAnsi"/>
          <w:bCs/>
        </w:rPr>
        <w:t>.</w:t>
      </w:r>
    </w:p>
    <w:p w14:paraId="50F6AE21" w14:textId="77777777" w:rsidR="00994CFB" w:rsidRPr="00001D73" w:rsidRDefault="00994CFB" w:rsidP="00092566">
      <w:pPr>
        <w:autoSpaceDE w:val="0"/>
        <w:autoSpaceDN w:val="0"/>
        <w:adjustRightInd w:val="0"/>
        <w:spacing w:after="0" w:line="240" w:lineRule="auto"/>
        <w:rPr>
          <w:rFonts w:cstheme="minorHAnsi"/>
          <w:b/>
          <w:bCs/>
        </w:rPr>
      </w:pPr>
    </w:p>
    <w:p w14:paraId="599E4336" w14:textId="33B3087A" w:rsidR="00001D73" w:rsidRDefault="00743E46" w:rsidP="00092566">
      <w:pPr>
        <w:autoSpaceDE w:val="0"/>
        <w:autoSpaceDN w:val="0"/>
        <w:adjustRightInd w:val="0"/>
        <w:spacing w:after="0" w:line="240" w:lineRule="auto"/>
        <w:rPr>
          <w:rFonts w:cstheme="minorHAnsi"/>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0233B9">
        <w:t>This measure is not risk adjusted or risk stratified</w:t>
      </w:r>
      <w:r w:rsidR="00994CFB">
        <w:rPr>
          <w:rFonts w:cstheme="minorHAnsi"/>
          <w:bCs/>
        </w:rPr>
        <w:t>.</w:t>
      </w:r>
    </w:p>
    <w:p w14:paraId="152F479B" w14:textId="77777777" w:rsidR="00994CFB" w:rsidRDefault="00994CFB" w:rsidP="00092566">
      <w:pPr>
        <w:autoSpaceDE w:val="0"/>
        <w:autoSpaceDN w:val="0"/>
        <w:adjustRightInd w:val="0"/>
        <w:spacing w:after="0" w:line="240" w:lineRule="auto"/>
        <w:rPr>
          <w:rFonts w:cstheme="minorHAnsi"/>
          <w:b/>
          <w:bCs/>
        </w:rPr>
      </w:pPr>
    </w:p>
    <w:p w14:paraId="27854A42" w14:textId="76590B6E" w:rsidR="00743E46" w:rsidRDefault="00743E46" w:rsidP="00092566">
      <w:pPr>
        <w:autoSpaceDE w:val="0"/>
        <w:autoSpaceDN w:val="0"/>
        <w:adjustRightInd w:val="0"/>
        <w:spacing w:after="0" w:line="240" w:lineRule="auto"/>
        <w:rPr>
          <w:rFonts w:cstheme="minorHAnsi"/>
          <w:bCs/>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proofErr w:type="gramStart"/>
      <w:r w:rsidR="00092566" w:rsidRPr="00A25024">
        <w:rPr>
          <w:rFonts w:cstheme="minorHAnsi"/>
          <w:bCs/>
        </w:rPr>
        <w:t>:</w:t>
      </w:r>
      <w:proofErr w:type="gramEnd"/>
      <w:r w:rsidR="00092566" w:rsidRPr="00A25024">
        <w:rPr>
          <w:rFonts w:cstheme="minorHAnsi"/>
          <w:bCs/>
        </w:rPr>
        <w:br/>
      </w:r>
      <w:r w:rsidR="000233B9">
        <w:t>This measure is not risk adjusted or risk stratified</w:t>
      </w:r>
      <w:r w:rsidR="00994CFB">
        <w:rPr>
          <w:rFonts w:cstheme="minorHAnsi"/>
          <w:bCs/>
        </w:rPr>
        <w:t>.</w:t>
      </w:r>
    </w:p>
    <w:p w14:paraId="51FDA584" w14:textId="77777777" w:rsidR="00994CFB" w:rsidRDefault="00994CFB" w:rsidP="00092566">
      <w:pPr>
        <w:autoSpaceDE w:val="0"/>
        <w:autoSpaceDN w:val="0"/>
        <w:adjustRightInd w:val="0"/>
        <w:spacing w:after="0" w:line="240" w:lineRule="auto"/>
        <w:rPr>
          <w:rFonts w:cstheme="minorHAnsi"/>
          <w:b/>
        </w:rPr>
      </w:pPr>
    </w:p>
    <w:p w14:paraId="3F7E7F13" w14:textId="77777777"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72DDBF1C" w14:textId="5118765E" w:rsidR="00092566" w:rsidRPr="00994CFB" w:rsidRDefault="000233B9" w:rsidP="00994CFB">
      <w:pPr>
        <w:rPr>
          <w:rFonts w:cstheme="minorHAnsi"/>
          <w:bCs/>
        </w:rPr>
      </w:pPr>
      <w:r>
        <w:t>This measure is not risk adjusted or risk stratified</w:t>
      </w:r>
      <w:r w:rsidR="00994CFB" w:rsidRPr="00994CFB">
        <w:rPr>
          <w:rFonts w:cstheme="minorHAnsi"/>
          <w:bCs/>
        </w:rPr>
        <w:t>.</w:t>
      </w:r>
    </w:p>
    <w:p w14:paraId="3FF992C1" w14:textId="3281D448"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0233B9">
        <w:t>This measure is not risk adjusted or risk stratified</w:t>
      </w:r>
      <w:r w:rsidR="00994CFB">
        <w:rPr>
          <w:rFonts w:cstheme="minorHAnsi"/>
          <w:bCs/>
        </w:rPr>
        <w:t>.</w:t>
      </w:r>
    </w:p>
    <w:p w14:paraId="647FBA12" w14:textId="77777777" w:rsidR="00092566" w:rsidRPr="00A25024" w:rsidRDefault="00092566" w:rsidP="00092566">
      <w:pPr>
        <w:spacing w:after="0" w:line="240" w:lineRule="auto"/>
        <w:rPr>
          <w:rFonts w:cstheme="minorHAnsi"/>
        </w:rPr>
      </w:pPr>
    </w:p>
    <w:p w14:paraId="13123B14"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D712F61" w14:textId="22B0D056" w:rsidR="003755CB" w:rsidRDefault="000233B9" w:rsidP="00D61410">
      <w:pPr>
        <w:autoSpaceDE w:val="0"/>
        <w:autoSpaceDN w:val="0"/>
        <w:adjustRightInd w:val="0"/>
        <w:spacing w:after="0" w:line="240" w:lineRule="auto"/>
        <w:rPr>
          <w:rFonts w:cstheme="minorHAnsi"/>
          <w:b/>
          <w:bCs/>
        </w:rPr>
      </w:pPr>
      <w:r>
        <w:t>This measure is not risk adjusted or risk stratified</w:t>
      </w:r>
      <w:r w:rsidR="00994CFB">
        <w:rPr>
          <w:rFonts w:cstheme="minorHAnsi"/>
          <w:bCs/>
        </w:rPr>
        <w:t>.</w:t>
      </w: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5436B0A0" w14:textId="77777777" w:rsidR="00AC3DE3" w:rsidRDefault="00D61410" w:rsidP="00AC3DE3">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00994CFB">
        <w:rPr>
          <w:rFonts w:cstheme="minorHAnsi"/>
          <w:bCs/>
        </w:rPr>
        <w:br/>
      </w:r>
    </w:p>
    <w:p w14:paraId="2BD56A81" w14:textId="2818F485" w:rsidR="00AC3DE3" w:rsidRDefault="00AC3DE3" w:rsidP="00AC3DE3">
      <w:pPr>
        <w:autoSpaceDE w:val="0"/>
        <w:autoSpaceDN w:val="0"/>
        <w:adjustRightInd w:val="0"/>
        <w:spacing w:after="0" w:line="240" w:lineRule="auto"/>
        <w:rPr>
          <w:rFonts w:cstheme="minorHAnsi"/>
          <w:bCs/>
        </w:rPr>
      </w:pPr>
      <w:r>
        <w:rPr>
          <w:rFonts w:cstheme="minorHAnsi"/>
          <w:bCs/>
        </w:rPr>
        <w:t xml:space="preserve">Among measured entities that perform only a handful of CT thorax studies, one or two cases could significantly influence and/or skew </w:t>
      </w:r>
      <w:r w:rsidRPr="00E338C9">
        <w:rPr>
          <w:rFonts w:cstheme="minorHAnsi"/>
          <w:bCs/>
        </w:rPr>
        <w:t xml:space="preserve">the results of the measure. </w:t>
      </w:r>
      <w:r>
        <w:rPr>
          <w:rFonts w:cstheme="minorHAnsi"/>
          <w:bCs/>
        </w:rPr>
        <w:t>Therefore, CMS applies m</w:t>
      </w:r>
      <w:r w:rsidRPr="00E338C9">
        <w:rPr>
          <w:rFonts w:cstheme="minorHAnsi"/>
          <w:bCs/>
        </w:rPr>
        <w:t xml:space="preserve">inimum case count requirements </w:t>
      </w:r>
      <w:r>
        <w:rPr>
          <w:rFonts w:cstheme="minorHAnsi"/>
          <w:bCs/>
        </w:rPr>
        <w:t>before reporting performance scores for measured entities. The minimum case count requirements applied for this measure and other imaging efficiency measures assure a 90%</w:t>
      </w:r>
      <w:r w:rsidRPr="00E338C9">
        <w:rPr>
          <w:rFonts w:cstheme="minorHAnsi"/>
          <w:bCs/>
        </w:rPr>
        <w:t xml:space="preserve"> confidence level for the observed rate. </w:t>
      </w:r>
    </w:p>
    <w:p w14:paraId="3563B426" w14:textId="77777777" w:rsidR="00AC3DE3" w:rsidRPr="00E338C9" w:rsidRDefault="00AC3DE3" w:rsidP="00AC3DE3">
      <w:pPr>
        <w:autoSpaceDE w:val="0"/>
        <w:autoSpaceDN w:val="0"/>
        <w:adjustRightInd w:val="0"/>
        <w:spacing w:after="0" w:line="240" w:lineRule="auto"/>
        <w:rPr>
          <w:rFonts w:cstheme="minorHAnsi"/>
          <w:bCs/>
        </w:rPr>
      </w:pPr>
    </w:p>
    <w:p w14:paraId="4D02F51D" w14:textId="26727CF5" w:rsidR="00AC3DE3" w:rsidRDefault="00AC3DE3" w:rsidP="00AC3DE3">
      <w:pPr>
        <w:autoSpaceDE w:val="0"/>
        <w:autoSpaceDN w:val="0"/>
        <w:adjustRightInd w:val="0"/>
        <w:spacing w:after="0" w:line="240" w:lineRule="auto"/>
        <w:rPr>
          <w:rFonts w:cstheme="minorHAnsi"/>
          <w:bCs/>
        </w:rPr>
      </w:pPr>
      <w:r>
        <w:rPr>
          <w:rFonts w:cstheme="minorHAnsi"/>
          <w:bCs/>
        </w:rPr>
        <w:t>For OP-11, we use</w:t>
      </w:r>
      <w:r w:rsidRPr="00E338C9">
        <w:rPr>
          <w:rFonts w:cstheme="minorHAnsi"/>
          <w:bCs/>
        </w:rPr>
        <w:t xml:space="preserve"> two different processes for determining required case counts depending on whether </w:t>
      </w:r>
      <w:r>
        <w:rPr>
          <w:rFonts w:cstheme="minorHAnsi"/>
          <w:bCs/>
        </w:rPr>
        <w:t>the performance</w:t>
      </w:r>
      <w:r w:rsidRPr="00E338C9">
        <w:rPr>
          <w:rFonts w:cstheme="minorHAnsi"/>
          <w:bCs/>
        </w:rPr>
        <w:t xml:space="preserve"> rate is less than </w:t>
      </w:r>
      <w:r>
        <w:rPr>
          <w:rFonts w:cstheme="minorHAnsi"/>
          <w:bCs/>
        </w:rPr>
        <w:t>5%</w:t>
      </w:r>
      <w:r w:rsidRPr="00E338C9">
        <w:rPr>
          <w:rFonts w:cstheme="minorHAnsi"/>
          <w:bCs/>
        </w:rPr>
        <w:t xml:space="preserve"> or greater than </w:t>
      </w:r>
      <w:r>
        <w:rPr>
          <w:rFonts w:cstheme="minorHAnsi"/>
          <w:bCs/>
        </w:rPr>
        <w:t>95%</w:t>
      </w:r>
      <w:r w:rsidRPr="00E338C9">
        <w:rPr>
          <w:rFonts w:cstheme="minorHAnsi"/>
          <w:bCs/>
        </w:rPr>
        <w:t xml:space="preserve"> (i.e., towards the end of the range of possible rate values), or somewhere between </w:t>
      </w:r>
      <w:r>
        <w:rPr>
          <w:rFonts w:cstheme="minorHAnsi"/>
          <w:bCs/>
        </w:rPr>
        <w:t xml:space="preserve">5% </w:t>
      </w:r>
      <w:r w:rsidRPr="00E338C9">
        <w:rPr>
          <w:rFonts w:cstheme="minorHAnsi"/>
          <w:bCs/>
        </w:rPr>
        <w:t xml:space="preserve">and </w:t>
      </w:r>
      <w:r>
        <w:rPr>
          <w:rFonts w:cstheme="minorHAnsi"/>
          <w:bCs/>
        </w:rPr>
        <w:t>95%</w:t>
      </w:r>
      <w:r w:rsidRPr="00E338C9">
        <w:rPr>
          <w:rFonts w:cstheme="minorHAnsi"/>
          <w:bCs/>
        </w:rPr>
        <w:t xml:space="preserve"> (inclusive). Each process has three steps: (1) determine reasonable levels of precision; (2) determine the level of confidence to be required for the measures; and, (3) calculate the case counts needed to meet the precision requirements. For </w:t>
      </w:r>
      <w:r>
        <w:rPr>
          <w:rFonts w:cstheme="minorHAnsi"/>
          <w:bCs/>
        </w:rPr>
        <w:t>performance</w:t>
      </w:r>
      <w:r w:rsidRPr="00E338C9">
        <w:rPr>
          <w:rFonts w:cstheme="minorHAnsi"/>
          <w:bCs/>
        </w:rPr>
        <w:t xml:space="preserve"> rates less than </w:t>
      </w:r>
      <w:r>
        <w:rPr>
          <w:rFonts w:cstheme="minorHAnsi"/>
          <w:bCs/>
        </w:rPr>
        <w:t>5%</w:t>
      </w:r>
      <w:r w:rsidRPr="00E338C9">
        <w:rPr>
          <w:rFonts w:cstheme="minorHAnsi"/>
          <w:bCs/>
        </w:rPr>
        <w:t xml:space="preserve"> or greater than </w:t>
      </w:r>
      <w:r>
        <w:rPr>
          <w:rFonts w:cstheme="minorHAnsi"/>
          <w:bCs/>
        </w:rPr>
        <w:t>95%</w:t>
      </w:r>
      <w:r w:rsidRPr="00E338C9">
        <w:rPr>
          <w:rFonts w:cstheme="minorHAnsi"/>
          <w:bCs/>
        </w:rPr>
        <w:t xml:space="preserve">, </w:t>
      </w:r>
      <w:r>
        <w:rPr>
          <w:rFonts w:cstheme="minorHAnsi"/>
          <w:bCs/>
        </w:rPr>
        <w:t xml:space="preserve">we calculated </w:t>
      </w:r>
      <w:r w:rsidRPr="00E338C9">
        <w:rPr>
          <w:rFonts w:cstheme="minorHAnsi"/>
          <w:bCs/>
        </w:rPr>
        <w:t xml:space="preserve">the case count needed to attain the required precision </w:t>
      </w:r>
      <w:r>
        <w:rPr>
          <w:rFonts w:cstheme="minorHAnsi"/>
          <w:bCs/>
        </w:rPr>
        <w:t xml:space="preserve">to </w:t>
      </w:r>
      <w:r w:rsidRPr="00E338C9">
        <w:rPr>
          <w:rFonts w:cstheme="minorHAnsi"/>
          <w:bCs/>
        </w:rPr>
        <w:t xml:space="preserve">be 45 cases. For </w:t>
      </w:r>
      <w:r>
        <w:rPr>
          <w:rFonts w:cstheme="minorHAnsi"/>
          <w:bCs/>
        </w:rPr>
        <w:t>performance</w:t>
      </w:r>
      <w:r w:rsidRPr="00E338C9">
        <w:rPr>
          <w:rFonts w:cstheme="minorHAnsi"/>
          <w:bCs/>
        </w:rPr>
        <w:t xml:space="preserve"> rates between </w:t>
      </w:r>
      <w:r>
        <w:rPr>
          <w:rFonts w:cstheme="minorHAnsi"/>
          <w:bCs/>
        </w:rPr>
        <w:t>5%</w:t>
      </w:r>
      <w:r w:rsidRPr="00E338C9">
        <w:rPr>
          <w:rFonts w:cstheme="minorHAnsi"/>
          <w:bCs/>
        </w:rPr>
        <w:t xml:space="preserve"> and </w:t>
      </w:r>
      <w:r>
        <w:rPr>
          <w:rFonts w:cstheme="minorHAnsi"/>
          <w:bCs/>
        </w:rPr>
        <w:t>95%</w:t>
      </w:r>
      <w:r w:rsidRPr="00E338C9">
        <w:rPr>
          <w:rFonts w:cstheme="minorHAnsi"/>
          <w:bCs/>
        </w:rPr>
        <w:t xml:space="preserve">, the case count needed to attain the required precision ranges from 31 to 67 cases. </w:t>
      </w:r>
      <w:r>
        <w:rPr>
          <w:rFonts w:cstheme="minorHAnsi"/>
          <w:bCs/>
        </w:rPr>
        <w:t xml:space="preserve">This composite process for setting the minimum case count requirements optimizes precision while also maximizing the number of reporting hospitals. </w:t>
      </w:r>
    </w:p>
    <w:p w14:paraId="0582352D" w14:textId="77777777" w:rsidR="00AC3DE3" w:rsidRDefault="00AC3DE3" w:rsidP="00AC3DE3">
      <w:pPr>
        <w:autoSpaceDE w:val="0"/>
        <w:autoSpaceDN w:val="0"/>
        <w:adjustRightInd w:val="0"/>
        <w:spacing w:after="0" w:line="240" w:lineRule="auto"/>
        <w:rPr>
          <w:rFonts w:cstheme="minorHAnsi"/>
          <w:bCs/>
        </w:rPr>
      </w:pPr>
    </w:p>
    <w:p w14:paraId="7B9A5936" w14:textId="4094402E" w:rsidR="00D61410" w:rsidRPr="00A25024" w:rsidRDefault="00AC3DE3" w:rsidP="00AC3DE3">
      <w:pPr>
        <w:autoSpaceDE w:val="0"/>
        <w:autoSpaceDN w:val="0"/>
        <w:adjustRightInd w:val="0"/>
        <w:spacing w:after="0" w:line="240" w:lineRule="auto"/>
        <w:rPr>
          <w:rFonts w:cstheme="minorHAnsi"/>
          <w:bCs/>
        </w:rPr>
      </w:pPr>
      <w:r>
        <w:rPr>
          <w:rFonts w:cstheme="minorHAnsi"/>
          <w:bCs/>
        </w:rPr>
        <w:t>A  more detailed presentation of the m</w:t>
      </w:r>
      <w:r w:rsidRPr="00E338C9">
        <w:rPr>
          <w:rFonts w:cstheme="minorHAnsi"/>
          <w:bCs/>
        </w:rPr>
        <w:t>ethodology explaining the minimum case count calculations for this measure</w:t>
      </w:r>
      <w:r>
        <w:rPr>
          <w:rFonts w:cstheme="minorHAnsi"/>
          <w:bCs/>
        </w:rPr>
        <w:t xml:space="preserve"> and the other outpatient imaging efficiency measures</w:t>
      </w:r>
      <w:r w:rsidRPr="00E338C9">
        <w:rPr>
          <w:rFonts w:cstheme="minorHAnsi"/>
          <w:bCs/>
        </w:rPr>
        <w:t xml:space="preserve"> can be found at </w:t>
      </w:r>
      <w:hyperlink r:id="rId15" w:history="1">
        <w:r w:rsidR="00C162D5" w:rsidRPr="008819A0">
          <w:rPr>
            <w:rStyle w:val="Hyperlink"/>
            <w:rFonts w:cstheme="minorHAnsi"/>
            <w:bCs/>
          </w:rPr>
          <w:t>https://www.qualitynet.org/dcs/BlobServer?blobkey=id&amp;blobnocache=true&amp;blobwhere=1228889854907&amp;blobheader=multipart%2Foctet-stream&amp;blobheadername1=Content-Disposition&amp;blobheadervalue1=attachment%3Bfilename%3D2012_OIE_MCC.pdf&amp;blobcol=urldata&amp;blobtable=MungoBlobs</w:t>
        </w:r>
      </w:hyperlink>
      <w:r w:rsidR="00C162D5" w:rsidRPr="00E338C9">
        <w:rPr>
          <w:rFonts w:cstheme="minorHAnsi"/>
          <w:bCs/>
        </w:rPr>
        <w:t>.</w:t>
      </w:r>
      <w:r w:rsidR="00C162D5">
        <w:rPr>
          <w:rFonts w:cstheme="minorHAnsi"/>
          <w:bCs/>
        </w:rPr>
        <w:t xml:space="preserve"> </w:t>
      </w:r>
    </w:p>
    <w:p w14:paraId="6B5D69F8" w14:textId="77777777" w:rsidR="00D61410" w:rsidRDefault="00D61410" w:rsidP="00D61410">
      <w:pPr>
        <w:autoSpaceDE w:val="0"/>
        <w:autoSpaceDN w:val="0"/>
        <w:adjustRightInd w:val="0"/>
        <w:spacing w:after="0" w:line="240" w:lineRule="auto"/>
        <w:rPr>
          <w:rFonts w:cstheme="minorHAnsi"/>
          <w:bCs/>
        </w:rPr>
      </w:pPr>
    </w:p>
    <w:p w14:paraId="06CA7620" w14:textId="126EE8E6" w:rsidR="00AC3DE3" w:rsidRPr="00A25024" w:rsidRDefault="00AC3DE3" w:rsidP="00D61410">
      <w:pPr>
        <w:autoSpaceDE w:val="0"/>
        <w:autoSpaceDN w:val="0"/>
        <w:adjustRightInd w:val="0"/>
        <w:spacing w:after="0" w:line="240" w:lineRule="auto"/>
        <w:rPr>
          <w:rFonts w:cstheme="minorHAnsi"/>
          <w:bCs/>
        </w:rPr>
      </w:pPr>
      <w:r>
        <w:rPr>
          <w:rFonts w:cstheme="minorHAnsi"/>
          <w:bCs/>
        </w:rPr>
        <w:t>Following the</w:t>
      </w:r>
      <w:r w:rsidRPr="00E338C9">
        <w:rPr>
          <w:rFonts w:cstheme="minorHAnsi"/>
          <w:bCs/>
        </w:rPr>
        <w:t xml:space="preserve"> application of the minimum case count, </w:t>
      </w:r>
      <w:r>
        <w:rPr>
          <w:rFonts w:cstheme="minorHAnsi"/>
          <w:bCs/>
        </w:rPr>
        <w:t>we also tested</w:t>
      </w:r>
      <w:r w:rsidRPr="00E338C9">
        <w:rPr>
          <w:rFonts w:cstheme="minorHAnsi"/>
          <w:bCs/>
        </w:rPr>
        <w:t xml:space="preserve"> the statistical significance of the difference between facility performance scores and the mean</w:t>
      </w:r>
      <w:r>
        <w:rPr>
          <w:rFonts w:cstheme="minorHAnsi"/>
          <w:bCs/>
        </w:rPr>
        <w:t xml:space="preserve"> performance value. For the 2013</w:t>
      </w:r>
      <w:r w:rsidRPr="00E338C9">
        <w:rPr>
          <w:rFonts w:cstheme="minorHAnsi"/>
          <w:bCs/>
        </w:rPr>
        <w:t xml:space="preserve"> data, </w:t>
      </w:r>
      <w:r>
        <w:rPr>
          <w:rFonts w:cstheme="minorHAnsi"/>
          <w:bCs/>
        </w:rPr>
        <w:t xml:space="preserve">this included 3,666 facilities. </w:t>
      </w:r>
      <w:r w:rsidRPr="00E338C9">
        <w:rPr>
          <w:rFonts w:cstheme="minorHAnsi"/>
          <w:bCs/>
        </w:rPr>
        <w:t>For each facility, the facility performance score and sta</w:t>
      </w:r>
      <w:r>
        <w:rPr>
          <w:rFonts w:cstheme="minorHAnsi"/>
          <w:bCs/>
        </w:rPr>
        <w:t xml:space="preserve">ndard deviation was calculated. This analysis identified 190 </w:t>
      </w:r>
      <w:r w:rsidRPr="0051626E">
        <w:rPr>
          <w:rFonts w:cstheme="minorHAnsi"/>
          <w:bCs/>
        </w:rPr>
        <w:t>(</w:t>
      </w:r>
      <w:r>
        <w:rPr>
          <w:rFonts w:cstheme="minorHAnsi"/>
          <w:bCs/>
        </w:rPr>
        <w:t>5.2%</w:t>
      </w:r>
      <w:r w:rsidRPr="0051626E">
        <w:rPr>
          <w:rFonts w:cstheme="minorHAnsi"/>
          <w:bCs/>
        </w:rPr>
        <w:t xml:space="preserve">) </w:t>
      </w:r>
      <w:r>
        <w:rPr>
          <w:rFonts w:cstheme="minorHAnsi"/>
          <w:bCs/>
        </w:rPr>
        <w:t xml:space="preserve">facilities as statistical outliers. Additional details of this analysis are provided in Section </w:t>
      </w:r>
      <w:r w:rsidRPr="009E2515">
        <w:rPr>
          <w:rFonts w:cstheme="minorHAnsi"/>
          <w:b/>
          <w:bCs/>
        </w:rPr>
        <w:t>2b5.2</w:t>
      </w:r>
      <w:r>
        <w:rPr>
          <w:rFonts w:cstheme="minorHAnsi"/>
          <w:bCs/>
        </w:rPr>
        <w:t xml:space="preserve">. </w:t>
      </w:r>
    </w:p>
    <w:p w14:paraId="4E1E986D" w14:textId="77777777" w:rsidR="00AC3DE3" w:rsidRDefault="00AC3DE3" w:rsidP="009B173B">
      <w:pPr>
        <w:autoSpaceDE w:val="0"/>
        <w:autoSpaceDN w:val="0"/>
        <w:adjustRightInd w:val="0"/>
        <w:spacing w:after="0" w:line="240" w:lineRule="auto"/>
        <w:rPr>
          <w:rFonts w:cstheme="minorHAnsi"/>
          <w:b/>
          <w:bCs/>
        </w:rPr>
      </w:pPr>
    </w:p>
    <w:p w14:paraId="042DE426" w14:textId="59ACA85C" w:rsidR="009B173B" w:rsidRDefault="00D61410" w:rsidP="009B173B">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r w:rsidR="009B173B" w:rsidRPr="006A684A">
        <w:rPr>
          <w:rFonts w:cstheme="minorHAnsi"/>
          <w:bCs/>
        </w:rPr>
        <w:t xml:space="preserve">Of the </w:t>
      </w:r>
      <w:r w:rsidR="009B173B">
        <w:rPr>
          <w:rFonts w:cstheme="minorHAnsi"/>
          <w:bCs/>
        </w:rPr>
        <w:t xml:space="preserve">3,666 </w:t>
      </w:r>
      <w:r w:rsidR="009B173B" w:rsidRPr="0051626E">
        <w:rPr>
          <w:rFonts w:cstheme="minorHAnsi"/>
          <w:bCs/>
        </w:rPr>
        <w:t xml:space="preserve">facilities in 2013 meeting the minimum case count, </w:t>
      </w:r>
      <w:r w:rsidR="009B173B">
        <w:rPr>
          <w:rFonts w:cstheme="minorHAnsi"/>
          <w:bCs/>
        </w:rPr>
        <w:t>190</w:t>
      </w:r>
      <w:r w:rsidR="009B173B" w:rsidRPr="0051626E">
        <w:rPr>
          <w:rFonts w:cstheme="minorHAnsi"/>
          <w:bCs/>
        </w:rPr>
        <w:t xml:space="preserve"> (</w:t>
      </w:r>
      <w:r w:rsidR="009B173B">
        <w:rPr>
          <w:rFonts w:cstheme="minorHAnsi"/>
          <w:bCs/>
        </w:rPr>
        <w:t>5.2%</w:t>
      </w:r>
      <w:r w:rsidR="009B173B" w:rsidRPr="0051626E">
        <w:rPr>
          <w:rFonts w:cstheme="minorHAnsi"/>
          <w:bCs/>
        </w:rPr>
        <w:t>) facilities had a performance value that was statistically significantly d</w:t>
      </w:r>
      <w:r w:rsidR="009B173B">
        <w:rPr>
          <w:rFonts w:cstheme="minorHAnsi"/>
          <w:bCs/>
        </w:rPr>
        <w:t>ifferent from the weighted mean</w:t>
      </w:r>
      <w:r w:rsidR="009B173B" w:rsidRPr="0051626E">
        <w:rPr>
          <w:rFonts w:cstheme="minorHAnsi"/>
          <w:bCs/>
        </w:rPr>
        <w:t xml:space="preserve"> (or benchmark value). Statistically meaningful difference was defined as when the facility score fell outside of the confidence interval (± 1.96 standard deviations) for the measure mean (benchmark value). </w:t>
      </w:r>
      <w:r w:rsidR="009B173B">
        <w:rPr>
          <w:rFonts w:cstheme="minorHAnsi"/>
          <w:bCs/>
        </w:rPr>
        <w:t xml:space="preserve">Thus, this calculation identifies statistical outliers. </w:t>
      </w:r>
    </w:p>
    <w:p w14:paraId="07C32FDC" w14:textId="77777777" w:rsidR="00D61410" w:rsidRPr="00927027" w:rsidRDefault="00D61410" w:rsidP="00D61410">
      <w:pPr>
        <w:autoSpaceDE w:val="0"/>
        <w:autoSpaceDN w:val="0"/>
        <w:adjustRightInd w:val="0"/>
        <w:spacing w:after="0" w:line="240" w:lineRule="auto"/>
        <w:rPr>
          <w:rFonts w:cstheme="minorHAnsi"/>
          <w:bCs/>
        </w:rPr>
      </w:pPr>
    </w:p>
    <w:p w14:paraId="660FCDD5" w14:textId="63C6AA4C"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r w:rsidR="009B173B" w:rsidRPr="0051626E">
        <w:rPr>
          <w:rFonts w:cstheme="minorHAnsi"/>
          <w:bCs/>
        </w:rPr>
        <w:t>Analysis of the 2013 performance data, and the subsequent rate of identification of statisticall</w:t>
      </w:r>
      <w:r w:rsidR="009B173B">
        <w:rPr>
          <w:rFonts w:cstheme="minorHAnsi"/>
          <w:bCs/>
        </w:rPr>
        <w:t>y different performance for 5.2%</w:t>
      </w:r>
      <w:r w:rsidR="009B173B" w:rsidRPr="0051626E">
        <w:rPr>
          <w:rFonts w:cstheme="minorHAnsi"/>
          <w:bCs/>
        </w:rPr>
        <w:t xml:space="preserve"> of measured entities, demonstrates the ability of the measure to identify outlying performance. While many facilities have converged around a performance score of between </w:t>
      </w:r>
      <w:r w:rsidR="007E525F">
        <w:rPr>
          <w:rFonts w:cstheme="minorHAnsi"/>
          <w:bCs/>
        </w:rPr>
        <w:t>1</w:t>
      </w:r>
      <w:r w:rsidR="009B173B">
        <w:rPr>
          <w:rFonts w:cstheme="minorHAnsi"/>
          <w:bCs/>
        </w:rPr>
        <w:t>%</w:t>
      </w:r>
      <w:r w:rsidR="009B173B" w:rsidRPr="0051626E">
        <w:rPr>
          <w:rFonts w:cstheme="minorHAnsi"/>
          <w:bCs/>
        </w:rPr>
        <w:t xml:space="preserve"> and </w:t>
      </w:r>
      <w:r w:rsidR="009B173B">
        <w:rPr>
          <w:rFonts w:cstheme="minorHAnsi"/>
          <w:bCs/>
        </w:rPr>
        <w:t>4%, more than 5%</w:t>
      </w:r>
      <w:r w:rsidR="009B173B" w:rsidRPr="0051626E">
        <w:rPr>
          <w:rFonts w:cstheme="minorHAnsi"/>
          <w:bCs/>
        </w:rPr>
        <w:t xml:space="preserve"> of facilities continue to have outlying performance. </w:t>
      </w:r>
      <w:r w:rsidR="009B173B">
        <w:rPr>
          <w:rFonts w:cstheme="minorHAnsi"/>
          <w:bCs/>
        </w:rPr>
        <w:t>By reporting a measure mean (benchmark value), this provides an opportunity for outlying facilities to identify their high rate of overuse and work to implement quality improvement mechanisms to reduce the rate of overuse of combined CT thorax studies.</w:t>
      </w: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7B2F0D40"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Pr="00A25024" w:rsidRDefault="000F06B5" w:rsidP="00DB3627">
      <w:pPr>
        <w:autoSpaceDE w:val="0"/>
        <w:autoSpaceDN w:val="0"/>
        <w:adjustRightInd w:val="0"/>
        <w:spacing w:after="0" w:line="240" w:lineRule="auto"/>
        <w:rPr>
          <w:rFonts w:cstheme="minorHAnsi"/>
          <w:bCs/>
        </w:rPr>
      </w:pPr>
    </w:p>
    <w:p w14:paraId="78FF11AC" w14:textId="37EE3EA2" w:rsidR="00994CFB" w:rsidRPr="00A25024" w:rsidRDefault="00E1508F" w:rsidP="00994CFB">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0F06B5" w:rsidRPr="00A25024">
        <w:rPr>
          <w:rFonts w:cstheme="minorHAnsi"/>
          <w:bCs/>
        </w:rPr>
        <w:t>)</w:t>
      </w:r>
      <w:proofErr w:type="gramEnd"/>
      <w:r w:rsidR="00994CFB">
        <w:rPr>
          <w:rFonts w:cstheme="minorHAnsi"/>
          <w:bCs/>
        </w:rPr>
        <w:br/>
      </w:r>
      <w:r w:rsidR="00994CFB" w:rsidRPr="00E338C9">
        <w:rPr>
          <w:rFonts w:cstheme="minorHAnsi"/>
          <w:bCs/>
        </w:rPr>
        <w:t>This measure only uses one set of specifications.</w:t>
      </w:r>
    </w:p>
    <w:p w14:paraId="101ACD22"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6F3C3DEE" w14:textId="0ADF5E7A"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994CFB" w:rsidRPr="00E338C9">
        <w:rPr>
          <w:rFonts w:cstheme="minorHAnsi"/>
          <w:bCs/>
        </w:rPr>
        <w:t>This measure only uses one set of specifications.</w:t>
      </w:r>
    </w:p>
    <w:p w14:paraId="7520D695" w14:textId="77777777" w:rsidR="00E1508F" w:rsidRPr="00E1508F" w:rsidRDefault="00E1508F" w:rsidP="00E1508F">
      <w:pPr>
        <w:autoSpaceDE w:val="0"/>
        <w:autoSpaceDN w:val="0"/>
        <w:adjustRightInd w:val="0"/>
        <w:spacing w:after="0" w:line="240" w:lineRule="auto"/>
        <w:rPr>
          <w:rFonts w:cstheme="minorHAnsi"/>
          <w:bCs/>
        </w:rPr>
      </w:pPr>
    </w:p>
    <w:p w14:paraId="07D50D8A" w14:textId="2110F0D2"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994CFB" w:rsidRPr="00E338C9">
        <w:rPr>
          <w:rFonts w:cstheme="minorHAnsi"/>
          <w:bCs/>
        </w:rPr>
        <w:t>This measure only uses one set of specifications.</w:t>
      </w: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07DEF1AF" w14:textId="556124C0"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r w:rsidR="00587B43" w:rsidRPr="00192B1A">
        <w:rPr>
          <w:rFonts w:cstheme="minorHAnsi"/>
          <w:bCs/>
        </w:rPr>
        <w:t xml:space="preserve">This measure is calculated from claims data submitted by </w:t>
      </w:r>
      <w:r w:rsidR="00587B43">
        <w:rPr>
          <w:rFonts w:cstheme="minorHAnsi"/>
          <w:bCs/>
        </w:rPr>
        <w:t>measured entities</w:t>
      </w:r>
      <w:r w:rsidR="00587B43" w:rsidRPr="00192B1A">
        <w:rPr>
          <w:rFonts w:cstheme="minorHAnsi"/>
          <w:bCs/>
        </w:rPr>
        <w:t xml:space="preserve"> for purposes of payment. The administrative claims data used to calculate the measure are maintained by CMS’s Office of Information Services; these data undergo additional quality assurance checks during measure development and maintenance.</w:t>
      </w:r>
      <w:r w:rsidR="00587B43">
        <w:rPr>
          <w:rFonts w:cstheme="minorHAnsi"/>
          <w:bCs/>
        </w:rPr>
        <w:t xml:space="preserve"> Thus, the analytic files used for measure testing and measure calculation include</w:t>
      </w:r>
      <w:r w:rsidR="00587B43" w:rsidRPr="00192B1A">
        <w:rPr>
          <w:rFonts w:cstheme="minorHAnsi"/>
          <w:bCs/>
        </w:rPr>
        <w:t xml:space="preserve"> post-adjudicated claims, and do not include missing data.</w:t>
      </w:r>
      <w:r w:rsidR="00587B43" w:rsidRPr="00A25024">
        <w:rPr>
          <w:rFonts w:cstheme="minorHAnsi"/>
          <w:bCs/>
        </w:rPr>
        <w:t xml:space="preserve"> </w:t>
      </w:r>
      <w:r w:rsidRPr="00A25024">
        <w:rPr>
          <w:rFonts w:cstheme="minorHAnsi"/>
          <w:bCs/>
        </w:rPr>
        <w:t xml:space="preserve"> </w:t>
      </w:r>
    </w:p>
    <w:p w14:paraId="0EEA770E"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53E61B91" w14:textId="4D4AFEF3"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587B43" w:rsidRPr="00192B1A">
        <w:rPr>
          <w:rFonts w:cstheme="minorHAnsi"/>
          <w:bCs/>
        </w:rPr>
        <w:t xml:space="preserve">As described in </w:t>
      </w:r>
      <w:r w:rsidR="00587B43" w:rsidRPr="00420DAB">
        <w:rPr>
          <w:rFonts w:cstheme="minorHAnsi"/>
          <w:bCs/>
        </w:rPr>
        <w:t xml:space="preserve">Section </w:t>
      </w:r>
      <w:r w:rsidR="00587B43" w:rsidRPr="00420DAB">
        <w:rPr>
          <w:rFonts w:cstheme="minorHAnsi"/>
          <w:b/>
          <w:bCs/>
        </w:rPr>
        <w:t>2b7.1</w:t>
      </w:r>
      <w:r w:rsidR="00587B43" w:rsidRPr="00420DAB">
        <w:rPr>
          <w:rFonts w:cstheme="minorHAnsi"/>
          <w:bCs/>
        </w:rPr>
        <w:t>,</w:t>
      </w:r>
      <w:r w:rsidR="00587B43" w:rsidRPr="00192B1A">
        <w:rPr>
          <w:rFonts w:cstheme="minorHAnsi"/>
          <w:bCs/>
        </w:rPr>
        <w:t xml:space="preserve"> the analytic files used for measure testing and measure calculation include post-adjudicated claims, and do not include missing data.</w:t>
      </w:r>
    </w:p>
    <w:p w14:paraId="3DBC6E74" w14:textId="77777777" w:rsidR="008F7E67" w:rsidRPr="00E1508F" w:rsidRDefault="008F7E67"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1BDB878E" w14:textId="13680854" w:rsidR="00BA053B" w:rsidRPr="005560E7" w:rsidRDefault="00587B43">
      <w:pPr>
        <w:autoSpaceDE w:val="0"/>
        <w:autoSpaceDN w:val="0"/>
        <w:adjustRightInd w:val="0"/>
        <w:spacing w:after="0" w:line="240" w:lineRule="auto"/>
        <w:rPr>
          <w:rFonts w:cstheme="minorHAnsi"/>
          <w:bCs/>
        </w:rPr>
      </w:pPr>
      <w:r w:rsidRPr="00192B1A">
        <w:rPr>
          <w:rFonts w:cstheme="minorHAnsi"/>
          <w:bCs/>
        </w:rPr>
        <w:t xml:space="preserve">As described in </w:t>
      </w:r>
      <w:r w:rsidRPr="00420DAB">
        <w:rPr>
          <w:rFonts w:cstheme="minorHAnsi"/>
          <w:bCs/>
        </w:rPr>
        <w:t xml:space="preserve">Section </w:t>
      </w:r>
      <w:r w:rsidRPr="00420DAB">
        <w:rPr>
          <w:rFonts w:cstheme="minorHAnsi"/>
          <w:b/>
          <w:bCs/>
        </w:rPr>
        <w:t>2b7.1</w:t>
      </w:r>
      <w:r w:rsidRPr="00192B1A">
        <w:rPr>
          <w:rFonts w:cstheme="minorHAnsi"/>
          <w:bCs/>
        </w:rPr>
        <w:t>, the analytic files used for measure testing and measure calculation include post-adjudicated claims, and do not include missing data.</w:t>
      </w:r>
      <w:r>
        <w:rPr>
          <w:rFonts w:cstheme="minorHAnsi"/>
          <w:bCs/>
        </w:rPr>
        <w:t xml:space="preserve"> </w:t>
      </w:r>
      <w:r w:rsidRPr="00192B1A">
        <w:rPr>
          <w:rFonts w:cstheme="minorHAnsi"/>
          <w:bCs/>
        </w:rPr>
        <w:t>As such, missing data does not bias the performance results.</w:t>
      </w:r>
    </w:p>
    <w:sectPr w:rsidR="00BA053B" w:rsidRPr="005560E7"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B87FBE" w15:done="0"/>
  <w15:commentEx w15:paraId="3D0AD1D7" w15:done="0"/>
  <w15:commentEx w15:paraId="2B49A66A" w15:done="0"/>
  <w15:commentEx w15:paraId="58425D24" w15:done="0"/>
  <w15:commentEx w15:paraId="6E4CBB95" w15:done="0"/>
  <w15:commentEx w15:paraId="70C45A5D" w15:done="0"/>
  <w15:commentEx w15:paraId="3D20AD0A" w15:done="0"/>
  <w15:commentEx w15:paraId="1D1C8501" w15:done="0"/>
  <w15:commentEx w15:paraId="29369D5F" w15:done="0"/>
  <w15:commentEx w15:paraId="2D5A6DFB" w15:done="0"/>
  <w15:commentEx w15:paraId="4984ADA3" w15:done="0"/>
  <w15:commentEx w15:paraId="4AE5E584" w15:done="0"/>
  <w15:commentEx w15:paraId="372F97D6" w15:done="0"/>
  <w15:commentEx w15:paraId="018269CC" w15:done="0"/>
  <w15:commentEx w15:paraId="748B1023" w15:done="0"/>
  <w15:commentEx w15:paraId="7ACBE2D9" w15:done="0"/>
  <w15:commentEx w15:paraId="28AC5772" w15:done="0"/>
  <w15:commentEx w15:paraId="06C5BCEF" w15:done="0"/>
  <w15:commentEx w15:paraId="42AB4DAC" w15:done="0"/>
  <w15:commentEx w15:paraId="00518A72" w15:done="0"/>
  <w15:commentEx w15:paraId="5B15ABC0" w15:done="0"/>
  <w15:commentEx w15:paraId="5D7FE12C" w15:done="0"/>
  <w15:commentEx w15:paraId="60AAFCE4" w15:done="0"/>
  <w15:commentEx w15:paraId="536C7C7B" w15:done="0"/>
  <w15:commentEx w15:paraId="27230AC3" w15:done="0"/>
  <w15:commentEx w15:paraId="3ED6D76C" w15:done="0"/>
  <w15:commentEx w15:paraId="5A1AD956" w15:done="0"/>
  <w15:commentEx w15:paraId="04404731" w15:done="0"/>
  <w15:commentEx w15:paraId="1DD85254" w15:done="0"/>
  <w15:commentEx w15:paraId="20DAB759" w15:done="0"/>
  <w15:commentEx w15:paraId="08A4F37A" w15:done="0"/>
  <w15:commentEx w15:paraId="2DB52193" w15:done="0"/>
  <w15:commentEx w15:paraId="3FE036F2" w15:done="0"/>
  <w15:commentEx w15:paraId="3DB8E91C" w15:done="0"/>
  <w15:commentEx w15:paraId="574E49ED" w15:done="0"/>
  <w15:commentEx w15:paraId="52BDEEDC" w15:done="0"/>
  <w15:commentEx w15:paraId="41AFC793" w15:done="0"/>
  <w15:commentEx w15:paraId="397009A3" w15:done="0"/>
  <w15:commentEx w15:paraId="125AC175" w15:done="0"/>
  <w15:commentEx w15:paraId="63968661" w15:done="0"/>
  <w15:commentEx w15:paraId="5455B575" w15:done="0"/>
  <w15:commentEx w15:paraId="4DC28E8F" w15:done="0"/>
  <w15:commentEx w15:paraId="38A8588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5C9D7" w14:textId="77777777" w:rsidR="004524C6" w:rsidRDefault="004524C6" w:rsidP="005C73CA">
      <w:pPr>
        <w:spacing w:after="0" w:line="240" w:lineRule="auto"/>
      </w:pPr>
      <w:r>
        <w:separator/>
      </w:r>
    </w:p>
  </w:endnote>
  <w:endnote w:type="continuationSeparator" w:id="0">
    <w:p w14:paraId="2AA6F164" w14:textId="77777777" w:rsidR="004524C6" w:rsidRDefault="004524C6" w:rsidP="005C73CA">
      <w:pPr>
        <w:spacing w:after="0" w:line="240" w:lineRule="auto"/>
      </w:pPr>
      <w:r>
        <w:continuationSeparator/>
      </w:r>
    </w:p>
  </w:endnote>
  <w:endnote w:type="continuationNotice" w:id="1">
    <w:p w14:paraId="4255B9A4" w14:textId="77777777" w:rsidR="004524C6" w:rsidRDefault="004524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4524C6" w:rsidRDefault="004524C6">
    <w:pPr>
      <w:pStyle w:val="Footer"/>
    </w:pPr>
    <w:r>
      <w:t>Version 6.5 5/1/2015</w:t>
    </w:r>
    <w:r>
      <w:ptab w:relativeTo="margin" w:alignment="right" w:leader="none"/>
    </w:r>
    <w:r>
      <w:fldChar w:fldCharType="begin"/>
    </w:r>
    <w:r>
      <w:instrText xml:space="preserve"> PAGE   \* MERGEFORMAT </w:instrText>
    </w:r>
    <w:r>
      <w:fldChar w:fldCharType="separate"/>
    </w:r>
    <w:r w:rsidR="00E2538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B144EC" w14:textId="77777777" w:rsidR="004524C6" w:rsidRDefault="004524C6" w:rsidP="005C73CA">
      <w:pPr>
        <w:spacing w:after="0" w:line="240" w:lineRule="auto"/>
      </w:pPr>
      <w:r>
        <w:separator/>
      </w:r>
    </w:p>
  </w:footnote>
  <w:footnote w:type="continuationSeparator" w:id="0">
    <w:p w14:paraId="4DE2902F" w14:textId="77777777" w:rsidR="004524C6" w:rsidRDefault="004524C6" w:rsidP="005C73CA">
      <w:pPr>
        <w:spacing w:after="0" w:line="240" w:lineRule="auto"/>
      </w:pPr>
      <w:r>
        <w:continuationSeparator/>
      </w:r>
    </w:p>
  </w:footnote>
  <w:footnote w:type="continuationNotice" w:id="1">
    <w:p w14:paraId="4F248C8E" w14:textId="77777777" w:rsidR="004524C6" w:rsidRDefault="004524C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4524C6" w:rsidRPr="00105D8B" w:rsidRDefault="004524C6"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F3F13B4"/>
    <w:multiLevelType w:val="hybridMultilevel"/>
    <w:tmpl w:val="2B9C7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2F3376"/>
    <w:multiLevelType w:val="hybridMultilevel"/>
    <w:tmpl w:val="E0C47DC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834DC7"/>
    <w:multiLevelType w:val="hybridMultilevel"/>
    <w:tmpl w:val="71A8A98A"/>
    <w:lvl w:ilvl="0" w:tplc="813E9FEE">
      <w:start w:val="1"/>
      <w:numFmt w:val="decimal"/>
      <w:lvlText w:val="%1."/>
      <w:lvlJc w:val="left"/>
      <w:pPr>
        <w:ind w:left="720" w:hanging="360"/>
      </w:pPr>
      <w:rPr>
        <w:rFonts w:hint="default"/>
        <w:i/>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E620E2"/>
    <w:multiLevelType w:val="hybridMultilevel"/>
    <w:tmpl w:val="8ED4E5D4"/>
    <w:lvl w:ilvl="0" w:tplc="BB761A90">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87B14B8"/>
    <w:multiLevelType w:val="hybridMultilevel"/>
    <w:tmpl w:val="CEFC3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307611"/>
    <w:multiLevelType w:val="hybridMultilevel"/>
    <w:tmpl w:val="9DF0A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5804C1"/>
    <w:multiLevelType w:val="hybridMultilevel"/>
    <w:tmpl w:val="3C8C1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D01E3C"/>
    <w:multiLevelType w:val="hybridMultilevel"/>
    <w:tmpl w:val="DC822504"/>
    <w:lvl w:ilvl="0" w:tplc="5B7E6428">
      <w:numFmt w:val="bullet"/>
      <w:lvlText w:val="-"/>
      <w:lvlJc w:val="left"/>
      <w:pPr>
        <w:ind w:left="720" w:hanging="360"/>
      </w:pPr>
      <w:rPr>
        <w:rFonts w:ascii="Calibri" w:eastAsiaTheme="minorEastAsia"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3"/>
  </w:num>
  <w:num w:numId="4">
    <w:abstractNumId w:val="7"/>
  </w:num>
  <w:num w:numId="5">
    <w:abstractNumId w:val="2"/>
  </w:num>
  <w:num w:numId="6">
    <w:abstractNumId w:val="1"/>
  </w:num>
  <w:num w:numId="7">
    <w:abstractNumId w:val="4"/>
  </w:num>
  <w:num w:numId="8">
    <w:abstractNumId w:val="25"/>
  </w:num>
  <w:num w:numId="9">
    <w:abstractNumId w:val="12"/>
  </w:num>
  <w:num w:numId="10">
    <w:abstractNumId w:val="30"/>
  </w:num>
  <w:num w:numId="11">
    <w:abstractNumId w:val="14"/>
  </w:num>
  <w:num w:numId="12">
    <w:abstractNumId w:val="28"/>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0"/>
  </w:num>
  <w:num w:numId="17">
    <w:abstractNumId w:val="29"/>
  </w:num>
  <w:num w:numId="18">
    <w:abstractNumId w:val="27"/>
  </w:num>
  <w:num w:numId="19">
    <w:abstractNumId w:val="26"/>
  </w:num>
  <w:num w:numId="20">
    <w:abstractNumId w:val="19"/>
  </w:num>
  <w:num w:numId="21">
    <w:abstractNumId w:val="24"/>
  </w:num>
  <w:num w:numId="22">
    <w:abstractNumId w:val="17"/>
  </w:num>
  <w:num w:numId="23">
    <w:abstractNumId w:val="9"/>
  </w:num>
  <w:num w:numId="24">
    <w:abstractNumId w:val="16"/>
  </w:num>
  <w:num w:numId="25">
    <w:abstractNumId w:val="15"/>
  </w:num>
  <w:num w:numId="26">
    <w:abstractNumId w:val="33"/>
  </w:num>
  <w:num w:numId="27">
    <w:abstractNumId w:val="0"/>
  </w:num>
  <w:num w:numId="28">
    <w:abstractNumId w:val="11"/>
  </w:num>
  <w:num w:numId="29">
    <w:abstractNumId w:val="20"/>
  </w:num>
  <w:num w:numId="30">
    <w:abstractNumId w:val="35"/>
  </w:num>
  <w:num w:numId="31">
    <w:abstractNumId w:val="22"/>
  </w:num>
  <w:num w:numId="32">
    <w:abstractNumId w:val="6"/>
  </w:num>
  <w:num w:numId="33">
    <w:abstractNumId w:val="34"/>
  </w:num>
  <w:num w:numId="34">
    <w:abstractNumId w:val="8"/>
  </w:num>
  <w:num w:numId="35">
    <w:abstractNumId w:val="32"/>
  </w:num>
  <w:num w:numId="36">
    <w:abstractNumId w:val="31"/>
  </w:num>
  <w:num w:numId="3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rton, Erica">
    <w15:presenceInfo w15:providerId="AD" w15:userId="S-1-5-21-505881439-82067924-1220176271-507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33B9"/>
    <w:rsid w:val="00024DFD"/>
    <w:rsid w:val="00027AB8"/>
    <w:rsid w:val="000309DD"/>
    <w:rsid w:val="00031414"/>
    <w:rsid w:val="00033038"/>
    <w:rsid w:val="00033D63"/>
    <w:rsid w:val="0003436F"/>
    <w:rsid w:val="00035284"/>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A6F67"/>
    <w:rsid w:val="000B032A"/>
    <w:rsid w:val="000B2DF7"/>
    <w:rsid w:val="000B3880"/>
    <w:rsid w:val="000C0FF8"/>
    <w:rsid w:val="000C65B4"/>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73D9C"/>
    <w:rsid w:val="001754D7"/>
    <w:rsid w:val="0017696D"/>
    <w:rsid w:val="00183720"/>
    <w:rsid w:val="001848FC"/>
    <w:rsid w:val="00193F21"/>
    <w:rsid w:val="001969C5"/>
    <w:rsid w:val="001A6CDD"/>
    <w:rsid w:val="001C12EE"/>
    <w:rsid w:val="001C7B02"/>
    <w:rsid w:val="001E3A5A"/>
    <w:rsid w:val="001E4DD4"/>
    <w:rsid w:val="001E69DC"/>
    <w:rsid w:val="001F169D"/>
    <w:rsid w:val="001F1DA1"/>
    <w:rsid w:val="001F6F93"/>
    <w:rsid w:val="001F7A20"/>
    <w:rsid w:val="0021054A"/>
    <w:rsid w:val="0021195A"/>
    <w:rsid w:val="00213383"/>
    <w:rsid w:val="00220250"/>
    <w:rsid w:val="0022691B"/>
    <w:rsid w:val="00232163"/>
    <w:rsid w:val="002376F8"/>
    <w:rsid w:val="002408E4"/>
    <w:rsid w:val="00241591"/>
    <w:rsid w:val="00250B4F"/>
    <w:rsid w:val="0025762F"/>
    <w:rsid w:val="0028114D"/>
    <w:rsid w:val="00287649"/>
    <w:rsid w:val="00287E84"/>
    <w:rsid w:val="0029286C"/>
    <w:rsid w:val="0029300E"/>
    <w:rsid w:val="002A3AE1"/>
    <w:rsid w:val="002B0C3A"/>
    <w:rsid w:val="002B2116"/>
    <w:rsid w:val="002B2D9B"/>
    <w:rsid w:val="002B5016"/>
    <w:rsid w:val="002B6A83"/>
    <w:rsid w:val="002B742C"/>
    <w:rsid w:val="002B7F4D"/>
    <w:rsid w:val="002C285C"/>
    <w:rsid w:val="002C7BE4"/>
    <w:rsid w:val="002D417D"/>
    <w:rsid w:val="002D5E5D"/>
    <w:rsid w:val="002E0055"/>
    <w:rsid w:val="002E5ED9"/>
    <w:rsid w:val="002E78A0"/>
    <w:rsid w:val="002F2687"/>
    <w:rsid w:val="002F3128"/>
    <w:rsid w:val="002F48E1"/>
    <w:rsid w:val="002F4F3B"/>
    <w:rsid w:val="00304C86"/>
    <w:rsid w:val="003059EB"/>
    <w:rsid w:val="00306C90"/>
    <w:rsid w:val="003116AC"/>
    <w:rsid w:val="00315567"/>
    <w:rsid w:val="00327C2A"/>
    <w:rsid w:val="00330144"/>
    <w:rsid w:val="00345A47"/>
    <w:rsid w:val="00345CBA"/>
    <w:rsid w:val="00346245"/>
    <w:rsid w:val="00353F62"/>
    <w:rsid w:val="00356267"/>
    <w:rsid w:val="00356BAD"/>
    <w:rsid w:val="003605B4"/>
    <w:rsid w:val="003627AC"/>
    <w:rsid w:val="00366914"/>
    <w:rsid w:val="00372FE3"/>
    <w:rsid w:val="003755CB"/>
    <w:rsid w:val="00383F85"/>
    <w:rsid w:val="00387BA1"/>
    <w:rsid w:val="003A01C9"/>
    <w:rsid w:val="003A306C"/>
    <w:rsid w:val="003A7DE7"/>
    <w:rsid w:val="003B1006"/>
    <w:rsid w:val="003C5F11"/>
    <w:rsid w:val="003D294B"/>
    <w:rsid w:val="003D6401"/>
    <w:rsid w:val="003E1863"/>
    <w:rsid w:val="0041606D"/>
    <w:rsid w:val="00416962"/>
    <w:rsid w:val="004348CC"/>
    <w:rsid w:val="004524C6"/>
    <w:rsid w:val="0045503D"/>
    <w:rsid w:val="004658FF"/>
    <w:rsid w:val="00474ED7"/>
    <w:rsid w:val="004756E1"/>
    <w:rsid w:val="004770AF"/>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4287"/>
    <w:rsid w:val="004F68EE"/>
    <w:rsid w:val="005038D5"/>
    <w:rsid w:val="00511BA4"/>
    <w:rsid w:val="005149E7"/>
    <w:rsid w:val="005173F2"/>
    <w:rsid w:val="005220CA"/>
    <w:rsid w:val="005232D6"/>
    <w:rsid w:val="005333CC"/>
    <w:rsid w:val="005363F1"/>
    <w:rsid w:val="00537C1B"/>
    <w:rsid w:val="0055007C"/>
    <w:rsid w:val="00554922"/>
    <w:rsid w:val="00555282"/>
    <w:rsid w:val="005560E7"/>
    <w:rsid w:val="005612CC"/>
    <w:rsid w:val="00563029"/>
    <w:rsid w:val="00567D12"/>
    <w:rsid w:val="00572BF1"/>
    <w:rsid w:val="00576062"/>
    <w:rsid w:val="005801E2"/>
    <w:rsid w:val="00587B43"/>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17F88"/>
    <w:rsid w:val="006269D4"/>
    <w:rsid w:val="006327D8"/>
    <w:rsid w:val="0064070A"/>
    <w:rsid w:val="00643A01"/>
    <w:rsid w:val="006574D2"/>
    <w:rsid w:val="006634E2"/>
    <w:rsid w:val="00663563"/>
    <w:rsid w:val="006676D4"/>
    <w:rsid w:val="00675535"/>
    <w:rsid w:val="00681359"/>
    <w:rsid w:val="0069157C"/>
    <w:rsid w:val="00695014"/>
    <w:rsid w:val="00696262"/>
    <w:rsid w:val="006B560F"/>
    <w:rsid w:val="006C3A4F"/>
    <w:rsid w:val="006C4845"/>
    <w:rsid w:val="006D6BC1"/>
    <w:rsid w:val="006E2BFC"/>
    <w:rsid w:val="006E5C57"/>
    <w:rsid w:val="006F22A5"/>
    <w:rsid w:val="00702C73"/>
    <w:rsid w:val="00705051"/>
    <w:rsid w:val="00713394"/>
    <w:rsid w:val="00724677"/>
    <w:rsid w:val="00725AC2"/>
    <w:rsid w:val="00730C79"/>
    <w:rsid w:val="00730E71"/>
    <w:rsid w:val="00732880"/>
    <w:rsid w:val="007416B9"/>
    <w:rsid w:val="007422FD"/>
    <w:rsid w:val="00743E46"/>
    <w:rsid w:val="00744DB1"/>
    <w:rsid w:val="007476FA"/>
    <w:rsid w:val="00747C45"/>
    <w:rsid w:val="007534B6"/>
    <w:rsid w:val="00756FDB"/>
    <w:rsid w:val="007629B6"/>
    <w:rsid w:val="007665BF"/>
    <w:rsid w:val="007715F4"/>
    <w:rsid w:val="00771B2A"/>
    <w:rsid w:val="007757CE"/>
    <w:rsid w:val="00775800"/>
    <w:rsid w:val="007876F3"/>
    <w:rsid w:val="0079180E"/>
    <w:rsid w:val="007950CC"/>
    <w:rsid w:val="0079538B"/>
    <w:rsid w:val="007961B8"/>
    <w:rsid w:val="00797624"/>
    <w:rsid w:val="007A34FC"/>
    <w:rsid w:val="007A4828"/>
    <w:rsid w:val="007B093D"/>
    <w:rsid w:val="007B2069"/>
    <w:rsid w:val="007C04A1"/>
    <w:rsid w:val="007C21FA"/>
    <w:rsid w:val="007D13B1"/>
    <w:rsid w:val="007D4351"/>
    <w:rsid w:val="007D7019"/>
    <w:rsid w:val="007E18DB"/>
    <w:rsid w:val="007E525F"/>
    <w:rsid w:val="007E6F1C"/>
    <w:rsid w:val="00804220"/>
    <w:rsid w:val="00804C69"/>
    <w:rsid w:val="0080711D"/>
    <w:rsid w:val="008155CD"/>
    <w:rsid w:val="00821274"/>
    <w:rsid w:val="00833325"/>
    <w:rsid w:val="00840A41"/>
    <w:rsid w:val="00842F3C"/>
    <w:rsid w:val="00845059"/>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1709"/>
    <w:rsid w:val="008B604D"/>
    <w:rsid w:val="008B6910"/>
    <w:rsid w:val="008C54A9"/>
    <w:rsid w:val="008E67C3"/>
    <w:rsid w:val="008F589F"/>
    <w:rsid w:val="008F76A9"/>
    <w:rsid w:val="008F7E67"/>
    <w:rsid w:val="00900DBF"/>
    <w:rsid w:val="009048B9"/>
    <w:rsid w:val="00904E91"/>
    <w:rsid w:val="0091557E"/>
    <w:rsid w:val="00915886"/>
    <w:rsid w:val="009214DC"/>
    <w:rsid w:val="00927027"/>
    <w:rsid w:val="009344BA"/>
    <w:rsid w:val="00946E61"/>
    <w:rsid w:val="0094766B"/>
    <w:rsid w:val="00947F78"/>
    <w:rsid w:val="00953234"/>
    <w:rsid w:val="00961EAF"/>
    <w:rsid w:val="0096278F"/>
    <w:rsid w:val="00965098"/>
    <w:rsid w:val="009726E1"/>
    <w:rsid w:val="00972A04"/>
    <w:rsid w:val="00977591"/>
    <w:rsid w:val="00980E75"/>
    <w:rsid w:val="00994BE0"/>
    <w:rsid w:val="00994CFB"/>
    <w:rsid w:val="009A25B1"/>
    <w:rsid w:val="009A4608"/>
    <w:rsid w:val="009A6A57"/>
    <w:rsid w:val="009A70BF"/>
    <w:rsid w:val="009B173B"/>
    <w:rsid w:val="009B1A15"/>
    <w:rsid w:val="009C0852"/>
    <w:rsid w:val="009C13CA"/>
    <w:rsid w:val="009C32C6"/>
    <w:rsid w:val="009C665F"/>
    <w:rsid w:val="009D7E38"/>
    <w:rsid w:val="009E095B"/>
    <w:rsid w:val="009E1846"/>
    <w:rsid w:val="009E3D0D"/>
    <w:rsid w:val="009E6CAC"/>
    <w:rsid w:val="009E78FF"/>
    <w:rsid w:val="00A01494"/>
    <w:rsid w:val="00A22FA9"/>
    <w:rsid w:val="00A25024"/>
    <w:rsid w:val="00A311D3"/>
    <w:rsid w:val="00A35F8F"/>
    <w:rsid w:val="00A41377"/>
    <w:rsid w:val="00A4263D"/>
    <w:rsid w:val="00A509B8"/>
    <w:rsid w:val="00A52AB9"/>
    <w:rsid w:val="00A6210B"/>
    <w:rsid w:val="00A64EBF"/>
    <w:rsid w:val="00A71200"/>
    <w:rsid w:val="00A7323A"/>
    <w:rsid w:val="00A831B4"/>
    <w:rsid w:val="00A90B69"/>
    <w:rsid w:val="00A97798"/>
    <w:rsid w:val="00AA5213"/>
    <w:rsid w:val="00AA65A6"/>
    <w:rsid w:val="00AC1D8E"/>
    <w:rsid w:val="00AC3DE3"/>
    <w:rsid w:val="00AC48FA"/>
    <w:rsid w:val="00AD0240"/>
    <w:rsid w:val="00AD4137"/>
    <w:rsid w:val="00AF216D"/>
    <w:rsid w:val="00B037BA"/>
    <w:rsid w:val="00B20139"/>
    <w:rsid w:val="00B218DA"/>
    <w:rsid w:val="00B342FA"/>
    <w:rsid w:val="00B53E8B"/>
    <w:rsid w:val="00B774D2"/>
    <w:rsid w:val="00B8015A"/>
    <w:rsid w:val="00B81054"/>
    <w:rsid w:val="00B82A57"/>
    <w:rsid w:val="00B9015D"/>
    <w:rsid w:val="00B92CE8"/>
    <w:rsid w:val="00BA053B"/>
    <w:rsid w:val="00BB35AE"/>
    <w:rsid w:val="00BC03A1"/>
    <w:rsid w:val="00BC0D25"/>
    <w:rsid w:val="00BD2505"/>
    <w:rsid w:val="00BE592D"/>
    <w:rsid w:val="00BF52B0"/>
    <w:rsid w:val="00BF5697"/>
    <w:rsid w:val="00C14CCC"/>
    <w:rsid w:val="00C162D5"/>
    <w:rsid w:val="00C1695E"/>
    <w:rsid w:val="00C22C1C"/>
    <w:rsid w:val="00C33F2E"/>
    <w:rsid w:val="00C34936"/>
    <w:rsid w:val="00C34C14"/>
    <w:rsid w:val="00C355B9"/>
    <w:rsid w:val="00C37EF1"/>
    <w:rsid w:val="00C401C4"/>
    <w:rsid w:val="00C41680"/>
    <w:rsid w:val="00C60A25"/>
    <w:rsid w:val="00C74D3B"/>
    <w:rsid w:val="00C765C5"/>
    <w:rsid w:val="00C82479"/>
    <w:rsid w:val="00C867F0"/>
    <w:rsid w:val="00CA06D8"/>
    <w:rsid w:val="00CA345A"/>
    <w:rsid w:val="00CB49FF"/>
    <w:rsid w:val="00CC02CF"/>
    <w:rsid w:val="00CC086A"/>
    <w:rsid w:val="00CD0F66"/>
    <w:rsid w:val="00CD364B"/>
    <w:rsid w:val="00CE23B8"/>
    <w:rsid w:val="00CE50D7"/>
    <w:rsid w:val="00CF4CBE"/>
    <w:rsid w:val="00D00344"/>
    <w:rsid w:val="00D1754D"/>
    <w:rsid w:val="00D2223F"/>
    <w:rsid w:val="00D274A4"/>
    <w:rsid w:val="00D277AF"/>
    <w:rsid w:val="00D31163"/>
    <w:rsid w:val="00D320B1"/>
    <w:rsid w:val="00D33AFD"/>
    <w:rsid w:val="00D33C57"/>
    <w:rsid w:val="00D36489"/>
    <w:rsid w:val="00D42195"/>
    <w:rsid w:val="00D50704"/>
    <w:rsid w:val="00D5760A"/>
    <w:rsid w:val="00D61410"/>
    <w:rsid w:val="00D8181D"/>
    <w:rsid w:val="00D968D8"/>
    <w:rsid w:val="00DA563D"/>
    <w:rsid w:val="00DA7277"/>
    <w:rsid w:val="00DB3627"/>
    <w:rsid w:val="00DB4724"/>
    <w:rsid w:val="00DB6944"/>
    <w:rsid w:val="00DC4746"/>
    <w:rsid w:val="00DD68B5"/>
    <w:rsid w:val="00DE7149"/>
    <w:rsid w:val="00E0314C"/>
    <w:rsid w:val="00E0471B"/>
    <w:rsid w:val="00E05B21"/>
    <w:rsid w:val="00E1508F"/>
    <w:rsid w:val="00E16616"/>
    <w:rsid w:val="00E25381"/>
    <w:rsid w:val="00E261DF"/>
    <w:rsid w:val="00E27240"/>
    <w:rsid w:val="00E27EDD"/>
    <w:rsid w:val="00E30584"/>
    <w:rsid w:val="00E310B9"/>
    <w:rsid w:val="00E37E1B"/>
    <w:rsid w:val="00E555C3"/>
    <w:rsid w:val="00E562C0"/>
    <w:rsid w:val="00E672D6"/>
    <w:rsid w:val="00E76024"/>
    <w:rsid w:val="00E856A2"/>
    <w:rsid w:val="00E878B2"/>
    <w:rsid w:val="00E967AD"/>
    <w:rsid w:val="00E96884"/>
    <w:rsid w:val="00EA5435"/>
    <w:rsid w:val="00EA5F47"/>
    <w:rsid w:val="00EB455E"/>
    <w:rsid w:val="00EC79DE"/>
    <w:rsid w:val="00ED4ACE"/>
    <w:rsid w:val="00EE4D35"/>
    <w:rsid w:val="00EF2DA7"/>
    <w:rsid w:val="00F1412B"/>
    <w:rsid w:val="00F15BFA"/>
    <w:rsid w:val="00F31692"/>
    <w:rsid w:val="00F31E51"/>
    <w:rsid w:val="00F435AA"/>
    <w:rsid w:val="00F5738A"/>
    <w:rsid w:val="00F576C6"/>
    <w:rsid w:val="00F612D4"/>
    <w:rsid w:val="00F77F1D"/>
    <w:rsid w:val="00F87CCB"/>
    <w:rsid w:val="00FA48C7"/>
    <w:rsid w:val="00FB51FB"/>
    <w:rsid w:val="00FB5A69"/>
    <w:rsid w:val="00FB73C1"/>
    <w:rsid w:val="00FE18BF"/>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0A6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0A6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826362">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06546206">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4878644">
      <w:bodyDiv w:val="1"/>
      <w:marLeft w:val="0"/>
      <w:marRight w:val="0"/>
      <w:marTop w:val="0"/>
      <w:marBottom w:val="0"/>
      <w:divBdr>
        <w:top w:val="none" w:sz="0" w:space="0" w:color="auto"/>
        <w:left w:val="none" w:sz="0" w:space="0" w:color="auto"/>
        <w:bottom w:val="none" w:sz="0" w:space="0" w:color="auto"/>
        <w:right w:val="none" w:sz="0" w:space="0" w:color="auto"/>
      </w:divBdr>
    </w:div>
    <w:div w:id="180796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qualitynet.org/dcs/BlobServer?blobkey=id&amp;blobnocache=true&amp;blobwhere=1228889854907&amp;blobheader=multipart%2Foctet-stream&amp;blobheadername1=Content-Disposition&amp;blobheadervalue1=attachment%3Bfilename%3D2012_OIE_MCC.pdf&amp;blobcol=urldata&amp;blobtable=MungoBlobs" TargetMode="Externa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microsoft.com/office/2011/relationships/commentsExtended" Target="commentsExtended.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2656C"/>
    <w:rsid w:val="002A288F"/>
    <w:rsid w:val="002C65A7"/>
    <w:rsid w:val="002F052A"/>
    <w:rsid w:val="00350176"/>
    <w:rsid w:val="00360110"/>
    <w:rsid w:val="003840F0"/>
    <w:rsid w:val="00437537"/>
    <w:rsid w:val="004D785E"/>
    <w:rsid w:val="0053654E"/>
    <w:rsid w:val="00632A7E"/>
    <w:rsid w:val="00632AB6"/>
    <w:rsid w:val="006A275A"/>
    <w:rsid w:val="00730B33"/>
    <w:rsid w:val="00772B2A"/>
    <w:rsid w:val="0077501A"/>
    <w:rsid w:val="007C672A"/>
    <w:rsid w:val="007D4368"/>
    <w:rsid w:val="007D785D"/>
    <w:rsid w:val="00822666"/>
    <w:rsid w:val="00823ECC"/>
    <w:rsid w:val="00826796"/>
    <w:rsid w:val="00866C97"/>
    <w:rsid w:val="008C5032"/>
    <w:rsid w:val="009017AE"/>
    <w:rsid w:val="009C542D"/>
    <w:rsid w:val="00A01A18"/>
    <w:rsid w:val="00A95183"/>
    <w:rsid w:val="00AB4AF7"/>
    <w:rsid w:val="00AD7C4F"/>
    <w:rsid w:val="00B31B70"/>
    <w:rsid w:val="00B445F5"/>
    <w:rsid w:val="00BD40CB"/>
    <w:rsid w:val="00C362A2"/>
    <w:rsid w:val="00C90121"/>
    <w:rsid w:val="00CA1FE8"/>
    <w:rsid w:val="00CA344F"/>
    <w:rsid w:val="00D1676E"/>
    <w:rsid w:val="00DC0246"/>
    <w:rsid w:val="00E6518A"/>
    <w:rsid w:val="00F311DA"/>
    <w:rsid w:val="00F540AB"/>
    <w:rsid w:val="00F915BA"/>
    <w:rsid w:val="00FB6E62"/>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schemas.microsoft.com/office/infopath/2007/PartnerControls"/>
    <ds:schemaRef ds:uri="http://schemas.microsoft.com/office/2006/documentManagement/types"/>
    <ds:schemaRef ds:uri="http://purl.org/dc/elements/1.1/"/>
    <ds:schemaRef ds:uri="836b82f1-340d-495e-85b5-201c5296619a"/>
    <ds:schemaRef ds:uri="http://purl.org/dc/dcmitype/"/>
    <ds:schemaRef ds:uri="http://purl.org/dc/terms/"/>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978E3FE6-C3C2-4B77-9E51-2B4EC12C6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6147</Words>
  <Characters>35043</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Colleen M. McKiernan</cp:lastModifiedBy>
  <cp:revision>4</cp:revision>
  <cp:lastPrinted>2015-09-22T12:28:00Z</cp:lastPrinted>
  <dcterms:created xsi:type="dcterms:W3CDTF">2015-09-24T23:45:00Z</dcterms:created>
  <dcterms:modified xsi:type="dcterms:W3CDTF">2015-12-10T18:20:00Z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