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E14D6">
            <w:rPr>
              <w:rStyle w:val="Style1"/>
            </w:rPr>
            <w:t>0519</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AE14D6">
            <w:rPr>
              <w:rStyle w:val="Style1"/>
            </w:rPr>
            <w:t>Diabetic Foot Care and Education Implemented</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3-12-06T00:00:00Z">
            <w:dateFormat w:val="M/d/yyyy"/>
            <w:lid w:val="en-US"/>
            <w:storeMappedDataAs w:val="dateTime"/>
            <w:calendar w:val="gregorian"/>
          </w:date>
        </w:sdtPr>
        <w:sdtEndPr>
          <w:rPr>
            <w:rStyle w:val="DefaultParagraphFont"/>
            <w:noProof/>
            <w:color w:val="auto"/>
            <w:u w:val="none"/>
          </w:rPr>
        </w:sdtEndPr>
        <w:sdtContent>
          <w:r w:rsidR="009F0534">
            <w:rPr>
              <w:rStyle w:val="Style2"/>
            </w:rPr>
            <w:t>12/6/2013</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800AE" w:rsidP="005857F8">
      <w:pPr>
        <w:ind w:left="720" w:hanging="432"/>
        <w:rPr>
          <w:rStyle w:val="Style2"/>
          <w:rFonts w:cstheme="minorHAnsi"/>
        </w:rPr>
      </w:pPr>
      <w:sdt>
        <w:sdtPr>
          <w:rPr>
            <w:bCs/>
            <w:color w:val="0000FF"/>
            <w:u w:val="single"/>
          </w:rPr>
          <w:id w:val="1077707841"/>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D800AE" w:rsidP="005857F8">
      <w:pPr>
        <w:ind w:left="720" w:hanging="432"/>
        <w:rPr>
          <w:b/>
          <w:bCs/>
        </w:rPr>
      </w:pPr>
      <w:sdt>
        <w:sdtPr>
          <w:rPr>
            <w:bCs/>
            <w:color w:val="0000FF"/>
          </w:rPr>
          <w:id w:val="-1541041819"/>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D800AE" w:rsidP="005857F8">
      <w:pPr>
        <w:ind w:left="720" w:hanging="432"/>
        <w:rPr>
          <w:bCs/>
        </w:rPr>
      </w:pPr>
      <w:sdt>
        <w:sdtPr>
          <w:rPr>
            <w:bCs/>
            <w:color w:val="0000FF"/>
          </w:rPr>
          <w:id w:val="130951877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800AE" w:rsidP="00015986">
      <w:pPr>
        <w:ind w:left="432" w:hanging="432"/>
        <w:rPr>
          <w:bCs/>
        </w:rPr>
      </w:pPr>
      <w:sdt>
        <w:sdtPr>
          <w:rPr>
            <w:bCs/>
            <w:color w:val="0000FF"/>
          </w:rPr>
          <w:id w:val="-1535727686"/>
        </w:sdtPr>
        <w:sdtEndPr/>
        <w:sdtContent>
          <w:proofErr w:type="gramStart"/>
          <w:r w:rsidR="00930EAB">
            <w:rPr>
              <w:bCs/>
              <w:color w:val="0000FF"/>
            </w:rPr>
            <w:t>x</w:t>
          </w:r>
          <w:proofErr w:type="gramEnd"/>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AE14D6">
            <w:rPr>
              <w:rStyle w:val="Style2"/>
              <w:rFonts w:cstheme="minorHAnsi"/>
            </w:rPr>
            <w:t>Diabetic Foot Care and Education</w:t>
          </w:r>
        </w:sdtContent>
      </w:sdt>
    </w:p>
    <w:p w:rsidR="00496AF8" w:rsidRPr="003B1CC5" w:rsidRDefault="00D800AE" w:rsidP="00015986">
      <w:pPr>
        <w:ind w:left="432" w:hanging="432"/>
        <w:rPr>
          <w:bCs/>
        </w:rPr>
      </w:pPr>
      <w:sdt>
        <w:sdtPr>
          <w:rPr>
            <w:bCs/>
            <w:color w:val="0000FF"/>
          </w:rPr>
          <w:id w:val="1676770628"/>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800AE" w:rsidP="00015986">
      <w:pPr>
        <w:ind w:left="432" w:hanging="432"/>
        <w:rPr>
          <w:bCs/>
        </w:rPr>
      </w:pPr>
      <w:sdt>
        <w:sdtPr>
          <w:rPr>
            <w:bCs/>
            <w:color w:val="0000FF"/>
          </w:rPr>
          <w:id w:val="171940562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proofErr w:type="gramStart"/>
      <w:r w:rsidR="00E41417" w:rsidRPr="003B1CC5">
        <w:rPr>
          <w:bCs/>
        </w:rPr>
        <w:t>O</w:t>
      </w:r>
      <w:r w:rsidR="00496AF8" w:rsidRPr="003B1CC5">
        <w:rPr>
          <w:bCs/>
        </w:rPr>
        <w:t>ther</w:t>
      </w:r>
      <w:proofErr w:type="gramEnd"/>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930EAB" w:rsidRDefault="00201182" w:rsidP="002E2177">
      <w:pPr>
        <w:ind w:left="0" w:firstLine="0"/>
      </w:pPr>
      <w:r w:rsidRPr="00201182">
        <w:t xml:space="preserve">The measure describes a care process, diabetic foot care and </w:t>
      </w:r>
      <w:proofErr w:type="gramStart"/>
      <w:r w:rsidRPr="00201182">
        <w:t>education .</w:t>
      </w:r>
      <w:proofErr w:type="gramEnd"/>
      <w:r w:rsidRPr="00201182">
        <w:t xml:space="preserve"> Appropriate links are process- health outcome. The measure is based on generally accepted standards of care for </w:t>
      </w:r>
      <w:r>
        <w:t>patients with diabetes</w:t>
      </w:r>
      <w:r w:rsidRPr="00201182">
        <w:t xml:space="preserve">. There is a very limited body of research focused on home health care patients and agency processes of care (noted below). However, the processes of care standards are applicable to home health care and performance of the processes of care as recommended in the clinical practice guidelines (as cited below) </w:t>
      </w:r>
      <w:r w:rsidR="00930EAB" w:rsidRPr="00201182">
        <w:t>is expected to influence health outcomes for utilization (fewer acute care visits for both ED use and acute care hospitalizations</w:t>
      </w:r>
      <w:r w:rsidRPr="00201182">
        <w:t xml:space="preserve"> for patients with diabetes</w:t>
      </w:r>
      <w:r>
        <w:t>)</w:t>
      </w:r>
      <w:r w:rsidR="00930EAB" w:rsidRPr="00201182">
        <w:t xml:space="preserve"> and to reduce the development of diabetic foot ulcers (DFUs).</w:t>
      </w:r>
      <w:r w:rsidR="00930EAB">
        <w:t xml:space="preserve"> </w:t>
      </w:r>
    </w:p>
    <w:p w:rsidR="00930EAB" w:rsidRDefault="00201182" w:rsidP="002E2177">
      <w:pPr>
        <w:ind w:left="0" w:firstLine="0"/>
      </w:pPr>
      <w:r>
        <w:t xml:space="preserve"> </w:t>
      </w:r>
    </w:p>
    <w:p w:rsidR="00930EAB" w:rsidRPr="003B1CC5" w:rsidRDefault="00930EAB"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800AE" w:rsidP="002E2177">
      <w:pPr>
        <w:ind w:left="0" w:firstLine="0"/>
      </w:pPr>
      <w:sdt>
        <w:sdtPr>
          <w:rPr>
            <w:bCs/>
            <w:color w:val="0000FF"/>
          </w:rPr>
          <w:id w:val="-468508862"/>
        </w:sdtPr>
        <w:sdtEndPr/>
        <w:sdtContent>
          <w:proofErr w:type="gramStart"/>
          <w:r w:rsidR="00930EAB">
            <w:rPr>
              <w:bCs/>
              <w:color w:val="0000FF"/>
            </w:rPr>
            <w:t>x</w:t>
          </w:r>
          <w:proofErr w:type="gramEnd"/>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800AE" w:rsidP="002E2177">
      <w:pPr>
        <w:ind w:left="0" w:firstLine="0"/>
        <w:rPr>
          <w:b/>
          <w:i/>
        </w:rPr>
      </w:pPr>
      <w:sdt>
        <w:sdtPr>
          <w:rPr>
            <w:bCs/>
            <w:color w:val="0000FF"/>
          </w:rPr>
          <w:id w:val="-411317169"/>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800AE" w:rsidP="002E2177">
      <w:pPr>
        <w:ind w:left="0" w:firstLine="0"/>
      </w:pPr>
      <w:sdt>
        <w:sdtPr>
          <w:rPr>
            <w:bCs/>
            <w:color w:val="0000FF"/>
            <w:u w:val="single"/>
          </w:rPr>
          <w:id w:val="1199589694"/>
        </w:sdtPr>
        <w:sdtEndPr/>
        <w:sdtContent>
          <w:proofErr w:type="gramStart"/>
          <w:r w:rsidR="00930EAB">
            <w:rPr>
              <w:bCs/>
              <w:color w:val="0000FF"/>
              <w:u w:val="single"/>
            </w:rPr>
            <w:t>x</w:t>
          </w:r>
          <w:proofErr w:type="gramEnd"/>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800AE" w:rsidP="002E2177">
      <w:pPr>
        <w:ind w:left="0" w:firstLine="0"/>
      </w:pPr>
      <w:sdt>
        <w:sdtPr>
          <w:rPr>
            <w:bCs/>
            <w:color w:val="0000FF"/>
            <w:u w:val="single"/>
          </w:rPr>
          <w:id w:val="302275832"/>
        </w:sdtPr>
        <w:sdtEndPr/>
        <w:sdtContent>
          <w:r w:rsidR="0015535B" w:rsidRPr="003B1CC5">
            <w:rPr>
              <w:rFonts w:ascii="MS Gothic" w:eastAsia="MS Gothic" w:hAnsi="MS Gothic" w:cs="MS Gothic" w:hint="eastAsia"/>
              <w:bCs/>
              <w:color w:val="0000FF"/>
            </w:rPr>
            <w:t>☐</w:t>
          </w:r>
        </w:sdtContent>
      </w:sdt>
      <w:r w:rsidR="00FD4D82" w:rsidRPr="003B1CC5">
        <w:t xml:space="preserve"> </w:t>
      </w:r>
      <w:proofErr w:type="gramStart"/>
      <w:r w:rsidR="00FD4D82" w:rsidRPr="003B1CC5">
        <w:t>Other</w:t>
      </w:r>
      <w:proofErr w:type="gramEnd"/>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lastRenderedPageBreak/>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930EAB" w:rsidRDefault="00930EAB" w:rsidP="00930EAB">
      <w:pPr>
        <w:spacing w:before="100" w:beforeAutospacing="1" w:after="100" w:afterAutospacing="1"/>
      </w:pPr>
      <w:proofErr w:type="gramStart"/>
      <w:r>
        <w:rPr>
          <w:rStyle w:val="Strong"/>
        </w:rPr>
        <w:t>American Diabetes Association (ADA)</w:t>
      </w:r>
      <w:r>
        <w:t>.</w:t>
      </w:r>
      <w:proofErr w:type="gramEnd"/>
      <w:r>
        <w:t xml:space="preserve"> </w:t>
      </w:r>
      <w:hyperlink r:id="rId15" w:tooltip="Guideline #9812" w:history="1">
        <w:proofErr w:type="gramStart"/>
        <w:r>
          <w:rPr>
            <w:rStyle w:val="Hyperlink"/>
          </w:rPr>
          <w:t>Standards of medical care in diabetes.</w:t>
        </w:r>
        <w:proofErr w:type="gramEnd"/>
        <w:r>
          <w:rPr>
            <w:rStyle w:val="Hyperlink"/>
          </w:rPr>
          <w:t xml:space="preserve"> VI. Prevention and management of diabetes complications</w:t>
        </w:r>
      </w:hyperlink>
      <w:r>
        <w:t>. Diabetes Care 2013 Jan</w:t>
      </w:r>
      <w:proofErr w:type="gramStart"/>
      <w:r>
        <w:t>;36</w:t>
      </w:r>
      <w:proofErr w:type="gramEnd"/>
      <w:r>
        <w:t>(</w:t>
      </w:r>
      <w:proofErr w:type="spellStart"/>
      <w:r>
        <w:t>Suppl</w:t>
      </w:r>
      <w:proofErr w:type="spellEnd"/>
      <w:r>
        <w:t xml:space="preserve"> 1):S28-39.</w:t>
      </w:r>
    </w:p>
    <w:p w:rsidR="00D53405" w:rsidRPr="003B1CC5" w:rsidRDefault="00930EAB" w:rsidP="002E2177">
      <w:pPr>
        <w:ind w:left="0" w:firstLine="0"/>
        <w:rPr>
          <w:rFonts w:cs="Arial"/>
          <w:sz w:val="20"/>
          <w:szCs w:val="20"/>
        </w:rPr>
      </w:pPr>
      <w:r>
        <w:rPr>
          <w:rFonts w:cs="Arial"/>
          <w:sz w:val="20"/>
          <w:szCs w:val="20"/>
        </w:rPr>
        <w:t xml:space="preserve">URL: </w:t>
      </w:r>
      <w:r w:rsidRPr="00930EAB">
        <w:rPr>
          <w:rFonts w:cs="Arial"/>
          <w:sz w:val="20"/>
          <w:szCs w:val="20"/>
        </w:rPr>
        <w:t>http://www.guideline.gov/content.aspx?id=45154&amp;search=diabetic+foot+care</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930EAB" w:rsidRDefault="00930EAB" w:rsidP="00930EAB">
      <w:pPr>
        <w:spacing w:before="100" w:beforeAutospacing="1" w:after="100" w:afterAutospacing="1"/>
      </w:pPr>
      <w:r>
        <w:t>There is a 2013 clinical practice guideline from the American Diabetes Association with one statement about diabetic foot care education:</w:t>
      </w:r>
    </w:p>
    <w:p w:rsidR="00930EAB" w:rsidRDefault="00930EAB" w:rsidP="00930EAB">
      <w:pPr>
        <w:spacing w:before="100" w:beforeAutospacing="1" w:after="100" w:afterAutospacing="1"/>
      </w:pPr>
      <w:r>
        <w:t xml:space="preserve">“Provide general </w:t>
      </w:r>
      <w:r>
        <w:rPr>
          <w:rStyle w:val="fthighlight"/>
        </w:rPr>
        <w:t>foot</w:t>
      </w:r>
      <w:r>
        <w:t xml:space="preserve"> self-</w:t>
      </w:r>
      <w:r>
        <w:rPr>
          <w:rStyle w:val="fthighlight"/>
        </w:rPr>
        <w:t>care</w:t>
      </w:r>
      <w:r>
        <w:t xml:space="preserve"> education to all patients with diabetes. (B)”</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472FB8" w:rsidRDefault="00472FB8" w:rsidP="00930EAB">
      <w:pPr>
        <w:spacing w:before="100" w:beforeAutospacing="1" w:after="100" w:afterAutospacing="1"/>
        <w:rPr>
          <w:rFonts w:eastAsia="Times New Roman"/>
        </w:rPr>
      </w:pPr>
      <w:r>
        <w:rPr>
          <w:rFonts w:eastAsia="Times New Roman"/>
        </w:rPr>
        <w:t>B level evidence</w:t>
      </w:r>
    </w:p>
    <w:p w:rsidR="00930EAB" w:rsidRPr="003B072A" w:rsidRDefault="00930EAB" w:rsidP="00930EAB">
      <w:pPr>
        <w:spacing w:before="100" w:beforeAutospacing="1" w:after="100" w:afterAutospacing="1"/>
        <w:rPr>
          <w:rFonts w:eastAsia="Times New Roman"/>
        </w:rPr>
      </w:pPr>
      <w:r>
        <w:rPr>
          <w:rFonts w:eastAsia="Times New Roman"/>
        </w:rPr>
        <w:t>“</w:t>
      </w:r>
      <w:r w:rsidRPr="003B072A">
        <w:rPr>
          <w:rFonts w:eastAsia="Times New Roman"/>
        </w:rPr>
        <w:t>Supportive evidence from well-conducted cohort studies, including:</w:t>
      </w:r>
    </w:p>
    <w:p w:rsidR="00930EAB" w:rsidRPr="003B072A" w:rsidRDefault="00930EAB" w:rsidP="00930EAB">
      <w:pPr>
        <w:numPr>
          <w:ilvl w:val="0"/>
          <w:numId w:val="9"/>
        </w:numPr>
        <w:spacing w:before="100" w:beforeAutospacing="1" w:after="100" w:afterAutospacing="1"/>
        <w:rPr>
          <w:rFonts w:eastAsia="Times New Roman"/>
        </w:rPr>
      </w:pPr>
      <w:r w:rsidRPr="003B072A">
        <w:rPr>
          <w:rFonts w:eastAsia="Times New Roman"/>
        </w:rPr>
        <w:t xml:space="preserve">Evidence from a well-conducted prospective cohort study or registry </w:t>
      </w:r>
    </w:p>
    <w:p w:rsidR="00930EAB" w:rsidRPr="003B072A" w:rsidRDefault="00930EAB" w:rsidP="00930EAB">
      <w:pPr>
        <w:numPr>
          <w:ilvl w:val="0"/>
          <w:numId w:val="9"/>
        </w:numPr>
        <w:spacing w:before="100" w:beforeAutospacing="1" w:after="100" w:afterAutospacing="1"/>
        <w:rPr>
          <w:rFonts w:eastAsia="Times New Roman"/>
        </w:rPr>
      </w:pPr>
      <w:r w:rsidRPr="003B072A">
        <w:rPr>
          <w:rFonts w:eastAsia="Times New Roman"/>
        </w:rPr>
        <w:t xml:space="preserve">Evidence from a well-conducted meta-analysis of cohort studies </w:t>
      </w:r>
    </w:p>
    <w:p w:rsidR="00930EAB" w:rsidRPr="003B072A" w:rsidRDefault="00930EAB" w:rsidP="00930EAB">
      <w:pPr>
        <w:spacing w:before="100" w:beforeAutospacing="1" w:after="100" w:afterAutospacing="1"/>
        <w:rPr>
          <w:rFonts w:eastAsia="Times New Roman"/>
        </w:rPr>
      </w:pPr>
      <w:r w:rsidRPr="003B072A">
        <w:rPr>
          <w:rFonts w:eastAsia="Times New Roman"/>
        </w:rPr>
        <w:t>Supportive evidence from a well-conducted case-control study</w:t>
      </w:r>
      <w:r>
        <w:rPr>
          <w:rFonts w:eastAsia="Times New Roman"/>
        </w:rPr>
        <w:t>”</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b/>
          <w:bCs/>
          <w:sz w:val="24"/>
          <w:szCs w:val="24"/>
        </w:rPr>
        <w:t>A</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Clear evidence from well-conducted, generalizable randomized controlled trials (RCTs) that are adequately powered, including:</w:t>
      </w:r>
    </w:p>
    <w:p w:rsidR="00930EAB" w:rsidRPr="00930EAB" w:rsidRDefault="00930EAB" w:rsidP="00930EAB">
      <w:pPr>
        <w:numPr>
          <w:ilvl w:val="0"/>
          <w:numId w:val="10"/>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a well-conducted multicenter trial </w:t>
      </w:r>
    </w:p>
    <w:p w:rsidR="00930EAB" w:rsidRPr="00930EAB" w:rsidRDefault="00930EAB" w:rsidP="00930EAB">
      <w:pPr>
        <w:numPr>
          <w:ilvl w:val="0"/>
          <w:numId w:val="10"/>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a meta-analysis that incorporated quality ratings in the analysis </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Compelling </w:t>
      </w:r>
      <w:proofErr w:type="spellStart"/>
      <w:r w:rsidRPr="00930EAB">
        <w:rPr>
          <w:rFonts w:ascii="Times New Roman" w:eastAsia="Times New Roman" w:hAnsi="Times New Roman" w:cs="Times New Roman"/>
          <w:sz w:val="24"/>
          <w:szCs w:val="24"/>
        </w:rPr>
        <w:t>nonexperimental</w:t>
      </w:r>
      <w:proofErr w:type="spellEnd"/>
      <w:r w:rsidRPr="00930EAB">
        <w:rPr>
          <w:rFonts w:ascii="Times New Roman" w:eastAsia="Times New Roman" w:hAnsi="Times New Roman" w:cs="Times New Roman"/>
          <w:sz w:val="24"/>
          <w:szCs w:val="24"/>
        </w:rPr>
        <w:t xml:space="preserve"> evidence (i.e., "all or none" rule developed by the Centre for Evidence-Based Medicine at Oxford)</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Supportive evidence from well-conducted RCTs that are adequately powered, including:</w:t>
      </w:r>
    </w:p>
    <w:p w:rsidR="00930EAB" w:rsidRPr="00930EAB" w:rsidRDefault="00930EAB" w:rsidP="00930EAB">
      <w:pPr>
        <w:numPr>
          <w:ilvl w:val="0"/>
          <w:numId w:val="11"/>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a well-conducted trial at one or more institutions </w:t>
      </w:r>
    </w:p>
    <w:p w:rsidR="00930EAB" w:rsidRPr="00930EAB" w:rsidRDefault="00930EAB" w:rsidP="00930EAB">
      <w:pPr>
        <w:numPr>
          <w:ilvl w:val="0"/>
          <w:numId w:val="11"/>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a meta-analysis that incorporated quality ratings in the analysis </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b/>
          <w:bCs/>
          <w:sz w:val="24"/>
          <w:szCs w:val="24"/>
        </w:rPr>
        <w:t>B</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Supportive evidence from well-conducted cohort studies, including:</w:t>
      </w:r>
    </w:p>
    <w:p w:rsidR="00930EAB" w:rsidRPr="00930EAB" w:rsidRDefault="00930EAB" w:rsidP="00930EAB">
      <w:pPr>
        <w:numPr>
          <w:ilvl w:val="0"/>
          <w:numId w:val="12"/>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a well-conducted prospective cohort study or registry </w:t>
      </w:r>
    </w:p>
    <w:p w:rsidR="00930EAB" w:rsidRPr="00930EAB" w:rsidRDefault="00930EAB" w:rsidP="00930EAB">
      <w:pPr>
        <w:numPr>
          <w:ilvl w:val="0"/>
          <w:numId w:val="12"/>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a well-conducted meta-analysis of cohort studies </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Supportive evidence from a well-conducted case-control study</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b/>
          <w:bCs/>
          <w:sz w:val="24"/>
          <w:szCs w:val="24"/>
        </w:rPr>
        <w:t>C</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Supportive evidence from poorly controlled or uncontrolled studies, including:</w:t>
      </w:r>
    </w:p>
    <w:p w:rsidR="00930EAB" w:rsidRPr="00930EAB" w:rsidRDefault="00930EAB" w:rsidP="00930EAB">
      <w:pPr>
        <w:numPr>
          <w:ilvl w:val="0"/>
          <w:numId w:val="13"/>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RCTs with one or more major or three or more minor methodological flaws that could invalidate the results </w:t>
      </w:r>
    </w:p>
    <w:p w:rsidR="00930EAB" w:rsidRPr="00930EAB" w:rsidRDefault="00930EAB" w:rsidP="00930EAB">
      <w:pPr>
        <w:numPr>
          <w:ilvl w:val="0"/>
          <w:numId w:val="13"/>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observational studies with high potential for bias (such as case series with comparison to historical controls) </w:t>
      </w:r>
    </w:p>
    <w:p w:rsidR="00930EAB" w:rsidRPr="00930EAB" w:rsidRDefault="00930EAB" w:rsidP="00930EAB">
      <w:pPr>
        <w:numPr>
          <w:ilvl w:val="0"/>
          <w:numId w:val="13"/>
        </w:numPr>
        <w:spacing w:before="100" w:beforeAutospacing="1" w:after="100" w:afterAutospacing="1"/>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 xml:space="preserve">Evidence from case series or case reports </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Conflicting evidence with the weight of evidence supporting the recommendation</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b/>
          <w:bCs/>
          <w:sz w:val="24"/>
          <w:szCs w:val="24"/>
        </w:rPr>
        <w:t>E</w:t>
      </w:r>
    </w:p>
    <w:p w:rsidR="00930EAB" w:rsidRPr="00930EAB" w:rsidRDefault="00930EAB" w:rsidP="00930EAB">
      <w:pPr>
        <w:spacing w:before="100" w:beforeAutospacing="1" w:after="100" w:afterAutospacing="1"/>
        <w:ind w:left="0" w:firstLine="0"/>
        <w:rPr>
          <w:rFonts w:ascii="Times New Roman" w:eastAsia="Times New Roman" w:hAnsi="Times New Roman" w:cs="Times New Roman"/>
          <w:sz w:val="24"/>
          <w:szCs w:val="24"/>
        </w:rPr>
      </w:pPr>
      <w:r w:rsidRPr="00930EAB">
        <w:rPr>
          <w:rFonts w:ascii="Times New Roman" w:eastAsia="Times New Roman" w:hAnsi="Times New Roman" w:cs="Times New Roman"/>
          <w:sz w:val="24"/>
          <w:szCs w:val="24"/>
        </w:rPr>
        <w:t>Expert consensus or clinical experience</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800AE" w:rsidP="00FC32D3">
      <w:pPr>
        <w:ind w:left="720" w:hanging="432"/>
        <w:rPr>
          <w:b/>
        </w:rPr>
      </w:pPr>
      <w:sdt>
        <w:sdtPr>
          <w:rPr>
            <w:bCs/>
            <w:color w:val="0000FF"/>
          </w:rPr>
          <w:id w:val="-1346319738"/>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800AE" w:rsidP="0098657F">
      <w:pPr>
        <w:ind w:left="1008" w:hanging="720"/>
      </w:pPr>
      <w:sdt>
        <w:sdtPr>
          <w:rPr>
            <w:bCs/>
            <w:color w:val="0000FF"/>
            <w:u w:val="single"/>
          </w:rPr>
          <w:id w:val="777454248"/>
        </w:sdtPr>
        <w:sdtEndPr/>
        <w:sdtContent>
          <w:proofErr w:type="gramStart"/>
          <w:r w:rsidR="00930EAB">
            <w:rPr>
              <w:bCs/>
              <w:color w:val="0000FF"/>
              <w:u w:val="single"/>
            </w:rPr>
            <w:t>x</w:t>
          </w:r>
          <w:proofErr w:type="gramEnd"/>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472FB8" w:rsidRDefault="00EE5AF6" w:rsidP="00472FB8">
      <w:pPr>
        <w:tabs>
          <w:tab w:val="right" w:pos="360"/>
          <w:tab w:val="left" w:pos="540"/>
        </w:tabs>
        <w:ind w:left="540" w:hanging="540"/>
        <w:rPr>
          <w:noProof/>
        </w:rPr>
      </w:pPr>
      <w:r w:rsidRPr="003B1CC5">
        <w:t xml:space="preserve"> </w:t>
      </w:r>
      <w:r w:rsidR="00472FB8">
        <w:rPr>
          <w:noProof/>
        </w:rPr>
        <w:t xml:space="preserve"> </w:t>
      </w:r>
      <w:r w:rsidR="00472FB8">
        <w:rPr>
          <w:noProof/>
        </w:rPr>
        <w:tab/>
        <w:t xml:space="preserve">Dorresteijn JA, Kriegsman DM, Assendelft WJ, Valk GD. Patient education for preventing diabetic foot ulceration. </w:t>
      </w:r>
      <w:r w:rsidR="00472FB8" w:rsidRPr="00BA7D94">
        <w:rPr>
          <w:i/>
          <w:noProof/>
        </w:rPr>
        <w:t>Cochrane Database Syst Rev</w:t>
      </w:r>
      <w:r w:rsidR="00472FB8">
        <w:rPr>
          <w:noProof/>
        </w:rPr>
        <w:t xml:space="preserve"> 2012;10:CD001488.</w:t>
      </w:r>
    </w:p>
    <w:p w:rsidR="00EE5AF6" w:rsidRPr="003B1CC5" w:rsidRDefault="00EE5AF6" w:rsidP="00EE5AF6">
      <w:pPr>
        <w:ind w:left="0" w:firstLine="0"/>
      </w:pP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472FB8" w:rsidRDefault="00ED3501" w:rsidP="00472FB8">
      <w:pPr>
        <w:pStyle w:val="NormalWeb"/>
      </w:pPr>
      <w:r>
        <w:t>“</w:t>
      </w:r>
      <w:r w:rsidR="00472FB8">
        <w:t xml:space="preserve">Of the 12 RCTs included, the effect of patient education on primary end points was reported in only five. Pooling of outcome data was precluded by marked, mainly clinical, heterogeneity. One of the RCTs showed reduced incidence of foot ulceration (risk ratio (RR) 0.31, 95% confidence interval (CI) 0.14 to 0.66) and amputation (RR 0.33, 95% CI 0.15 to 0.76) during one-year follow-up of diabetes patients at high risk of foot ulceration after a one-hour group education session. However, one similar study, with lower risk of bias, did not confirm this finding (RR amputation 0.98, 95% CI 0.41 to 2.34; RR ulceration 1.00, 95% CI 0.70 to 1.44). Three other studies, also did not demonstrate any effect of education on the primary end points, but were most likely underpowered. Patients' foot care knowledge was improved in the short term in five of eight RCTs in which this outcome was assessed, as was patients' self-reported self-care </w:t>
      </w:r>
      <w:proofErr w:type="spellStart"/>
      <w:r w:rsidR="00472FB8">
        <w:t>behaviour</w:t>
      </w:r>
      <w:proofErr w:type="spellEnd"/>
      <w:r w:rsidR="00472FB8">
        <w:t xml:space="preserve"> in the short term in seven of nine RCTs. Callus, nail problems and fungal infections improved in only one of five RCTs. Only one of the included RCTs was at low risk of bias.</w:t>
      </w:r>
      <w:r>
        <w:t>”</w:t>
      </w:r>
    </w:p>
    <w:p w:rsidR="00472FB8" w:rsidRDefault="00472FB8"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472FB8" w:rsidRDefault="00472FB8" w:rsidP="00EE5AF6">
      <w:pPr>
        <w:ind w:left="0" w:firstLine="0"/>
      </w:pPr>
    </w:p>
    <w:p w:rsidR="00472FB8" w:rsidRPr="003B1CC5" w:rsidRDefault="00472FB8" w:rsidP="00EE5AF6">
      <w:pPr>
        <w:ind w:left="0" w:firstLine="0"/>
      </w:pPr>
      <w:proofErr w:type="gramStart"/>
      <w:r>
        <w:t>“To assess the effects of patient education on the prevention of foot ulcers in patients with diabetes mellitus.”</w:t>
      </w:r>
      <w:proofErr w:type="gramEnd"/>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095EC9" w:rsidP="00EA79C9">
      <w:pPr>
        <w:ind w:left="0" w:firstLine="0"/>
      </w:pPr>
    </w:p>
    <w:p w:rsidR="00472FB8" w:rsidRDefault="00472FB8" w:rsidP="00EA79C9">
      <w:pPr>
        <w:ind w:left="0" w:firstLine="0"/>
      </w:pPr>
      <w:r>
        <w:t>Not reported</w:t>
      </w:r>
    </w:p>
    <w:p w:rsidR="00472FB8" w:rsidRPr="003B1CC5" w:rsidRDefault="00472FB8"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Default="00472FB8" w:rsidP="002E2177">
      <w:pPr>
        <w:ind w:left="0" w:firstLine="0"/>
      </w:pPr>
      <w:r>
        <w:t xml:space="preserve">“Eligible studies were identified by searching The </w:t>
      </w:r>
      <w:r>
        <w:rPr>
          <w:rStyle w:val="highlight"/>
        </w:rPr>
        <w:t>Cochrane</w:t>
      </w:r>
      <w:r>
        <w:t xml:space="preserve"> Wounds Group </w:t>
      </w:r>
      <w:proofErr w:type="spellStart"/>
      <w:r>
        <w:t>Specialised</w:t>
      </w:r>
      <w:proofErr w:type="spellEnd"/>
      <w:r>
        <w:t xml:space="preserve"> Register (searched 1 August 2012); The </w:t>
      </w:r>
      <w:r>
        <w:rPr>
          <w:rStyle w:val="highlight"/>
        </w:rPr>
        <w:t>Cochrane</w:t>
      </w:r>
      <w:r>
        <w:t xml:space="preserve"> Central Register of Controlled Trials (CENTRAL) (The </w:t>
      </w:r>
      <w:r>
        <w:rPr>
          <w:rStyle w:val="highlight"/>
        </w:rPr>
        <w:t>Cochrane</w:t>
      </w:r>
      <w:r>
        <w:t xml:space="preserve"> Library 2012, Issue 7); Ovid MEDLINE (2009 to July Week 3 2012); Ovid MEDLINE (In-Process &amp; Other Non-Indexed Citations, July 31, 2012); Ovid EMBASE (2009 to 2012 Week 30); and EBSCO CINAHL (2009 to 26 July 2012).”</w:t>
      </w:r>
    </w:p>
    <w:p w:rsidR="00472FB8" w:rsidRPr="003B1CC5" w:rsidRDefault="00472FB8"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472FB8" w:rsidP="002E2177">
      <w:pPr>
        <w:ind w:left="0" w:firstLine="0"/>
      </w:pPr>
      <w:r>
        <w:t>12 RCTs</w:t>
      </w:r>
    </w:p>
    <w:p w:rsidR="00472FB8" w:rsidRPr="003B1CC5" w:rsidRDefault="00472FB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472FB8" w:rsidRDefault="00472FB8" w:rsidP="00472FB8">
      <w:pPr>
        <w:pStyle w:val="NormalWeb"/>
      </w:pPr>
      <w:r>
        <w:t xml:space="preserve">“In some trials, foot care knowledge and </w:t>
      </w:r>
      <w:proofErr w:type="spellStart"/>
      <w:r>
        <w:t>self reported</w:t>
      </w:r>
      <w:proofErr w:type="spellEnd"/>
      <w:r>
        <w:t xml:space="preserve"> patient </w:t>
      </w:r>
      <w:proofErr w:type="spellStart"/>
      <w:r>
        <w:t>behaviour</w:t>
      </w:r>
      <w:proofErr w:type="spellEnd"/>
      <w:r>
        <w:t xml:space="preserve"> seem to be positively influenced by education in the short term. Yet, based on the only two sufficiently powered studies reporting the effect of patient education on primary end points, we conclude that there is insufficient robust evidence that limited patient education alone is effective in achieving clinically relevant reductions in ulcer and amputation incidence.”</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Default="00496AF8" w:rsidP="002E2177">
      <w:pPr>
        <w:ind w:left="0" w:firstLine="0"/>
      </w:pPr>
    </w:p>
    <w:p w:rsidR="00472FB8" w:rsidRPr="003B1CC5" w:rsidRDefault="00472FB8" w:rsidP="002E2177">
      <w:pPr>
        <w:ind w:left="0" w:firstLine="0"/>
      </w:pPr>
      <w:r>
        <w:t xml:space="preserve">No estimate of benefit can be made as the evidence is inconclusive. </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Default="00496AF8" w:rsidP="002E2177">
      <w:pPr>
        <w:ind w:left="0" w:firstLine="0"/>
      </w:pPr>
    </w:p>
    <w:p w:rsidR="00472FB8" w:rsidRPr="003B1CC5" w:rsidRDefault="00472FB8" w:rsidP="002E2177">
      <w:pPr>
        <w:ind w:left="0" w:firstLine="0"/>
      </w:pPr>
      <w:r>
        <w:t xml:space="preserve">No harms identified in either the CPG or Cochrane review. </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Pr="003B1CC5" w:rsidRDefault="0083712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BD1470" w:rsidRDefault="00BD1470" w:rsidP="002E2177">
      <w:pPr>
        <w:ind w:left="0" w:firstLine="0"/>
        <w:rPr>
          <w:b/>
        </w:rPr>
      </w:pPr>
    </w:p>
    <w:p w:rsidR="00BD1470" w:rsidRDefault="00BD1470" w:rsidP="002E2177">
      <w:pPr>
        <w:ind w:left="0" w:firstLine="0"/>
        <w:rPr>
          <w:b/>
        </w:rPr>
      </w:pPr>
    </w:p>
    <w:p w:rsidR="00BD1470" w:rsidRDefault="00BD1470" w:rsidP="00BD1470">
      <w:pPr>
        <w:ind w:left="0" w:firstLine="0"/>
        <w:rPr>
          <w:rFonts w:ascii="Calibri" w:hAnsi="Calibri" w:cs="Times New Roman"/>
          <w:b/>
          <w:sz w:val="28"/>
        </w:rPr>
      </w:pPr>
      <w:r w:rsidRPr="00BD1470">
        <w:rPr>
          <w:rFonts w:ascii="Calibri" w:hAnsi="Calibri" w:cs="Times New Roman"/>
          <w:b/>
          <w:sz w:val="28"/>
        </w:rPr>
        <w:t xml:space="preserve">ADDENDUM </w:t>
      </w:r>
      <w:r>
        <w:rPr>
          <w:rFonts w:ascii="Calibri" w:hAnsi="Calibri" w:cs="Times New Roman"/>
          <w:b/>
          <w:sz w:val="28"/>
        </w:rPr>
        <w:t>–</w:t>
      </w:r>
      <w:r w:rsidRPr="00BD1470">
        <w:rPr>
          <w:rFonts w:ascii="Calibri" w:hAnsi="Calibri" w:cs="Times New Roman"/>
          <w:b/>
          <w:sz w:val="28"/>
        </w:rPr>
        <w:t xml:space="preserve"> </w:t>
      </w:r>
      <w:r>
        <w:rPr>
          <w:rFonts w:ascii="Calibri" w:hAnsi="Calibri" w:cs="Times New Roman"/>
          <w:b/>
          <w:sz w:val="28"/>
        </w:rPr>
        <w:t>Opportunity for Improvement</w:t>
      </w:r>
      <w:r w:rsidR="004D4F90">
        <w:rPr>
          <w:rFonts w:ascii="Calibri" w:hAnsi="Calibri" w:cs="Times New Roman"/>
          <w:b/>
          <w:sz w:val="28"/>
        </w:rPr>
        <w:t xml:space="preserve"> </w:t>
      </w:r>
    </w:p>
    <w:p w:rsidR="00BD1470" w:rsidRPr="00BD1470" w:rsidRDefault="00BD1470" w:rsidP="00BD1470">
      <w:pPr>
        <w:ind w:left="0" w:firstLine="0"/>
        <w:rPr>
          <w:rFonts w:ascii="Calibri" w:hAnsi="Calibri" w:cs="Times New Roman"/>
          <w:b/>
          <w:sz w:val="28"/>
        </w:rPr>
      </w:pPr>
    </w:p>
    <w:p w:rsidR="00BD1470" w:rsidRPr="00BD1470" w:rsidRDefault="00BD1470" w:rsidP="00BD1470">
      <w:pPr>
        <w:ind w:left="0" w:firstLine="0"/>
        <w:rPr>
          <w:rFonts w:ascii="Calibri" w:hAnsi="Calibri" w:cs="Times New Roman"/>
        </w:rPr>
      </w:pPr>
      <w:r w:rsidRPr="00BD1470">
        <w:rPr>
          <w:rFonts w:ascii="Calibri" w:hAnsi="Calibri" w:cs="Times New Roman"/>
        </w:rPr>
        <w:t>1b.2. Summary of Data Demonstrating Performance Gap (Descriptive statistics for performance results for this measure - distribution of scores for measured entities by quartile/decile, mean, median, SD, min, max, etc.)</w:t>
      </w:r>
    </w:p>
    <w:p w:rsidR="00BD1470" w:rsidRPr="00BD1470" w:rsidRDefault="00BD1470" w:rsidP="00BD1470">
      <w:pPr>
        <w:ind w:left="0" w:firstLine="0"/>
        <w:jc w:val="center"/>
        <w:rPr>
          <w:rFonts w:ascii="Calibri" w:hAnsi="Calibri" w:cs="Times New Roman"/>
          <w:b/>
          <w:i/>
          <w:sz w:val="20"/>
          <w:szCs w:val="20"/>
        </w:rPr>
      </w:pPr>
      <w:r w:rsidRPr="00BD1470">
        <w:rPr>
          <w:rFonts w:ascii="Calibri" w:hAnsi="Calibri" w:cs="Times New Roman"/>
          <w:b/>
          <w:sz w:val="20"/>
          <w:szCs w:val="20"/>
        </w:rPr>
        <w:t xml:space="preserve">Agency-Level Statistics: </w:t>
      </w:r>
      <w:r w:rsidRPr="00BD1470">
        <w:rPr>
          <w:rFonts w:ascii="Calibri" w:hAnsi="Calibri" w:cs="Times New Roman"/>
          <w:b/>
          <w:i/>
          <w:sz w:val="20"/>
          <w:szCs w:val="20"/>
        </w:rPr>
        <w:t>Diabetic Foot Care &amp; Patient Education Plan Implemented During All Episodes of Care</w:t>
      </w:r>
    </w:p>
    <w:p w:rsidR="00BD1470" w:rsidRPr="00BD1470" w:rsidRDefault="00BD1470" w:rsidP="00BD1470">
      <w:pPr>
        <w:ind w:left="0" w:firstLine="0"/>
        <w:jc w:val="center"/>
        <w:rPr>
          <w:rFonts w:ascii="Calibri" w:hAnsi="Calibri" w:cs="Times New Roman"/>
          <w:b/>
          <w:i/>
          <w:sz w:val="20"/>
          <w:szCs w:val="20"/>
        </w:rPr>
      </w:pPr>
    </w:p>
    <w:tbl>
      <w:tblPr>
        <w:tblW w:w="10068" w:type="dxa"/>
        <w:jc w:val="center"/>
        <w:tblInd w:w="833" w:type="dxa"/>
        <w:tblLook w:val="04A0" w:firstRow="1" w:lastRow="0" w:firstColumn="1" w:lastColumn="0" w:noHBand="0" w:noVBand="1"/>
      </w:tblPr>
      <w:tblGrid>
        <w:gridCol w:w="1131"/>
        <w:gridCol w:w="1036"/>
        <w:gridCol w:w="863"/>
        <w:gridCol w:w="816"/>
        <w:gridCol w:w="1140"/>
        <w:gridCol w:w="573"/>
        <w:gridCol w:w="708"/>
        <w:gridCol w:w="708"/>
        <w:gridCol w:w="708"/>
        <w:gridCol w:w="842"/>
        <w:gridCol w:w="842"/>
        <w:gridCol w:w="842"/>
      </w:tblGrid>
      <w:tr w:rsidR="00BD1470" w:rsidRPr="00BD1470" w:rsidTr="00811FB8">
        <w:trPr>
          <w:trHeight w:val="409"/>
          <w:jc w:val="center"/>
        </w:trPr>
        <w:tc>
          <w:tcPr>
            <w:tcW w:w="990" w:type="dxa"/>
            <w:vMerge w:val="restart"/>
            <w:tcBorders>
              <w:top w:val="single" w:sz="4" w:space="0" w:color="auto"/>
              <w:left w:val="single" w:sz="4" w:space="0" w:color="auto"/>
              <w:bottom w:val="single" w:sz="4" w:space="0" w:color="000000"/>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sz w:val="16"/>
                <w:szCs w:val="16"/>
              </w:rPr>
            </w:pPr>
            <w:r w:rsidRPr="00BD1470">
              <w:rPr>
                <w:rFonts w:ascii="Calibri" w:eastAsia="Times New Roman" w:hAnsi="Calibri" w:cs="Times New Roman"/>
                <w:b/>
                <w:sz w:val="16"/>
                <w:szCs w:val="16"/>
              </w:rPr>
              <w:t>Specificati</w:t>
            </w:r>
            <w:r w:rsidRPr="00BD1470">
              <w:rPr>
                <w:rFonts w:ascii="Calibri" w:eastAsia="Times New Roman" w:hAnsi="Calibri" w:cs="Times New Roman"/>
                <w:b/>
                <w:sz w:val="16"/>
                <w:szCs w:val="16"/>
                <w:shd w:val="clear" w:color="auto" w:fill="CDECFF"/>
              </w:rPr>
              <w:t>o</w:t>
            </w:r>
            <w:r w:rsidRPr="00BD1470">
              <w:rPr>
                <w:rFonts w:ascii="Calibri" w:eastAsia="Times New Roman" w:hAnsi="Calibri" w:cs="Times New Roman"/>
                <w:b/>
                <w:sz w:val="16"/>
                <w:szCs w:val="16"/>
              </w:rPr>
              <w:t>ns</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Year Range</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Number of Agencies</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Agency Average</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D800AE">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 xml:space="preserve">Average # of Valid </w:t>
            </w:r>
            <w:r w:rsidR="00D800AE">
              <w:rPr>
                <w:rFonts w:ascii="Calibri" w:eastAsia="Times New Roman" w:hAnsi="Calibri" w:cs="Times New Roman"/>
                <w:b/>
                <w:bCs/>
                <w:sz w:val="16"/>
                <w:szCs w:val="16"/>
              </w:rPr>
              <w:t>Episodes</w:t>
            </w:r>
            <w:r w:rsidR="00D800AE" w:rsidRPr="00BD1470">
              <w:rPr>
                <w:rFonts w:ascii="Calibri" w:eastAsia="Times New Roman" w:hAnsi="Calibri" w:cs="Times New Roman"/>
                <w:b/>
                <w:bCs/>
                <w:sz w:val="16"/>
                <w:szCs w:val="16"/>
              </w:rPr>
              <w:t xml:space="preserve"> </w:t>
            </w:r>
            <w:r w:rsidRPr="00BD1470">
              <w:rPr>
                <w:rFonts w:ascii="Calibri" w:eastAsia="Times New Roman" w:hAnsi="Calibri" w:cs="Times New Roman"/>
                <w:b/>
                <w:bCs/>
                <w:sz w:val="16"/>
                <w:szCs w:val="16"/>
              </w:rPr>
              <w:t>per Agency</w:t>
            </w:r>
          </w:p>
        </w:tc>
        <w:tc>
          <w:tcPr>
            <w:tcW w:w="5223" w:type="dxa"/>
            <w:gridSpan w:val="7"/>
            <w:tcBorders>
              <w:top w:val="single" w:sz="4" w:space="0" w:color="auto"/>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Percentile</w:t>
            </w:r>
          </w:p>
        </w:tc>
      </w:tr>
      <w:tr w:rsidR="00BD1470" w:rsidRPr="00BD1470" w:rsidTr="00811FB8">
        <w:trPr>
          <w:trHeight w:val="409"/>
          <w:jc w:val="center"/>
        </w:trPr>
        <w:tc>
          <w:tcPr>
            <w:tcW w:w="990" w:type="dxa"/>
            <w:vMerge/>
            <w:tcBorders>
              <w:top w:val="single" w:sz="4" w:space="0" w:color="auto"/>
              <w:left w:val="single" w:sz="4" w:space="0" w:color="auto"/>
              <w:bottom w:val="single" w:sz="4" w:space="0" w:color="000000"/>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sz w:val="16"/>
                <w:szCs w:val="16"/>
              </w:rPr>
            </w:pPr>
          </w:p>
        </w:tc>
        <w:tc>
          <w:tcPr>
            <w:tcW w:w="1036"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p>
        </w:tc>
        <w:tc>
          <w:tcPr>
            <w:tcW w:w="863"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p>
        </w:tc>
        <w:tc>
          <w:tcPr>
            <w:tcW w:w="816"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p>
        </w:tc>
        <w:tc>
          <w:tcPr>
            <w:tcW w:w="1140"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p>
        </w:tc>
        <w:tc>
          <w:tcPr>
            <w:tcW w:w="573"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min</w:t>
            </w:r>
          </w:p>
        </w:tc>
        <w:tc>
          <w:tcPr>
            <w:tcW w:w="708"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p10</w:t>
            </w:r>
          </w:p>
        </w:tc>
        <w:tc>
          <w:tcPr>
            <w:tcW w:w="708"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p25</w:t>
            </w:r>
          </w:p>
        </w:tc>
        <w:tc>
          <w:tcPr>
            <w:tcW w:w="708"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p50</w:t>
            </w:r>
          </w:p>
        </w:tc>
        <w:tc>
          <w:tcPr>
            <w:tcW w:w="842"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p75</w:t>
            </w:r>
          </w:p>
        </w:tc>
        <w:tc>
          <w:tcPr>
            <w:tcW w:w="842"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p90</w:t>
            </w:r>
          </w:p>
        </w:tc>
        <w:tc>
          <w:tcPr>
            <w:tcW w:w="842" w:type="dxa"/>
            <w:tcBorders>
              <w:top w:val="nil"/>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sz w:val="16"/>
                <w:szCs w:val="16"/>
              </w:rPr>
            </w:pPr>
            <w:r w:rsidRPr="00BD1470">
              <w:rPr>
                <w:rFonts w:ascii="Calibri" w:eastAsia="Times New Roman" w:hAnsi="Calibri" w:cs="Times New Roman"/>
                <w:b/>
                <w:bCs/>
                <w:sz w:val="16"/>
                <w:szCs w:val="16"/>
              </w:rPr>
              <w:t>max</w:t>
            </w:r>
          </w:p>
        </w:tc>
      </w:tr>
      <w:tr w:rsidR="00BD1470" w:rsidRPr="00BD1470" w:rsidTr="00811FB8">
        <w:trPr>
          <w:trHeight w:val="314"/>
          <w:jc w:val="center"/>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All Agencies</w:t>
            </w:r>
          </w:p>
        </w:tc>
        <w:tc>
          <w:tcPr>
            <w:tcW w:w="103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July 2010 - June 2011</w:t>
            </w:r>
          </w:p>
        </w:tc>
        <w:tc>
          <w:tcPr>
            <w:tcW w:w="86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11,455</w:t>
            </w:r>
          </w:p>
        </w:tc>
        <w:tc>
          <w:tcPr>
            <w:tcW w:w="81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87.4%</w:t>
            </w:r>
          </w:p>
        </w:tc>
        <w:tc>
          <w:tcPr>
            <w:tcW w:w="1140"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148.9</w:t>
            </w:r>
          </w:p>
        </w:tc>
        <w:tc>
          <w:tcPr>
            <w:tcW w:w="57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0.0%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67.7%</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84.2%</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93.8%</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99.1%</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r>
      <w:tr w:rsidR="00BD1470" w:rsidRPr="00BD1470" w:rsidTr="00811FB8">
        <w:trPr>
          <w:trHeight w:val="314"/>
          <w:jc w:val="center"/>
        </w:trPr>
        <w:tc>
          <w:tcPr>
            <w:tcW w:w="990" w:type="dxa"/>
            <w:vMerge/>
            <w:tcBorders>
              <w:top w:val="nil"/>
              <w:left w:val="single" w:sz="4" w:space="0" w:color="auto"/>
              <w:bottom w:val="single" w:sz="4" w:space="0" w:color="auto"/>
              <w:right w:val="single" w:sz="4" w:space="0" w:color="auto"/>
            </w:tcBorders>
            <w:vAlign w:val="center"/>
            <w:hideMark/>
          </w:tcPr>
          <w:p w:rsidR="00BD1470" w:rsidRPr="00BD1470" w:rsidRDefault="00BD1470" w:rsidP="00BD1470">
            <w:pPr>
              <w:ind w:left="0" w:firstLine="0"/>
              <w:jc w:val="center"/>
              <w:rPr>
                <w:rFonts w:ascii="Calibri" w:eastAsia="Times New Roman" w:hAnsi="Calibri" w:cs="Times New Roman"/>
                <w:sz w:val="16"/>
                <w:szCs w:val="16"/>
              </w:rPr>
            </w:pPr>
          </w:p>
        </w:tc>
        <w:tc>
          <w:tcPr>
            <w:tcW w:w="103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July 2011 - June 2012</w:t>
            </w:r>
          </w:p>
        </w:tc>
        <w:tc>
          <w:tcPr>
            <w:tcW w:w="86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11,869</w:t>
            </w:r>
          </w:p>
        </w:tc>
        <w:tc>
          <w:tcPr>
            <w:tcW w:w="81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90.0%</w:t>
            </w:r>
          </w:p>
        </w:tc>
        <w:tc>
          <w:tcPr>
            <w:tcW w:w="1140"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145.7</w:t>
            </w:r>
          </w:p>
        </w:tc>
        <w:tc>
          <w:tcPr>
            <w:tcW w:w="57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0.0%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75.0%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88.6%</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96.2%</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r>
      <w:tr w:rsidR="00BD1470" w:rsidRPr="00BD1470" w:rsidTr="00811FB8">
        <w:trPr>
          <w:trHeight w:val="314"/>
          <w:jc w:val="center"/>
        </w:trPr>
        <w:tc>
          <w:tcPr>
            <w:tcW w:w="990" w:type="dxa"/>
            <w:vMerge/>
            <w:tcBorders>
              <w:top w:val="nil"/>
              <w:left w:val="single" w:sz="4" w:space="0" w:color="auto"/>
              <w:bottom w:val="single" w:sz="4" w:space="0" w:color="auto"/>
              <w:right w:val="single" w:sz="4" w:space="0" w:color="auto"/>
            </w:tcBorders>
            <w:vAlign w:val="center"/>
            <w:hideMark/>
          </w:tcPr>
          <w:p w:rsidR="00BD1470" w:rsidRPr="00BD1470" w:rsidRDefault="00BD1470" w:rsidP="00BD1470">
            <w:pPr>
              <w:ind w:left="0" w:firstLine="0"/>
              <w:jc w:val="center"/>
              <w:rPr>
                <w:rFonts w:ascii="Calibri" w:eastAsia="Times New Roman" w:hAnsi="Calibri" w:cs="Times New Roman"/>
                <w:sz w:val="16"/>
                <w:szCs w:val="16"/>
              </w:rPr>
            </w:pPr>
          </w:p>
        </w:tc>
        <w:tc>
          <w:tcPr>
            <w:tcW w:w="103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July 2012 - June 2013</w:t>
            </w:r>
          </w:p>
        </w:tc>
        <w:tc>
          <w:tcPr>
            <w:tcW w:w="86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11,849</w:t>
            </w:r>
          </w:p>
        </w:tc>
        <w:tc>
          <w:tcPr>
            <w:tcW w:w="81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91.7%</w:t>
            </w:r>
          </w:p>
        </w:tc>
        <w:tc>
          <w:tcPr>
            <w:tcW w:w="1140"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139.7</w:t>
            </w:r>
          </w:p>
        </w:tc>
        <w:tc>
          <w:tcPr>
            <w:tcW w:w="57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0.0%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78.8%</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91.3%</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97.4%</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r>
      <w:tr w:rsidR="00BD1470" w:rsidRPr="00BD1470" w:rsidTr="00811FB8">
        <w:trPr>
          <w:trHeight w:val="314"/>
          <w:jc w:val="center"/>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BD1470" w:rsidRPr="00BD1470" w:rsidRDefault="00BD1470" w:rsidP="00D800AE">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 xml:space="preserve">Agencies with &gt;=20 Valid </w:t>
            </w:r>
            <w:r w:rsidR="00D800AE">
              <w:rPr>
                <w:rFonts w:ascii="Calibri" w:eastAsia="Times New Roman" w:hAnsi="Calibri" w:cs="Times New Roman"/>
                <w:sz w:val="16"/>
                <w:szCs w:val="16"/>
              </w:rPr>
              <w:t>Episodes</w:t>
            </w:r>
          </w:p>
        </w:tc>
        <w:tc>
          <w:tcPr>
            <w:tcW w:w="103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July 2010 - June 2011</w:t>
            </w:r>
          </w:p>
        </w:tc>
        <w:tc>
          <w:tcPr>
            <w:tcW w:w="86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8,403</w:t>
            </w:r>
          </w:p>
        </w:tc>
        <w:tc>
          <w:tcPr>
            <w:tcW w:w="81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89.1%</w:t>
            </w:r>
          </w:p>
        </w:tc>
        <w:tc>
          <w:tcPr>
            <w:tcW w:w="1140"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200.1</w:t>
            </w:r>
          </w:p>
        </w:tc>
        <w:tc>
          <w:tcPr>
            <w:tcW w:w="57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0.0%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73.6%</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85.5%</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93.3%</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97.6%</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r>
      <w:tr w:rsidR="00BD1470" w:rsidRPr="00BD1470" w:rsidTr="00811FB8">
        <w:trPr>
          <w:trHeight w:val="314"/>
          <w:jc w:val="center"/>
        </w:trPr>
        <w:tc>
          <w:tcPr>
            <w:tcW w:w="990" w:type="dxa"/>
            <w:vMerge/>
            <w:tcBorders>
              <w:top w:val="nil"/>
              <w:left w:val="single" w:sz="4" w:space="0" w:color="auto"/>
              <w:bottom w:val="single" w:sz="4" w:space="0" w:color="auto"/>
              <w:right w:val="single" w:sz="4" w:space="0" w:color="auto"/>
            </w:tcBorders>
            <w:vAlign w:val="center"/>
            <w:hideMark/>
          </w:tcPr>
          <w:p w:rsidR="00BD1470" w:rsidRPr="00BD1470" w:rsidRDefault="00BD1470" w:rsidP="00BD1470">
            <w:pPr>
              <w:ind w:left="0" w:firstLine="0"/>
              <w:jc w:val="center"/>
              <w:rPr>
                <w:rFonts w:ascii="Calibri" w:eastAsia="Times New Roman" w:hAnsi="Calibri" w:cs="Times New Roman"/>
                <w:sz w:val="16"/>
                <w:szCs w:val="16"/>
              </w:rPr>
            </w:pPr>
          </w:p>
        </w:tc>
        <w:tc>
          <w:tcPr>
            <w:tcW w:w="103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July 2011 - June 2012</w:t>
            </w:r>
          </w:p>
        </w:tc>
        <w:tc>
          <w:tcPr>
            <w:tcW w:w="86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8,665</w:t>
            </w:r>
          </w:p>
        </w:tc>
        <w:tc>
          <w:tcPr>
            <w:tcW w:w="81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91.9%</w:t>
            </w:r>
          </w:p>
        </w:tc>
        <w:tc>
          <w:tcPr>
            <w:tcW w:w="1140"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196.7</w:t>
            </w:r>
          </w:p>
        </w:tc>
        <w:tc>
          <w:tcPr>
            <w:tcW w:w="57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0.0%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79.3%</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89.7%</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95.7%</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98.9%</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r>
      <w:tr w:rsidR="00BD1470" w:rsidRPr="00BD1470" w:rsidTr="00811FB8">
        <w:trPr>
          <w:trHeight w:val="314"/>
          <w:jc w:val="center"/>
        </w:trPr>
        <w:tc>
          <w:tcPr>
            <w:tcW w:w="990" w:type="dxa"/>
            <w:vMerge/>
            <w:tcBorders>
              <w:top w:val="nil"/>
              <w:left w:val="single" w:sz="4" w:space="0" w:color="auto"/>
              <w:bottom w:val="single" w:sz="4" w:space="0" w:color="auto"/>
              <w:right w:val="single" w:sz="4" w:space="0" w:color="auto"/>
            </w:tcBorders>
            <w:vAlign w:val="center"/>
            <w:hideMark/>
          </w:tcPr>
          <w:p w:rsidR="00BD1470" w:rsidRPr="00BD1470" w:rsidRDefault="00BD1470" w:rsidP="00BD1470">
            <w:pPr>
              <w:ind w:left="0" w:firstLine="0"/>
              <w:jc w:val="center"/>
              <w:rPr>
                <w:rFonts w:ascii="Calibri" w:eastAsia="Times New Roman" w:hAnsi="Calibri" w:cs="Times New Roman"/>
                <w:sz w:val="16"/>
                <w:szCs w:val="16"/>
              </w:rPr>
            </w:pPr>
          </w:p>
        </w:tc>
        <w:tc>
          <w:tcPr>
            <w:tcW w:w="103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July 2012 - June 2013</w:t>
            </w:r>
          </w:p>
        </w:tc>
        <w:tc>
          <w:tcPr>
            <w:tcW w:w="86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8,451</w:t>
            </w:r>
          </w:p>
        </w:tc>
        <w:tc>
          <w:tcPr>
            <w:tcW w:w="816"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93.4%</w:t>
            </w:r>
          </w:p>
        </w:tc>
        <w:tc>
          <w:tcPr>
            <w:tcW w:w="1140"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192.7</w:t>
            </w:r>
          </w:p>
        </w:tc>
        <w:tc>
          <w:tcPr>
            <w:tcW w:w="573"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0.0%</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83.3%</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91.9%</w:t>
            </w:r>
          </w:p>
        </w:tc>
        <w:tc>
          <w:tcPr>
            <w:tcW w:w="708"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96.8%</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99.6%</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c>
          <w:tcPr>
            <w:tcW w:w="842" w:type="dxa"/>
            <w:tcBorders>
              <w:top w:val="nil"/>
              <w:left w:val="nil"/>
              <w:bottom w:val="single" w:sz="4" w:space="0" w:color="auto"/>
              <w:right w:val="single" w:sz="4" w:space="0" w:color="auto"/>
            </w:tcBorders>
            <w:shd w:val="clear" w:color="auto" w:fill="auto"/>
            <w:noWrap/>
            <w:vAlign w:val="center"/>
            <w:hideMark/>
          </w:tcPr>
          <w:p w:rsidR="00BD1470" w:rsidRPr="00BD1470" w:rsidRDefault="00BD1470" w:rsidP="00BD1470">
            <w:pPr>
              <w:ind w:left="0" w:firstLine="0"/>
              <w:jc w:val="center"/>
              <w:rPr>
                <w:rFonts w:ascii="Calibri" w:eastAsia="Times New Roman" w:hAnsi="Calibri" w:cs="Times New Roman"/>
                <w:sz w:val="16"/>
                <w:szCs w:val="16"/>
              </w:rPr>
            </w:pPr>
            <w:r w:rsidRPr="00BD1470">
              <w:rPr>
                <w:rFonts w:ascii="Calibri" w:eastAsia="Times New Roman" w:hAnsi="Calibri" w:cs="Times New Roman"/>
                <w:sz w:val="16"/>
                <w:szCs w:val="16"/>
              </w:rPr>
              <w:t>100.0%</w:t>
            </w:r>
          </w:p>
        </w:tc>
      </w:tr>
    </w:tbl>
    <w:p w:rsidR="00BD1470" w:rsidRDefault="00BD1470" w:rsidP="00BD1470">
      <w:pPr>
        <w:ind w:left="0" w:firstLine="0"/>
        <w:rPr>
          <w:rFonts w:ascii="Calibri" w:hAnsi="Calibri" w:cs="Times New Roman"/>
        </w:rPr>
      </w:pPr>
    </w:p>
    <w:p w:rsidR="00DC4E1F" w:rsidRDefault="00DC4E1F" w:rsidP="00BD1470">
      <w:pPr>
        <w:ind w:left="0" w:firstLine="0"/>
        <w:rPr>
          <w:rFonts w:ascii="Calibri" w:hAnsi="Calibri" w:cs="Times New Roman"/>
        </w:rPr>
      </w:pPr>
    </w:p>
    <w:p w:rsidR="00BD1470" w:rsidRPr="00BD1470" w:rsidRDefault="00BD1470" w:rsidP="00BD1470">
      <w:pPr>
        <w:tabs>
          <w:tab w:val="left" w:pos="3076"/>
        </w:tabs>
        <w:ind w:left="0" w:firstLine="0"/>
        <w:rPr>
          <w:rFonts w:ascii="Calibri" w:hAnsi="Calibri" w:cs="Times New Roman"/>
        </w:rPr>
      </w:pPr>
      <w:r w:rsidRPr="00BD1470">
        <w:rPr>
          <w:rFonts w:ascii="Calibri" w:hAnsi="Calibri" w:cs="Times New Roman"/>
        </w:rPr>
        <w:t> </w:t>
      </w:r>
      <w:r w:rsidRPr="00BD1470">
        <w:rPr>
          <w:rFonts w:ascii="Calibri" w:hAnsi="Calibri" w:cs="Times New Roman"/>
        </w:rPr>
        <w:tab/>
      </w:r>
    </w:p>
    <w:p w:rsidR="00BD1470" w:rsidRPr="00BD1470" w:rsidRDefault="00D72437" w:rsidP="00BD1470">
      <w:pPr>
        <w:ind w:left="0" w:firstLine="0"/>
        <w:rPr>
          <w:rFonts w:ascii="Calibri" w:hAnsi="Calibri" w:cs="Times New Roman"/>
          <w:b/>
        </w:rPr>
      </w:pPr>
      <w:r>
        <w:rPr>
          <w:rFonts w:ascii="Calibri" w:hAnsi="Calibri" w:cs="Times New Roman"/>
          <w:b/>
        </w:rPr>
        <w:t>For each measurement period, t</w:t>
      </w:r>
      <w:r w:rsidR="00BD1470" w:rsidRPr="00BD1470">
        <w:rPr>
          <w:rFonts w:ascii="Calibri" w:hAnsi="Calibri" w:cs="Times New Roman"/>
          <w:b/>
        </w:rPr>
        <w:t xml:space="preserve">he </w:t>
      </w:r>
      <w:r w:rsidR="004D4F90">
        <w:rPr>
          <w:rFonts w:ascii="Calibri" w:hAnsi="Calibri" w:cs="Times New Roman"/>
          <w:b/>
        </w:rPr>
        <w:t>measure</w:t>
      </w:r>
      <w:r w:rsidR="00BD1470" w:rsidRPr="00BD1470">
        <w:rPr>
          <w:rFonts w:ascii="Calibri" w:hAnsi="Calibri" w:cs="Times New Roman"/>
          <w:b/>
        </w:rPr>
        <w:t xml:space="preserve"> included all Medicare-certified agencies that meet the measure denominator criteria.</w:t>
      </w:r>
    </w:p>
    <w:p w:rsidR="00BD1470" w:rsidRDefault="00BD1470" w:rsidP="00BD1470">
      <w:pPr>
        <w:ind w:left="0" w:firstLine="0"/>
        <w:rPr>
          <w:rFonts w:ascii="Calibri" w:hAnsi="Calibri" w:cs="Times New Roman"/>
        </w:rPr>
      </w:pPr>
      <w:r w:rsidRPr="00BD1470">
        <w:rPr>
          <w:rFonts w:ascii="Calibri" w:hAnsi="Calibri" w:cs="Times New Roman"/>
        </w:rPr>
        <w:t> </w:t>
      </w:r>
    </w:p>
    <w:p w:rsidR="00D800AE" w:rsidRDefault="00D800AE" w:rsidP="00BD1470">
      <w:pPr>
        <w:ind w:left="0" w:firstLine="0"/>
        <w:rPr>
          <w:rFonts w:ascii="Calibri" w:hAnsi="Calibri" w:cs="Times New Roman"/>
        </w:rPr>
      </w:pPr>
    </w:p>
    <w:p w:rsidR="00D800AE" w:rsidRDefault="00D800AE" w:rsidP="00BD1470">
      <w:pPr>
        <w:ind w:left="0" w:firstLine="0"/>
        <w:rPr>
          <w:rFonts w:ascii="Calibri" w:hAnsi="Calibri" w:cs="Times New Roman"/>
        </w:rPr>
      </w:pPr>
    </w:p>
    <w:p w:rsidR="00D800AE" w:rsidRDefault="00D800AE" w:rsidP="00BD1470">
      <w:pPr>
        <w:ind w:left="0" w:firstLine="0"/>
        <w:rPr>
          <w:rFonts w:ascii="Calibri" w:hAnsi="Calibri" w:cs="Times New Roman"/>
        </w:rPr>
      </w:pPr>
    </w:p>
    <w:p w:rsidR="00D800AE" w:rsidRDefault="00D800AE" w:rsidP="00BD1470">
      <w:pPr>
        <w:ind w:left="0" w:firstLine="0"/>
        <w:rPr>
          <w:rFonts w:ascii="Calibri" w:hAnsi="Calibri" w:cs="Times New Roman"/>
        </w:rPr>
      </w:pPr>
    </w:p>
    <w:p w:rsidR="00BD1470" w:rsidRDefault="00BD1470" w:rsidP="00BD1470">
      <w:pPr>
        <w:ind w:left="0" w:firstLine="0"/>
        <w:rPr>
          <w:rFonts w:ascii="Calibri" w:hAnsi="Calibri" w:cs="Times New Roman"/>
        </w:rPr>
      </w:pPr>
      <w:r w:rsidRPr="00BD1470">
        <w:rPr>
          <w:rFonts w:ascii="Calibri" w:hAnsi="Calibri" w:cs="Times New Roman"/>
        </w:rPr>
        <w:t>1b.4. Summary of Data on Disparities by Population Group - for example by race/ethnicity, gender, age, insurance status, socioeconomic status, and/or disability, etc. Provide statistics for known disparities based on performance results for this measure by population group. If you do not have data on your specific measure, perform a literature search/review and report data for the measure or similar appropriate concept.</w:t>
      </w:r>
    </w:p>
    <w:p w:rsidR="00BD1470" w:rsidRDefault="00BD1470" w:rsidP="00BD1470">
      <w:pPr>
        <w:ind w:left="0" w:firstLine="0"/>
        <w:rPr>
          <w:rFonts w:ascii="Calibri" w:hAnsi="Calibri" w:cs="Times New Roman"/>
        </w:rPr>
      </w:pPr>
    </w:p>
    <w:p w:rsidR="00D800AE" w:rsidRDefault="00D800AE" w:rsidP="00BD1470">
      <w:pPr>
        <w:ind w:left="0" w:firstLine="0"/>
        <w:rPr>
          <w:rFonts w:ascii="Calibri" w:hAnsi="Calibri" w:cs="Times New Roman"/>
        </w:rPr>
      </w:pPr>
    </w:p>
    <w:p w:rsidR="00D800AE" w:rsidRPr="00BD1470" w:rsidRDefault="00D800AE" w:rsidP="00BD1470">
      <w:pPr>
        <w:ind w:left="0" w:firstLine="0"/>
        <w:rPr>
          <w:rFonts w:ascii="Calibri" w:hAnsi="Calibri" w:cs="Times New Roman"/>
        </w:rPr>
      </w:pPr>
    </w:p>
    <w:p w:rsidR="00BD1470" w:rsidRDefault="00BD1470" w:rsidP="00BD1470">
      <w:pPr>
        <w:ind w:left="0" w:firstLine="0"/>
        <w:jc w:val="center"/>
        <w:rPr>
          <w:rFonts w:ascii="Calibri" w:hAnsi="Calibri" w:cs="Times New Roman"/>
          <w:b/>
          <w:i/>
          <w:sz w:val="20"/>
          <w:szCs w:val="20"/>
        </w:rPr>
      </w:pPr>
      <w:r w:rsidRPr="00BD1470">
        <w:rPr>
          <w:rFonts w:ascii="Calibri" w:hAnsi="Calibri" w:cs="Times New Roman"/>
          <w:b/>
          <w:sz w:val="20"/>
          <w:szCs w:val="20"/>
        </w:rPr>
        <w:t xml:space="preserve">Population-Level Statistics: </w:t>
      </w:r>
      <w:r w:rsidRPr="00BD1470">
        <w:rPr>
          <w:rFonts w:ascii="Calibri" w:hAnsi="Calibri" w:cs="Times New Roman"/>
          <w:b/>
          <w:i/>
          <w:sz w:val="20"/>
          <w:szCs w:val="20"/>
        </w:rPr>
        <w:t>Diabetic Foot Care &amp; Patient Education Plan Implemented During All Episodes of Care</w:t>
      </w:r>
    </w:p>
    <w:p w:rsidR="00BD1470" w:rsidRPr="00BD1470" w:rsidRDefault="00BD1470" w:rsidP="00BD1470">
      <w:pPr>
        <w:ind w:left="0" w:firstLine="0"/>
        <w:jc w:val="center"/>
        <w:rPr>
          <w:rFonts w:ascii="Calibri" w:hAnsi="Calibri" w:cs="Times New Roman"/>
          <w:b/>
          <w:sz w:val="20"/>
          <w:szCs w:val="20"/>
        </w:rPr>
      </w:pPr>
    </w:p>
    <w:tbl>
      <w:tblPr>
        <w:tblW w:w="4875" w:type="dxa"/>
        <w:jc w:val="center"/>
        <w:tblInd w:w="93" w:type="dxa"/>
        <w:tblLook w:val="04A0" w:firstRow="1" w:lastRow="0" w:firstColumn="1" w:lastColumn="0" w:noHBand="0" w:noVBand="1"/>
      </w:tblPr>
      <w:tblGrid>
        <w:gridCol w:w="1005"/>
        <w:gridCol w:w="844"/>
        <w:gridCol w:w="1046"/>
        <w:gridCol w:w="990"/>
        <w:gridCol w:w="990"/>
      </w:tblGrid>
      <w:tr w:rsidR="00BD1470" w:rsidRPr="00BD1470" w:rsidTr="00811FB8">
        <w:trPr>
          <w:trHeight w:val="300"/>
          <w:jc w:val="center"/>
        </w:trPr>
        <w:tc>
          <w:tcPr>
            <w:tcW w:w="1849" w:type="dxa"/>
            <w:gridSpan w:val="2"/>
            <w:vMerge w:val="restart"/>
            <w:tcBorders>
              <w:top w:val="single" w:sz="4" w:space="0" w:color="auto"/>
              <w:left w:val="single" w:sz="4" w:space="0" w:color="auto"/>
              <w:right w:val="single" w:sz="4" w:space="0" w:color="auto"/>
            </w:tcBorders>
            <w:shd w:val="clear" w:color="auto" w:fill="CDECFF"/>
            <w:noWrap/>
            <w:vAlign w:val="center"/>
          </w:tcPr>
          <w:p w:rsidR="00BD1470" w:rsidRPr="00BD1470" w:rsidRDefault="00BD1470" w:rsidP="00BD1470">
            <w:pPr>
              <w:ind w:left="0" w:firstLine="0"/>
              <w:jc w:val="center"/>
              <w:rPr>
                <w:rFonts w:ascii="Calibri" w:eastAsia="Times New Roman" w:hAnsi="Calibri" w:cs="Times New Roman"/>
                <w:b/>
                <w:bCs/>
                <w:color w:val="000000"/>
                <w:sz w:val="16"/>
                <w:szCs w:val="16"/>
              </w:rPr>
            </w:pPr>
            <w:r w:rsidRPr="00BD1470">
              <w:rPr>
                <w:rFonts w:ascii="Calibri" w:eastAsia="Times New Roman" w:hAnsi="Calibri" w:cs="Times New Roman"/>
                <w:b/>
                <w:bCs/>
                <w:color w:val="000000"/>
                <w:sz w:val="16"/>
                <w:szCs w:val="16"/>
              </w:rPr>
              <w:t>Population Group</w:t>
            </w:r>
          </w:p>
        </w:tc>
        <w:tc>
          <w:tcPr>
            <w:tcW w:w="3026" w:type="dxa"/>
            <w:gridSpan w:val="3"/>
            <w:tcBorders>
              <w:top w:val="single" w:sz="4" w:space="0" w:color="auto"/>
              <w:left w:val="nil"/>
              <w:bottom w:val="single" w:sz="4" w:space="0" w:color="auto"/>
              <w:right w:val="single" w:sz="4" w:space="0" w:color="auto"/>
            </w:tcBorders>
            <w:shd w:val="clear" w:color="auto" w:fill="CDECFF"/>
            <w:noWrap/>
            <w:vAlign w:val="center"/>
          </w:tcPr>
          <w:p w:rsidR="00BD1470" w:rsidRPr="00BD1470" w:rsidRDefault="00BD1470" w:rsidP="00BD1470">
            <w:pPr>
              <w:ind w:left="0" w:firstLine="0"/>
              <w:jc w:val="center"/>
              <w:rPr>
                <w:rFonts w:ascii="Calibri" w:eastAsia="Times New Roman" w:hAnsi="Calibri" w:cs="Times New Roman"/>
                <w:b/>
                <w:bCs/>
                <w:color w:val="000000"/>
                <w:sz w:val="16"/>
                <w:szCs w:val="16"/>
              </w:rPr>
            </w:pPr>
            <w:r w:rsidRPr="00BD1470">
              <w:rPr>
                <w:rFonts w:ascii="Calibri" w:eastAsia="Times New Roman" w:hAnsi="Calibri" w:cs="Times New Roman"/>
                <w:b/>
                <w:bCs/>
                <w:color w:val="000000"/>
                <w:sz w:val="16"/>
                <w:szCs w:val="16"/>
              </w:rPr>
              <w:t>Period of Measurement</w:t>
            </w:r>
          </w:p>
        </w:tc>
      </w:tr>
      <w:tr w:rsidR="00BD1470" w:rsidRPr="00BD1470" w:rsidTr="00811FB8">
        <w:trPr>
          <w:trHeight w:val="300"/>
          <w:jc w:val="center"/>
        </w:trPr>
        <w:tc>
          <w:tcPr>
            <w:tcW w:w="1849" w:type="dxa"/>
            <w:gridSpan w:val="2"/>
            <w:vMerge/>
            <w:tcBorders>
              <w:left w:val="single" w:sz="4" w:space="0" w:color="auto"/>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color w:val="000000"/>
                <w:sz w:val="16"/>
                <w:szCs w:val="16"/>
              </w:rPr>
            </w:pPr>
          </w:p>
        </w:tc>
        <w:tc>
          <w:tcPr>
            <w:tcW w:w="1046" w:type="dxa"/>
            <w:tcBorders>
              <w:top w:val="single" w:sz="4" w:space="0" w:color="auto"/>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color w:val="000000"/>
                <w:sz w:val="16"/>
                <w:szCs w:val="16"/>
              </w:rPr>
            </w:pPr>
            <w:r w:rsidRPr="00BD1470">
              <w:rPr>
                <w:rFonts w:ascii="Calibri" w:eastAsia="Times New Roman" w:hAnsi="Calibri" w:cs="Times New Roman"/>
                <w:b/>
                <w:bCs/>
                <w:color w:val="000000"/>
                <w:sz w:val="16"/>
                <w:szCs w:val="16"/>
              </w:rPr>
              <w:t>July 2010 - June 2011</w:t>
            </w:r>
          </w:p>
        </w:tc>
        <w:tc>
          <w:tcPr>
            <w:tcW w:w="990" w:type="dxa"/>
            <w:tcBorders>
              <w:top w:val="single" w:sz="4" w:space="0" w:color="auto"/>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color w:val="000000"/>
                <w:sz w:val="16"/>
                <w:szCs w:val="16"/>
              </w:rPr>
            </w:pPr>
            <w:r w:rsidRPr="00BD1470">
              <w:rPr>
                <w:rFonts w:ascii="Calibri" w:eastAsia="Times New Roman" w:hAnsi="Calibri" w:cs="Times New Roman"/>
                <w:b/>
                <w:bCs/>
                <w:color w:val="000000"/>
                <w:sz w:val="16"/>
                <w:szCs w:val="16"/>
              </w:rPr>
              <w:t>July 2011 - June 2012</w:t>
            </w:r>
          </w:p>
        </w:tc>
        <w:tc>
          <w:tcPr>
            <w:tcW w:w="990" w:type="dxa"/>
            <w:tcBorders>
              <w:top w:val="single" w:sz="4" w:space="0" w:color="auto"/>
              <w:left w:val="nil"/>
              <w:bottom w:val="single" w:sz="4" w:space="0" w:color="auto"/>
              <w:right w:val="single" w:sz="4" w:space="0" w:color="auto"/>
            </w:tcBorders>
            <w:shd w:val="clear" w:color="auto" w:fill="CDECFF"/>
            <w:noWrap/>
            <w:vAlign w:val="center"/>
            <w:hideMark/>
          </w:tcPr>
          <w:p w:rsidR="00BD1470" w:rsidRPr="00BD1470" w:rsidRDefault="00BD1470" w:rsidP="00BD1470">
            <w:pPr>
              <w:ind w:left="0" w:firstLine="0"/>
              <w:jc w:val="center"/>
              <w:rPr>
                <w:rFonts w:ascii="Calibri" w:eastAsia="Times New Roman" w:hAnsi="Calibri" w:cs="Times New Roman"/>
                <w:b/>
                <w:bCs/>
                <w:color w:val="000000"/>
                <w:sz w:val="16"/>
                <w:szCs w:val="16"/>
              </w:rPr>
            </w:pPr>
            <w:r w:rsidRPr="00BD1470">
              <w:rPr>
                <w:rFonts w:ascii="Calibri" w:eastAsia="Times New Roman" w:hAnsi="Calibri" w:cs="Times New Roman"/>
                <w:b/>
                <w:bCs/>
                <w:color w:val="000000"/>
                <w:sz w:val="16"/>
                <w:szCs w:val="16"/>
              </w:rPr>
              <w:t>July 2012 - June 2013</w:t>
            </w:r>
          </w:p>
        </w:tc>
      </w:tr>
      <w:tr w:rsidR="00BD1470" w:rsidRPr="00BD1470" w:rsidTr="00811FB8">
        <w:trPr>
          <w:trHeight w:val="300"/>
          <w:jc w:val="center"/>
        </w:trPr>
        <w:tc>
          <w:tcPr>
            <w:tcW w:w="1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b/>
                <w:bCs/>
                <w:sz w:val="16"/>
                <w:szCs w:val="16"/>
              </w:rPr>
              <w:t> </w:t>
            </w:r>
          </w:p>
          <w:p w:rsidR="00BD1470" w:rsidRPr="00BD1470" w:rsidRDefault="00BD1470" w:rsidP="00BD1470">
            <w:pPr>
              <w:ind w:left="0" w:firstLine="0"/>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All Patients</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89.2%</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92.4%</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93.9%</w:t>
            </w:r>
          </w:p>
        </w:tc>
      </w:tr>
      <w:tr w:rsidR="00BD1470" w:rsidRPr="00BD1470" w:rsidTr="00811FB8">
        <w:trPr>
          <w:trHeight w:val="300"/>
          <w:jc w:val="center"/>
        </w:trPr>
        <w:tc>
          <w:tcPr>
            <w:tcW w:w="1005" w:type="dxa"/>
            <w:vMerge w:val="restart"/>
            <w:tcBorders>
              <w:top w:val="nil"/>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b/>
                <w:bCs/>
                <w:sz w:val="16"/>
                <w:szCs w:val="16"/>
              </w:rPr>
              <w:t>By Race</w:t>
            </w:r>
          </w:p>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b/>
                <w:bCs/>
                <w:sz w:val="16"/>
                <w:szCs w:val="16"/>
              </w:rPr>
              <w:t> </w:t>
            </w:r>
          </w:p>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b/>
                <w:bCs/>
                <w:sz w:val="16"/>
                <w:szCs w:val="16"/>
              </w:rPr>
              <w:t> </w:t>
            </w:r>
          </w:p>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sz w:val="16"/>
                <w:szCs w:val="16"/>
              </w:rPr>
              <w:t> </w:t>
            </w: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White</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88.3%</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91.9%</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93.5%</w:t>
            </w:r>
          </w:p>
        </w:tc>
      </w:tr>
      <w:tr w:rsidR="00BD1470" w:rsidRPr="00BD1470" w:rsidTr="00811FB8">
        <w:trPr>
          <w:trHeight w:val="300"/>
          <w:jc w:val="center"/>
        </w:trPr>
        <w:tc>
          <w:tcPr>
            <w:tcW w:w="1005" w:type="dxa"/>
            <w:vMerge/>
            <w:tcBorders>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b/>
                <w:bCs/>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Black</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91.1%</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93.6%</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95.0%</w:t>
            </w:r>
          </w:p>
        </w:tc>
      </w:tr>
      <w:tr w:rsidR="00BD1470" w:rsidRPr="00BD1470" w:rsidTr="00811FB8">
        <w:trPr>
          <w:trHeight w:val="300"/>
          <w:jc w:val="center"/>
        </w:trPr>
        <w:tc>
          <w:tcPr>
            <w:tcW w:w="1005" w:type="dxa"/>
            <w:vMerge/>
            <w:tcBorders>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b/>
                <w:bCs/>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Hispanic</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90.3%</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92.7%</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93.8%</w:t>
            </w:r>
          </w:p>
        </w:tc>
      </w:tr>
      <w:tr w:rsidR="00BD1470" w:rsidRPr="00BD1470" w:rsidTr="00811FB8">
        <w:trPr>
          <w:trHeight w:val="300"/>
          <w:jc w:val="center"/>
        </w:trPr>
        <w:tc>
          <w:tcPr>
            <w:tcW w:w="1005" w:type="dxa"/>
            <w:vMerge/>
            <w:tcBorders>
              <w:left w:val="single" w:sz="4" w:space="0" w:color="auto"/>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Other</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91.7%</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94.6%</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95.8%</w:t>
            </w:r>
          </w:p>
        </w:tc>
      </w:tr>
      <w:tr w:rsidR="00BD1470" w:rsidRPr="00BD1470" w:rsidTr="00811FB8">
        <w:trPr>
          <w:trHeight w:val="300"/>
          <w:jc w:val="center"/>
        </w:trPr>
        <w:tc>
          <w:tcPr>
            <w:tcW w:w="1005" w:type="dxa"/>
            <w:vMerge w:val="restart"/>
            <w:tcBorders>
              <w:top w:val="nil"/>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b/>
                <w:bCs/>
                <w:sz w:val="16"/>
                <w:szCs w:val="16"/>
              </w:rPr>
              <w:t>By Age</w:t>
            </w:r>
          </w:p>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 </w:t>
            </w:r>
          </w:p>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 </w:t>
            </w:r>
          </w:p>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sz w:val="16"/>
                <w:szCs w:val="16"/>
              </w:rPr>
              <w:t> </w:t>
            </w: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&lt;65</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90.3%</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93.2%</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94.5%</w:t>
            </w:r>
          </w:p>
        </w:tc>
      </w:tr>
      <w:tr w:rsidR="00BD1470" w:rsidRPr="00BD1470" w:rsidTr="00811FB8">
        <w:trPr>
          <w:trHeight w:val="300"/>
          <w:jc w:val="center"/>
        </w:trPr>
        <w:tc>
          <w:tcPr>
            <w:tcW w:w="1005" w:type="dxa"/>
            <w:vMerge/>
            <w:tcBorders>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65-75</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90.2%</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93.1%</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94.5%</w:t>
            </w:r>
          </w:p>
        </w:tc>
      </w:tr>
      <w:tr w:rsidR="00BD1470" w:rsidRPr="00BD1470" w:rsidTr="00811FB8">
        <w:trPr>
          <w:trHeight w:val="300"/>
          <w:jc w:val="center"/>
        </w:trPr>
        <w:tc>
          <w:tcPr>
            <w:tcW w:w="1005" w:type="dxa"/>
            <w:vMerge/>
            <w:tcBorders>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75-85</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89.2%</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92.4%</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94.0%</w:t>
            </w:r>
          </w:p>
        </w:tc>
      </w:tr>
      <w:tr w:rsidR="00BD1470" w:rsidRPr="00BD1470" w:rsidTr="00811FB8">
        <w:trPr>
          <w:trHeight w:val="300"/>
          <w:jc w:val="center"/>
        </w:trPr>
        <w:tc>
          <w:tcPr>
            <w:tcW w:w="1005" w:type="dxa"/>
            <w:vMerge/>
            <w:tcBorders>
              <w:left w:val="single" w:sz="4" w:space="0" w:color="auto"/>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85+</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85.7%</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89.8%</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91.9%</w:t>
            </w:r>
          </w:p>
        </w:tc>
      </w:tr>
      <w:tr w:rsidR="00BD1470" w:rsidRPr="00BD1470" w:rsidTr="00811FB8">
        <w:trPr>
          <w:trHeight w:val="300"/>
          <w:jc w:val="center"/>
        </w:trPr>
        <w:tc>
          <w:tcPr>
            <w:tcW w:w="1005" w:type="dxa"/>
            <w:vMerge w:val="restart"/>
            <w:tcBorders>
              <w:top w:val="nil"/>
              <w:left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b/>
                <w:bCs/>
                <w:sz w:val="16"/>
                <w:szCs w:val="16"/>
              </w:rPr>
              <w:t>By Gender</w:t>
            </w:r>
          </w:p>
          <w:p w:rsidR="00BD1470" w:rsidRPr="00BD1470" w:rsidRDefault="00BD1470" w:rsidP="00BD1470">
            <w:pPr>
              <w:ind w:left="0" w:firstLine="0"/>
              <w:rPr>
                <w:rFonts w:ascii="Calibri" w:eastAsia="Times New Roman" w:hAnsi="Calibri" w:cs="Times New Roman"/>
                <w:b/>
                <w:bCs/>
                <w:sz w:val="16"/>
                <w:szCs w:val="16"/>
              </w:rPr>
            </w:pPr>
            <w:r w:rsidRPr="00BD1470">
              <w:rPr>
                <w:rFonts w:ascii="Calibri" w:eastAsia="Times New Roman" w:hAnsi="Calibri" w:cs="Times New Roman"/>
                <w:sz w:val="16"/>
                <w:szCs w:val="16"/>
              </w:rPr>
              <w:t> </w:t>
            </w: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Male</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89.9%</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92.9%</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94.3%</w:t>
            </w:r>
          </w:p>
        </w:tc>
      </w:tr>
      <w:tr w:rsidR="00BD1470" w:rsidRPr="00BD1470" w:rsidTr="00811FB8">
        <w:trPr>
          <w:trHeight w:val="300"/>
          <w:jc w:val="center"/>
        </w:trPr>
        <w:tc>
          <w:tcPr>
            <w:tcW w:w="1005" w:type="dxa"/>
            <w:vMerge/>
            <w:tcBorders>
              <w:left w:val="single" w:sz="4" w:space="0" w:color="auto"/>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p>
        </w:tc>
        <w:tc>
          <w:tcPr>
            <w:tcW w:w="844"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rPr>
                <w:rFonts w:ascii="Calibri" w:eastAsia="Times New Roman" w:hAnsi="Calibri" w:cs="Times New Roman"/>
                <w:sz w:val="16"/>
                <w:szCs w:val="16"/>
              </w:rPr>
            </w:pPr>
            <w:r w:rsidRPr="00BD1470">
              <w:rPr>
                <w:rFonts w:ascii="Calibri" w:eastAsia="Times New Roman" w:hAnsi="Calibri" w:cs="Times New Roman"/>
                <w:sz w:val="16"/>
                <w:szCs w:val="16"/>
              </w:rPr>
              <w:t>Female</w:t>
            </w:r>
          </w:p>
        </w:tc>
        <w:tc>
          <w:tcPr>
            <w:tcW w:w="1046"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88.7%</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92.0%</w:t>
            </w:r>
          </w:p>
        </w:tc>
        <w:tc>
          <w:tcPr>
            <w:tcW w:w="990" w:type="dxa"/>
            <w:tcBorders>
              <w:top w:val="nil"/>
              <w:left w:val="nil"/>
              <w:bottom w:val="single" w:sz="4" w:space="0" w:color="auto"/>
              <w:right w:val="single" w:sz="4" w:space="0" w:color="auto"/>
            </w:tcBorders>
            <w:shd w:val="clear" w:color="auto" w:fill="auto"/>
            <w:noWrap/>
            <w:vAlign w:val="bottom"/>
            <w:hideMark/>
          </w:tcPr>
          <w:p w:rsidR="00BD1470" w:rsidRPr="00BD1470" w:rsidRDefault="00BD1470" w:rsidP="00BD1470">
            <w:pPr>
              <w:ind w:left="0" w:firstLine="0"/>
              <w:jc w:val="center"/>
              <w:rPr>
                <w:rFonts w:ascii="Calibri" w:eastAsia="Times New Roman" w:hAnsi="Calibri" w:cs="Times New Roman"/>
                <w:color w:val="000000"/>
                <w:sz w:val="16"/>
                <w:szCs w:val="16"/>
              </w:rPr>
            </w:pPr>
            <w:r w:rsidRPr="00BD1470">
              <w:rPr>
                <w:rFonts w:ascii="Calibri" w:eastAsia="Times New Roman" w:hAnsi="Calibri" w:cs="Times New Roman"/>
                <w:color w:val="000000"/>
                <w:sz w:val="16"/>
                <w:szCs w:val="16"/>
              </w:rPr>
              <w:t>93.6%</w:t>
            </w:r>
          </w:p>
        </w:tc>
      </w:tr>
    </w:tbl>
    <w:p w:rsidR="00BD1470" w:rsidRPr="00BD1470" w:rsidRDefault="00BD1470" w:rsidP="00BD1470">
      <w:pPr>
        <w:ind w:left="0" w:firstLine="0"/>
        <w:rPr>
          <w:rFonts w:ascii="Calibri" w:hAnsi="Calibri" w:cs="Times New Roman"/>
        </w:rPr>
      </w:pPr>
    </w:p>
    <w:p w:rsidR="00BD1470" w:rsidRPr="00BD1470" w:rsidRDefault="00BD1470" w:rsidP="00BD1470">
      <w:pPr>
        <w:ind w:left="0" w:firstLine="0"/>
        <w:rPr>
          <w:rFonts w:ascii="Calibri" w:hAnsi="Calibri" w:cs="Times New Roman"/>
          <w:b/>
        </w:rPr>
      </w:pPr>
      <w:r w:rsidRPr="00BD1470">
        <w:rPr>
          <w:rFonts w:ascii="Calibri" w:hAnsi="Calibri" w:cs="Times New Roman"/>
          <w:b/>
        </w:rPr>
        <w:t xml:space="preserve">For each measurement period, the </w:t>
      </w:r>
      <w:r w:rsidR="004D4F90">
        <w:rPr>
          <w:rFonts w:ascii="Calibri" w:hAnsi="Calibri" w:cs="Times New Roman"/>
          <w:b/>
        </w:rPr>
        <w:t>measure</w:t>
      </w:r>
      <w:r w:rsidRPr="00BD1470">
        <w:rPr>
          <w:rFonts w:ascii="Calibri" w:hAnsi="Calibri" w:cs="Times New Roman"/>
          <w:b/>
        </w:rPr>
        <w:t xml:space="preserve"> included all home health stays that meet the measure denominator criteria.</w:t>
      </w:r>
    </w:p>
    <w:p w:rsidR="00BD1470" w:rsidRPr="001B772D" w:rsidRDefault="00BD1470" w:rsidP="002E2177">
      <w:pPr>
        <w:ind w:left="0" w:firstLine="0"/>
      </w:pPr>
      <w:bookmarkStart w:id="11" w:name="_GoBack"/>
      <w:bookmarkEnd w:id="11"/>
    </w:p>
    <w:sectPr w:rsidR="00BD1470" w:rsidRPr="001B772D" w:rsidSect="004D4B9A">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30A" w:rsidRDefault="00CF430A" w:rsidP="007E37A5">
      <w:r>
        <w:separator/>
      </w:r>
    </w:p>
  </w:endnote>
  <w:endnote w:type="continuationSeparator" w:id="0">
    <w:p w:rsidR="00CF430A" w:rsidRDefault="00CF430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004D4B9A" w:rsidRPr="00395263">
      <w:fldChar w:fldCharType="begin"/>
    </w:r>
    <w:r w:rsidRPr="00395263">
      <w:instrText xml:space="preserve"> PAGE   \* MERGEFORMAT </w:instrText>
    </w:r>
    <w:r w:rsidR="004D4B9A" w:rsidRPr="00395263">
      <w:fldChar w:fldCharType="separate"/>
    </w:r>
    <w:r w:rsidR="00D800AE">
      <w:rPr>
        <w:noProof/>
      </w:rPr>
      <w:t>5</w:t>
    </w:r>
    <w:r w:rsidR="004D4B9A"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30A" w:rsidRDefault="00CF430A" w:rsidP="007E37A5">
      <w:r>
        <w:separator/>
      </w:r>
    </w:p>
  </w:footnote>
  <w:footnote w:type="continuationSeparator" w:id="0">
    <w:p w:rsidR="00CF430A" w:rsidRDefault="00CF430A"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34D38"/>
    <w:multiLevelType w:val="multilevel"/>
    <w:tmpl w:val="3170F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B94053F"/>
    <w:multiLevelType w:val="multilevel"/>
    <w:tmpl w:val="CE9C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FFB7D71"/>
    <w:multiLevelType w:val="multilevel"/>
    <w:tmpl w:val="5844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846229"/>
    <w:multiLevelType w:val="multilevel"/>
    <w:tmpl w:val="F258B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E014815"/>
    <w:multiLevelType w:val="multilevel"/>
    <w:tmpl w:val="3BF4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10"/>
  </w:num>
  <w:num w:numId="8">
    <w:abstractNumId w:val="9"/>
  </w:num>
  <w:num w:numId="9">
    <w:abstractNumId w:val="8"/>
  </w:num>
  <w:num w:numId="10">
    <w:abstractNumId w:val="0"/>
  </w:num>
  <w:num w:numId="11">
    <w:abstractNumId w:val="11"/>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1F2F41"/>
    <w:rsid w:val="00201182"/>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7599B"/>
    <w:rsid w:val="0039020B"/>
    <w:rsid w:val="00395263"/>
    <w:rsid w:val="003956E0"/>
    <w:rsid w:val="0039609A"/>
    <w:rsid w:val="00397500"/>
    <w:rsid w:val="003B1CC5"/>
    <w:rsid w:val="003B65CE"/>
    <w:rsid w:val="003E039E"/>
    <w:rsid w:val="00422917"/>
    <w:rsid w:val="00440687"/>
    <w:rsid w:val="0044131D"/>
    <w:rsid w:val="00441ADA"/>
    <w:rsid w:val="00457E46"/>
    <w:rsid w:val="00472FB8"/>
    <w:rsid w:val="00496AF8"/>
    <w:rsid w:val="004A575D"/>
    <w:rsid w:val="004B65C6"/>
    <w:rsid w:val="004D1DC7"/>
    <w:rsid w:val="004D4B9A"/>
    <w:rsid w:val="004D4F90"/>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2F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11C40"/>
    <w:rsid w:val="00923295"/>
    <w:rsid w:val="00925F11"/>
    <w:rsid w:val="00930EAB"/>
    <w:rsid w:val="00935265"/>
    <w:rsid w:val="0094689F"/>
    <w:rsid w:val="009477D6"/>
    <w:rsid w:val="00953ED3"/>
    <w:rsid w:val="00954C89"/>
    <w:rsid w:val="00965FF6"/>
    <w:rsid w:val="009846D6"/>
    <w:rsid w:val="0098657F"/>
    <w:rsid w:val="009A3236"/>
    <w:rsid w:val="009B5A93"/>
    <w:rsid w:val="009B5BEA"/>
    <w:rsid w:val="009C291F"/>
    <w:rsid w:val="009E37BD"/>
    <w:rsid w:val="009E6B86"/>
    <w:rsid w:val="009F0534"/>
    <w:rsid w:val="00A03301"/>
    <w:rsid w:val="00A12762"/>
    <w:rsid w:val="00A13867"/>
    <w:rsid w:val="00A26FED"/>
    <w:rsid w:val="00A421D4"/>
    <w:rsid w:val="00A44FF0"/>
    <w:rsid w:val="00A50E55"/>
    <w:rsid w:val="00A67E2D"/>
    <w:rsid w:val="00A67EB1"/>
    <w:rsid w:val="00A91A47"/>
    <w:rsid w:val="00A95D2B"/>
    <w:rsid w:val="00AA5587"/>
    <w:rsid w:val="00AC1E53"/>
    <w:rsid w:val="00AD79C8"/>
    <w:rsid w:val="00AE14D6"/>
    <w:rsid w:val="00AE6CE0"/>
    <w:rsid w:val="00B058A6"/>
    <w:rsid w:val="00B117D0"/>
    <w:rsid w:val="00B13998"/>
    <w:rsid w:val="00B439DD"/>
    <w:rsid w:val="00B52E0F"/>
    <w:rsid w:val="00B74629"/>
    <w:rsid w:val="00B91F58"/>
    <w:rsid w:val="00BA579E"/>
    <w:rsid w:val="00BD1470"/>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30A"/>
    <w:rsid w:val="00CF4B9B"/>
    <w:rsid w:val="00CF55E6"/>
    <w:rsid w:val="00CF772F"/>
    <w:rsid w:val="00D048DB"/>
    <w:rsid w:val="00D14F0B"/>
    <w:rsid w:val="00D178CA"/>
    <w:rsid w:val="00D3311C"/>
    <w:rsid w:val="00D53405"/>
    <w:rsid w:val="00D5457B"/>
    <w:rsid w:val="00D72437"/>
    <w:rsid w:val="00D72995"/>
    <w:rsid w:val="00D800AE"/>
    <w:rsid w:val="00DA039F"/>
    <w:rsid w:val="00DA7FA2"/>
    <w:rsid w:val="00DC2D8D"/>
    <w:rsid w:val="00DC4E1F"/>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D3501"/>
    <w:rsid w:val="00EE1F87"/>
    <w:rsid w:val="00EE3931"/>
    <w:rsid w:val="00EE5AF6"/>
    <w:rsid w:val="00EF2CEF"/>
    <w:rsid w:val="00F1092D"/>
    <w:rsid w:val="00F42C20"/>
    <w:rsid w:val="00F431D8"/>
    <w:rsid w:val="00F45511"/>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472F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930EAB"/>
    <w:rPr>
      <w:b/>
      <w:bCs/>
    </w:rPr>
  </w:style>
  <w:style w:type="character" w:customStyle="1" w:styleId="fthighlight">
    <w:name w:val="ft_highlight"/>
    <w:basedOn w:val="DefaultParagraphFont"/>
    <w:rsid w:val="00930EAB"/>
  </w:style>
  <w:style w:type="paragraph" w:styleId="NormalWeb">
    <w:name w:val="Normal (Web)"/>
    <w:basedOn w:val="Normal"/>
    <w:uiPriority w:val="99"/>
    <w:semiHidden/>
    <w:unhideWhenUsed/>
    <w:rsid w:val="00930EAB"/>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472FB8"/>
    <w:rPr>
      <w:rFonts w:asciiTheme="majorHAnsi" w:eastAsiaTheme="majorEastAsia" w:hAnsiTheme="majorHAnsi" w:cstheme="majorBidi"/>
      <w:b/>
      <w:bCs/>
      <w:i/>
      <w:iCs/>
      <w:color w:val="4F81BD" w:themeColor="accent1"/>
    </w:rPr>
  </w:style>
  <w:style w:type="character" w:customStyle="1" w:styleId="highlight">
    <w:name w:val="highlight"/>
    <w:basedOn w:val="DefaultParagraphFont"/>
    <w:rsid w:val="00472F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69613">
      <w:bodyDiv w:val="1"/>
      <w:marLeft w:val="0"/>
      <w:marRight w:val="0"/>
      <w:marTop w:val="0"/>
      <w:marBottom w:val="0"/>
      <w:divBdr>
        <w:top w:val="none" w:sz="0" w:space="0" w:color="auto"/>
        <w:left w:val="none" w:sz="0" w:space="0" w:color="auto"/>
        <w:bottom w:val="none" w:sz="0" w:space="0" w:color="auto"/>
        <w:right w:val="none" w:sz="0" w:space="0" w:color="auto"/>
      </w:divBdr>
    </w:div>
    <w:div w:id="1481733074">
      <w:bodyDiv w:val="1"/>
      <w:marLeft w:val="0"/>
      <w:marRight w:val="0"/>
      <w:marTop w:val="0"/>
      <w:marBottom w:val="0"/>
      <w:divBdr>
        <w:top w:val="none" w:sz="0" w:space="0" w:color="auto"/>
        <w:left w:val="none" w:sz="0" w:space="0" w:color="auto"/>
        <w:bottom w:val="none" w:sz="0" w:space="0" w:color="auto"/>
        <w:right w:val="none" w:sz="0" w:space="0" w:color="auto"/>
      </w:divBdr>
    </w:div>
    <w:div w:id="185279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yperlink" Target="http://www.guideline.gov/content.aspx?id=45154" TargetMode="External"/><Relationship Id="rId10" Type="http://schemas.openxmlformats.org/officeDocument/2006/relationships/hyperlink" Target="http://www.uspreventiveservicestaskforce.org/uspstf/grades.htm" TargetMode="Externa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FC30A1"/>
    <w:rsid w:val="00041043"/>
    <w:rsid w:val="00160241"/>
    <w:rsid w:val="002B5F47"/>
    <w:rsid w:val="003A1E4B"/>
    <w:rsid w:val="00455EB5"/>
    <w:rsid w:val="00461C1C"/>
    <w:rsid w:val="004E2027"/>
    <w:rsid w:val="005F21F3"/>
    <w:rsid w:val="008C6E62"/>
    <w:rsid w:val="008F6A9B"/>
    <w:rsid w:val="00BE0F2D"/>
    <w:rsid w:val="00C03643"/>
    <w:rsid w:val="00C2797F"/>
    <w:rsid w:val="00C80225"/>
    <w:rsid w:val="00D228C9"/>
    <w:rsid w:val="00D671F7"/>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0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1F4DC-39E3-40E7-8019-4753C8BA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2873</Words>
  <Characters>16377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Keziah Cook</cp:lastModifiedBy>
  <cp:revision>2</cp:revision>
  <dcterms:created xsi:type="dcterms:W3CDTF">2013-12-06T01:12:00Z</dcterms:created>
  <dcterms:modified xsi:type="dcterms:W3CDTF">2013-12-06T01:12:00Z</dcterms:modified>
</cp:coreProperties>
</file>