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BF51D2">
            <w:rPr>
              <w:rStyle w:val="Style1"/>
            </w:rPr>
            <w:t>0537</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BF51D2" w:rsidRPr="00BF51D2">
            <w:rPr>
              <w:sz w:val="24"/>
            </w:rPr>
            <w:t>Multifactor Fall Risk Assessment Conducted For All Patients Who Can Ambulate</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4-07T00:00:00Z">
            <w:dateFormat w:val="M/d/yyyy"/>
            <w:lid w:val="en-US"/>
            <w:storeMappedDataAs w:val="dateTime"/>
            <w:calendar w:val="gregorian"/>
          </w:date>
        </w:sdtPr>
        <w:sdtEndPr>
          <w:rPr>
            <w:rStyle w:val="DefaultParagraphFont"/>
            <w:noProof/>
            <w:color w:val="auto"/>
            <w:u w:val="none"/>
          </w:rPr>
        </w:sdtEndPr>
        <w:sdtContent>
          <w:r w:rsidR="005F6AC8">
            <w:rPr>
              <w:rStyle w:val="Style2"/>
            </w:rPr>
            <w:t>4/7/2015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 xml:space="preserve">Measurement Framework: Evaluating </w:t>
              </w:r>
              <w:r w:rsidRPr="003B1CC5">
                <w:rPr>
                  <w:rFonts w:eastAsia="Calibri" w:cs="Calibri"/>
                  <w:color w:val="0000FF"/>
                  <w:sz w:val="20"/>
                  <w:szCs w:val="20"/>
                  <w:u w:val="single"/>
                </w:rPr>
                <w:lastRenderedPageBreak/>
                <w:t>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AD648E" w:rsidP="005857F8">
      <w:pPr>
        <w:ind w:left="720" w:hanging="432"/>
        <w:rPr>
          <w:rStyle w:val="Style2"/>
          <w:rFonts w:cstheme="minorHAnsi"/>
        </w:rPr>
      </w:pPr>
      <w:sdt>
        <w:sdtPr>
          <w:rPr>
            <w:bCs/>
            <w:color w:val="0000FF"/>
            <w:u w:val="single"/>
          </w:rPr>
          <w:id w:val="1077707841"/>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AD648E" w:rsidP="005857F8">
      <w:pPr>
        <w:ind w:left="720" w:hanging="432"/>
        <w:rPr>
          <w:b/>
          <w:bCs/>
        </w:rPr>
      </w:pPr>
      <w:sdt>
        <w:sdtPr>
          <w:rPr>
            <w:bCs/>
            <w:color w:val="0000FF"/>
          </w:rPr>
          <w:id w:val="-1541041819"/>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AD648E" w:rsidP="005857F8">
      <w:pPr>
        <w:ind w:left="720" w:hanging="432"/>
        <w:rPr>
          <w:bCs/>
        </w:rPr>
      </w:pPr>
      <w:sdt>
        <w:sdtPr>
          <w:rPr>
            <w:bCs/>
            <w:color w:val="0000FF"/>
          </w:rPr>
          <w:id w:val="130951877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AD648E" w:rsidP="00015986">
      <w:pPr>
        <w:ind w:left="432" w:hanging="432"/>
        <w:rPr>
          <w:bCs/>
        </w:rPr>
      </w:pPr>
      <w:sdt>
        <w:sdtPr>
          <w:rPr>
            <w:bCs/>
            <w:color w:val="0000FF"/>
          </w:rPr>
          <w:id w:val="-1535727686"/>
        </w:sdtPr>
        <w:sdtEndPr/>
        <w:sdtContent>
          <w:r>
            <w:rPr>
              <w:bCs/>
              <w:color w:val="0000FF"/>
            </w:rPr>
            <w:t>X</w:t>
          </w:r>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AD648E" w:rsidP="00015986">
      <w:pPr>
        <w:ind w:left="432" w:hanging="432"/>
        <w:rPr>
          <w:bCs/>
        </w:rPr>
      </w:pPr>
      <w:sdt>
        <w:sdtPr>
          <w:rPr>
            <w:bCs/>
            <w:color w:val="0000FF"/>
          </w:rPr>
          <w:id w:val="1676770628"/>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AD648E" w:rsidP="00015986">
      <w:pPr>
        <w:ind w:left="432" w:hanging="432"/>
        <w:rPr>
          <w:bCs/>
        </w:rPr>
      </w:pPr>
      <w:sdt>
        <w:sdtPr>
          <w:rPr>
            <w:bCs/>
            <w:color w:val="0000FF"/>
          </w:rPr>
          <w:id w:val="1719405626"/>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F707E5" w:rsidRDefault="00F707E5" w:rsidP="002E2177">
      <w:pPr>
        <w:ind w:left="0" w:firstLine="0"/>
        <w:rPr>
          <w:i/>
          <w:iCs/>
        </w:rPr>
      </w:pPr>
    </w:p>
    <w:p w:rsidR="00010CBD" w:rsidRPr="00010CBD" w:rsidRDefault="00010CBD" w:rsidP="002E2177">
      <w:pPr>
        <w:ind w:left="0" w:firstLine="0"/>
        <w:rPr>
          <w:iCs/>
        </w:rPr>
      </w:pPr>
      <w:r>
        <w:rPr>
          <w:iCs/>
        </w:rPr>
        <w:t xml:space="preserve">A multifactorial falls risk assessment should identify those home health care patients at risk for falls; this identification should lead home health care agency clinicians to provide appropriate interventions, including patient teaching on home environment modifications (e.g. removing throw rugs), assessment of medications that are associated with falls risk (e.g. benzodiazepines or diuretics), and the provision of rehabilitation therapy (physical and/or occupational). </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AD648E" w:rsidP="002E2177">
      <w:pPr>
        <w:ind w:left="0" w:firstLine="0"/>
      </w:pPr>
      <w:sdt>
        <w:sdtPr>
          <w:rPr>
            <w:bCs/>
            <w:color w:val="0000FF"/>
          </w:rPr>
          <w:id w:val="-468508862"/>
        </w:sdtPr>
        <w:sdtEndPr/>
        <w:sdtContent>
          <w:r>
            <w:rPr>
              <w:bCs/>
              <w:color w:val="0000FF"/>
            </w:rPr>
            <w:t>X</w:t>
          </w:r>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AD648E" w:rsidP="002E2177">
      <w:pPr>
        <w:ind w:left="0" w:firstLine="0"/>
        <w:rPr>
          <w:b/>
          <w:i/>
        </w:rPr>
      </w:pPr>
      <w:sdt>
        <w:sdtPr>
          <w:rPr>
            <w:bCs/>
            <w:color w:val="0000FF"/>
          </w:rPr>
          <w:id w:val="-411317169"/>
        </w:sdtPr>
        <w:sdtEndPr/>
        <w:sdtContent>
          <w:r>
            <w:rPr>
              <w:bCs/>
              <w:color w:val="0000FF"/>
            </w:rPr>
            <w:t>X</w:t>
          </w:r>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AD648E" w:rsidP="002E2177">
      <w:pPr>
        <w:ind w:left="0" w:firstLine="0"/>
      </w:pPr>
      <w:sdt>
        <w:sdtPr>
          <w:rPr>
            <w:bCs/>
            <w:color w:val="0000FF"/>
            <w:u w:val="single"/>
          </w:rPr>
          <w:id w:val="1199589694"/>
        </w:sdtPr>
        <w:sdtEndPr/>
        <w:sdtContent>
          <w:r>
            <w:rPr>
              <w:bCs/>
              <w:color w:val="0000FF"/>
              <w:u w:val="single"/>
            </w:rPr>
            <w:t>X</w:t>
          </w:r>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AD648E" w:rsidP="002E2177">
      <w:pPr>
        <w:ind w:left="0" w:firstLine="0"/>
      </w:pPr>
      <w:sdt>
        <w:sdtPr>
          <w:rPr>
            <w:bCs/>
            <w:color w:val="0000FF"/>
            <w:u w:val="single"/>
          </w:rPr>
          <w:id w:val="302275832"/>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010CBD" w:rsidP="002E2177">
      <w:pPr>
        <w:ind w:left="0" w:firstLine="0"/>
        <w:rPr>
          <w:rFonts w:cs="Arial"/>
          <w:sz w:val="20"/>
          <w:szCs w:val="20"/>
        </w:rPr>
      </w:pPr>
      <w:r>
        <w:lastRenderedPageBreak/>
        <w:t>American Geriatrics Society, British Geriatrics Society. AGS/BGS clinical practice guideline: prevention of falls in older persons. New York (NY): American Geriatrics Society; 2010.</w:t>
      </w: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010CBD" w:rsidRPr="00010CBD" w:rsidRDefault="00010CBD" w:rsidP="00010CBD">
      <w:pPr>
        <w:rPr>
          <w:rFonts w:ascii="Times New Roman" w:eastAsia="Times New Roman" w:hAnsi="Times New Roman" w:cs="Times New Roman"/>
          <w:sz w:val="24"/>
          <w:szCs w:val="24"/>
        </w:rPr>
      </w:pPr>
      <w:r>
        <w:t>“</w:t>
      </w:r>
      <w:r w:rsidRPr="00010CBD">
        <w:rPr>
          <w:rFonts w:ascii="Times New Roman" w:eastAsia="Times New Roman" w:hAnsi="Times New Roman" w:cs="Times New Roman"/>
          <w:sz w:val="24"/>
          <w:szCs w:val="24"/>
        </w:rPr>
        <w:t xml:space="preserve">A strategy to reduce the risk of falls should include multifactorial assessment of known fall risk factors and management of the risk factors identified. </w:t>
      </w:r>
      <w:r w:rsidRPr="00010CBD">
        <w:rPr>
          <w:rFonts w:ascii="Times New Roman" w:eastAsia="Times New Roman" w:hAnsi="Times New Roman" w:cs="Times New Roman"/>
          <w:b/>
          <w:bCs/>
          <w:sz w:val="24"/>
          <w:szCs w:val="24"/>
        </w:rPr>
        <w:t>[A]</w:t>
      </w:r>
      <w:r w:rsidRPr="00010CBD">
        <w:rPr>
          <w:rFonts w:ascii="Times New Roman" w:eastAsia="Times New Roman" w:hAnsi="Times New Roman" w:cs="Times New Roman"/>
          <w:sz w:val="24"/>
          <w:szCs w:val="24"/>
        </w:rPr>
        <w:t xml:space="preserve"> </w:t>
      </w:r>
      <w:r w:rsidR="00CF70EC">
        <w:rPr>
          <w:rFonts w:ascii="Times New Roman" w:eastAsia="Times New Roman" w:hAnsi="Times New Roman" w:cs="Times New Roman"/>
          <w:sz w:val="24"/>
          <w:szCs w:val="24"/>
        </w:rPr>
        <w:t>“</w:t>
      </w: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F324EF" w:rsidRDefault="00F324EF" w:rsidP="00265702">
      <w:pPr>
        <w:ind w:left="0" w:firstLine="0"/>
      </w:pPr>
      <w:r>
        <w:t>“A standardized format based on an evidence rating system used by the U.S. Preventative Services Task Force was used to critically analyze the literature and grade the evidence for this document (see the "Rating Scheme for the Strength of the Evidence" field). In this approach, the grade for the strength of a recommendation depends on the overall quality of evidence and on the magnitude of net benefit. Net benefit (benefit minus harm) was rated as "substantial," "moderate," "small," or "zero or negative" (see the "Rating Scheme for the Strength of the Evidence" field). Based on the determinations of overall quality of evidence and magnitude of benefit for each intervention, the panel assigned a grade for each recommendation (see the "Rating Scheme for the Strength of the Recommendations" field).”</w:t>
      </w:r>
    </w:p>
    <w:p w:rsidR="00F324EF" w:rsidRPr="00F324EF" w:rsidRDefault="00F324EF" w:rsidP="00F324EF">
      <w:pPr>
        <w:spacing w:before="100" w:beforeAutospacing="1" w:after="100" w:afterAutospacing="1"/>
        <w:ind w:left="0" w:firstLine="0"/>
        <w:rPr>
          <w:rFonts w:ascii="Times New Roman" w:eastAsia="Times New Roman" w:hAnsi="Times New Roman" w:cs="Times New Roman"/>
          <w:sz w:val="24"/>
          <w:szCs w:val="24"/>
        </w:rPr>
      </w:pPr>
      <w:r w:rsidRPr="00F324EF">
        <w:rPr>
          <w:rFonts w:ascii="Times New Roman" w:eastAsia="Times New Roman" w:hAnsi="Times New Roman" w:cs="Times New Roman"/>
          <w:b/>
          <w:bCs/>
          <w:sz w:val="24"/>
          <w:szCs w:val="24"/>
        </w:rPr>
        <w:t>Strength of Recommendation Rating System</w:t>
      </w:r>
    </w:p>
    <w:tbl>
      <w:tblPr>
        <w:tblW w:w="0" w:type="auto"/>
        <w:tblCellSpacing w:w="22"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446"/>
        <w:gridCol w:w="9182"/>
      </w:tblGrid>
      <w:tr w:rsidR="00F324EF" w:rsidRPr="00F324EF" w:rsidTr="00F324EF">
        <w:trPr>
          <w:tblCellSpacing w:w="22" w:type="dxa"/>
        </w:trPr>
        <w:tc>
          <w:tcPr>
            <w:tcW w:w="200" w:type="pct"/>
            <w:tcBorders>
              <w:top w:val="outset" w:sz="6" w:space="0" w:color="auto"/>
              <w:left w:val="outset" w:sz="6" w:space="0" w:color="auto"/>
              <w:bottom w:val="outset" w:sz="6" w:space="0" w:color="auto"/>
              <w:right w:val="outset" w:sz="6" w:space="0" w:color="auto"/>
            </w:tcBorders>
            <w:hideMark/>
          </w:tcPr>
          <w:p w:rsidR="00F324EF" w:rsidRPr="00F324EF" w:rsidRDefault="00F324EF" w:rsidP="00F324EF">
            <w:pPr>
              <w:ind w:left="0" w:firstLine="0"/>
              <w:jc w:val="center"/>
              <w:rPr>
                <w:rFonts w:ascii="Times New Roman" w:eastAsia="Times New Roman" w:hAnsi="Times New Roman" w:cs="Times New Roman"/>
                <w:b/>
                <w:bCs/>
                <w:sz w:val="24"/>
                <w:szCs w:val="24"/>
              </w:rPr>
            </w:pPr>
            <w:r w:rsidRPr="00F324EF">
              <w:rPr>
                <w:rFonts w:ascii="Times New Roman" w:eastAsia="Times New Roman" w:hAnsi="Times New Roman" w:cs="Times New Roman"/>
                <w:b/>
                <w:bCs/>
                <w:sz w:val="24"/>
                <w:szCs w:val="24"/>
              </w:rPr>
              <w:t>A</w:t>
            </w:r>
          </w:p>
        </w:tc>
        <w:tc>
          <w:tcPr>
            <w:tcW w:w="0" w:type="auto"/>
            <w:tcBorders>
              <w:top w:val="outset" w:sz="6" w:space="0" w:color="auto"/>
              <w:left w:val="outset" w:sz="6" w:space="0" w:color="auto"/>
              <w:bottom w:val="outset" w:sz="6" w:space="0" w:color="auto"/>
              <w:right w:val="outset" w:sz="6" w:space="0" w:color="auto"/>
            </w:tcBorders>
            <w:hideMark/>
          </w:tcPr>
          <w:p w:rsidR="00F324EF" w:rsidRPr="00F324EF" w:rsidRDefault="00F324EF" w:rsidP="00F324EF">
            <w:pPr>
              <w:ind w:left="0" w:firstLine="0"/>
              <w:rPr>
                <w:rFonts w:ascii="Times New Roman" w:eastAsia="Times New Roman" w:hAnsi="Times New Roman" w:cs="Times New Roman"/>
                <w:sz w:val="24"/>
                <w:szCs w:val="24"/>
              </w:rPr>
            </w:pPr>
            <w:r w:rsidRPr="00F324EF">
              <w:rPr>
                <w:rFonts w:ascii="Times New Roman" w:eastAsia="Times New Roman" w:hAnsi="Times New Roman" w:cs="Times New Roman"/>
                <w:sz w:val="24"/>
                <w:szCs w:val="24"/>
              </w:rPr>
              <w:t>A strong recommendation that the clinicians provide the intervention to eligible patients.</w:t>
            </w:r>
            <w:r w:rsidRPr="00F324EF">
              <w:rPr>
                <w:rFonts w:ascii="Times New Roman" w:eastAsia="Times New Roman" w:hAnsi="Times New Roman" w:cs="Times New Roman"/>
                <w:sz w:val="24"/>
                <w:szCs w:val="24"/>
              </w:rPr>
              <w:br/>
            </w:r>
            <w:r w:rsidRPr="00F324EF">
              <w:rPr>
                <w:rFonts w:ascii="Times New Roman" w:eastAsia="Times New Roman" w:hAnsi="Times New Roman" w:cs="Times New Roman"/>
                <w:i/>
                <w:iCs/>
                <w:sz w:val="24"/>
                <w:szCs w:val="24"/>
              </w:rPr>
              <w:t>Good evidence was found that the intervention improves important health outcomes; the conclusion is made that benefits substantially outweigh harm</w:t>
            </w:r>
            <w:r w:rsidRPr="00F324EF">
              <w:rPr>
                <w:rFonts w:ascii="Times New Roman" w:eastAsia="Times New Roman" w:hAnsi="Times New Roman" w:cs="Times New Roman"/>
                <w:sz w:val="24"/>
                <w:szCs w:val="24"/>
              </w:rPr>
              <w:t>.</w:t>
            </w:r>
          </w:p>
        </w:tc>
      </w:tr>
      <w:tr w:rsidR="00F324EF" w:rsidRPr="00F324EF" w:rsidTr="00F324EF">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F324EF" w:rsidRPr="00F324EF" w:rsidRDefault="00F324EF" w:rsidP="00F324EF">
            <w:pPr>
              <w:ind w:left="0" w:firstLine="0"/>
              <w:jc w:val="center"/>
              <w:rPr>
                <w:rFonts w:ascii="Times New Roman" w:eastAsia="Times New Roman" w:hAnsi="Times New Roman" w:cs="Times New Roman"/>
                <w:b/>
                <w:bCs/>
                <w:sz w:val="24"/>
                <w:szCs w:val="24"/>
              </w:rPr>
            </w:pPr>
            <w:r w:rsidRPr="00F324EF">
              <w:rPr>
                <w:rFonts w:ascii="Times New Roman" w:eastAsia="Times New Roman" w:hAnsi="Times New Roman" w:cs="Times New Roman"/>
                <w:b/>
                <w:bCs/>
                <w:sz w:val="24"/>
                <w:szCs w:val="24"/>
              </w:rPr>
              <w:t>B</w:t>
            </w:r>
          </w:p>
        </w:tc>
        <w:tc>
          <w:tcPr>
            <w:tcW w:w="0" w:type="auto"/>
            <w:tcBorders>
              <w:top w:val="outset" w:sz="6" w:space="0" w:color="auto"/>
              <w:left w:val="outset" w:sz="6" w:space="0" w:color="auto"/>
              <w:bottom w:val="outset" w:sz="6" w:space="0" w:color="auto"/>
              <w:right w:val="outset" w:sz="6" w:space="0" w:color="auto"/>
            </w:tcBorders>
            <w:hideMark/>
          </w:tcPr>
          <w:p w:rsidR="00F324EF" w:rsidRPr="00F324EF" w:rsidRDefault="00F324EF" w:rsidP="00F324EF">
            <w:pPr>
              <w:ind w:left="0" w:firstLine="0"/>
              <w:rPr>
                <w:rFonts w:ascii="Times New Roman" w:eastAsia="Times New Roman" w:hAnsi="Times New Roman" w:cs="Times New Roman"/>
                <w:sz w:val="24"/>
                <w:szCs w:val="24"/>
              </w:rPr>
            </w:pPr>
            <w:r w:rsidRPr="00F324EF">
              <w:rPr>
                <w:rFonts w:ascii="Times New Roman" w:eastAsia="Times New Roman" w:hAnsi="Times New Roman" w:cs="Times New Roman"/>
                <w:sz w:val="24"/>
                <w:szCs w:val="24"/>
              </w:rPr>
              <w:t>A recommendation that clinicians provide this intervention to eligible patients.</w:t>
            </w:r>
            <w:r w:rsidRPr="00F324EF">
              <w:rPr>
                <w:rFonts w:ascii="Times New Roman" w:eastAsia="Times New Roman" w:hAnsi="Times New Roman" w:cs="Times New Roman"/>
                <w:sz w:val="24"/>
                <w:szCs w:val="24"/>
              </w:rPr>
              <w:br/>
            </w:r>
            <w:r w:rsidRPr="00F324EF">
              <w:rPr>
                <w:rFonts w:ascii="Times New Roman" w:eastAsia="Times New Roman" w:hAnsi="Times New Roman" w:cs="Times New Roman"/>
                <w:i/>
                <w:iCs/>
                <w:sz w:val="24"/>
                <w:szCs w:val="24"/>
              </w:rPr>
              <w:t>At least fair evidence was found that the intervention improves health outcomes; the conclusion is made that benefits outweigh harm.</w:t>
            </w:r>
          </w:p>
        </w:tc>
      </w:tr>
      <w:tr w:rsidR="00F324EF" w:rsidRPr="00F324EF" w:rsidTr="00F324EF">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F324EF" w:rsidRPr="00F324EF" w:rsidRDefault="00F324EF" w:rsidP="00F324EF">
            <w:pPr>
              <w:ind w:left="0" w:firstLine="0"/>
              <w:jc w:val="center"/>
              <w:rPr>
                <w:rFonts w:ascii="Times New Roman" w:eastAsia="Times New Roman" w:hAnsi="Times New Roman" w:cs="Times New Roman"/>
                <w:b/>
                <w:bCs/>
                <w:sz w:val="24"/>
                <w:szCs w:val="24"/>
              </w:rPr>
            </w:pPr>
            <w:r w:rsidRPr="00F324EF">
              <w:rPr>
                <w:rFonts w:ascii="Times New Roman" w:eastAsia="Times New Roman" w:hAnsi="Times New Roman" w:cs="Times New Roman"/>
                <w:b/>
                <w:bCs/>
                <w:sz w:val="24"/>
                <w:szCs w:val="24"/>
              </w:rPr>
              <w:t>C</w:t>
            </w:r>
          </w:p>
        </w:tc>
        <w:tc>
          <w:tcPr>
            <w:tcW w:w="0" w:type="auto"/>
            <w:tcBorders>
              <w:top w:val="outset" w:sz="6" w:space="0" w:color="auto"/>
              <w:left w:val="outset" w:sz="6" w:space="0" w:color="auto"/>
              <w:bottom w:val="outset" w:sz="6" w:space="0" w:color="auto"/>
              <w:right w:val="outset" w:sz="6" w:space="0" w:color="auto"/>
            </w:tcBorders>
            <w:hideMark/>
          </w:tcPr>
          <w:p w:rsidR="00F324EF" w:rsidRPr="00F324EF" w:rsidRDefault="00F324EF" w:rsidP="00F324EF">
            <w:pPr>
              <w:ind w:left="0" w:firstLine="0"/>
              <w:rPr>
                <w:rFonts w:ascii="Times New Roman" w:eastAsia="Times New Roman" w:hAnsi="Times New Roman" w:cs="Times New Roman"/>
                <w:sz w:val="24"/>
                <w:szCs w:val="24"/>
              </w:rPr>
            </w:pPr>
            <w:r w:rsidRPr="00F324EF">
              <w:rPr>
                <w:rFonts w:ascii="Times New Roman" w:eastAsia="Times New Roman" w:hAnsi="Times New Roman" w:cs="Times New Roman"/>
                <w:sz w:val="24"/>
                <w:szCs w:val="24"/>
              </w:rPr>
              <w:t>No recommendation for or against the routine provision of the intervention is made.</w:t>
            </w:r>
            <w:r w:rsidRPr="00F324EF">
              <w:rPr>
                <w:rFonts w:ascii="Times New Roman" w:eastAsia="Times New Roman" w:hAnsi="Times New Roman" w:cs="Times New Roman"/>
                <w:sz w:val="24"/>
                <w:szCs w:val="24"/>
              </w:rPr>
              <w:br/>
            </w:r>
            <w:r w:rsidRPr="00F324EF">
              <w:rPr>
                <w:rFonts w:ascii="Times New Roman" w:eastAsia="Times New Roman" w:hAnsi="Times New Roman" w:cs="Times New Roman"/>
                <w:i/>
                <w:iCs/>
                <w:sz w:val="24"/>
                <w:szCs w:val="24"/>
              </w:rPr>
              <w:t>At least fair evidence was found that the intervention can improve health outcomes, but benefits and harms are too closely balanced to justify a general recommendation</w:t>
            </w:r>
            <w:r w:rsidRPr="00F324EF">
              <w:rPr>
                <w:rFonts w:ascii="Times New Roman" w:eastAsia="Times New Roman" w:hAnsi="Times New Roman" w:cs="Times New Roman"/>
                <w:sz w:val="24"/>
                <w:szCs w:val="24"/>
              </w:rPr>
              <w:t>.</w:t>
            </w:r>
          </w:p>
        </w:tc>
      </w:tr>
      <w:tr w:rsidR="00F324EF" w:rsidRPr="00F324EF" w:rsidTr="00F324EF">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F324EF" w:rsidRPr="00F324EF" w:rsidRDefault="00F324EF" w:rsidP="00F324EF">
            <w:pPr>
              <w:ind w:left="0" w:firstLine="0"/>
              <w:jc w:val="center"/>
              <w:rPr>
                <w:rFonts w:ascii="Times New Roman" w:eastAsia="Times New Roman" w:hAnsi="Times New Roman" w:cs="Times New Roman"/>
                <w:b/>
                <w:bCs/>
                <w:sz w:val="24"/>
                <w:szCs w:val="24"/>
              </w:rPr>
            </w:pPr>
            <w:r w:rsidRPr="00F324EF">
              <w:rPr>
                <w:rFonts w:ascii="Times New Roman" w:eastAsia="Times New Roman" w:hAnsi="Times New Roman" w:cs="Times New Roman"/>
                <w:b/>
                <w:bCs/>
                <w:sz w:val="24"/>
                <w:szCs w:val="24"/>
              </w:rPr>
              <w:t>D</w:t>
            </w:r>
          </w:p>
        </w:tc>
        <w:tc>
          <w:tcPr>
            <w:tcW w:w="0" w:type="auto"/>
            <w:tcBorders>
              <w:top w:val="outset" w:sz="6" w:space="0" w:color="auto"/>
              <w:left w:val="outset" w:sz="6" w:space="0" w:color="auto"/>
              <w:bottom w:val="outset" w:sz="6" w:space="0" w:color="auto"/>
              <w:right w:val="outset" w:sz="6" w:space="0" w:color="auto"/>
            </w:tcBorders>
            <w:hideMark/>
          </w:tcPr>
          <w:p w:rsidR="00F324EF" w:rsidRPr="00F324EF" w:rsidRDefault="00F324EF" w:rsidP="00F324EF">
            <w:pPr>
              <w:ind w:left="0" w:firstLine="0"/>
              <w:rPr>
                <w:rFonts w:ascii="Times New Roman" w:eastAsia="Times New Roman" w:hAnsi="Times New Roman" w:cs="Times New Roman"/>
                <w:sz w:val="24"/>
                <w:szCs w:val="24"/>
              </w:rPr>
            </w:pPr>
            <w:r w:rsidRPr="00F324EF">
              <w:rPr>
                <w:rFonts w:ascii="Times New Roman" w:eastAsia="Times New Roman" w:hAnsi="Times New Roman" w:cs="Times New Roman"/>
                <w:sz w:val="24"/>
                <w:szCs w:val="24"/>
              </w:rPr>
              <w:t>Recommendation is made against routinely providing the intervention to asymptomatic patients.</w:t>
            </w:r>
            <w:r w:rsidRPr="00F324EF">
              <w:rPr>
                <w:rFonts w:ascii="Times New Roman" w:eastAsia="Times New Roman" w:hAnsi="Times New Roman" w:cs="Times New Roman"/>
                <w:sz w:val="24"/>
                <w:szCs w:val="24"/>
              </w:rPr>
              <w:br/>
            </w:r>
            <w:r w:rsidRPr="00F324EF">
              <w:rPr>
                <w:rFonts w:ascii="Times New Roman" w:eastAsia="Times New Roman" w:hAnsi="Times New Roman" w:cs="Times New Roman"/>
                <w:i/>
                <w:iCs/>
                <w:sz w:val="24"/>
                <w:szCs w:val="24"/>
              </w:rPr>
              <w:t>At least fair evidence was found that the intervention is ineffective or the conclusion is made that harms outweigh benefits</w:t>
            </w:r>
            <w:r w:rsidRPr="00F324EF">
              <w:rPr>
                <w:rFonts w:ascii="Times New Roman" w:eastAsia="Times New Roman" w:hAnsi="Times New Roman" w:cs="Times New Roman"/>
                <w:sz w:val="24"/>
                <w:szCs w:val="24"/>
              </w:rPr>
              <w:t>.</w:t>
            </w:r>
          </w:p>
        </w:tc>
      </w:tr>
      <w:tr w:rsidR="00F324EF" w:rsidRPr="00F324EF" w:rsidTr="00F324EF">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F324EF" w:rsidRPr="00F324EF" w:rsidRDefault="00F324EF" w:rsidP="00F324EF">
            <w:pPr>
              <w:ind w:left="0" w:firstLine="0"/>
              <w:jc w:val="center"/>
              <w:rPr>
                <w:rFonts w:ascii="Times New Roman" w:eastAsia="Times New Roman" w:hAnsi="Times New Roman" w:cs="Times New Roman"/>
                <w:b/>
                <w:bCs/>
                <w:sz w:val="24"/>
                <w:szCs w:val="24"/>
              </w:rPr>
            </w:pPr>
            <w:r w:rsidRPr="00F324EF">
              <w:rPr>
                <w:rFonts w:ascii="Times New Roman" w:eastAsia="Times New Roman" w:hAnsi="Times New Roman" w:cs="Times New Roman"/>
                <w:b/>
                <w:bCs/>
                <w:sz w:val="24"/>
                <w:szCs w:val="24"/>
              </w:rPr>
              <w:t>I</w:t>
            </w:r>
          </w:p>
        </w:tc>
        <w:tc>
          <w:tcPr>
            <w:tcW w:w="0" w:type="auto"/>
            <w:tcBorders>
              <w:top w:val="outset" w:sz="6" w:space="0" w:color="auto"/>
              <w:left w:val="outset" w:sz="6" w:space="0" w:color="auto"/>
              <w:bottom w:val="outset" w:sz="6" w:space="0" w:color="auto"/>
              <w:right w:val="outset" w:sz="6" w:space="0" w:color="auto"/>
            </w:tcBorders>
            <w:hideMark/>
          </w:tcPr>
          <w:p w:rsidR="00F324EF" w:rsidRPr="00F324EF" w:rsidRDefault="00F324EF" w:rsidP="00F324EF">
            <w:pPr>
              <w:ind w:left="0" w:firstLine="0"/>
              <w:rPr>
                <w:rFonts w:ascii="Times New Roman" w:eastAsia="Times New Roman" w:hAnsi="Times New Roman" w:cs="Times New Roman"/>
                <w:sz w:val="24"/>
                <w:szCs w:val="24"/>
              </w:rPr>
            </w:pPr>
            <w:r w:rsidRPr="00F324EF">
              <w:rPr>
                <w:rFonts w:ascii="Times New Roman" w:eastAsia="Times New Roman" w:hAnsi="Times New Roman" w:cs="Times New Roman"/>
                <w:sz w:val="24"/>
                <w:szCs w:val="24"/>
              </w:rPr>
              <w:t>Evidence is insufficient to recommend for or against routinely providing the intervention.</w:t>
            </w:r>
            <w:r w:rsidRPr="00F324EF">
              <w:rPr>
                <w:rFonts w:ascii="Times New Roman" w:eastAsia="Times New Roman" w:hAnsi="Times New Roman" w:cs="Times New Roman"/>
                <w:sz w:val="24"/>
                <w:szCs w:val="24"/>
              </w:rPr>
              <w:br/>
            </w:r>
            <w:r w:rsidRPr="00F324EF">
              <w:rPr>
                <w:rFonts w:ascii="Times New Roman" w:eastAsia="Times New Roman" w:hAnsi="Times New Roman" w:cs="Times New Roman"/>
                <w:i/>
                <w:iCs/>
                <w:sz w:val="24"/>
                <w:szCs w:val="24"/>
              </w:rPr>
              <w:t>Evidence shows that the effectiveness of the intervention lacking, is of poor quality, or is conflicting; the conclusion is that the balance of benefits and harms cannot be determined.</w:t>
            </w:r>
          </w:p>
        </w:tc>
      </w:tr>
    </w:tbl>
    <w:p w:rsidR="00F324EF" w:rsidRPr="003B1CC5" w:rsidRDefault="00F324EF"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F324EF" w:rsidRDefault="00F324EF" w:rsidP="00265702">
      <w:pPr>
        <w:ind w:left="0" w:firstLine="0"/>
      </w:pPr>
      <w:r w:rsidRPr="00F324EF">
        <w:t xml:space="preserve">The CPG did not provide a rating of the strength of the evidence, as noted above, but the strength of the recommendation. </w:t>
      </w:r>
    </w:p>
    <w:p w:rsidR="00F324EF" w:rsidRPr="00F324EF" w:rsidRDefault="00F324EF" w:rsidP="00265702">
      <w:pPr>
        <w:ind w:left="0" w:firstLine="0"/>
      </w:pPr>
    </w:p>
    <w:p w:rsidR="00A12762" w:rsidRDefault="00776F6D" w:rsidP="002E2177">
      <w:pPr>
        <w:ind w:left="432" w:hanging="432"/>
        <w:rPr>
          <w:b/>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F324EF" w:rsidRPr="00F324EF" w:rsidRDefault="00F324EF" w:rsidP="002E2177">
      <w:pPr>
        <w:ind w:left="432" w:hanging="432"/>
        <w:rPr>
          <w:color w:val="0000FF"/>
        </w:rPr>
      </w:pPr>
      <w:r w:rsidRPr="00F324EF">
        <w:t>N/A</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AD648E" w:rsidP="00FC32D3">
      <w:pPr>
        <w:ind w:left="720" w:hanging="432"/>
        <w:rPr>
          <w:b/>
        </w:rPr>
      </w:pPr>
      <w:sdt>
        <w:sdtPr>
          <w:rPr>
            <w:bCs/>
            <w:color w:val="0000FF"/>
          </w:rPr>
          <w:id w:val="-1346319738"/>
        </w:sdtPr>
        <w:sdtEndPr/>
        <w:sdtContent>
          <w:r w:rsidR="00F324EF">
            <w:rPr>
              <w:bCs/>
              <w:color w:val="0000FF"/>
            </w:rPr>
            <w:t>X</w:t>
          </w:r>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AD648E" w:rsidP="0098657F">
      <w:pPr>
        <w:ind w:left="1008" w:hanging="720"/>
      </w:pPr>
      <w:sdt>
        <w:sdtPr>
          <w:rPr>
            <w:bCs/>
            <w:color w:val="0000FF"/>
            <w:u w:val="single"/>
          </w:rPr>
          <w:id w:val="777454248"/>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010CBD" w:rsidRPr="003B1CC5" w:rsidRDefault="00010CBD" w:rsidP="00307FA5">
      <w:pPr>
        <w:ind w:left="0" w:firstLine="0"/>
      </w:pPr>
      <w:r>
        <w:t>May 2012</w:t>
      </w:r>
    </w:p>
    <w:p w:rsidR="00307FA5" w:rsidRPr="003B1CC5" w:rsidRDefault="00010CBD" w:rsidP="00307FA5">
      <w:pPr>
        <w:ind w:left="0" w:firstLine="0"/>
        <w:rPr>
          <w:rFonts w:cs="Arial"/>
          <w:sz w:val="20"/>
          <w:szCs w:val="20"/>
        </w:rPr>
      </w:pPr>
      <w:r w:rsidRPr="00010CBD">
        <w:rPr>
          <w:rFonts w:cs="Arial"/>
          <w:sz w:val="20"/>
          <w:szCs w:val="20"/>
        </w:rPr>
        <w:t>http://www.uspreventiveservicestaskforce.org/Page/Topic/recommendation-summary/falls-prevention-in-older-adults-counseling-and-preventive-medication</w:t>
      </w: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Default="00F707E5" w:rsidP="00307FA5">
      <w:pPr>
        <w:ind w:left="0" w:firstLine="0"/>
      </w:pPr>
      <w:r>
        <w:t>“</w:t>
      </w:r>
      <w:r w:rsidR="00010CBD">
        <w:t>No single recommended tool or brief approach can reliably identify older adults at increased risk for falls, but several reasonable and feasible approaches are available for primary care clinicians.</w:t>
      </w:r>
      <w:r>
        <w:t>”</w:t>
      </w:r>
      <w:r w:rsidR="00010CBD">
        <w:t xml:space="preserve"> (B grade evidence)</w:t>
      </w:r>
    </w:p>
    <w:p w:rsidR="00010CBD" w:rsidRDefault="00010CBD" w:rsidP="00307FA5">
      <w:pPr>
        <w:ind w:left="0" w:firstLine="0"/>
      </w:pPr>
      <w:r>
        <w:t xml:space="preserve">And </w:t>
      </w:r>
    </w:p>
    <w:p w:rsidR="00010CBD" w:rsidRPr="003B1CC5" w:rsidRDefault="00F707E5" w:rsidP="00307FA5">
      <w:pPr>
        <w:ind w:left="0" w:firstLine="0"/>
      </w:pPr>
      <w:r>
        <w:t>“</w:t>
      </w:r>
      <w:r w:rsidR="00010CBD">
        <w:t>The USPSTF does not recommend automatically performing an in-depth multifactorial risk assessment in conjunction with comprehensive management of identified risks to prevent falls in community-dwelling adults aged 65 years or older because the likelihood of benefit is small. In determining whether this service is appropriate in individual cases, patients and clinicians should consider the balance of benefits and harms on the basis of the circumstances of prior falls, comorbid medical conditions, and patient values.</w:t>
      </w:r>
      <w:r>
        <w:t>”</w:t>
      </w:r>
      <w:r w:rsidR="00010CBD">
        <w:t xml:space="preserve"> (C grade evidence)</w:t>
      </w:r>
    </w:p>
    <w:p w:rsidR="00307FA5" w:rsidRPr="003B1CC5" w:rsidRDefault="00307FA5" w:rsidP="00307FA5">
      <w:pPr>
        <w:ind w:left="0" w:firstLine="0"/>
      </w:pPr>
    </w:p>
    <w:p w:rsidR="008A45F3"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010CBD" w:rsidRDefault="00010CBD" w:rsidP="00307FA5">
      <w:pPr>
        <w:ind w:left="0" w:firstLine="0"/>
      </w:pPr>
      <w:r>
        <w:t>B grade: The USPSTF recommends the service. There is high certainty that the net benefit is moderate or there is moderate certainty that the net benefit is moderate to substantial.</w:t>
      </w:r>
    </w:p>
    <w:p w:rsidR="00010CBD" w:rsidRPr="003B1CC5" w:rsidRDefault="00010CBD" w:rsidP="00307FA5">
      <w:pPr>
        <w:ind w:left="0" w:firstLine="0"/>
      </w:pPr>
      <w:r>
        <w:t>C grade: The USPSTF recommends selectively offering or providing this service to individual patients based on professional judgment and patient preferences. There is at least moderate certainty that the net benefit is small.</w:t>
      </w:r>
    </w:p>
    <w:p w:rsidR="008A45F3" w:rsidRPr="003B1CC5" w:rsidRDefault="008A45F3" w:rsidP="00307FA5">
      <w:pPr>
        <w:ind w:left="0" w:firstLine="0"/>
      </w:pPr>
    </w:p>
    <w:p w:rsidR="00307FA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010CBD" w:rsidRDefault="00010CBD" w:rsidP="00307FA5">
      <w:pPr>
        <w:ind w:left="0" w:firstLine="0"/>
      </w:pPr>
      <w:r>
        <w:t>Grade definitions for USPSTF are available here:</w:t>
      </w:r>
    </w:p>
    <w:p w:rsidR="00010CBD" w:rsidRPr="003B1CC5" w:rsidRDefault="00010CBD" w:rsidP="00307FA5">
      <w:pPr>
        <w:ind w:left="0" w:firstLine="0"/>
      </w:pPr>
      <w:r w:rsidRPr="00010CBD">
        <w:t>http://www.uspreventiveservicestaskforce.org/Page/Name/grade-definitions</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F81172" w:rsidRDefault="00F81172" w:rsidP="00F81172">
      <w:pPr>
        <w:tabs>
          <w:tab w:val="right" w:pos="360"/>
          <w:tab w:val="left" w:pos="540"/>
        </w:tabs>
        <w:spacing w:after="240"/>
        <w:ind w:left="540" w:hanging="540"/>
        <w:rPr>
          <w:rFonts w:cs="Times New Roman"/>
          <w:noProof/>
        </w:rPr>
      </w:pPr>
      <w:r>
        <w:rPr>
          <w:rFonts w:cs="Times New Roman"/>
          <w:noProof/>
        </w:rPr>
        <w:lastRenderedPageBreak/>
        <w:t xml:space="preserve">Gillespie LD, Robertson MC, Gillespie WJ et al. Interventions for preventing falls in older people living in the community. </w:t>
      </w:r>
      <w:r w:rsidRPr="00415CCC">
        <w:rPr>
          <w:rFonts w:cs="Times New Roman"/>
          <w:i/>
          <w:noProof/>
        </w:rPr>
        <w:t>Cochrane Database Syst Rev</w:t>
      </w:r>
      <w:r>
        <w:rPr>
          <w:rFonts w:cs="Times New Roman"/>
          <w:noProof/>
        </w:rPr>
        <w:t xml:space="preserve"> 2012;9:CD007146.</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Default="00F707E5" w:rsidP="00EE5AF6">
      <w:pPr>
        <w:ind w:left="0" w:firstLine="0"/>
      </w:pPr>
      <w:r>
        <w:t xml:space="preserve">The evidence reviews (USPSTF, American Geriatric Society/British Geriatric Society guideline and Cochrane Review by Gillespie et al., 2012) include multifactorial falls risk assessment for older people (age 65 and older) living in the community. </w:t>
      </w:r>
    </w:p>
    <w:p w:rsidR="00F707E5" w:rsidRPr="003B1CC5" w:rsidRDefault="00F707E5" w:rsidP="00EE5AF6">
      <w:pPr>
        <w:ind w:left="0" w:firstLine="0"/>
      </w:pPr>
    </w:p>
    <w:p w:rsidR="00095EC9"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F707E5" w:rsidRPr="003B1CC5" w:rsidRDefault="00F707E5" w:rsidP="00EA79C9">
      <w:pPr>
        <w:ind w:left="0" w:firstLine="0"/>
      </w:pPr>
      <w:r>
        <w:t xml:space="preserve">The grades vary by evidence with USPSTF identifying C grade recommendations (should be selectively done) while the AGS/BGS guideline provide a strong recommendation that this be done by clinicians for all older people living in the community.  </w:t>
      </w:r>
    </w:p>
    <w:p w:rsidR="00095EC9" w:rsidRPr="003B1CC5" w:rsidRDefault="00095EC9" w:rsidP="00EA79C9">
      <w:pPr>
        <w:ind w:left="0" w:firstLine="0"/>
      </w:pPr>
    </w:p>
    <w:p w:rsidR="00EA79C9"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F707E5" w:rsidRPr="00F707E5" w:rsidRDefault="00F707E5" w:rsidP="00EA79C9">
      <w:pPr>
        <w:ind w:left="0" w:firstLine="0"/>
        <w:rPr>
          <w:color w:val="0000FF"/>
        </w:rPr>
      </w:pPr>
      <w:r w:rsidRPr="00F707E5">
        <w:t>Grades are noted above</w:t>
      </w:r>
      <w:r>
        <w:t xml:space="preserve"> for each recommendation</w:t>
      </w: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Default="00F707E5" w:rsidP="002E2177">
      <w:pPr>
        <w:ind w:left="0" w:firstLine="0"/>
        <w:rPr>
          <w:noProof/>
        </w:rPr>
      </w:pPr>
      <w:r>
        <w:rPr>
          <w:noProof/>
        </w:rPr>
        <w:t>AGS/BGS clinical practice guideline included literature from May 2001 through April 2008</w:t>
      </w:r>
      <w:r w:rsidR="00DC264A">
        <w:rPr>
          <w:noProof/>
        </w:rPr>
        <w:t>.</w:t>
      </w:r>
    </w:p>
    <w:p w:rsidR="00F707E5" w:rsidRPr="003B1CC5" w:rsidRDefault="00F707E5" w:rsidP="002E2177">
      <w:pPr>
        <w:ind w:left="0" w:firstLine="0"/>
        <w:rPr>
          <w:noProof/>
        </w:rPr>
      </w:pPr>
      <w:r>
        <w:rPr>
          <w:noProof/>
        </w:rPr>
        <w:t xml:space="preserve">The USPSTF reviewed RCTs published between </w:t>
      </w:r>
      <w:r w:rsidR="00DC264A">
        <w:t>January 2002 to</w:t>
      </w:r>
      <w:r>
        <w:t xml:space="preserve"> February 2009</w:t>
      </w:r>
      <w:r w:rsidR="00DC264A">
        <w:t>.</w:t>
      </w: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Default="00F707E5" w:rsidP="002E2177">
      <w:pPr>
        <w:ind w:left="0" w:firstLine="0"/>
      </w:pPr>
      <w:r>
        <w:t>The AGS/BGS included all types of studies</w:t>
      </w:r>
      <w:r w:rsidR="00DC264A">
        <w:t xml:space="preserve"> but did not report the number </w:t>
      </w:r>
      <w:r>
        <w:t xml:space="preserve">of studies used for the specific recommendation to perform a multifactorial falls risk assessment. </w:t>
      </w:r>
    </w:p>
    <w:p w:rsidR="00F707E5" w:rsidRDefault="00F707E5" w:rsidP="002E2177">
      <w:pPr>
        <w:ind w:left="0" w:firstLine="0"/>
      </w:pPr>
      <w:r>
        <w:t>The USPSTF included 47 RCTs in their review.</w:t>
      </w:r>
    </w:p>
    <w:p w:rsidR="00F707E5" w:rsidRPr="003B1CC5" w:rsidRDefault="00F707E5" w:rsidP="002E2177">
      <w:pPr>
        <w:ind w:left="0" w:firstLine="0"/>
      </w:pPr>
    </w:p>
    <w:p w:rsidR="00496AF8"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F707E5" w:rsidRPr="003B1CC5" w:rsidRDefault="00F707E5" w:rsidP="002E2177">
      <w:pPr>
        <w:ind w:left="432" w:hanging="432"/>
        <w:rPr>
          <w:iCs/>
        </w:rPr>
      </w:pPr>
      <w:r>
        <w:rPr>
          <w:iCs/>
        </w:rPr>
        <w:t xml:space="preserve">The AGS/BGS and USPSTF all identify that the evidence is of moderate quality. There are a variety of factors that led both groups to this conclusion including sample size issues, representativeness, and description and fidelity of the interventions for the RCTs.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Default="00F707E5" w:rsidP="002E2177">
      <w:pPr>
        <w:ind w:left="0" w:firstLine="0"/>
      </w:pPr>
      <w:r>
        <w:t>The only numeric detail for multifactorial falls risk assessment comes from the Cochrane review which states:</w:t>
      </w:r>
    </w:p>
    <w:p w:rsidR="00F707E5" w:rsidRPr="003B1CC5" w:rsidRDefault="00F707E5" w:rsidP="002E2177">
      <w:pPr>
        <w:ind w:left="0" w:firstLine="0"/>
      </w:pPr>
      <w:r>
        <w:t>“</w:t>
      </w:r>
      <w:r>
        <w:rPr>
          <w:rFonts w:ascii="Arial" w:hAnsi="Arial" w:cs="Arial"/>
          <w:sz w:val="20"/>
          <w:szCs w:val="20"/>
        </w:rPr>
        <w:t>Multifactorial interventions, which include individual risk assessment, reduced rate of falls (RaR 0.76, 95% CI 0.67 to 0.86; 19 trials; 9503 participants), but not risk of falling (RR 0.93, 95% CI 0.86 to 1.02; 34 trials; 13,617 participants).” Gillespie et al. 2012</w:t>
      </w:r>
      <w:r w:rsidR="00DC264A">
        <w:rPr>
          <w:rFonts w:ascii="Arial" w:hAnsi="Arial" w:cs="Arial"/>
          <w:sz w:val="20"/>
          <w:szCs w:val="20"/>
        </w:rPr>
        <w:t>.</w:t>
      </w:r>
    </w:p>
    <w:p w:rsidR="009B5BEA" w:rsidRPr="003B1CC5" w:rsidRDefault="009B5BEA" w:rsidP="002E2177">
      <w:pPr>
        <w:ind w:left="0" w:firstLine="0"/>
      </w:pPr>
    </w:p>
    <w:p w:rsidR="00496AF8"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F707E5" w:rsidRPr="003B1CC5" w:rsidRDefault="00F707E5" w:rsidP="002E2177">
      <w:pPr>
        <w:ind w:left="0" w:firstLine="0"/>
      </w:pPr>
      <w:r>
        <w:t xml:space="preserve">Harms were not studied but it was noted by the AGS/BGS guideline that exercise is a common intervention for older people at risk for falls and has some risks associated with it. </w:t>
      </w:r>
    </w:p>
    <w:p w:rsidR="00496AF8" w:rsidRPr="003B1CC5" w:rsidRDefault="00496AF8" w:rsidP="002E2177">
      <w:pPr>
        <w:ind w:left="0" w:firstLine="0"/>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Default="00837121" w:rsidP="002E2177">
      <w:pPr>
        <w:ind w:left="0" w:firstLine="0"/>
        <w:rPr>
          <w:b/>
          <w:color w:val="0070C0"/>
        </w:rPr>
      </w:pPr>
    </w:p>
    <w:p w:rsidR="0063242E" w:rsidRDefault="00F707E5" w:rsidP="0063242E">
      <w:r w:rsidRPr="00F707E5">
        <w:t xml:space="preserve">There </w:t>
      </w:r>
      <w:r w:rsidR="0063242E">
        <w:t xml:space="preserve">is one small study by Arena et al (2015) in one agency: </w:t>
      </w:r>
      <w:r w:rsidR="0063242E" w:rsidRPr="001B55CC">
        <w:t>Descriptive chart review was conducted for patients managed by physical therapists at one HHA (n=95). 4.2% of patients received medications from a fall risk category and 90.5% of patients were identified as risk due to polypharmacy.</w:t>
      </w:r>
    </w:p>
    <w:p w:rsidR="0063242E" w:rsidRDefault="0063242E" w:rsidP="0063242E">
      <w:pPr>
        <w:rPr>
          <w:rFonts w:ascii="Calibri" w:hAnsi="Calibri"/>
          <w:noProof/>
        </w:rPr>
      </w:pPr>
      <w:r w:rsidRPr="00EA2A48">
        <w:rPr>
          <w:rFonts w:ascii="Calibri" w:hAnsi="Calibri"/>
          <w:noProof/>
        </w:rPr>
        <w:tab/>
      </w:r>
    </w:p>
    <w:p w:rsidR="0063242E" w:rsidRPr="001B55CC" w:rsidRDefault="0063242E" w:rsidP="0063242E">
      <w:r w:rsidRPr="00EA2A48">
        <w:rPr>
          <w:rFonts w:ascii="Calibri" w:hAnsi="Calibri"/>
          <w:noProof/>
        </w:rPr>
        <w:tab/>
        <w:t xml:space="preserve">Arena SK, Rataj J, Thompson M, Peterson EL, Bennis S. Medications and fall risk indicators among patients case-managed by physical therapists. </w:t>
      </w:r>
      <w:r w:rsidRPr="00EA2A48">
        <w:rPr>
          <w:rFonts w:ascii="Calibri" w:hAnsi="Calibri"/>
          <w:i/>
          <w:noProof/>
        </w:rPr>
        <w:t>Home Healthc Now</w:t>
      </w:r>
      <w:r w:rsidRPr="00EA2A48">
        <w:rPr>
          <w:rFonts w:ascii="Calibri" w:hAnsi="Calibri"/>
          <w:noProof/>
        </w:rPr>
        <w:t xml:space="preserve"> 2015;33:96-10</w:t>
      </w:r>
    </w:p>
    <w:p w:rsidR="00F707E5" w:rsidRDefault="00F707E5" w:rsidP="002E2177">
      <w:pPr>
        <w:ind w:left="0" w:firstLine="0"/>
      </w:pPr>
      <w:r>
        <w:t xml:space="preserve"> </w:t>
      </w:r>
    </w:p>
    <w:p w:rsidR="0063242E" w:rsidRPr="00F707E5" w:rsidRDefault="0063242E" w:rsidP="002E2177">
      <w:pPr>
        <w:ind w:left="0" w:firstLine="0"/>
      </w:pPr>
      <w:r>
        <w:t>This study has no impact on the conclusions of the systematic reviews, meta</w:t>
      </w:r>
      <w:r w:rsidR="001F5C30">
        <w:t>-</w:t>
      </w:r>
      <w:r>
        <w:t xml:space="preserve">analysis or CPG. </w:t>
      </w: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F81172"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F81172" w:rsidRDefault="00F81172" w:rsidP="002E2177">
      <w:pPr>
        <w:ind w:left="0" w:firstLine="0"/>
        <w:rPr>
          <w:b/>
        </w:rPr>
      </w:pPr>
    </w:p>
    <w:p w:rsidR="00837121" w:rsidRPr="001B772D" w:rsidRDefault="001F5C30" w:rsidP="00F81172">
      <w:r>
        <w:fldChar w:fldCharType="begin"/>
      </w:r>
      <w:r>
        <w:instrText xml:space="preserve"> ADDIN REFMGR.REFLIST </w:instrText>
      </w:r>
      <w:r>
        <w:fldChar w:fldCharType="end"/>
      </w:r>
    </w:p>
    <w:sectPr w:rsidR="00837121" w:rsidRPr="001B772D" w:rsidSect="00D92CEF">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CFA" w:rsidRDefault="00F64CFA" w:rsidP="007E37A5">
      <w:r>
        <w:separator/>
      </w:r>
    </w:p>
  </w:endnote>
  <w:endnote w:type="continuationSeparator" w:id="0">
    <w:p w:rsidR="00F64CFA" w:rsidRDefault="00F64CFA"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00FD36E1" w:rsidRPr="00395263">
      <w:fldChar w:fldCharType="begin"/>
    </w:r>
    <w:r w:rsidRPr="00395263">
      <w:instrText xml:space="preserve"> PAGE   \* MERGEFORMAT </w:instrText>
    </w:r>
    <w:r w:rsidR="00FD36E1" w:rsidRPr="00395263">
      <w:fldChar w:fldCharType="separate"/>
    </w:r>
    <w:r w:rsidR="00AD648E">
      <w:rPr>
        <w:noProof/>
      </w:rPr>
      <w:t>1</w:t>
    </w:r>
    <w:r w:rsidR="00FD36E1"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CFA" w:rsidRDefault="00F64CFA" w:rsidP="007E37A5">
      <w:r>
        <w:separator/>
      </w:r>
    </w:p>
  </w:footnote>
  <w:footnote w:type="continuationSeparator" w:id="0">
    <w:p w:rsidR="00F64CFA" w:rsidRDefault="00F64CFA"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C440AA0"/>
    <w:multiLevelType w:val="multilevel"/>
    <w:tmpl w:val="978AFC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2"/>
  </w:compat>
  <w:docVars>
    <w:docVar w:name="REFMGR.InstantFormat" w:val="&lt;ENInstantFormat&gt;&lt;Enabled&gt;1&lt;/Enabled&gt;&lt;ScanUnformatted&gt;1&lt;/ScanUnformatted&gt;&lt;ScanChanges&gt;1&lt;/ScanChanges&gt;&lt;/ENInstantFormat&gt;"/>
    <w:docVar w:name="REFMGR.Libraries" w:val="&lt;ENLibraries&gt;&lt;Libraries&gt;&lt;item&gt;tle falls&lt;/item&gt;&lt;/Libraries&gt;&lt;/ENLibraries&gt;"/>
  </w:docVars>
  <w:rsids>
    <w:rsidRoot w:val="00496AF8"/>
    <w:rsid w:val="00010CBD"/>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1F5C30"/>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5F6AC8"/>
    <w:rsid w:val="00617390"/>
    <w:rsid w:val="00623420"/>
    <w:rsid w:val="0063242E"/>
    <w:rsid w:val="00634768"/>
    <w:rsid w:val="0063596F"/>
    <w:rsid w:val="006709EB"/>
    <w:rsid w:val="00672824"/>
    <w:rsid w:val="0068184A"/>
    <w:rsid w:val="006A7377"/>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648E"/>
    <w:rsid w:val="00AD79C8"/>
    <w:rsid w:val="00AE6CE0"/>
    <w:rsid w:val="00B058A6"/>
    <w:rsid w:val="00B117D0"/>
    <w:rsid w:val="00B13998"/>
    <w:rsid w:val="00B439DD"/>
    <w:rsid w:val="00B52E0F"/>
    <w:rsid w:val="00B74629"/>
    <w:rsid w:val="00B91F58"/>
    <w:rsid w:val="00BA579E"/>
    <w:rsid w:val="00BE2295"/>
    <w:rsid w:val="00BE6373"/>
    <w:rsid w:val="00BF51D2"/>
    <w:rsid w:val="00BF533A"/>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0EC"/>
    <w:rsid w:val="00CF772F"/>
    <w:rsid w:val="00D00014"/>
    <w:rsid w:val="00D048DB"/>
    <w:rsid w:val="00D14F0B"/>
    <w:rsid w:val="00D178CA"/>
    <w:rsid w:val="00D3311C"/>
    <w:rsid w:val="00D53405"/>
    <w:rsid w:val="00D5457B"/>
    <w:rsid w:val="00D72995"/>
    <w:rsid w:val="00D92CEF"/>
    <w:rsid w:val="00DA7FA2"/>
    <w:rsid w:val="00DC264A"/>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15D5"/>
    <w:rsid w:val="00EC2247"/>
    <w:rsid w:val="00EE1F87"/>
    <w:rsid w:val="00EE3931"/>
    <w:rsid w:val="00EE5AF6"/>
    <w:rsid w:val="00EF2CEF"/>
    <w:rsid w:val="00F1092D"/>
    <w:rsid w:val="00F324EF"/>
    <w:rsid w:val="00F42C20"/>
    <w:rsid w:val="00F431D8"/>
    <w:rsid w:val="00F64CFA"/>
    <w:rsid w:val="00F67706"/>
    <w:rsid w:val="00F707E5"/>
    <w:rsid w:val="00F81172"/>
    <w:rsid w:val="00F92D75"/>
    <w:rsid w:val="00F97327"/>
    <w:rsid w:val="00FA296F"/>
    <w:rsid w:val="00FA7323"/>
    <w:rsid w:val="00FC32D3"/>
    <w:rsid w:val="00FD36E1"/>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fthighlight">
    <w:name w:val="ft_highlight"/>
    <w:basedOn w:val="DefaultParagraphFont"/>
    <w:rsid w:val="00010CBD"/>
  </w:style>
  <w:style w:type="character" w:styleId="Strong">
    <w:name w:val="Strong"/>
    <w:basedOn w:val="DefaultParagraphFont"/>
    <w:uiPriority w:val="22"/>
    <w:qFormat/>
    <w:rsid w:val="00010CBD"/>
    <w:rPr>
      <w:b/>
      <w:bCs/>
    </w:rPr>
  </w:style>
  <w:style w:type="paragraph" w:styleId="NormalWeb">
    <w:name w:val="Normal (Web)"/>
    <w:basedOn w:val="Normal"/>
    <w:uiPriority w:val="99"/>
    <w:semiHidden/>
    <w:unhideWhenUsed/>
    <w:rsid w:val="00F324EF"/>
    <w:pPr>
      <w:spacing w:before="100" w:beforeAutospacing="1" w:after="100" w:afterAutospacing="1"/>
      <w:ind w:left="0" w:firstLine="0"/>
    </w:pPr>
    <w:rPr>
      <w:rFonts w:ascii="Times New Roman" w:eastAsia="Times New Roman" w:hAnsi="Times New Roman" w:cs="Times New Roman"/>
      <w:sz w:val="24"/>
      <w:szCs w:val="24"/>
    </w:rPr>
  </w:style>
  <w:style w:type="character" w:styleId="Emphasis">
    <w:name w:val="Emphasis"/>
    <w:basedOn w:val="DefaultParagraphFont"/>
    <w:uiPriority w:val="20"/>
    <w:qFormat/>
    <w:rsid w:val="00F324E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855561">
      <w:bodyDiv w:val="1"/>
      <w:marLeft w:val="0"/>
      <w:marRight w:val="0"/>
      <w:marTop w:val="0"/>
      <w:marBottom w:val="0"/>
      <w:divBdr>
        <w:top w:val="none" w:sz="0" w:space="0" w:color="auto"/>
        <w:left w:val="none" w:sz="0" w:space="0" w:color="auto"/>
        <w:bottom w:val="none" w:sz="0" w:space="0" w:color="auto"/>
        <w:right w:val="none" w:sz="0" w:space="0" w:color="auto"/>
      </w:divBdr>
    </w:div>
    <w:div w:id="203496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FC30A1"/>
    <w:rsid w:val="00160241"/>
    <w:rsid w:val="00190180"/>
    <w:rsid w:val="002B5F47"/>
    <w:rsid w:val="003A1E4B"/>
    <w:rsid w:val="00455EB5"/>
    <w:rsid w:val="00461C1C"/>
    <w:rsid w:val="004E1092"/>
    <w:rsid w:val="004E2027"/>
    <w:rsid w:val="005F21F3"/>
    <w:rsid w:val="007B0486"/>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4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24796-D7B8-4763-9189-94B6C3483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2774</Words>
  <Characters>15815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18552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Nicole Keane</cp:lastModifiedBy>
  <cp:revision>10</cp:revision>
  <dcterms:created xsi:type="dcterms:W3CDTF">2015-03-13T12:01:00Z</dcterms:created>
  <dcterms:modified xsi:type="dcterms:W3CDTF">2015-04-05T17:15:00Z</dcterms:modified>
</cp:coreProperties>
</file>