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55CD6E"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67B6C8CE" w14:textId="77777777" w:rsidR="00797624" w:rsidRDefault="00797624" w:rsidP="00105D8B">
      <w:pPr>
        <w:contextualSpacing/>
        <w:rPr>
          <w:rFonts w:cstheme="minorHAnsi"/>
          <w:b/>
          <w:noProof/>
        </w:rPr>
      </w:pPr>
    </w:p>
    <w:p w14:paraId="6A426A7D"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0328BF">
            <w:rPr>
              <w:rStyle w:val="Style1"/>
            </w:rPr>
            <w:t>053</w:t>
          </w:r>
          <w:r w:rsidR="00EF0B4B">
            <w:rPr>
              <w:rStyle w:val="Style1"/>
            </w:rPr>
            <w:t>8</w:t>
          </w:r>
        </w:sdtContent>
      </w:sdt>
    </w:p>
    <w:p w14:paraId="10FC2D95" w14:textId="77777777"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EF0B4B">
            <w:rPr>
              <w:rStyle w:val="Style1"/>
              <w:rFonts w:cstheme="minorHAnsi"/>
            </w:rPr>
            <w:t>Pressure Ulcer Prevention and Care</w:t>
          </w:r>
        </w:sdtContent>
      </w:sdt>
    </w:p>
    <w:p w14:paraId="356D5D62" w14:textId="77777777"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5-04-07T00:00:00Z">
            <w:dateFormat w:val="M/d/yyyy"/>
            <w:lid w:val="en-US"/>
            <w:storeMappedDataAs w:val="dateTime"/>
            <w:calendar w:val="gregorian"/>
          </w:date>
        </w:sdtPr>
        <w:sdtEndPr>
          <w:rPr>
            <w:rStyle w:val="DefaultParagraphFont"/>
            <w:noProof/>
            <w:color w:val="auto"/>
            <w:u w:val="none"/>
          </w:rPr>
        </w:sdtEndPr>
        <w:sdtContent>
          <w:r w:rsidR="002F1158">
            <w:rPr>
              <w:rStyle w:val="Style2"/>
              <w:rFonts w:cstheme="minorHAnsi"/>
            </w:rPr>
            <w:t>4/7/2015</w:t>
          </w:r>
        </w:sdtContent>
      </w:sdt>
    </w:p>
    <w:p w14:paraId="3FA4518B"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0C5A5D61" w14:textId="77777777" w:rsidTr="000B3880">
        <w:trPr>
          <w:jc w:val="center"/>
        </w:trPr>
        <w:tc>
          <w:tcPr>
            <w:tcW w:w="2547" w:type="pct"/>
          </w:tcPr>
          <w:p w14:paraId="1DD90C47" w14:textId="77777777" w:rsidR="00CD364B" w:rsidRPr="00B82A57" w:rsidRDefault="00EA4ECD"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AB8BDE9" w14:textId="77777777" w:rsidR="00CD364B" w:rsidRPr="00B82A57" w:rsidRDefault="00EA4ECD"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A82695">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0196E36F" w14:textId="77777777" w:rsidTr="000B3880">
        <w:trPr>
          <w:jc w:val="center"/>
        </w:trPr>
        <w:tc>
          <w:tcPr>
            <w:tcW w:w="2547" w:type="pct"/>
          </w:tcPr>
          <w:p w14:paraId="01BCFB87" w14:textId="77777777" w:rsidR="00CD364B" w:rsidRPr="00B82A57" w:rsidRDefault="00EA4ECD"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4A0A20BE" w14:textId="77777777" w:rsidR="00CD364B" w:rsidRPr="00B82A57" w:rsidRDefault="00EA4ECD"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A82695">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B0C2014" w14:textId="77777777" w:rsidTr="000B3880">
        <w:trPr>
          <w:jc w:val="center"/>
        </w:trPr>
        <w:tc>
          <w:tcPr>
            <w:tcW w:w="2547" w:type="pct"/>
          </w:tcPr>
          <w:p w14:paraId="149FCB9B" w14:textId="77777777" w:rsidR="00CD364B" w:rsidRPr="00B82A57" w:rsidRDefault="00EA4ECD"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152A837" w14:textId="77777777" w:rsidR="00CD364B" w:rsidRPr="00B82A57" w:rsidRDefault="00EA4ECD"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4B379C8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7C54CBF8" w14:textId="77777777" w:rsidTr="00145149">
        <w:trPr>
          <w:jc w:val="center"/>
        </w:trPr>
        <w:tc>
          <w:tcPr>
            <w:tcW w:w="9576" w:type="dxa"/>
          </w:tcPr>
          <w:p w14:paraId="2F7D7550" w14:textId="77777777" w:rsidR="00B53E8B" w:rsidRPr="00B53E8B" w:rsidRDefault="00B53E8B" w:rsidP="00B53E8B">
            <w:pPr>
              <w:rPr>
                <w:rFonts w:cstheme="minorHAnsi"/>
                <w:b/>
                <w:noProof/>
              </w:rPr>
            </w:pPr>
            <w:r w:rsidRPr="00B53E8B">
              <w:rPr>
                <w:rFonts w:cstheme="minorHAnsi"/>
                <w:b/>
                <w:noProof/>
              </w:rPr>
              <w:t>Instructions</w:t>
            </w:r>
          </w:p>
          <w:p w14:paraId="7B0A385A"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5220E109"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5265F85A"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2CF5659F"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5D483ED4"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79F4274"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73C52425"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6D088EA2" w14:textId="77777777"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9" w:history="1">
              <w:r w:rsidR="00145149" w:rsidRPr="00145149">
                <w:rPr>
                  <w:rStyle w:val="Hyperlink"/>
                </w:rPr>
                <w:t>Submitting Standards webpage</w:t>
              </w:r>
            </w:hyperlink>
            <w:r w:rsidR="00145149">
              <w:t>.</w:t>
            </w:r>
          </w:p>
        </w:tc>
      </w:tr>
    </w:tbl>
    <w:p w14:paraId="5C21D15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0A23D195" w14:textId="77777777" w:rsidTr="00145149">
        <w:trPr>
          <w:jc w:val="center"/>
        </w:trPr>
        <w:tc>
          <w:tcPr>
            <w:tcW w:w="9576" w:type="dxa"/>
          </w:tcPr>
          <w:p w14:paraId="186803BE"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69645867" w14:textId="77777777" w:rsidR="00B53E8B" w:rsidRPr="00A831B4" w:rsidRDefault="00B53E8B" w:rsidP="00702C73">
            <w:pPr>
              <w:rPr>
                <w:rFonts w:cstheme="minorHAnsi"/>
                <w:b/>
                <w:bCs/>
                <w:sz w:val="20"/>
                <w:szCs w:val="20"/>
              </w:rPr>
            </w:pPr>
          </w:p>
          <w:p w14:paraId="49A05317"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26A073DF" w14:textId="77777777" w:rsidR="00145149" w:rsidRPr="000F034A" w:rsidRDefault="00145149" w:rsidP="00145149">
            <w:pPr>
              <w:autoSpaceDE w:val="0"/>
              <w:autoSpaceDN w:val="0"/>
              <w:adjustRightInd w:val="0"/>
              <w:rPr>
                <w:rFonts w:cstheme="minorHAnsi"/>
                <w:b/>
                <w:iCs/>
              </w:rPr>
            </w:pPr>
          </w:p>
          <w:p w14:paraId="7489F5AB"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6BA2A225" w14:textId="77777777" w:rsidR="00145149" w:rsidRPr="000F034A" w:rsidRDefault="00145149" w:rsidP="00145149">
            <w:pPr>
              <w:rPr>
                <w:rFonts w:cstheme="minorHAnsi"/>
              </w:rPr>
            </w:pPr>
            <w:bookmarkStart w:id="0" w:name="_Toc256067249"/>
          </w:p>
          <w:p w14:paraId="59335D8D"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2298CAA8" w14:textId="77777777" w:rsidR="00145149" w:rsidRPr="000F034A" w:rsidRDefault="00145149" w:rsidP="00145149">
            <w:pPr>
              <w:rPr>
                <w:rFonts w:cstheme="minorHAnsi"/>
                <w:b/>
              </w:rPr>
            </w:pPr>
            <w:r w:rsidRPr="000F034A">
              <w:rPr>
                <w:rFonts w:cstheme="minorHAnsi"/>
                <w:b/>
              </w:rPr>
              <w:t xml:space="preserve">AND </w:t>
            </w:r>
          </w:p>
          <w:p w14:paraId="5AA3601A" w14:textId="304B5497" w:rsidR="00145149" w:rsidRPr="000F034A" w:rsidRDefault="00145149" w:rsidP="00145149">
            <w:pPr>
              <w:rPr>
                <w:rFonts w:cstheme="minorHAnsi"/>
              </w:rPr>
            </w:pPr>
            <w:r w:rsidRPr="000F034A">
              <w:rPr>
                <w:rFonts w:cstheme="minorHAnsi"/>
              </w:rPr>
              <w:t xml:space="preserve">If patient preference (e.g., informed </w:t>
            </w:r>
            <w:r w:rsidR="00496437" w:rsidRPr="000F034A">
              <w:rPr>
                <w:rFonts w:cstheme="minorHAnsi"/>
              </w:rPr>
              <w:t>decision-making</w:t>
            </w:r>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48AAB3D1" w14:textId="77777777" w:rsidR="00145149" w:rsidRPr="000F034A" w:rsidRDefault="00145149" w:rsidP="00145149">
            <w:pPr>
              <w:rPr>
                <w:rFonts w:cstheme="minorHAnsi"/>
                <w:b/>
                <w:bCs/>
              </w:rPr>
            </w:pPr>
          </w:p>
          <w:p w14:paraId="57C121C1" w14:textId="77777777" w:rsidR="00145149" w:rsidRPr="000F034A" w:rsidRDefault="00145149" w:rsidP="00145149">
            <w:pPr>
              <w:rPr>
                <w:rFonts w:cstheme="minorHAnsi"/>
              </w:rPr>
            </w:pPr>
            <w:bookmarkStart w:id="1"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738D83C" w14:textId="77777777"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4ACC3795" w14:textId="77777777" w:rsidR="00145149" w:rsidRPr="000F034A" w:rsidRDefault="00145149" w:rsidP="00145149">
            <w:pPr>
              <w:rPr>
                <w:rFonts w:cstheme="minorHAnsi"/>
                <w:b/>
              </w:rPr>
            </w:pPr>
            <w:r w:rsidRPr="000F034A">
              <w:rPr>
                <w:rFonts w:cstheme="minorHAnsi"/>
                <w:b/>
              </w:rPr>
              <w:t>OR</w:t>
            </w:r>
          </w:p>
          <w:p w14:paraId="177D3B67"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3A5CA3F4" w14:textId="77777777" w:rsidR="00145149" w:rsidRPr="000F034A" w:rsidRDefault="00145149" w:rsidP="00145149">
            <w:pPr>
              <w:rPr>
                <w:rFonts w:cstheme="minorHAnsi"/>
                <w:b/>
                <w:bCs/>
              </w:rPr>
            </w:pPr>
          </w:p>
          <w:bookmarkEnd w:id="1"/>
          <w:p w14:paraId="0F0A90B3"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235DDA54" w14:textId="77777777" w:rsidR="00145149" w:rsidRPr="000F034A" w:rsidRDefault="00145149" w:rsidP="00145149">
            <w:pPr>
              <w:rPr>
                <w:rFonts w:cstheme="minorHAnsi"/>
              </w:rPr>
            </w:pPr>
            <w:r w:rsidRPr="000F034A">
              <w:rPr>
                <w:rFonts w:cstheme="minorHAnsi"/>
                <w:b/>
              </w:rPr>
              <w:t>OR</w:t>
            </w:r>
          </w:p>
          <w:p w14:paraId="628D7DF0"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69254D95" w14:textId="77777777" w:rsidR="00145149" w:rsidRPr="000F034A" w:rsidRDefault="00145149" w:rsidP="00145149">
            <w:pPr>
              <w:rPr>
                <w:rFonts w:cstheme="minorHAnsi"/>
                <w:b/>
                <w:bCs/>
              </w:rPr>
            </w:pPr>
          </w:p>
          <w:p w14:paraId="571E2E76"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3BE93CD5" w14:textId="77777777" w:rsidR="00E30584" w:rsidRPr="000F034A" w:rsidRDefault="00E30584" w:rsidP="00145149">
            <w:pPr>
              <w:rPr>
                <w:rFonts w:cstheme="minorHAnsi"/>
              </w:rPr>
            </w:pPr>
          </w:p>
          <w:p w14:paraId="7DCF9AA8"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14:paraId="206D12B9" w14:textId="77777777" w:rsidR="00145149" w:rsidRPr="00A831B4" w:rsidRDefault="00145149" w:rsidP="00145149">
            <w:pPr>
              <w:rPr>
                <w:rFonts w:cstheme="minorHAnsi"/>
                <w:b/>
                <w:bCs/>
                <w:sz w:val="20"/>
                <w:szCs w:val="20"/>
              </w:rPr>
            </w:pPr>
          </w:p>
          <w:p w14:paraId="13740812"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65664B3E"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206165EA"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538F740F"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41644A2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3F7E7B50" w14:textId="77777777"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14:paraId="724D732B" w14:textId="77777777"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204820EC" w14:textId="77777777"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1B2BFE6C" w14:textId="77777777" w:rsidR="00BC0D25" w:rsidRDefault="00BC0D25" w:rsidP="00702C73">
      <w:pPr>
        <w:spacing w:after="0" w:line="240" w:lineRule="auto"/>
        <w:rPr>
          <w:rFonts w:cstheme="minorHAnsi"/>
          <w:noProof/>
        </w:rPr>
      </w:pPr>
    </w:p>
    <w:p w14:paraId="01CC3F0B" w14:textId="77777777" w:rsidR="00702C73" w:rsidRPr="00702C73" w:rsidRDefault="00702C73" w:rsidP="00702C73">
      <w:pPr>
        <w:spacing w:after="0" w:line="240" w:lineRule="auto"/>
        <w:rPr>
          <w:rFonts w:cstheme="minorHAnsi"/>
          <w:noProof/>
        </w:rPr>
      </w:pPr>
    </w:p>
    <w:p w14:paraId="139B3941"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44F02531"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4BCFAA95" w14:textId="77777777" w:rsidR="000574AB" w:rsidRPr="00A25024" w:rsidRDefault="000574AB" w:rsidP="008A403A">
      <w:pPr>
        <w:spacing w:after="0" w:line="240" w:lineRule="auto"/>
        <w:rPr>
          <w:rFonts w:cstheme="minorHAnsi"/>
          <w:noProof/>
        </w:rPr>
      </w:pPr>
    </w:p>
    <w:p w14:paraId="78CFF18A"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201C14CF" w14:textId="77777777" w:rsidTr="0014773C">
        <w:trPr>
          <w:jc w:val="center"/>
        </w:trPr>
        <w:tc>
          <w:tcPr>
            <w:tcW w:w="5208" w:type="dxa"/>
            <w:shd w:val="clear" w:color="auto" w:fill="D9D9D9" w:themeFill="background1" w:themeFillShade="D9"/>
          </w:tcPr>
          <w:p w14:paraId="5C722C0C"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2310BE60"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54641F92"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12BBD71F" w14:textId="77777777" w:rsidTr="0014773C">
        <w:trPr>
          <w:jc w:val="center"/>
        </w:trPr>
        <w:tc>
          <w:tcPr>
            <w:tcW w:w="5208" w:type="dxa"/>
          </w:tcPr>
          <w:p w14:paraId="70570AD5" w14:textId="77777777" w:rsidR="00A01494" w:rsidRPr="00A01494" w:rsidRDefault="00EA4ECD"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56479213" w14:textId="77777777" w:rsidR="00A01494" w:rsidRPr="00A01494" w:rsidRDefault="00EA4ECD"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60D4A2AF" w14:textId="77777777" w:rsidTr="0014773C">
        <w:trPr>
          <w:jc w:val="center"/>
        </w:trPr>
        <w:tc>
          <w:tcPr>
            <w:tcW w:w="5208" w:type="dxa"/>
          </w:tcPr>
          <w:p w14:paraId="4B38692C" w14:textId="77777777" w:rsidR="00A01494" w:rsidRPr="00A01494" w:rsidRDefault="00EA4ECD"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260C81">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4E279D91" w14:textId="77777777" w:rsidR="00A01494" w:rsidRPr="00A01494" w:rsidRDefault="00EA4ECD"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3CC10D2B" w14:textId="77777777" w:rsidTr="0014773C">
        <w:trPr>
          <w:jc w:val="center"/>
        </w:trPr>
        <w:tc>
          <w:tcPr>
            <w:tcW w:w="5208" w:type="dxa"/>
          </w:tcPr>
          <w:p w14:paraId="5871F9B3" w14:textId="77777777" w:rsidR="00A01494" w:rsidRPr="00A01494" w:rsidRDefault="00EA4ECD"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278537F9" w14:textId="77777777" w:rsidR="00A01494" w:rsidRPr="00A01494" w:rsidRDefault="00EA4ECD"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12BD74CC" w14:textId="77777777" w:rsidTr="0014773C">
        <w:trPr>
          <w:jc w:val="center"/>
        </w:trPr>
        <w:tc>
          <w:tcPr>
            <w:tcW w:w="5208" w:type="dxa"/>
          </w:tcPr>
          <w:p w14:paraId="55230FEC" w14:textId="77777777" w:rsidR="00A01494" w:rsidRPr="00A01494" w:rsidRDefault="00EA4ECD"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3D26C0C1" w14:textId="77777777" w:rsidR="00A01494" w:rsidRPr="00A01494" w:rsidRDefault="00EA4ECD"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295FBAEF" w14:textId="77777777" w:rsidTr="0014773C">
        <w:trPr>
          <w:jc w:val="center"/>
        </w:trPr>
        <w:tc>
          <w:tcPr>
            <w:tcW w:w="5208" w:type="dxa"/>
          </w:tcPr>
          <w:p w14:paraId="093670EF" w14:textId="77777777" w:rsidR="00A01494" w:rsidRPr="00A01494" w:rsidRDefault="00EA4ECD"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0897247E" w14:textId="77777777" w:rsidR="00A01494" w:rsidRPr="00A01494" w:rsidRDefault="00EA4ECD"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6B5F79B3" w14:textId="77777777" w:rsidTr="0014773C">
        <w:trPr>
          <w:jc w:val="center"/>
        </w:trPr>
        <w:tc>
          <w:tcPr>
            <w:tcW w:w="5208" w:type="dxa"/>
          </w:tcPr>
          <w:p w14:paraId="58932F66" w14:textId="77777777" w:rsidR="00A01494" w:rsidRPr="00A01494" w:rsidRDefault="00EA4ECD" w:rsidP="00260C81">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260C81">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260C81">
                  <w:rPr>
                    <w:rStyle w:val="Style1"/>
                  </w:rPr>
                  <w:t>Electronic Clinical Data</w:t>
                </w:r>
              </w:sdtContent>
            </w:sdt>
          </w:p>
        </w:tc>
        <w:tc>
          <w:tcPr>
            <w:tcW w:w="4847" w:type="dxa"/>
          </w:tcPr>
          <w:p w14:paraId="218E4E53" w14:textId="77777777" w:rsidR="00A01494" w:rsidRPr="00A01494" w:rsidRDefault="00EA4ECD" w:rsidP="00260C81">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260C81">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text/>
              </w:sdtPr>
              <w:sdtEndPr>
                <w:rPr>
                  <w:rStyle w:val="DefaultParagraphFont"/>
                  <w:rFonts w:cstheme="minorHAnsi"/>
                  <w:bCs/>
                  <w:color w:val="auto"/>
                </w:rPr>
              </w:sdtEndPr>
              <w:sdtContent>
                <w:r w:rsidR="00260C81">
                  <w:rPr>
                    <w:rStyle w:val="Style1"/>
                  </w:rPr>
                  <w:t>Electronic Clinical Data</w:t>
                </w:r>
              </w:sdtContent>
            </w:sdt>
          </w:p>
        </w:tc>
      </w:tr>
    </w:tbl>
    <w:p w14:paraId="48CCC708"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72FC533F" w14:textId="77777777"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551293D1" w14:textId="77777777" w:rsidR="00C355B9" w:rsidRPr="006B10B3" w:rsidRDefault="00260C81" w:rsidP="00DB3627">
      <w:pPr>
        <w:autoSpaceDE w:val="0"/>
        <w:autoSpaceDN w:val="0"/>
        <w:adjustRightInd w:val="0"/>
        <w:spacing w:after="0" w:line="240" w:lineRule="auto"/>
        <w:rPr>
          <w:rFonts w:cstheme="minorHAnsi"/>
          <w:b/>
          <w:bCs/>
        </w:rPr>
      </w:pPr>
      <w:r w:rsidRPr="006B10B3">
        <w:rPr>
          <w:b/>
        </w:rPr>
        <w:t>Home Health OASIS-C</w:t>
      </w:r>
    </w:p>
    <w:p w14:paraId="44BDA38C" w14:textId="77777777" w:rsidR="009E1846" w:rsidRDefault="009E1846" w:rsidP="00DB3627">
      <w:pPr>
        <w:autoSpaceDE w:val="0"/>
        <w:autoSpaceDN w:val="0"/>
        <w:adjustRightInd w:val="0"/>
        <w:spacing w:after="0" w:line="240" w:lineRule="auto"/>
        <w:rPr>
          <w:rFonts w:cstheme="minorHAnsi"/>
          <w:b/>
        </w:rPr>
      </w:pPr>
    </w:p>
    <w:p w14:paraId="3A381DE8"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color w:val="1F497D"/>
          </w:rPr>
          <w:id w:val="950514773"/>
          <w:text/>
        </w:sdtPr>
        <w:sdtEndPr/>
        <w:sdtContent>
          <w:r w:rsidR="00794BE7" w:rsidRPr="00A82695">
            <w:rPr>
              <w:color w:val="1F497D"/>
            </w:rPr>
            <w:t xml:space="preserve"> July 1, 201</w:t>
          </w:r>
          <w:r w:rsidR="00A82695" w:rsidRPr="00A82695">
            <w:rPr>
              <w:color w:val="1F497D"/>
            </w:rPr>
            <w:t>3</w:t>
          </w:r>
          <w:r w:rsidR="00794BE7" w:rsidRPr="00A82695">
            <w:rPr>
              <w:color w:val="1F497D"/>
            </w:rPr>
            <w:t xml:space="preserve"> and June 30, 201</w:t>
          </w:r>
          <w:r w:rsidR="00A82695" w:rsidRPr="00A82695">
            <w:rPr>
              <w:color w:val="1F497D"/>
            </w:rPr>
            <w:t>4</w:t>
          </w:r>
        </w:sdtContent>
      </w:sdt>
    </w:p>
    <w:p w14:paraId="15E02447" w14:textId="77777777" w:rsidR="000574AB" w:rsidRDefault="000574AB" w:rsidP="00DB3627">
      <w:pPr>
        <w:autoSpaceDE w:val="0"/>
        <w:autoSpaceDN w:val="0"/>
        <w:adjustRightInd w:val="0"/>
        <w:spacing w:after="0" w:line="240" w:lineRule="auto"/>
        <w:rPr>
          <w:rFonts w:cstheme="minorHAnsi"/>
          <w:bCs/>
        </w:rPr>
      </w:pPr>
    </w:p>
    <w:p w14:paraId="52DC66D9"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7184C1FF" w14:textId="77777777" w:rsidTr="000414E8">
        <w:trPr>
          <w:jc w:val="center"/>
        </w:trPr>
        <w:tc>
          <w:tcPr>
            <w:tcW w:w="5027" w:type="dxa"/>
            <w:shd w:val="clear" w:color="auto" w:fill="D9D9D9" w:themeFill="background1" w:themeFillShade="D9"/>
          </w:tcPr>
          <w:p w14:paraId="6C626F5E"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17574F81"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0B91C023"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1B46F937" w14:textId="77777777" w:rsidTr="000414E8">
        <w:trPr>
          <w:jc w:val="center"/>
        </w:trPr>
        <w:tc>
          <w:tcPr>
            <w:tcW w:w="5027" w:type="dxa"/>
          </w:tcPr>
          <w:p w14:paraId="0D135830" w14:textId="77777777" w:rsidR="000414E8" w:rsidRPr="00A01494" w:rsidRDefault="00EA4ECD"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3A2AE95A" w14:textId="77777777" w:rsidR="000414E8" w:rsidRPr="00A01494" w:rsidRDefault="00EA4ECD"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2AC076FE" w14:textId="77777777" w:rsidTr="000414E8">
        <w:trPr>
          <w:jc w:val="center"/>
        </w:trPr>
        <w:tc>
          <w:tcPr>
            <w:tcW w:w="5027" w:type="dxa"/>
          </w:tcPr>
          <w:p w14:paraId="0CD36C74" w14:textId="77777777" w:rsidR="000414E8" w:rsidRPr="00A01494" w:rsidRDefault="00EA4ECD"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25F45DD5" w14:textId="77777777" w:rsidR="000414E8" w:rsidRPr="00A01494" w:rsidRDefault="00EA4ECD"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74CAA3D5" w14:textId="77777777" w:rsidTr="000414E8">
        <w:trPr>
          <w:jc w:val="center"/>
        </w:trPr>
        <w:tc>
          <w:tcPr>
            <w:tcW w:w="5027" w:type="dxa"/>
          </w:tcPr>
          <w:p w14:paraId="34A1B41C" w14:textId="77777777" w:rsidR="000414E8" w:rsidRPr="00A01494" w:rsidRDefault="00EA4ECD"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32079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3A8754BD" w14:textId="77777777" w:rsidR="000414E8" w:rsidRPr="00A01494" w:rsidRDefault="00EA4ECD"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260C8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44289BB4" w14:textId="77777777" w:rsidTr="000414E8">
        <w:trPr>
          <w:jc w:val="center"/>
        </w:trPr>
        <w:tc>
          <w:tcPr>
            <w:tcW w:w="5027" w:type="dxa"/>
          </w:tcPr>
          <w:p w14:paraId="1CFC2608" w14:textId="77777777" w:rsidR="000414E8" w:rsidRPr="00A01494" w:rsidRDefault="00EA4ECD"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104BB9EE" w14:textId="77777777" w:rsidR="000414E8" w:rsidRPr="00A01494" w:rsidRDefault="00EA4ECD"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3B744203" w14:textId="77777777" w:rsidTr="000414E8">
        <w:trPr>
          <w:jc w:val="center"/>
        </w:trPr>
        <w:tc>
          <w:tcPr>
            <w:tcW w:w="5027" w:type="dxa"/>
          </w:tcPr>
          <w:p w14:paraId="64EA23BA" w14:textId="77777777" w:rsidR="000414E8" w:rsidRPr="00A01494" w:rsidRDefault="00EA4ECD"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5698086" w14:textId="77777777" w:rsidR="000414E8" w:rsidRPr="00A01494" w:rsidRDefault="00EA4ECD"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761542CE" w14:textId="77777777" w:rsidR="000414E8" w:rsidRPr="00A25024" w:rsidRDefault="000414E8" w:rsidP="00DB3627">
      <w:pPr>
        <w:autoSpaceDE w:val="0"/>
        <w:autoSpaceDN w:val="0"/>
        <w:adjustRightInd w:val="0"/>
        <w:spacing w:after="0" w:line="240" w:lineRule="auto"/>
        <w:rPr>
          <w:rFonts w:cstheme="minorHAnsi"/>
          <w:bCs/>
        </w:rPr>
      </w:pPr>
    </w:p>
    <w:p w14:paraId="28B0D13F" w14:textId="77777777" w:rsidR="002A104C" w:rsidRDefault="002B5016" w:rsidP="0032079E">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4348CC" w:rsidRPr="00A25024">
        <w:rPr>
          <w:rFonts w:cstheme="minorHAnsi"/>
          <w:bCs/>
        </w:rPr>
        <w:br/>
      </w:r>
      <w:r w:rsidR="002A104C">
        <w:t>To calculate the intra</w:t>
      </w:r>
      <w:r w:rsidR="00302997">
        <w:t>-</w:t>
      </w:r>
      <w:r w:rsidR="002A104C">
        <w:t xml:space="preserve">class correlation (ICC) </w:t>
      </w:r>
      <w:r w:rsidR="00793860">
        <w:t>as part of</w:t>
      </w:r>
      <w:r w:rsidR="002A104C">
        <w:t xml:space="preserve"> </w:t>
      </w:r>
      <w:r w:rsidR="002A104C" w:rsidRPr="00BB35E1">
        <w:t>reliability test</w:t>
      </w:r>
      <w:r w:rsidR="002A104C">
        <w:t>ing</w:t>
      </w:r>
      <w:r w:rsidR="00EF0B4B">
        <w:t xml:space="preserve"> for the </w:t>
      </w:r>
      <w:r w:rsidR="00EF0B4B" w:rsidRPr="00EF0B4B">
        <w:rPr>
          <w:i/>
        </w:rPr>
        <w:t xml:space="preserve">Pressure Ulcer Risk Assessment </w:t>
      </w:r>
      <w:r w:rsidR="00EF0B4B" w:rsidRPr="0052550B">
        <w:t>measure</w:t>
      </w:r>
      <w:r w:rsidR="002A104C" w:rsidRPr="00BB35E1">
        <w:t xml:space="preserve">, </w:t>
      </w:r>
      <w:r w:rsidR="002A104C">
        <w:t xml:space="preserve">the measure developer included Medicare-certified agencies with at least 40 home health quality episodes </w:t>
      </w:r>
      <w:r w:rsidR="007007C3">
        <w:t>ending</w:t>
      </w:r>
      <w:r w:rsidR="002A104C">
        <w:t xml:space="preserve"> </w:t>
      </w:r>
      <w:r w:rsidR="00794BE7" w:rsidRPr="00794BE7">
        <w:t xml:space="preserve">between </w:t>
      </w:r>
      <w:r w:rsidR="00794BE7" w:rsidRPr="00867D63">
        <w:t>July 1, 201</w:t>
      </w:r>
      <w:r w:rsidR="00A82695" w:rsidRPr="00867D63">
        <w:t>3</w:t>
      </w:r>
      <w:r w:rsidR="00794BE7" w:rsidRPr="00867D63">
        <w:t xml:space="preserve"> and June 30, 201</w:t>
      </w:r>
      <w:r w:rsidR="00A82695">
        <w:t>4</w:t>
      </w:r>
      <w:r w:rsidR="00794BE7">
        <w:t xml:space="preserve"> </w:t>
      </w:r>
      <w:r w:rsidR="002A104C">
        <w:t xml:space="preserve">and meeting the measure denominator criteria. There were </w:t>
      </w:r>
      <w:r w:rsidR="00A82695">
        <w:t>9,</w:t>
      </w:r>
      <w:r w:rsidR="007076C8">
        <w:t>732</w:t>
      </w:r>
      <w:r w:rsidR="006B10B3">
        <w:t xml:space="preserve"> </w:t>
      </w:r>
      <w:r w:rsidR="002A104C">
        <w:t>such agencies (</w:t>
      </w:r>
      <w:r w:rsidR="007076C8">
        <w:t>80</w:t>
      </w:r>
      <w:r w:rsidR="00A82695">
        <w:t>.</w:t>
      </w:r>
      <w:r w:rsidR="007076C8">
        <w:t>3</w:t>
      </w:r>
      <w:r w:rsidR="00DC493A">
        <w:t xml:space="preserve"> </w:t>
      </w:r>
      <w:r w:rsidR="00A82695">
        <w:t>p</w:t>
      </w:r>
      <w:r w:rsidR="002A104C">
        <w:t xml:space="preserve">ercent of the </w:t>
      </w:r>
      <w:r w:rsidR="00A82695">
        <w:t>12,</w:t>
      </w:r>
      <w:r w:rsidR="007076C8">
        <w:t>126</w:t>
      </w:r>
      <w:r w:rsidR="00E24109">
        <w:t xml:space="preserve"> </w:t>
      </w:r>
      <w:r w:rsidR="002A104C">
        <w:t xml:space="preserve">agencies with at least </w:t>
      </w:r>
      <w:r w:rsidR="002A104C">
        <w:lastRenderedPageBreak/>
        <w:t xml:space="preserve">one quality episode </w:t>
      </w:r>
      <w:r w:rsidR="007007C3">
        <w:t>ending</w:t>
      </w:r>
      <w:r w:rsidR="002A104C">
        <w:t xml:space="preserve"> du</w:t>
      </w:r>
      <w:r w:rsidR="00793860">
        <w:t>ring the same time period).  The</w:t>
      </w:r>
      <w:r w:rsidR="002A104C">
        <w:t xml:space="preserve"> sample included all quality episodes (</w:t>
      </w:r>
      <w:r w:rsidR="00A82695" w:rsidRPr="00A82695">
        <w:t>5</w:t>
      </w:r>
      <w:r w:rsidR="00A82695">
        <w:t>,</w:t>
      </w:r>
      <w:r w:rsidR="007076C8">
        <w:t>8</w:t>
      </w:r>
      <w:r w:rsidR="00A82695" w:rsidRPr="00A82695">
        <w:t>6</w:t>
      </w:r>
      <w:r w:rsidR="007076C8">
        <w:t>5</w:t>
      </w:r>
      <w:r w:rsidR="00A82695">
        <w:t>,</w:t>
      </w:r>
      <w:r w:rsidR="007076C8">
        <w:t>128</w:t>
      </w:r>
      <w:r w:rsidR="00A82695" w:rsidRPr="00A82695">
        <w:t xml:space="preserve"> </w:t>
      </w:r>
      <w:r w:rsidR="009F656D">
        <w:t xml:space="preserve">in total) </w:t>
      </w:r>
      <w:r w:rsidR="009F656D" w:rsidRPr="009F656D">
        <w:t xml:space="preserve">ending </w:t>
      </w:r>
      <w:r w:rsidR="009F656D" w:rsidRPr="00A82695">
        <w:t>between J</w:t>
      </w:r>
      <w:r w:rsidR="00794BE7" w:rsidRPr="00A82695">
        <w:t>uly 1, 201</w:t>
      </w:r>
      <w:r w:rsidR="00A82695" w:rsidRPr="00A82695">
        <w:t>3</w:t>
      </w:r>
      <w:r w:rsidR="00794BE7" w:rsidRPr="00A82695">
        <w:t xml:space="preserve"> and June 30</w:t>
      </w:r>
      <w:r w:rsidR="009F656D" w:rsidRPr="00A82695">
        <w:t>, 201</w:t>
      </w:r>
      <w:r w:rsidR="00A82695" w:rsidRPr="00A82695">
        <w:t>4</w:t>
      </w:r>
      <w:r w:rsidR="002A104C" w:rsidRPr="00A82695">
        <w:t>.</w:t>
      </w:r>
    </w:p>
    <w:p w14:paraId="225833D5" w14:textId="77777777" w:rsidR="007076C8" w:rsidRDefault="007076C8" w:rsidP="007076C8">
      <w:r>
        <w:t xml:space="preserve">To calculate the intra-class correlation (ICC) as part of </w:t>
      </w:r>
      <w:r w:rsidRPr="00BB35E1">
        <w:t>reliability test</w:t>
      </w:r>
      <w:r>
        <w:t xml:space="preserve">ing for the </w:t>
      </w:r>
      <w:r>
        <w:rPr>
          <w:i/>
        </w:rPr>
        <w:t>Prevention in Plan of Care</w:t>
      </w:r>
      <w:r w:rsidRPr="00EF0B4B">
        <w:rPr>
          <w:i/>
        </w:rPr>
        <w:t xml:space="preserve"> </w:t>
      </w:r>
      <w:r w:rsidRPr="0052550B">
        <w:t>measure</w:t>
      </w:r>
      <w:r w:rsidRPr="00BB35E1">
        <w:t xml:space="preserve">, </w:t>
      </w:r>
      <w:r>
        <w:t xml:space="preserve">the measure developer included Medicare-certified agencies with at least 40 home health quality episodes ending </w:t>
      </w:r>
      <w:r w:rsidRPr="00794BE7">
        <w:t xml:space="preserve">between </w:t>
      </w:r>
      <w:r w:rsidRPr="00867D63">
        <w:t>July 1, 2013 and June 30, 201</w:t>
      </w:r>
      <w:r>
        <w:t>4 and meeting the measure denominator criteria. There were 7,671 such agencies (64.4 percent of the 11,904 agencies with at least one quality episode ending during the same time period).  The sample included all quality episodes (2,544,406</w:t>
      </w:r>
      <w:r w:rsidRPr="00A82695">
        <w:t xml:space="preserve"> </w:t>
      </w:r>
      <w:r>
        <w:t xml:space="preserve">in total) </w:t>
      </w:r>
      <w:r w:rsidRPr="009F656D">
        <w:t xml:space="preserve">ending </w:t>
      </w:r>
      <w:r w:rsidRPr="00A82695">
        <w:t>between July 1, 2013 and June 30, 2014.</w:t>
      </w:r>
    </w:p>
    <w:p w14:paraId="2CC932F8" w14:textId="77777777" w:rsidR="007076C8" w:rsidRDefault="007076C8" w:rsidP="007076C8">
      <w:r>
        <w:t xml:space="preserve">To calculate the intra-class correlation (ICC) as part of </w:t>
      </w:r>
      <w:r w:rsidRPr="00BB35E1">
        <w:t>reliability test</w:t>
      </w:r>
      <w:r>
        <w:t xml:space="preserve">ing for the </w:t>
      </w:r>
      <w:r>
        <w:rPr>
          <w:i/>
        </w:rPr>
        <w:t>Prevention Implemented</w:t>
      </w:r>
      <w:r w:rsidRPr="00EF0B4B">
        <w:rPr>
          <w:i/>
        </w:rPr>
        <w:t xml:space="preserve"> </w:t>
      </w:r>
      <w:r w:rsidRPr="0052550B">
        <w:t>measur</w:t>
      </w:r>
      <w:r w:rsidRPr="00EF0B4B">
        <w:rPr>
          <w:i/>
        </w:rPr>
        <w:t>e</w:t>
      </w:r>
      <w:r w:rsidRPr="00BB35E1">
        <w:t xml:space="preserve">, </w:t>
      </w:r>
      <w:r>
        <w:t xml:space="preserve">the measure developer included Medicare-certified agencies with at least 40 home health quality episodes ending </w:t>
      </w:r>
      <w:r w:rsidRPr="00794BE7">
        <w:t xml:space="preserve">between </w:t>
      </w:r>
      <w:r w:rsidRPr="00867D63">
        <w:t>July 1, 2013 and June 30, 201</w:t>
      </w:r>
      <w:r>
        <w:t>4 and meeting the measure denominator criteria. There were 7,424 such agencies (62.6 percent of the 11,850 agencies with at least one quality episode ending during the same time period).  The sample included all quality episodes (2,448,459</w:t>
      </w:r>
      <w:r w:rsidRPr="00A82695">
        <w:t xml:space="preserve"> </w:t>
      </w:r>
      <w:r>
        <w:t xml:space="preserve">in total) </w:t>
      </w:r>
      <w:r w:rsidRPr="009F656D">
        <w:t xml:space="preserve">ending </w:t>
      </w:r>
      <w:r w:rsidRPr="00A82695">
        <w:t>between July 1, 2013 and June 30, 2014.</w:t>
      </w:r>
    </w:p>
    <w:p w14:paraId="3DB51D99" w14:textId="77777777" w:rsidR="00794BE7" w:rsidRDefault="00302997" w:rsidP="00DF2415">
      <w:r>
        <w:t>To calcul</w:t>
      </w:r>
      <w:r w:rsidR="00793860">
        <w:t>ate the beta-binomial scores (as part of</w:t>
      </w:r>
      <w:r>
        <w:t xml:space="preserve"> reliability testing</w:t>
      </w:r>
      <w:r w:rsidR="00793860">
        <w:t>)</w:t>
      </w:r>
      <w:r>
        <w:t xml:space="preserve"> and conduct analyses related to</w:t>
      </w:r>
      <w:r w:rsidR="0032079E" w:rsidRPr="00BB35E1">
        <w:t xml:space="preserve"> </w:t>
      </w:r>
      <w:r w:rsidR="00A27B3E">
        <w:t>validity</w:t>
      </w:r>
      <w:r w:rsidR="002A104C">
        <w:t xml:space="preserve"> </w:t>
      </w:r>
      <w:r w:rsidR="0032079E" w:rsidRPr="00BB35E1">
        <w:t>testing</w:t>
      </w:r>
      <w:r w:rsidR="008B687B">
        <w:t xml:space="preserve"> and </w:t>
      </w:r>
      <w:r w:rsidR="002A104C">
        <w:t>exclusions</w:t>
      </w:r>
      <w:r w:rsidR="007076C8">
        <w:t xml:space="preserve"> for the </w:t>
      </w:r>
      <w:r w:rsidR="007076C8" w:rsidRPr="00EF0B4B">
        <w:rPr>
          <w:i/>
        </w:rPr>
        <w:t xml:space="preserve">Pressure Ulcer Risk Assessment </w:t>
      </w:r>
      <w:r w:rsidR="007076C8" w:rsidRPr="0052550B">
        <w:t>measure</w:t>
      </w:r>
      <w:r w:rsidR="002A104C">
        <w:t xml:space="preserve">, the measure developer included Medicare-certified agencies with at least 20 home health quality episodes </w:t>
      </w:r>
      <w:r w:rsidR="009F656D" w:rsidRPr="009F656D">
        <w:t xml:space="preserve">ending between </w:t>
      </w:r>
      <w:r w:rsidR="00794BE7" w:rsidRPr="00A82695">
        <w:t>July 1, 201</w:t>
      </w:r>
      <w:r w:rsidR="00A82695" w:rsidRPr="00A82695">
        <w:t>3</w:t>
      </w:r>
      <w:r w:rsidR="00794BE7" w:rsidRPr="00A82695">
        <w:t xml:space="preserve"> and June 30, 201</w:t>
      </w:r>
      <w:r w:rsidR="00A82695">
        <w:t>4</w:t>
      </w:r>
      <w:r w:rsidR="00794BE7">
        <w:t xml:space="preserve"> </w:t>
      </w:r>
      <w:r w:rsidR="002A104C">
        <w:t xml:space="preserve">and meeting the measure denominator criteria. There were </w:t>
      </w:r>
      <w:r w:rsidR="007076C8">
        <w:t>10,747</w:t>
      </w:r>
      <w:r w:rsidR="00E24109">
        <w:t xml:space="preserve"> </w:t>
      </w:r>
      <w:r w:rsidR="002A104C">
        <w:t>such agencies (</w:t>
      </w:r>
      <w:r w:rsidR="007076C8">
        <w:t>88</w:t>
      </w:r>
      <w:r w:rsidR="00A82695">
        <w:t>.</w:t>
      </w:r>
      <w:r w:rsidR="007076C8">
        <w:t>6</w:t>
      </w:r>
      <w:r w:rsidR="00E24109">
        <w:t xml:space="preserve"> </w:t>
      </w:r>
      <w:r w:rsidR="002A104C">
        <w:t xml:space="preserve">percent of the </w:t>
      </w:r>
      <w:r w:rsidR="00A82695">
        <w:t>12,</w:t>
      </w:r>
      <w:r w:rsidR="007076C8">
        <w:t>126</w:t>
      </w:r>
      <w:r w:rsidR="00E24109">
        <w:t xml:space="preserve"> </w:t>
      </w:r>
      <w:r w:rsidR="002A104C">
        <w:t>agencies with at least one quality episode ending du</w:t>
      </w:r>
      <w:r w:rsidR="00793860">
        <w:t>ring the same time period).  The</w:t>
      </w:r>
      <w:r w:rsidR="002A104C">
        <w:t xml:space="preserve"> sample included all quality episodes (</w:t>
      </w:r>
      <w:r w:rsidR="00A82695" w:rsidRPr="00A82695">
        <w:t>5</w:t>
      </w:r>
      <w:r w:rsidR="00A82695">
        <w:t>,</w:t>
      </w:r>
      <w:r w:rsidR="007076C8">
        <w:t>8</w:t>
      </w:r>
      <w:r w:rsidR="00A82695" w:rsidRPr="00A82695">
        <w:t>9</w:t>
      </w:r>
      <w:r w:rsidR="007076C8">
        <w:t>4</w:t>
      </w:r>
      <w:r w:rsidR="00A82695">
        <w:t>,</w:t>
      </w:r>
      <w:r w:rsidR="007076C8">
        <w:t>6</w:t>
      </w:r>
      <w:r w:rsidR="00A82695" w:rsidRPr="00A82695">
        <w:t>9</w:t>
      </w:r>
      <w:r w:rsidR="007076C8">
        <w:t>8</w:t>
      </w:r>
      <w:r w:rsidR="00E24109" w:rsidRPr="00A82695">
        <w:t xml:space="preserve"> </w:t>
      </w:r>
      <w:r w:rsidR="002A104C" w:rsidRPr="00A82695">
        <w:t>in total</w:t>
      </w:r>
      <w:r w:rsidR="002A104C">
        <w:t xml:space="preserve">) </w:t>
      </w:r>
      <w:r w:rsidR="009F656D" w:rsidRPr="009F656D">
        <w:t xml:space="preserve">ending between </w:t>
      </w:r>
      <w:r w:rsidR="00794BE7" w:rsidRPr="00A82695">
        <w:t>July 1, 201</w:t>
      </w:r>
      <w:r w:rsidR="00A82695" w:rsidRPr="00A82695">
        <w:t>3</w:t>
      </w:r>
      <w:r w:rsidR="00794BE7" w:rsidRPr="00A82695">
        <w:t xml:space="preserve"> and June 30, 201</w:t>
      </w:r>
      <w:r w:rsidR="00A82695">
        <w:t>4</w:t>
      </w:r>
      <w:r w:rsidR="002A104C">
        <w:t>.</w:t>
      </w:r>
      <w:r w:rsidR="00BC2AC2">
        <w:t xml:space="preserve"> </w:t>
      </w:r>
    </w:p>
    <w:p w14:paraId="683D57B0" w14:textId="77777777" w:rsidR="007076C8" w:rsidRDefault="007076C8" w:rsidP="007076C8">
      <w:r>
        <w:t>To calculate the beta-binomial scores (as part of reliability testing) and conduct analyses related to</w:t>
      </w:r>
      <w:r w:rsidRPr="00BB35E1">
        <w:t xml:space="preserve"> </w:t>
      </w:r>
      <w:r>
        <w:t xml:space="preserve">validity </w:t>
      </w:r>
      <w:r w:rsidRPr="00BB35E1">
        <w:t>testing</w:t>
      </w:r>
      <w:r>
        <w:t xml:space="preserve"> and exclusions for the </w:t>
      </w:r>
      <w:r>
        <w:rPr>
          <w:i/>
        </w:rPr>
        <w:t>Prevention in Plan of Care</w:t>
      </w:r>
      <w:r w:rsidRPr="00EF0B4B">
        <w:rPr>
          <w:i/>
        </w:rPr>
        <w:t xml:space="preserve"> </w:t>
      </w:r>
      <w:r w:rsidRPr="0052550B">
        <w:t>measure</w:t>
      </w:r>
      <w:r>
        <w:t xml:space="preserve">, the measure developer included Medicare-certified agencies with at least 20 home health quality episodes </w:t>
      </w:r>
      <w:r w:rsidRPr="009F656D">
        <w:t xml:space="preserve">ending between </w:t>
      </w:r>
      <w:r w:rsidRPr="00A82695">
        <w:t>July 1, 2013 and June 30, 201</w:t>
      </w:r>
      <w:r>
        <w:t>4 and meeting the measure denominator criteria. There were 9,149 such agencies (76.9 percent of the 11,904 agencies with at least one quality episode ending during the same time period).  The sample included all quality episodes (2,586,874</w:t>
      </w:r>
      <w:r w:rsidRPr="00A82695">
        <w:t xml:space="preserve"> in total</w:t>
      </w:r>
      <w:r>
        <w:t xml:space="preserve">) </w:t>
      </w:r>
      <w:r w:rsidRPr="009F656D">
        <w:t xml:space="preserve">ending between </w:t>
      </w:r>
      <w:r w:rsidRPr="00A82695">
        <w:t>July 1, 2013 and June 30, 201</w:t>
      </w:r>
      <w:r>
        <w:t xml:space="preserve">4. </w:t>
      </w:r>
    </w:p>
    <w:p w14:paraId="1459E45D" w14:textId="77777777" w:rsidR="007076C8" w:rsidRDefault="007076C8" w:rsidP="007076C8">
      <w:r>
        <w:t>To calculate the beta-binomial scores (as part of reliability testing) and conduct analyses related to</w:t>
      </w:r>
      <w:r w:rsidRPr="00BB35E1">
        <w:t xml:space="preserve"> </w:t>
      </w:r>
      <w:r>
        <w:t xml:space="preserve">validity </w:t>
      </w:r>
      <w:r w:rsidRPr="00BB35E1">
        <w:t>testing</w:t>
      </w:r>
      <w:r>
        <w:t xml:space="preserve"> and exclusions for the </w:t>
      </w:r>
      <w:r w:rsidR="001B1603">
        <w:rPr>
          <w:i/>
        </w:rPr>
        <w:t>Prevention Implemented</w:t>
      </w:r>
      <w:r w:rsidR="001B1603" w:rsidRPr="00EF0B4B">
        <w:rPr>
          <w:i/>
        </w:rPr>
        <w:t xml:space="preserve"> </w:t>
      </w:r>
      <w:r w:rsidRPr="0052550B">
        <w:t>measure</w:t>
      </w:r>
      <w:r>
        <w:t xml:space="preserve">, the measure developer included Medicare-certified agencies with at least 20 home health quality episodes </w:t>
      </w:r>
      <w:r w:rsidRPr="009F656D">
        <w:t xml:space="preserve">ending between </w:t>
      </w:r>
      <w:r w:rsidRPr="00A82695">
        <w:t>July 1, 2013 and June 30, 201</w:t>
      </w:r>
      <w:r>
        <w:t xml:space="preserve">4 and meeting the measure denominator criteria. There were </w:t>
      </w:r>
      <w:r w:rsidR="001B1603">
        <w:t>8</w:t>
      </w:r>
      <w:r>
        <w:t>,</w:t>
      </w:r>
      <w:r w:rsidR="001B1603">
        <w:t>927</w:t>
      </w:r>
      <w:r>
        <w:t xml:space="preserve"> such agencies (</w:t>
      </w:r>
      <w:r w:rsidR="001B1603">
        <w:t>75</w:t>
      </w:r>
      <w:r>
        <w:t>.</w:t>
      </w:r>
      <w:r w:rsidR="001B1603">
        <w:t>3</w:t>
      </w:r>
      <w:r>
        <w:t xml:space="preserve"> percent of the 1</w:t>
      </w:r>
      <w:r w:rsidR="001B1603">
        <w:t>1</w:t>
      </w:r>
      <w:r>
        <w:t>,</w:t>
      </w:r>
      <w:r w:rsidR="001B1603">
        <w:t>850</w:t>
      </w:r>
      <w:r>
        <w:t xml:space="preserve"> agencies with at least one quality episode ending during the same time period).  The sample included all quality episodes (</w:t>
      </w:r>
      <w:r w:rsidR="001B1603">
        <w:t>2</w:t>
      </w:r>
      <w:r>
        <w:t>,</w:t>
      </w:r>
      <w:r w:rsidR="001B1603">
        <w:t>491</w:t>
      </w:r>
      <w:r>
        <w:t>,</w:t>
      </w:r>
      <w:r w:rsidR="001B1603">
        <w:t>704</w:t>
      </w:r>
      <w:r w:rsidRPr="00A82695">
        <w:t xml:space="preserve"> in total</w:t>
      </w:r>
      <w:r>
        <w:t xml:space="preserve">) </w:t>
      </w:r>
      <w:r w:rsidRPr="009F656D">
        <w:t xml:space="preserve">ending between </w:t>
      </w:r>
      <w:r w:rsidRPr="00A82695">
        <w:t>July 1, 2013 and June 30, 201</w:t>
      </w:r>
      <w:r>
        <w:t xml:space="preserve">4. </w:t>
      </w:r>
    </w:p>
    <w:p w14:paraId="40998A99" w14:textId="77777777" w:rsidR="009C0E7C" w:rsidRDefault="009C0E7C" w:rsidP="0032079E">
      <w:pPr>
        <w:rPr>
          <w:rFonts w:cstheme="minorHAnsi"/>
          <w:b/>
          <w:bCs/>
        </w:rPr>
      </w:pPr>
    </w:p>
    <w:p w14:paraId="4C3005A9" w14:textId="77777777" w:rsidR="0032079E" w:rsidRDefault="002B5016" w:rsidP="0032079E">
      <w:r>
        <w:rPr>
          <w:rFonts w:cstheme="minorHAnsi"/>
          <w:b/>
          <w:bCs/>
        </w:rPr>
        <w:lastRenderedPageBreak/>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32079E">
        <w:t xml:space="preserve">In terms of Medicare-certified agencies with at </w:t>
      </w:r>
      <w:r w:rsidR="003737B1">
        <w:t xml:space="preserve">least 40 home health quality episodes </w:t>
      </w:r>
      <w:r w:rsidR="009F656D" w:rsidRPr="009F656D">
        <w:t xml:space="preserve">ending between </w:t>
      </w:r>
      <w:r w:rsidR="00C61B72" w:rsidRPr="00867D63">
        <w:t>July 1, 201</w:t>
      </w:r>
      <w:r w:rsidR="00867D63" w:rsidRPr="00867D63">
        <w:t>3</w:t>
      </w:r>
      <w:r w:rsidR="00C61B72" w:rsidRPr="00867D63">
        <w:t xml:space="preserve"> and June 30, 201</w:t>
      </w:r>
      <w:r w:rsidR="00867D63">
        <w:t>4</w:t>
      </w:r>
      <w:r w:rsidR="00C61B72">
        <w:t xml:space="preserve"> </w:t>
      </w:r>
      <w:r w:rsidR="003737B1">
        <w:t xml:space="preserve">and meeting the measure denominator criteria, </w:t>
      </w:r>
      <w:r w:rsidR="0032079E">
        <w:t xml:space="preserve">the data represented </w:t>
      </w:r>
      <w:r w:rsidR="001B1603">
        <w:t xml:space="preserve">4,237,364 </w:t>
      </w:r>
      <w:r w:rsidR="0032079E">
        <w:t>patients</w:t>
      </w:r>
      <w:r w:rsidR="001B1603">
        <w:t xml:space="preserve"> for the </w:t>
      </w:r>
      <w:r w:rsidR="001B1603" w:rsidRPr="001B1603">
        <w:rPr>
          <w:i/>
        </w:rPr>
        <w:t>Pressure Ulcer Risk Assessment</w:t>
      </w:r>
      <w:r w:rsidR="001B1603">
        <w:t xml:space="preserve"> measure, 1,969,332 patients for the </w:t>
      </w:r>
      <w:r w:rsidR="001B1603" w:rsidRPr="001B1603">
        <w:rPr>
          <w:i/>
        </w:rPr>
        <w:t>Prevention in the Plan of Care</w:t>
      </w:r>
      <w:r w:rsidR="001B1603">
        <w:t xml:space="preserve"> measure, and 1,897,930 patients in the </w:t>
      </w:r>
      <w:r w:rsidR="001B1603" w:rsidRPr="001B1603">
        <w:rPr>
          <w:i/>
        </w:rPr>
        <w:t>Prevention Implemented</w:t>
      </w:r>
      <w:r w:rsidR="001B1603">
        <w:t xml:space="preserve"> measure</w:t>
      </w:r>
      <w:r w:rsidR="0032079E">
        <w:t xml:space="preserve">.  The table below identifies these patients by population group. </w:t>
      </w:r>
    </w:p>
    <w:p w14:paraId="695612E9" w14:textId="77777777" w:rsidR="002F1158" w:rsidRDefault="002F1158" w:rsidP="0032079E">
      <w:pPr>
        <w:spacing w:after="0"/>
        <w:jc w:val="center"/>
        <w:rPr>
          <w:b/>
        </w:rPr>
        <w:sectPr w:rsidR="002F1158" w:rsidSect="008505D1">
          <w:headerReference w:type="default" r:id="rId10"/>
          <w:footerReference w:type="default" r:id="rId11"/>
          <w:pgSz w:w="12240" w:h="15840"/>
          <w:pgMar w:top="1440" w:right="1440" w:bottom="1440" w:left="1440" w:header="720" w:footer="720" w:gutter="0"/>
          <w:cols w:space="720"/>
          <w:docGrid w:linePitch="360"/>
        </w:sectPr>
      </w:pPr>
    </w:p>
    <w:p w14:paraId="262071C7" w14:textId="77777777" w:rsidR="000736E0" w:rsidRDefault="0032079E" w:rsidP="0032079E">
      <w:pPr>
        <w:spacing w:after="0"/>
        <w:jc w:val="center"/>
        <w:rPr>
          <w:b/>
        </w:rPr>
      </w:pPr>
      <w:r w:rsidRPr="00DF2415">
        <w:rPr>
          <w:b/>
        </w:rPr>
        <w:lastRenderedPageBreak/>
        <w:t>Number/Percentage of Patients Represente</w:t>
      </w:r>
      <w:r w:rsidR="003737B1">
        <w:rPr>
          <w:b/>
        </w:rPr>
        <w:t>d in HHAs with At Least 40</w:t>
      </w:r>
      <w:r w:rsidR="000736E0">
        <w:rPr>
          <w:b/>
        </w:rPr>
        <w:t xml:space="preserve"> Valid</w:t>
      </w:r>
      <w:r w:rsidR="003737B1">
        <w:rPr>
          <w:b/>
        </w:rPr>
        <w:t xml:space="preserve"> Episodes</w:t>
      </w:r>
      <w:r w:rsidRPr="00DF2415">
        <w:rPr>
          <w:b/>
        </w:rPr>
        <w:t xml:space="preserve">, </w:t>
      </w:r>
    </w:p>
    <w:p w14:paraId="45B99FCE" w14:textId="77777777" w:rsidR="0032079E" w:rsidRDefault="0032079E" w:rsidP="0032079E">
      <w:pPr>
        <w:spacing w:after="0"/>
        <w:jc w:val="center"/>
        <w:rPr>
          <w:b/>
        </w:rPr>
      </w:pPr>
      <w:r w:rsidRPr="00DF2415">
        <w:rPr>
          <w:b/>
        </w:rPr>
        <w:t>By Population Group</w:t>
      </w:r>
    </w:p>
    <w:p w14:paraId="7D348ABB" w14:textId="77777777" w:rsidR="00867D63" w:rsidRDefault="00867D63" w:rsidP="00867D63">
      <w:pPr>
        <w:spacing w:after="0"/>
        <w:rPr>
          <w:b/>
        </w:rPr>
      </w:pPr>
    </w:p>
    <w:tbl>
      <w:tblPr>
        <w:tblW w:w="13460" w:type="dxa"/>
        <w:tblInd w:w="93" w:type="dxa"/>
        <w:tblLook w:val="04A0" w:firstRow="1" w:lastRow="0" w:firstColumn="1" w:lastColumn="0" w:noHBand="0" w:noVBand="1"/>
      </w:tblPr>
      <w:tblGrid>
        <w:gridCol w:w="1580"/>
        <w:gridCol w:w="1520"/>
        <w:gridCol w:w="1693"/>
        <w:gridCol w:w="1767"/>
        <w:gridCol w:w="1732"/>
        <w:gridCol w:w="1808"/>
        <w:gridCol w:w="1644"/>
        <w:gridCol w:w="1716"/>
      </w:tblGrid>
      <w:tr w:rsidR="001B1603" w:rsidRPr="001B1603" w14:paraId="29F258A4" w14:textId="77777777" w:rsidTr="001B1603">
        <w:trPr>
          <w:trHeight w:val="315"/>
        </w:trPr>
        <w:tc>
          <w:tcPr>
            <w:tcW w:w="3100" w:type="dxa"/>
            <w:gridSpan w:val="2"/>
            <w:vMerge w:val="restart"/>
            <w:tcBorders>
              <w:top w:val="single" w:sz="8" w:space="0" w:color="auto"/>
              <w:left w:val="single" w:sz="8" w:space="0" w:color="auto"/>
              <w:bottom w:val="single" w:sz="4" w:space="0" w:color="000000"/>
              <w:right w:val="single" w:sz="4" w:space="0" w:color="000000"/>
            </w:tcBorders>
            <w:shd w:val="clear" w:color="000000" w:fill="CDECFF"/>
            <w:noWrap/>
            <w:vAlign w:val="center"/>
            <w:hideMark/>
          </w:tcPr>
          <w:p w14:paraId="63BB3386"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Population Group</w:t>
            </w:r>
          </w:p>
        </w:tc>
        <w:tc>
          <w:tcPr>
            <w:tcW w:w="3460" w:type="dxa"/>
            <w:gridSpan w:val="2"/>
            <w:tcBorders>
              <w:top w:val="single" w:sz="8" w:space="0" w:color="auto"/>
              <w:left w:val="nil"/>
              <w:bottom w:val="single" w:sz="4" w:space="0" w:color="auto"/>
              <w:right w:val="single" w:sz="4" w:space="0" w:color="auto"/>
            </w:tcBorders>
            <w:shd w:val="clear" w:color="000000" w:fill="CDECFF"/>
            <w:noWrap/>
            <w:vAlign w:val="center"/>
            <w:hideMark/>
          </w:tcPr>
          <w:p w14:paraId="1FB484CE"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Pressure Ulcer Risk Assessment</w:t>
            </w:r>
          </w:p>
        </w:tc>
        <w:tc>
          <w:tcPr>
            <w:tcW w:w="3540" w:type="dxa"/>
            <w:gridSpan w:val="2"/>
            <w:tcBorders>
              <w:top w:val="single" w:sz="8" w:space="0" w:color="auto"/>
              <w:left w:val="nil"/>
              <w:bottom w:val="single" w:sz="4" w:space="0" w:color="auto"/>
              <w:right w:val="single" w:sz="4" w:space="0" w:color="auto"/>
            </w:tcBorders>
            <w:shd w:val="clear" w:color="000000" w:fill="CDECFF"/>
            <w:noWrap/>
            <w:vAlign w:val="center"/>
            <w:hideMark/>
          </w:tcPr>
          <w:p w14:paraId="6B57A69A"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Prevention in Plan of Care</w:t>
            </w:r>
          </w:p>
        </w:tc>
        <w:tc>
          <w:tcPr>
            <w:tcW w:w="3360" w:type="dxa"/>
            <w:gridSpan w:val="2"/>
            <w:tcBorders>
              <w:top w:val="single" w:sz="8" w:space="0" w:color="auto"/>
              <w:left w:val="nil"/>
              <w:bottom w:val="single" w:sz="4" w:space="0" w:color="auto"/>
              <w:right w:val="single" w:sz="8" w:space="0" w:color="000000"/>
            </w:tcBorders>
            <w:shd w:val="clear" w:color="000000" w:fill="CDECFF"/>
            <w:noWrap/>
            <w:vAlign w:val="center"/>
            <w:hideMark/>
          </w:tcPr>
          <w:p w14:paraId="1C9F64FF"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Prevention Implemented</w:t>
            </w:r>
          </w:p>
        </w:tc>
      </w:tr>
      <w:tr w:rsidR="001B1603" w:rsidRPr="001B1603" w14:paraId="2372114E" w14:textId="77777777" w:rsidTr="001B1603">
        <w:trPr>
          <w:trHeight w:val="300"/>
        </w:trPr>
        <w:tc>
          <w:tcPr>
            <w:tcW w:w="3100" w:type="dxa"/>
            <w:gridSpan w:val="2"/>
            <w:vMerge/>
            <w:tcBorders>
              <w:top w:val="single" w:sz="8" w:space="0" w:color="auto"/>
              <w:left w:val="single" w:sz="8" w:space="0" w:color="auto"/>
              <w:bottom w:val="single" w:sz="4" w:space="0" w:color="000000"/>
              <w:right w:val="single" w:sz="4" w:space="0" w:color="000000"/>
            </w:tcBorders>
            <w:vAlign w:val="center"/>
            <w:hideMark/>
          </w:tcPr>
          <w:p w14:paraId="513F426D" w14:textId="77777777" w:rsidR="001B1603" w:rsidRPr="001B1603" w:rsidRDefault="001B1603" w:rsidP="001B1603">
            <w:pPr>
              <w:spacing w:after="0" w:line="240" w:lineRule="auto"/>
              <w:rPr>
                <w:rFonts w:ascii="Calibri" w:eastAsia="Times New Roman" w:hAnsi="Calibri" w:cs="Times New Roman"/>
                <w:b/>
                <w:bCs/>
                <w:color w:val="000000"/>
              </w:rPr>
            </w:pPr>
          </w:p>
        </w:tc>
        <w:tc>
          <w:tcPr>
            <w:tcW w:w="1693" w:type="dxa"/>
            <w:tcBorders>
              <w:top w:val="nil"/>
              <w:left w:val="nil"/>
              <w:bottom w:val="single" w:sz="4" w:space="0" w:color="auto"/>
              <w:right w:val="single" w:sz="4" w:space="0" w:color="auto"/>
            </w:tcBorders>
            <w:shd w:val="clear" w:color="000000" w:fill="CDECFF"/>
            <w:noWrap/>
            <w:vAlign w:val="center"/>
            <w:hideMark/>
          </w:tcPr>
          <w:p w14:paraId="02E427F1"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 of Patients</w:t>
            </w:r>
          </w:p>
        </w:tc>
        <w:tc>
          <w:tcPr>
            <w:tcW w:w="1767" w:type="dxa"/>
            <w:tcBorders>
              <w:top w:val="nil"/>
              <w:left w:val="nil"/>
              <w:bottom w:val="single" w:sz="4" w:space="0" w:color="auto"/>
              <w:right w:val="single" w:sz="4" w:space="0" w:color="auto"/>
            </w:tcBorders>
            <w:shd w:val="clear" w:color="000000" w:fill="CDECFF"/>
            <w:noWrap/>
            <w:vAlign w:val="center"/>
            <w:hideMark/>
          </w:tcPr>
          <w:p w14:paraId="05DD01F3"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 of Patients</w:t>
            </w:r>
          </w:p>
        </w:tc>
        <w:tc>
          <w:tcPr>
            <w:tcW w:w="1732" w:type="dxa"/>
            <w:tcBorders>
              <w:top w:val="nil"/>
              <w:left w:val="nil"/>
              <w:bottom w:val="single" w:sz="4" w:space="0" w:color="auto"/>
              <w:right w:val="single" w:sz="4" w:space="0" w:color="auto"/>
            </w:tcBorders>
            <w:shd w:val="clear" w:color="000000" w:fill="CDECFF"/>
            <w:noWrap/>
            <w:vAlign w:val="center"/>
            <w:hideMark/>
          </w:tcPr>
          <w:p w14:paraId="0AA08001"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 of Patients</w:t>
            </w:r>
          </w:p>
        </w:tc>
        <w:tc>
          <w:tcPr>
            <w:tcW w:w="1808" w:type="dxa"/>
            <w:tcBorders>
              <w:top w:val="nil"/>
              <w:left w:val="nil"/>
              <w:bottom w:val="single" w:sz="4" w:space="0" w:color="auto"/>
              <w:right w:val="single" w:sz="4" w:space="0" w:color="auto"/>
            </w:tcBorders>
            <w:shd w:val="clear" w:color="000000" w:fill="CDECFF"/>
            <w:noWrap/>
            <w:vAlign w:val="center"/>
            <w:hideMark/>
          </w:tcPr>
          <w:p w14:paraId="4A5B5DBA"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 of Patients</w:t>
            </w:r>
          </w:p>
        </w:tc>
        <w:tc>
          <w:tcPr>
            <w:tcW w:w="1644" w:type="dxa"/>
            <w:tcBorders>
              <w:top w:val="nil"/>
              <w:left w:val="nil"/>
              <w:bottom w:val="single" w:sz="4" w:space="0" w:color="auto"/>
              <w:right w:val="single" w:sz="4" w:space="0" w:color="auto"/>
            </w:tcBorders>
            <w:shd w:val="clear" w:color="000000" w:fill="CDECFF"/>
            <w:noWrap/>
            <w:vAlign w:val="center"/>
            <w:hideMark/>
          </w:tcPr>
          <w:p w14:paraId="2E277C12"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 of Patients</w:t>
            </w:r>
          </w:p>
        </w:tc>
        <w:tc>
          <w:tcPr>
            <w:tcW w:w="1716" w:type="dxa"/>
            <w:tcBorders>
              <w:top w:val="nil"/>
              <w:left w:val="nil"/>
              <w:bottom w:val="single" w:sz="4" w:space="0" w:color="auto"/>
              <w:right w:val="single" w:sz="8" w:space="0" w:color="auto"/>
            </w:tcBorders>
            <w:shd w:val="clear" w:color="000000" w:fill="CDECFF"/>
            <w:noWrap/>
            <w:vAlign w:val="center"/>
            <w:hideMark/>
          </w:tcPr>
          <w:p w14:paraId="3BCF86C5"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 of Patients</w:t>
            </w:r>
          </w:p>
        </w:tc>
      </w:tr>
      <w:tr w:rsidR="001B1603" w:rsidRPr="001B1603" w14:paraId="04A8741A" w14:textId="77777777" w:rsidTr="001B1603">
        <w:trPr>
          <w:trHeight w:val="300"/>
        </w:trPr>
        <w:tc>
          <w:tcPr>
            <w:tcW w:w="3100"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A0E99BA"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Total</w:t>
            </w:r>
          </w:p>
        </w:tc>
        <w:tc>
          <w:tcPr>
            <w:tcW w:w="1693" w:type="dxa"/>
            <w:tcBorders>
              <w:top w:val="nil"/>
              <w:left w:val="nil"/>
              <w:bottom w:val="single" w:sz="4" w:space="0" w:color="auto"/>
              <w:right w:val="single" w:sz="4" w:space="0" w:color="auto"/>
            </w:tcBorders>
            <w:shd w:val="clear" w:color="auto" w:fill="auto"/>
            <w:noWrap/>
            <w:vAlign w:val="center"/>
            <w:hideMark/>
          </w:tcPr>
          <w:p w14:paraId="4D2C5DD8"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4,237,364</w:t>
            </w:r>
          </w:p>
        </w:tc>
        <w:tc>
          <w:tcPr>
            <w:tcW w:w="1767" w:type="dxa"/>
            <w:tcBorders>
              <w:top w:val="nil"/>
              <w:left w:val="nil"/>
              <w:bottom w:val="single" w:sz="4" w:space="0" w:color="auto"/>
              <w:right w:val="single" w:sz="4" w:space="0" w:color="auto"/>
            </w:tcBorders>
            <w:shd w:val="clear" w:color="auto" w:fill="auto"/>
            <w:noWrap/>
            <w:vAlign w:val="center"/>
            <w:hideMark/>
          </w:tcPr>
          <w:p w14:paraId="3A19092D"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100%</w:t>
            </w:r>
          </w:p>
        </w:tc>
        <w:tc>
          <w:tcPr>
            <w:tcW w:w="1732" w:type="dxa"/>
            <w:tcBorders>
              <w:top w:val="nil"/>
              <w:left w:val="nil"/>
              <w:bottom w:val="single" w:sz="4" w:space="0" w:color="auto"/>
              <w:right w:val="single" w:sz="4" w:space="0" w:color="auto"/>
            </w:tcBorders>
            <w:shd w:val="clear" w:color="auto" w:fill="auto"/>
            <w:noWrap/>
            <w:vAlign w:val="center"/>
            <w:hideMark/>
          </w:tcPr>
          <w:p w14:paraId="6D81D7CA"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1,969,332</w:t>
            </w:r>
          </w:p>
        </w:tc>
        <w:tc>
          <w:tcPr>
            <w:tcW w:w="1808" w:type="dxa"/>
            <w:tcBorders>
              <w:top w:val="nil"/>
              <w:left w:val="nil"/>
              <w:bottom w:val="single" w:sz="4" w:space="0" w:color="auto"/>
              <w:right w:val="single" w:sz="4" w:space="0" w:color="auto"/>
            </w:tcBorders>
            <w:shd w:val="clear" w:color="auto" w:fill="auto"/>
            <w:noWrap/>
            <w:vAlign w:val="center"/>
            <w:hideMark/>
          </w:tcPr>
          <w:p w14:paraId="2940556C"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100%</w:t>
            </w:r>
          </w:p>
        </w:tc>
        <w:tc>
          <w:tcPr>
            <w:tcW w:w="1644" w:type="dxa"/>
            <w:tcBorders>
              <w:top w:val="nil"/>
              <w:left w:val="nil"/>
              <w:bottom w:val="single" w:sz="4" w:space="0" w:color="auto"/>
              <w:right w:val="single" w:sz="4" w:space="0" w:color="auto"/>
            </w:tcBorders>
            <w:shd w:val="clear" w:color="auto" w:fill="auto"/>
            <w:noWrap/>
            <w:vAlign w:val="center"/>
            <w:hideMark/>
          </w:tcPr>
          <w:p w14:paraId="2419DF96"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1,897,930</w:t>
            </w:r>
          </w:p>
        </w:tc>
        <w:tc>
          <w:tcPr>
            <w:tcW w:w="1716" w:type="dxa"/>
            <w:tcBorders>
              <w:top w:val="nil"/>
              <w:left w:val="nil"/>
              <w:bottom w:val="single" w:sz="4" w:space="0" w:color="auto"/>
              <w:right w:val="single" w:sz="8" w:space="0" w:color="auto"/>
            </w:tcBorders>
            <w:shd w:val="clear" w:color="auto" w:fill="auto"/>
            <w:noWrap/>
            <w:vAlign w:val="center"/>
            <w:hideMark/>
          </w:tcPr>
          <w:p w14:paraId="0FA33EAF"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100%</w:t>
            </w:r>
          </w:p>
        </w:tc>
      </w:tr>
      <w:tr w:rsidR="001B1603" w:rsidRPr="001B1603" w14:paraId="1FCEEE92" w14:textId="77777777" w:rsidTr="001B1603">
        <w:trPr>
          <w:trHeight w:val="300"/>
        </w:trPr>
        <w:tc>
          <w:tcPr>
            <w:tcW w:w="158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4D7AC995"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Gender</w:t>
            </w:r>
          </w:p>
        </w:tc>
        <w:tc>
          <w:tcPr>
            <w:tcW w:w="1520" w:type="dxa"/>
            <w:tcBorders>
              <w:top w:val="nil"/>
              <w:left w:val="nil"/>
              <w:bottom w:val="single" w:sz="4" w:space="0" w:color="auto"/>
              <w:right w:val="single" w:sz="4" w:space="0" w:color="auto"/>
            </w:tcBorders>
            <w:shd w:val="clear" w:color="auto" w:fill="auto"/>
            <w:noWrap/>
            <w:vAlign w:val="center"/>
            <w:hideMark/>
          </w:tcPr>
          <w:p w14:paraId="7A94458C"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Male</w:t>
            </w:r>
          </w:p>
        </w:tc>
        <w:tc>
          <w:tcPr>
            <w:tcW w:w="1693" w:type="dxa"/>
            <w:tcBorders>
              <w:top w:val="nil"/>
              <w:left w:val="nil"/>
              <w:bottom w:val="single" w:sz="4" w:space="0" w:color="auto"/>
              <w:right w:val="single" w:sz="4" w:space="0" w:color="auto"/>
            </w:tcBorders>
            <w:shd w:val="clear" w:color="auto" w:fill="auto"/>
            <w:noWrap/>
            <w:vAlign w:val="center"/>
            <w:hideMark/>
          </w:tcPr>
          <w:p w14:paraId="253D05B2"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1,626,872</w:t>
            </w:r>
          </w:p>
        </w:tc>
        <w:tc>
          <w:tcPr>
            <w:tcW w:w="1767" w:type="dxa"/>
            <w:tcBorders>
              <w:top w:val="nil"/>
              <w:left w:val="nil"/>
              <w:bottom w:val="single" w:sz="4" w:space="0" w:color="auto"/>
              <w:right w:val="single" w:sz="4" w:space="0" w:color="auto"/>
            </w:tcBorders>
            <w:shd w:val="clear" w:color="auto" w:fill="auto"/>
            <w:noWrap/>
            <w:vAlign w:val="center"/>
            <w:hideMark/>
          </w:tcPr>
          <w:p w14:paraId="31103EA1"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38%</w:t>
            </w:r>
          </w:p>
        </w:tc>
        <w:tc>
          <w:tcPr>
            <w:tcW w:w="1732" w:type="dxa"/>
            <w:tcBorders>
              <w:top w:val="nil"/>
              <w:left w:val="nil"/>
              <w:bottom w:val="single" w:sz="4" w:space="0" w:color="auto"/>
              <w:right w:val="single" w:sz="4" w:space="0" w:color="auto"/>
            </w:tcBorders>
            <w:shd w:val="clear" w:color="auto" w:fill="auto"/>
            <w:noWrap/>
            <w:vAlign w:val="center"/>
            <w:hideMark/>
          </w:tcPr>
          <w:p w14:paraId="573F6C78"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737,980</w:t>
            </w:r>
          </w:p>
        </w:tc>
        <w:tc>
          <w:tcPr>
            <w:tcW w:w="1808" w:type="dxa"/>
            <w:tcBorders>
              <w:top w:val="nil"/>
              <w:left w:val="nil"/>
              <w:bottom w:val="single" w:sz="4" w:space="0" w:color="auto"/>
              <w:right w:val="single" w:sz="4" w:space="0" w:color="auto"/>
            </w:tcBorders>
            <w:shd w:val="clear" w:color="auto" w:fill="auto"/>
            <w:noWrap/>
            <w:vAlign w:val="center"/>
            <w:hideMark/>
          </w:tcPr>
          <w:p w14:paraId="37312A76"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37%</w:t>
            </w:r>
          </w:p>
        </w:tc>
        <w:tc>
          <w:tcPr>
            <w:tcW w:w="1644" w:type="dxa"/>
            <w:tcBorders>
              <w:top w:val="nil"/>
              <w:left w:val="nil"/>
              <w:bottom w:val="single" w:sz="4" w:space="0" w:color="auto"/>
              <w:right w:val="single" w:sz="4" w:space="0" w:color="auto"/>
            </w:tcBorders>
            <w:shd w:val="clear" w:color="auto" w:fill="auto"/>
            <w:noWrap/>
            <w:vAlign w:val="center"/>
            <w:hideMark/>
          </w:tcPr>
          <w:p w14:paraId="7436B5CC"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720,523</w:t>
            </w:r>
          </w:p>
        </w:tc>
        <w:tc>
          <w:tcPr>
            <w:tcW w:w="1716" w:type="dxa"/>
            <w:tcBorders>
              <w:top w:val="nil"/>
              <w:left w:val="nil"/>
              <w:bottom w:val="single" w:sz="4" w:space="0" w:color="auto"/>
              <w:right w:val="single" w:sz="8" w:space="0" w:color="auto"/>
            </w:tcBorders>
            <w:shd w:val="clear" w:color="auto" w:fill="auto"/>
            <w:noWrap/>
            <w:vAlign w:val="center"/>
            <w:hideMark/>
          </w:tcPr>
          <w:p w14:paraId="71E95781"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38%</w:t>
            </w:r>
          </w:p>
        </w:tc>
      </w:tr>
      <w:tr w:rsidR="001B1603" w:rsidRPr="001B1603" w14:paraId="09ABE179" w14:textId="77777777" w:rsidTr="001B1603">
        <w:trPr>
          <w:trHeight w:val="300"/>
        </w:trPr>
        <w:tc>
          <w:tcPr>
            <w:tcW w:w="1580" w:type="dxa"/>
            <w:vMerge/>
            <w:tcBorders>
              <w:top w:val="nil"/>
              <w:left w:val="single" w:sz="8" w:space="0" w:color="auto"/>
              <w:bottom w:val="single" w:sz="4" w:space="0" w:color="auto"/>
              <w:right w:val="single" w:sz="4" w:space="0" w:color="auto"/>
            </w:tcBorders>
            <w:vAlign w:val="center"/>
            <w:hideMark/>
          </w:tcPr>
          <w:p w14:paraId="60A31082" w14:textId="77777777" w:rsidR="001B1603" w:rsidRPr="001B1603" w:rsidRDefault="001B1603" w:rsidP="001B1603">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6ABD3147"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Female</w:t>
            </w:r>
          </w:p>
        </w:tc>
        <w:tc>
          <w:tcPr>
            <w:tcW w:w="1693" w:type="dxa"/>
            <w:tcBorders>
              <w:top w:val="nil"/>
              <w:left w:val="nil"/>
              <w:bottom w:val="single" w:sz="4" w:space="0" w:color="auto"/>
              <w:right w:val="single" w:sz="4" w:space="0" w:color="auto"/>
            </w:tcBorders>
            <w:shd w:val="clear" w:color="auto" w:fill="auto"/>
            <w:noWrap/>
            <w:vAlign w:val="center"/>
            <w:hideMark/>
          </w:tcPr>
          <w:p w14:paraId="771859C4"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2,610,492</w:t>
            </w:r>
          </w:p>
        </w:tc>
        <w:tc>
          <w:tcPr>
            <w:tcW w:w="1767" w:type="dxa"/>
            <w:tcBorders>
              <w:top w:val="nil"/>
              <w:left w:val="nil"/>
              <w:bottom w:val="single" w:sz="4" w:space="0" w:color="auto"/>
              <w:right w:val="single" w:sz="4" w:space="0" w:color="auto"/>
            </w:tcBorders>
            <w:shd w:val="clear" w:color="auto" w:fill="auto"/>
            <w:noWrap/>
            <w:vAlign w:val="center"/>
            <w:hideMark/>
          </w:tcPr>
          <w:p w14:paraId="7C38A065"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62%</w:t>
            </w:r>
          </w:p>
        </w:tc>
        <w:tc>
          <w:tcPr>
            <w:tcW w:w="1732" w:type="dxa"/>
            <w:tcBorders>
              <w:top w:val="nil"/>
              <w:left w:val="nil"/>
              <w:bottom w:val="single" w:sz="4" w:space="0" w:color="auto"/>
              <w:right w:val="single" w:sz="4" w:space="0" w:color="auto"/>
            </w:tcBorders>
            <w:shd w:val="clear" w:color="auto" w:fill="auto"/>
            <w:noWrap/>
            <w:vAlign w:val="center"/>
            <w:hideMark/>
          </w:tcPr>
          <w:p w14:paraId="236E4DFC"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1,231,352</w:t>
            </w:r>
          </w:p>
        </w:tc>
        <w:tc>
          <w:tcPr>
            <w:tcW w:w="1808" w:type="dxa"/>
            <w:tcBorders>
              <w:top w:val="nil"/>
              <w:left w:val="nil"/>
              <w:bottom w:val="single" w:sz="4" w:space="0" w:color="auto"/>
              <w:right w:val="single" w:sz="4" w:space="0" w:color="auto"/>
            </w:tcBorders>
            <w:shd w:val="clear" w:color="auto" w:fill="auto"/>
            <w:noWrap/>
            <w:vAlign w:val="center"/>
            <w:hideMark/>
          </w:tcPr>
          <w:p w14:paraId="59B289CC"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63%</w:t>
            </w:r>
          </w:p>
        </w:tc>
        <w:tc>
          <w:tcPr>
            <w:tcW w:w="1644" w:type="dxa"/>
            <w:tcBorders>
              <w:top w:val="nil"/>
              <w:left w:val="nil"/>
              <w:bottom w:val="single" w:sz="4" w:space="0" w:color="auto"/>
              <w:right w:val="single" w:sz="4" w:space="0" w:color="auto"/>
            </w:tcBorders>
            <w:shd w:val="clear" w:color="auto" w:fill="auto"/>
            <w:noWrap/>
            <w:vAlign w:val="center"/>
            <w:hideMark/>
          </w:tcPr>
          <w:p w14:paraId="315D3B5D"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1,177,407</w:t>
            </w:r>
          </w:p>
        </w:tc>
        <w:tc>
          <w:tcPr>
            <w:tcW w:w="1716" w:type="dxa"/>
            <w:tcBorders>
              <w:top w:val="nil"/>
              <w:left w:val="nil"/>
              <w:bottom w:val="single" w:sz="4" w:space="0" w:color="auto"/>
              <w:right w:val="single" w:sz="8" w:space="0" w:color="auto"/>
            </w:tcBorders>
            <w:shd w:val="clear" w:color="auto" w:fill="auto"/>
            <w:noWrap/>
            <w:vAlign w:val="center"/>
            <w:hideMark/>
          </w:tcPr>
          <w:p w14:paraId="60BB39F9"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62%</w:t>
            </w:r>
          </w:p>
        </w:tc>
      </w:tr>
      <w:tr w:rsidR="001B1603" w:rsidRPr="001B1603" w14:paraId="00C9A694" w14:textId="77777777" w:rsidTr="001B1603">
        <w:trPr>
          <w:trHeight w:val="300"/>
        </w:trPr>
        <w:tc>
          <w:tcPr>
            <w:tcW w:w="158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21F59488"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Race</w:t>
            </w:r>
          </w:p>
        </w:tc>
        <w:tc>
          <w:tcPr>
            <w:tcW w:w="1520" w:type="dxa"/>
            <w:tcBorders>
              <w:top w:val="nil"/>
              <w:left w:val="nil"/>
              <w:bottom w:val="single" w:sz="4" w:space="0" w:color="auto"/>
              <w:right w:val="single" w:sz="4" w:space="0" w:color="auto"/>
            </w:tcBorders>
            <w:shd w:val="clear" w:color="auto" w:fill="auto"/>
            <w:noWrap/>
            <w:vAlign w:val="center"/>
            <w:hideMark/>
          </w:tcPr>
          <w:p w14:paraId="654FFA5F"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White</w:t>
            </w:r>
          </w:p>
        </w:tc>
        <w:tc>
          <w:tcPr>
            <w:tcW w:w="1693" w:type="dxa"/>
            <w:tcBorders>
              <w:top w:val="nil"/>
              <w:left w:val="nil"/>
              <w:bottom w:val="single" w:sz="4" w:space="0" w:color="auto"/>
              <w:right w:val="single" w:sz="4" w:space="0" w:color="auto"/>
            </w:tcBorders>
            <w:shd w:val="clear" w:color="auto" w:fill="auto"/>
            <w:noWrap/>
            <w:vAlign w:val="center"/>
            <w:hideMark/>
          </w:tcPr>
          <w:p w14:paraId="48450DF7"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3,237,472</w:t>
            </w:r>
          </w:p>
        </w:tc>
        <w:tc>
          <w:tcPr>
            <w:tcW w:w="1767" w:type="dxa"/>
            <w:tcBorders>
              <w:top w:val="nil"/>
              <w:left w:val="nil"/>
              <w:bottom w:val="single" w:sz="4" w:space="0" w:color="auto"/>
              <w:right w:val="single" w:sz="4" w:space="0" w:color="auto"/>
            </w:tcBorders>
            <w:shd w:val="clear" w:color="auto" w:fill="auto"/>
            <w:noWrap/>
            <w:vAlign w:val="center"/>
            <w:hideMark/>
          </w:tcPr>
          <w:p w14:paraId="1C359573"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76%</w:t>
            </w:r>
          </w:p>
        </w:tc>
        <w:tc>
          <w:tcPr>
            <w:tcW w:w="1732" w:type="dxa"/>
            <w:tcBorders>
              <w:top w:val="nil"/>
              <w:left w:val="nil"/>
              <w:bottom w:val="single" w:sz="4" w:space="0" w:color="auto"/>
              <w:right w:val="single" w:sz="4" w:space="0" w:color="auto"/>
            </w:tcBorders>
            <w:shd w:val="clear" w:color="auto" w:fill="auto"/>
            <w:noWrap/>
            <w:vAlign w:val="center"/>
            <w:hideMark/>
          </w:tcPr>
          <w:p w14:paraId="4EB312A6"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1,495,269</w:t>
            </w:r>
          </w:p>
        </w:tc>
        <w:tc>
          <w:tcPr>
            <w:tcW w:w="1808" w:type="dxa"/>
            <w:tcBorders>
              <w:top w:val="nil"/>
              <w:left w:val="nil"/>
              <w:bottom w:val="single" w:sz="4" w:space="0" w:color="auto"/>
              <w:right w:val="single" w:sz="4" w:space="0" w:color="auto"/>
            </w:tcBorders>
            <w:shd w:val="clear" w:color="auto" w:fill="auto"/>
            <w:noWrap/>
            <w:vAlign w:val="center"/>
            <w:hideMark/>
          </w:tcPr>
          <w:p w14:paraId="46DF5B26"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76%</w:t>
            </w:r>
          </w:p>
        </w:tc>
        <w:tc>
          <w:tcPr>
            <w:tcW w:w="1644" w:type="dxa"/>
            <w:tcBorders>
              <w:top w:val="nil"/>
              <w:left w:val="nil"/>
              <w:bottom w:val="single" w:sz="4" w:space="0" w:color="auto"/>
              <w:right w:val="single" w:sz="4" w:space="0" w:color="auto"/>
            </w:tcBorders>
            <w:shd w:val="clear" w:color="auto" w:fill="auto"/>
            <w:noWrap/>
            <w:vAlign w:val="center"/>
            <w:hideMark/>
          </w:tcPr>
          <w:p w14:paraId="01B8896A"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1,445,080</w:t>
            </w:r>
          </w:p>
        </w:tc>
        <w:tc>
          <w:tcPr>
            <w:tcW w:w="1716" w:type="dxa"/>
            <w:tcBorders>
              <w:top w:val="nil"/>
              <w:left w:val="nil"/>
              <w:bottom w:val="single" w:sz="4" w:space="0" w:color="auto"/>
              <w:right w:val="single" w:sz="8" w:space="0" w:color="auto"/>
            </w:tcBorders>
            <w:shd w:val="clear" w:color="auto" w:fill="auto"/>
            <w:noWrap/>
            <w:vAlign w:val="center"/>
            <w:hideMark/>
          </w:tcPr>
          <w:p w14:paraId="1F7C5B5C"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76%</w:t>
            </w:r>
          </w:p>
        </w:tc>
      </w:tr>
      <w:tr w:rsidR="001B1603" w:rsidRPr="001B1603" w14:paraId="0570F8CC" w14:textId="77777777" w:rsidTr="001B1603">
        <w:trPr>
          <w:trHeight w:val="300"/>
        </w:trPr>
        <w:tc>
          <w:tcPr>
            <w:tcW w:w="1580" w:type="dxa"/>
            <w:vMerge/>
            <w:tcBorders>
              <w:top w:val="nil"/>
              <w:left w:val="single" w:sz="8" w:space="0" w:color="auto"/>
              <w:bottom w:val="single" w:sz="4" w:space="0" w:color="auto"/>
              <w:right w:val="single" w:sz="4" w:space="0" w:color="auto"/>
            </w:tcBorders>
            <w:vAlign w:val="center"/>
            <w:hideMark/>
          </w:tcPr>
          <w:p w14:paraId="53083130" w14:textId="77777777" w:rsidR="001B1603" w:rsidRPr="001B1603" w:rsidRDefault="001B1603" w:rsidP="001B1603">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7C53EBD5"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Black</w:t>
            </w:r>
          </w:p>
        </w:tc>
        <w:tc>
          <w:tcPr>
            <w:tcW w:w="1693" w:type="dxa"/>
            <w:tcBorders>
              <w:top w:val="nil"/>
              <w:left w:val="nil"/>
              <w:bottom w:val="single" w:sz="4" w:space="0" w:color="auto"/>
              <w:right w:val="single" w:sz="4" w:space="0" w:color="auto"/>
            </w:tcBorders>
            <w:shd w:val="clear" w:color="auto" w:fill="auto"/>
            <w:noWrap/>
            <w:vAlign w:val="center"/>
            <w:hideMark/>
          </w:tcPr>
          <w:p w14:paraId="3A8B372D"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558,347</w:t>
            </w:r>
          </w:p>
        </w:tc>
        <w:tc>
          <w:tcPr>
            <w:tcW w:w="1767" w:type="dxa"/>
            <w:tcBorders>
              <w:top w:val="nil"/>
              <w:left w:val="nil"/>
              <w:bottom w:val="single" w:sz="4" w:space="0" w:color="auto"/>
              <w:right w:val="single" w:sz="4" w:space="0" w:color="auto"/>
            </w:tcBorders>
            <w:shd w:val="clear" w:color="auto" w:fill="auto"/>
            <w:noWrap/>
            <w:vAlign w:val="center"/>
            <w:hideMark/>
          </w:tcPr>
          <w:p w14:paraId="09D0894D"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13%</w:t>
            </w:r>
          </w:p>
        </w:tc>
        <w:tc>
          <w:tcPr>
            <w:tcW w:w="1732" w:type="dxa"/>
            <w:tcBorders>
              <w:top w:val="nil"/>
              <w:left w:val="nil"/>
              <w:bottom w:val="single" w:sz="4" w:space="0" w:color="auto"/>
              <w:right w:val="single" w:sz="4" w:space="0" w:color="auto"/>
            </w:tcBorders>
            <w:shd w:val="clear" w:color="auto" w:fill="auto"/>
            <w:noWrap/>
            <w:vAlign w:val="center"/>
            <w:hideMark/>
          </w:tcPr>
          <w:p w14:paraId="202FFB2F"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264,735</w:t>
            </w:r>
          </w:p>
        </w:tc>
        <w:tc>
          <w:tcPr>
            <w:tcW w:w="1808" w:type="dxa"/>
            <w:tcBorders>
              <w:top w:val="nil"/>
              <w:left w:val="nil"/>
              <w:bottom w:val="single" w:sz="4" w:space="0" w:color="auto"/>
              <w:right w:val="single" w:sz="4" w:space="0" w:color="auto"/>
            </w:tcBorders>
            <w:shd w:val="clear" w:color="auto" w:fill="auto"/>
            <w:noWrap/>
            <w:vAlign w:val="center"/>
            <w:hideMark/>
          </w:tcPr>
          <w:p w14:paraId="6BC3F3FE"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13%</w:t>
            </w:r>
          </w:p>
        </w:tc>
        <w:tc>
          <w:tcPr>
            <w:tcW w:w="1644" w:type="dxa"/>
            <w:tcBorders>
              <w:top w:val="nil"/>
              <w:left w:val="nil"/>
              <w:bottom w:val="single" w:sz="4" w:space="0" w:color="auto"/>
              <w:right w:val="single" w:sz="4" w:space="0" w:color="auto"/>
            </w:tcBorders>
            <w:shd w:val="clear" w:color="auto" w:fill="auto"/>
            <w:noWrap/>
            <w:vAlign w:val="center"/>
            <w:hideMark/>
          </w:tcPr>
          <w:p w14:paraId="577440C5"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253,648</w:t>
            </w:r>
          </w:p>
        </w:tc>
        <w:tc>
          <w:tcPr>
            <w:tcW w:w="1716" w:type="dxa"/>
            <w:tcBorders>
              <w:top w:val="nil"/>
              <w:left w:val="nil"/>
              <w:bottom w:val="single" w:sz="4" w:space="0" w:color="auto"/>
              <w:right w:val="single" w:sz="8" w:space="0" w:color="auto"/>
            </w:tcBorders>
            <w:shd w:val="clear" w:color="auto" w:fill="auto"/>
            <w:noWrap/>
            <w:vAlign w:val="center"/>
            <w:hideMark/>
          </w:tcPr>
          <w:p w14:paraId="21E5BC2E"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13%</w:t>
            </w:r>
          </w:p>
        </w:tc>
      </w:tr>
      <w:tr w:rsidR="001B1603" w:rsidRPr="001B1603" w14:paraId="7970D4D7" w14:textId="77777777" w:rsidTr="001B1603">
        <w:trPr>
          <w:trHeight w:val="300"/>
        </w:trPr>
        <w:tc>
          <w:tcPr>
            <w:tcW w:w="1580" w:type="dxa"/>
            <w:vMerge/>
            <w:tcBorders>
              <w:top w:val="nil"/>
              <w:left w:val="single" w:sz="8" w:space="0" w:color="auto"/>
              <w:bottom w:val="single" w:sz="4" w:space="0" w:color="auto"/>
              <w:right w:val="single" w:sz="4" w:space="0" w:color="auto"/>
            </w:tcBorders>
            <w:vAlign w:val="center"/>
            <w:hideMark/>
          </w:tcPr>
          <w:p w14:paraId="5A05538B" w14:textId="77777777" w:rsidR="001B1603" w:rsidRPr="001B1603" w:rsidRDefault="001B1603" w:rsidP="001B1603">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1962E67F"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Hispanic</w:t>
            </w:r>
          </w:p>
        </w:tc>
        <w:tc>
          <w:tcPr>
            <w:tcW w:w="1693" w:type="dxa"/>
            <w:tcBorders>
              <w:top w:val="nil"/>
              <w:left w:val="nil"/>
              <w:bottom w:val="single" w:sz="4" w:space="0" w:color="auto"/>
              <w:right w:val="single" w:sz="4" w:space="0" w:color="auto"/>
            </w:tcBorders>
            <w:shd w:val="clear" w:color="auto" w:fill="auto"/>
            <w:noWrap/>
            <w:vAlign w:val="center"/>
            <w:hideMark/>
          </w:tcPr>
          <w:p w14:paraId="0231584D"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331,562</w:t>
            </w:r>
          </w:p>
        </w:tc>
        <w:tc>
          <w:tcPr>
            <w:tcW w:w="1767" w:type="dxa"/>
            <w:tcBorders>
              <w:top w:val="nil"/>
              <w:left w:val="nil"/>
              <w:bottom w:val="single" w:sz="4" w:space="0" w:color="auto"/>
              <w:right w:val="single" w:sz="4" w:space="0" w:color="auto"/>
            </w:tcBorders>
            <w:shd w:val="clear" w:color="auto" w:fill="auto"/>
            <w:noWrap/>
            <w:vAlign w:val="center"/>
            <w:hideMark/>
          </w:tcPr>
          <w:p w14:paraId="3A15445C"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8%</w:t>
            </w:r>
          </w:p>
        </w:tc>
        <w:tc>
          <w:tcPr>
            <w:tcW w:w="1732" w:type="dxa"/>
            <w:tcBorders>
              <w:top w:val="nil"/>
              <w:left w:val="nil"/>
              <w:bottom w:val="single" w:sz="4" w:space="0" w:color="auto"/>
              <w:right w:val="single" w:sz="4" w:space="0" w:color="auto"/>
            </w:tcBorders>
            <w:shd w:val="clear" w:color="auto" w:fill="auto"/>
            <w:noWrap/>
            <w:vAlign w:val="center"/>
            <w:hideMark/>
          </w:tcPr>
          <w:p w14:paraId="5CEC54B7"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156,879</w:t>
            </w:r>
          </w:p>
        </w:tc>
        <w:tc>
          <w:tcPr>
            <w:tcW w:w="1808" w:type="dxa"/>
            <w:tcBorders>
              <w:top w:val="nil"/>
              <w:left w:val="nil"/>
              <w:bottom w:val="single" w:sz="4" w:space="0" w:color="auto"/>
              <w:right w:val="single" w:sz="4" w:space="0" w:color="auto"/>
            </w:tcBorders>
            <w:shd w:val="clear" w:color="auto" w:fill="auto"/>
            <w:noWrap/>
            <w:vAlign w:val="center"/>
            <w:hideMark/>
          </w:tcPr>
          <w:p w14:paraId="717AD269"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8%</w:t>
            </w:r>
          </w:p>
        </w:tc>
        <w:tc>
          <w:tcPr>
            <w:tcW w:w="1644" w:type="dxa"/>
            <w:tcBorders>
              <w:top w:val="nil"/>
              <w:left w:val="nil"/>
              <w:bottom w:val="single" w:sz="4" w:space="0" w:color="auto"/>
              <w:right w:val="single" w:sz="4" w:space="0" w:color="auto"/>
            </w:tcBorders>
            <w:shd w:val="clear" w:color="auto" w:fill="auto"/>
            <w:noWrap/>
            <w:vAlign w:val="center"/>
            <w:hideMark/>
          </w:tcPr>
          <w:p w14:paraId="0FE6EF7F"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149,690</w:t>
            </w:r>
          </w:p>
        </w:tc>
        <w:tc>
          <w:tcPr>
            <w:tcW w:w="1716" w:type="dxa"/>
            <w:tcBorders>
              <w:top w:val="nil"/>
              <w:left w:val="nil"/>
              <w:bottom w:val="single" w:sz="4" w:space="0" w:color="auto"/>
              <w:right w:val="single" w:sz="8" w:space="0" w:color="auto"/>
            </w:tcBorders>
            <w:shd w:val="clear" w:color="auto" w:fill="auto"/>
            <w:noWrap/>
            <w:vAlign w:val="center"/>
            <w:hideMark/>
          </w:tcPr>
          <w:p w14:paraId="297E9D9A"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8%</w:t>
            </w:r>
          </w:p>
        </w:tc>
      </w:tr>
      <w:tr w:rsidR="001B1603" w:rsidRPr="001B1603" w14:paraId="53708EDE" w14:textId="77777777" w:rsidTr="001B1603">
        <w:trPr>
          <w:trHeight w:val="300"/>
        </w:trPr>
        <w:tc>
          <w:tcPr>
            <w:tcW w:w="1580" w:type="dxa"/>
            <w:vMerge/>
            <w:tcBorders>
              <w:top w:val="nil"/>
              <w:left w:val="single" w:sz="8" w:space="0" w:color="auto"/>
              <w:bottom w:val="single" w:sz="4" w:space="0" w:color="auto"/>
              <w:right w:val="single" w:sz="4" w:space="0" w:color="auto"/>
            </w:tcBorders>
            <w:vAlign w:val="center"/>
            <w:hideMark/>
          </w:tcPr>
          <w:p w14:paraId="78A22946" w14:textId="77777777" w:rsidR="001B1603" w:rsidRPr="001B1603" w:rsidRDefault="001B1603" w:rsidP="001B1603">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0016554D"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Other</w:t>
            </w:r>
          </w:p>
        </w:tc>
        <w:tc>
          <w:tcPr>
            <w:tcW w:w="1693" w:type="dxa"/>
            <w:tcBorders>
              <w:top w:val="nil"/>
              <w:left w:val="nil"/>
              <w:bottom w:val="single" w:sz="4" w:space="0" w:color="auto"/>
              <w:right w:val="single" w:sz="4" w:space="0" w:color="auto"/>
            </w:tcBorders>
            <w:shd w:val="clear" w:color="auto" w:fill="auto"/>
            <w:noWrap/>
            <w:vAlign w:val="center"/>
            <w:hideMark/>
          </w:tcPr>
          <w:p w14:paraId="73D3099E"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109,983</w:t>
            </w:r>
          </w:p>
        </w:tc>
        <w:tc>
          <w:tcPr>
            <w:tcW w:w="1767" w:type="dxa"/>
            <w:tcBorders>
              <w:top w:val="nil"/>
              <w:left w:val="nil"/>
              <w:bottom w:val="single" w:sz="4" w:space="0" w:color="auto"/>
              <w:right w:val="single" w:sz="4" w:space="0" w:color="auto"/>
            </w:tcBorders>
            <w:shd w:val="clear" w:color="auto" w:fill="auto"/>
            <w:noWrap/>
            <w:vAlign w:val="center"/>
            <w:hideMark/>
          </w:tcPr>
          <w:p w14:paraId="0224D768"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w:t>
            </w:r>
          </w:p>
        </w:tc>
        <w:tc>
          <w:tcPr>
            <w:tcW w:w="1732" w:type="dxa"/>
            <w:tcBorders>
              <w:top w:val="nil"/>
              <w:left w:val="nil"/>
              <w:bottom w:val="single" w:sz="4" w:space="0" w:color="auto"/>
              <w:right w:val="single" w:sz="4" w:space="0" w:color="auto"/>
            </w:tcBorders>
            <w:shd w:val="clear" w:color="auto" w:fill="auto"/>
            <w:noWrap/>
            <w:vAlign w:val="center"/>
            <w:hideMark/>
          </w:tcPr>
          <w:p w14:paraId="5A686C59"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52,449</w:t>
            </w:r>
          </w:p>
        </w:tc>
        <w:tc>
          <w:tcPr>
            <w:tcW w:w="1808" w:type="dxa"/>
            <w:tcBorders>
              <w:top w:val="nil"/>
              <w:left w:val="nil"/>
              <w:bottom w:val="single" w:sz="4" w:space="0" w:color="auto"/>
              <w:right w:val="single" w:sz="4" w:space="0" w:color="auto"/>
            </w:tcBorders>
            <w:shd w:val="clear" w:color="auto" w:fill="auto"/>
            <w:noWrap/>
            <w:vAlign w:val="center"/>
            <w:hideMark/>
          </w:tcPr>
          <w:p w14:paraId="73117BAE"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w:t>
            </w:r>
          </w:p>
        </w:tc>
        <w:tc>
          <w:tcPr>
            <w:tcW w:w="1644" w:type="dxa"/>
            <w:tcBorders>
              <w:top w:val="nil"/>
              <w:left w:val="nil"/>
              <w:bottom w:val="single" w:sz="4" w:space="0" w:color="auto"/>
              <w:right w:val="single" w:sz="4" w:space="0" w:color="auto"/>
            </w:tcBorders>
            <w:shd w:val="clear" w:color="auto" w:fill="auto"/>
            <w:noWrap/>
            <w:vAlign w:val="center"/>
            <w:hideMark/>
          </w:tcPr>
          <w:p w14:paraId="00C2C1E5"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49,512</w:t>
            </w:r>
          </w:p>
        </w:tc>
        <w:tc>
          <w:tcPr>
            <w:tcW w:w="1716" w:type="dxa"/>
            <w:tcBorders>
              <w:top w:val="nil"/>
              <w:left w:val="nil"/>
              <w:bottom w:val="single" w:sz="4" w:space="0" w:color="auto"/>
              <w:right w:val="single" w:sz="8" w:space="0" w:color="auto"/>
            </w:tcBorders>
            <w:shd w:val="clear" w:color="auto" w:fill="auto"/>
            <w:noWrap/>
            <w:vAlign w:val="center"/>
            <w:hideMark/>
          </w:tcPr>
          <w:p w14:paraId="4A950F16"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w:t>
            </w:r>
          </w:p>
        </w:tc>
      </w:tr>
      <w:tr w:rsidR="001B1603" w:rsidRPr="001B1603" w14:paraId="53128884" w14:textId="77777777" w:rsidTr="001B1603">
        <w:trPr>
          <w:trHeight w:val="300"/>
        </w:trPr>
        <w:tc>
          <w:tcPr>
            <w:tcW w:w="158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2025B1B8"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Age</w:t>
            </w:r>
          </w:p>
        </w:tc>
        <w:tc>
          <w:tcPr>
            <w:tcW w:w="1520" w:type="dxa"/>
            <w:tcBorders>
              <w:top w:val="nil"/>
              <w:left w:val="nil"/>
              <w:bottom w:val="single" w:sz="4" w:space="0" w:color="auto"/>
              <w:right w:val="single" w:sz="4" w:space="0" w:color="auto"/>
            </w:tcBorders>
            <w:shd w:val="clear" w:color="auto" w:fill="auto"/>
            <w:noWrap/>
            <w:vAlign w:val="center"/>
            <w:hideMark/>
          </w:tcPr>
          <w:p w14:paraId="611F95DE"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Under 65</w:t>
            </w:r>
          </w:p>
        </w:tc>
        <w:tc>
          <w:tcPr>
            <w:tcW w:w="1693" w:type="dxa"/>
            <w:tcBorders>
              <w:top w:val="nil"/>
              <w:left w:val="nil"/>
              <w:bottom w:val="single" w:sz="4" w:space="0" w:color="auto"/>
              <w:right w:val="single" w:sz="4" w:space="0" w:color="auto"/>
            </w:tcBorders>
            <w:shd w:val="clear" w:color="auto" w:fill="auto"/>
            <w:noWrap/>
            <w:vAlign w:val="center"/>
            <w:hideMark/>
          </w:tcPr>
          <w:p w14:paraId="13C53E11"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746,652</w:t>
            </w:r>
          </w:p>
        </w:tc>
        <w:tc>
          <w:tcPr>
            <w:tcW w:w="1767" w:type="dxa"/>
            <w:tcBorders>
              <w:top w:val="nil"/>
              <w:left w:val="nil"/>
              <w:bottom w:val="single" w:sz="4" w:space="0" w:color="auto"/>
              <w:right w:val="single" w:sz="4" w:space="0" w:color="auto"/>
            </w:tcBorders>
            <w:shd w:val="clear" w:color="auto" w:fill="auto"/>
            <w:noWrap/>
            <w:vAlign w:val="center"/>
            <w:hideMark/>
          </w:tcPr>
          <w:p w14:paraId="10EAD28B"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18%</w:t>
            </w:r>
          </w:p>
        </w:tc>
        <w:tc>
          <w:tcPr>
            <w:tcW w:w="1732" w:type="dxa"/>
            <w:tcBorders>
              <w:top w:val="nil"/>
              <w:left w:val="nil"/>
              <w:bottom w:val="single" w:sz="4" w:space="0" w:color="auto"/>
              <w:right w:val="single" w:sz="4" w:space="0" w:color="auto"/>
            </w:tcBorders>
            <w:shd w:val="clear" w:color="auto" w:fill="auto"/>
            <w:noWrap/>
            <w:vAlign w:val="center"/>
            <w:hideMark/>
          </w:tcPr>
          <w:p w14:paraId="1B9BD319"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312,128</w:t>
            </w:r>
          </w:p>
        </w:tc>
        <w:tc>
          <w:tcPr>
            <w:tcW w:w="1808" w:type="dxa"/>
            <w:tcBorders>
              <w:top w:val="nil"/>
              <w:left w:val="nil"/>
              <w:bottom w:val="single" w:sz="4" w:space="0" w:color="auto"/>
              <w:right w:val="single" w:sz="4" w:space="0" w:color="auto"/>
            </w:tcBorders>
            <w:shd w:val="clear" w:color="auto" w:fill="auto"/>
            <w:noWrap/>
            <w:vAlign w:val="center"/>
            <w:hideMark/>
          </w:tcPr>
          <w:p w14:paraId="43FE2D30"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16%</w:t>
            </w:r>
          </w:p>
        </w:tc>
        <w:tc>
          <w:tcPr>
            <w:tcW w:w="1644" w:type="dxa"/>
            <w:tcBorders>
              <w:top w:val="nil"/>
              <w:left w:val="nil"/>
              <w:bottom w:val="single" w:sz="4" w:space="0" w:color="auto"/>
              <w:right w:val="single" w:sz="4" w:space="0" w:color="auto"/>
            </w:tcBorders>
            <w:shd w:val="clear" w:color="auto" w:fill="auto"/>
            <w:noWrap/>
            <w:vAlign w:val="center"/>
            <w:hideMark/>
          </w:tcPr>
          <w:p w14:paraId="091872BE"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306,319</w:t>
            </w:r>
          </w:p>
        </w:tc>
        <w:tc>
          <w:tcPr>
            <w:tcW w:w="1716" w:type="dxa"/>
            <w:tcBorders>
              <w:top w:val="nil"/>
              <w:left w:val="nil"/>
              <w:bottom w:val="single" w:sz="4" w:space="0" w:color="auto"/>
              <w:right w:val="single" w:sz="8" w:space="0" w:color="auto"/>
            </w:tcBorders>
            <w:shd w:val="clear" w:color="auto" w:fill="auto"/>
            <w:noWrap/>
            <w:vAlign w:val="center"/>
            <w:hideMark/>
          </w:tcPr>
          <w:p w14:paraId="09F69082"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16%</w:t>
            </w:r>
          </w:p>
        </w:tc>
      </w:tr>
      <w:tr w:rsidR="001B1603" w:rsidRPr="001B1603" w14:paraId="2CD86396" w14:textId="77777777" w:rsidTr="001B1603">
        <w:trPr>
          <w:trHeight w:val="300"/>
        </w:trPr>
        <w:tc>
          <w:tcPr>
            <w:tcW w:w="1580" w:type="dxa"/>
            <w:vMerge/>
            <w:tcBorders>
              <w:top w:val="nil"/>
              <w:left w:val="single" w:sz="8" w:space="0" w:color="auto"/>
              <w:bottom w:val="single" w:sz="4" w:space="0" w:color="auto"/>
              <w:right w:val="single" w:sz="4" w:space="0" w:color="auto"/>
            </w:tcBorders>
            <w:vAlign w:val="center"/>
            <w:hideMark/>
          </w:tcPr>
          <w:p w14:paraId="090C2020" w14:textId="77777777" w:rsidR="001B1603" w:rsidRPr="001B1603" w:rsidRDefault="001B1603" w:rsidP="001B1603">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31391BE1"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65-74</w:t>
            </w:r>
          </w:p>
        </w:tc>
        <w:tc>
          <w:tcPr>
            <w:tcW w:w="1693" w:type="dxa"/>
            <w:tcBorders>
              <w:top w:val="nil"/>
              <w:left w:val="nil"/>
              <w:bottom w:val="single" w:sz="4" w:space="0" w:color="auto"/>
              <w:right w:val="single" w:sz="4" w:space="0" w:color="auto"/>
            </w:tcBorders>
            <w:shd w:val="clear" w:color="auto" w:fill="auto"/>
            <w:noWrap/>
            <w:vAlign w:val="center"/>
            <w:hideMark/>
          </w:tcPr>
          <w:p w14:paraId="76EF5FAD"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1,109,409</w:t>
            </w:r>
          </w:p>
        </w:tc>
        <w:tc>
          <w:tcPr>
            <w:tcW w:w="1767" w:type="dxa"/>
            <w:tcBorders>
              <w:top w:val="nil"/>
              <w:left w:val="nil"/>
              <w:bottom w:val="single" w:sz="4" w:space="0" w:color="auto"/>
              <w:right w:val="single" w:sz="4" w:space="0" w:color="auto"/>
            </w:tcBorders>
            <w:shd w:val="clear" w:color="auto" w:fill="auto"/>
            <w:noWrap/>
            <w:vAlign w:val="center"/>
            <w:hideMark/>
          </w:tcPr>
          <w:p w14:paraId="583660FD"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26%</w:t>
            </w:r>
          </w:p>
        </w:tc>
        <w:tc>
          <w:tcPr>
            <w:tcW w:w="1732" w:type="dxa"/>
            <w:tcBorders>
              <w:top w:val="nil"/>
              <w:left w:val="nil"/>
              <w:bottom w:val="single" w:sz="4" w:space="0" w:color="auto"/>
              <w:right w:val="single" w:sz="4" w:space="0" w:color="auto"/>
            </w:tcBorders>
            <w:shd w:val="clear" w:color="auto" w:fill="auto"/>
            <w:noWrap/>
            <w:vAlign w:val="center"/>
            <w:hideMark/>
          </w:tcPr>
          <w:p w14:paraId="3933AE8A"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453,252</w:t>
            </w:r>
          </w:p>
        </w:tc>
        <w:tc>
          <w:tcPr>
            <w:tcW w:w="1808" w:type="dxa"/>
            <w:tcBorders>
              <w:top w:val="nil"/>
              <w:left w:val="nil"/>
              <w:bottom w:val="single" w:sz="4" w:space="0" w:color="auto"/>
              <w:right w:val="single" w:sz="4" w:space="0" w:color="auto"/>
            </w:tcBorders>
            <w:shd w:val="clear" w:color="auto" w:fill="auto"/>
            <w:noWrap/>
            <w:vAlign w:val="center"/>
            <w:hideMark/>
          </w:tcPr>
          <w:p w14:paraId="0EBBBBCD"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23%</w:t>
            </w:r>
          </w:p>
        </w:tc>
        <w:tc>
          <w:tcPr>
            <w:tcW w:w="1644" w:type="dxa"/>
            <w:tcBorders>
              <w:top w:val="nil"/>
              <w:left w:val="nil"/>
              <w:bottom w:val="single" w:sz="4" w:space="0" w:color="auto"/>
              <w:right w:val="single" w:sz="4" w:space="0" w:color="auto"/>
            </w:tcBorders>
            <w:shd w:val="clear" w:color="auto" w:fill="auto"/>
            <w:noWrap/>
            <w:vAlign w:val="center"/>
            <w:hideMark/>
          </w:tcPr>
          <w:p w14:paraId="53206EE1"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441,266</w:t>
            </w:r>
          </w:p>
        </w:tc>
        <w:tc>
          <w:tcPr>
            <w:tcW w:w="1716" w:type="dxa"/>
            <w:tcBorders>
              <w:top w:val="nil"/>
              <w:left w:val="nil"/>
              <w:bottom w:val="single" w:sz="4" w:space="0" w:color="auto"/>
              <w:right w:val="single" w:sz="8" w:space="0" w:color="auto"/>
            </w:tcBorders>
            <w:shd w:val="clear" w:color="auto" w:fill="auto"/>
            <w:noWrap/>
            <w:vAlign w:val="center"/>
            <w:hideMark/>
          </w:tcPr>
          <w:p w14:paraId="1E4A8B8D"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23%</w:t>
            </w:r>
          </w:p>
        </w:tc>
      </w:tr>
      <w:tr w:rsidR="001B1603" w:rsidRPr="001B1603" w14:paraId="7167CFF0" w14:textId="77777777" w:rsidTr="001B1603">
        <w:trPr>
          <w:trHeight w:val="300"/>
        </w:trPr>
        <w:tc>
          <w:tcPr>
            <w:tcW w:w="1580" w:type="dxa"/>
            <w:vMerge/>
            <w:tcBorders>
              <w:top w:val="nil"/>
              <w:left w:val="single" w:sz="8" w:space="0" w:color="auto"/>
              <w:bottom w:val="single" w:sz="4" w:space="0" w:color="auto"/>
              <w:right w:val="single" w:sz="4" w:space="0" w:color="auto"/>
            </w:tcBorders>
            <w:vAlign w:val="center"/>
            <w:hideMark/>
          </w:tcPr>
          <w:p w14:paraId="04713049" w14:textId="77777777" w:rsidR="001B1603" w:rsidRPr="001B1603" w:rsidRDefault="001B1603" w:rsidP="001B1603">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05561C3E"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75-84</w:t>
            </w:r>
          </w:p>
        </w:tc>
        <w:tc>
          <w:tcPr>
            <w:tcW w:w="1693" w:type="dxa"/>
            <w:tcBorders>
              <w:top w:val="nil"/>
              <w:left w:val="nil"/>
              <w:bottom w:val="single" w:sz="4" w:space="0" w:color="auto"/>
              <w:right w:val="single" w:sz="4" w:space="0" w:color="auto"/>
            </w:tcBorders>
            <w:shd w:val="clear" w:color="auto" w:fill="auto"/>
            <w:noWrap/>
            <w:vAlign w:val="center"/>
            <w:hideMark/>
          </w:tcPr>
          <w:p w14:paraId="53862115"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1,302,892</w:t>
            </w:r>
          </w:p>
        </w:tc>
        <w:tc>
          <w:tcPr>
            <w:tcW w:w="1767" w:type="dxa"/>
            <w:tcBorders>
              <w:top w:val="nil"/>
              <w:left w:val="nil"/>
              <w:bottom w:val="single" w:sz="4" w:space="0" w:color="auto"/>
              <w:right w:val="single" w:sz="4" w:space="0" w:color="auto"/>
            </w:tcBorders>
            <w:shd w:val="clear" w:color="auto" w:fill="auto"/>
            <w:noWrap/>
            <w:vAlign w:val="center"/>
            <w:hideMark/>
          </w:tcPr>
          <w:p w14:paraId="5BB0030F"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31%</w:t>
            </w:r>
          </w:p>
        </w:tc>
        <w:tc>
          <w:tcPr>
            <w:tcW w:w="1732" w:type="dxa"/>
            <w:tcBorders>
              <w:top w:val="nil"/>
              <w:left w:val="nil"/>
              <w:bottom w:val="single" w:sz="4" w:space="0" w:color="auto"/>
              <w:right w:val="single" w:sz="4" w:space="0" w:color="auto"/>
            </w:tcBorders>
            <w:shd w:val="clear" w:color="auto" w:fill="auto"/>
            <w:noWrap/>
            <w:vAlign w:val="center"/>
            <w:hideMark/>
          </w:tcPr>
          <w:p w14:paraId="0A724DE3"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611,183</w:t>
            </w:r>
          </w:p>
        </w:tc>
        <w:tc>
          <w:tcPr>
            <w:tcW w:w="1808" w:type="dxa"/>
            <w:tcBorders>
              <w:top w:val="nil"/>
              <w:left w:val="nil"/>
              <w:bottom w:val="single" w:sz="4" w:space="0" w:color="auto"/>
              <w:right w:val="single" w:sz="4" w:space="0" w:color="auto"/>
            </w:tcBorders>
            <w:shd w:val="clear" w:color="auto" w:fill="auto"/>
            <w:noWrap/>
            <w:vAlign w:val="center"/>
            <w:hideMark/>
          </w:tcPr>
          <w:p w14:paraId="5E22C578"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31%</w:t>
            </w:r>
          </w:p>
        </w:tc>
        <w:tc>
          <w:tcPr>
            <w:tcW w:w="1644" w:type="dxa"/>
            <w:tcBorders>
              <w:top w:val="nil"/>
              <w:left w:val="nil"/>
              <w:bottom w:val="single" w:sz="4" w:space="0" w:color="auto"/>
              <w:right w:val="single" w:sz="4" w:space="0" w:color="auto"/>
            </w:tcBorders>
            <w:shd w:val="clear" w:color="auto" w:fill="auto"/>
            <w:noWrap/>
            <w:vAlign w:val="center"/>
            <w:hideMark/>
          </w:tcPr>
          <w:p w14:paraId="76FE7BC9"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587,634</w:t>
            </w:r>
          </w:p>
        </w:tc>
        <w:tc>
          <w:tcPr>
            <w:tcW w:w="1716" w:type="dxa"/>
            <w:tcBorders>
              <w:top w:val="nil"/>
              <w:left w:val="nil"/>
              <w:bottom w:val="single" w:sz="4" w:space="0" w:color="auto"/>
              <w:right w:val="single" w:sz="8" w:space="0" w:color="auto"/>
            </w:tcBorders>
            <w:shd w:val="clear" w:color="auto" w:fill="auto"/>
            <w:noWrap/>
            <w:vAlign w:val="center"/>
            <w:hideMark/>
          </w:tcPr>
          <w:p w14:paraId="1BDFBD24"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31%</w:t>
            </w:r>
          </w:p>
        </w:tc>
      </w:tr>
      <w:tr w:rsidR="001B1603" w:rsidRPr="001B1603" w14:paraId="2B8D4607" w14:textId="77777777" w:rsidTr="001B1603">
        <w:trPr>
          <w:trHeight w:val="300"/>
        </w:trPr>
        <w:tc>
          <w:tcPr>
            <w:tcW w:w="1580" w:type="dxa"/>
            <w:vMerge/>
            <w:tcBorders>
              <w:top w:val="nil"/>
              <w:left w:val="single" w:sz="8" w:space="0" w:color="auto"/>
              <w:bottom w:val="single" w:sz="4" w:space="0" w:color="auto"/>
              <w:right w:val="single" w:sz="4" w:space="0" w:color="auto"/>
            </w:tcBorders>
            <w:vAlign w:val="center"/>
            <w:hideMark/>
          </w:tcPr>
          <w:p w14:paraId="36A11D6E" w14:textId="77777777" w:rsidR="001B1603" w:rsidRPr="001B1603" w:rsidRDefault="001B1603" w:rsidP="001B1603">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5DF2C686"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85 and Over</w:t>
            </w:r>
          </w:p>
        </w:tc>
        <w:tc>
          <w:tcPr>
            <w:tcW w:w="1693" w:type="dxa"/>
            <w:tcBorders>
              <w:top w:val="nil"/>
              <w:left w:val="nil"/>
              <w:bottom w:val="single" w:sz="4" w:space="0" w:color="auto"/>
              <w:right w:val="single" w:sz="4" w:space="0" w:color="auto"/>
            </w:tcBorders>
            <w:shd w:val="clear" w:color="auto" w:fill="auto"/>
            <w:noWrap/>
            <w:vAlign w:val="center"/>
            <w:hideMark/>
          </w:tcPr>
          <w:p w14:paraId="45B6DA0C"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1,078,411</w:t>
            </w:r>
          </w:p>
        </w:tc>
        <w:tc>
          <w:tcPr>
            <w:tcW w:w="1767" w:type="dxa"/>
            <w:tcBorders>
              <w:top w:val="nil"/>
              <w:left w:val="nil"/>
              <w:bottom w:val="single" w:sz="4" w:space="0" w:color="auto"/>
              <w:right w:val="single" w:sz="4" w:space="0" w:color="auto"/>
            </w:tcBorders>
            <w:shd w:val="clear" w:color="auto" w:fill="auto"/>
            <w:noWrap/>
            <w:vAlign w:val="center"/>
            <w:hideMark/>
          </w:tcPr>
          <w:p w14:paraId="12D7D042"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25%</w:t>
            </w:r>
          </w:p>
        </w:tc>
        <w:tc>
          <w:tcPr>
            <w:tcW w:w="1732" w:type="dxa"/>
            <w:tcBorders>
              <w:top w:val="nil"/>
              <w:left w:val="nil"/>
              <w:bottom w:val="single" w:sz="4" w:space="0" w:color="auto"/>
              <w:right w:val="single" w:sz="4" w:space="0" w:color="auto"/>
            </w:tcBorders>
            <w:shd w:val="clear" w:color="auto" w:fill="auto"/>
            <w:noWrap/>
            <w:vAlign w:val="center"/>
            <w:hideMark/>
          </w:tcPr>
          <w:p w14:paraId="7C5D3BE8"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592,769</w:t>
            </w:r>
          </w:p>
        </w:tc>
        <w:tc>
          <w:tcPr>
            <w:tcW w:w="1808" w:type="dxa"/>
            <w:tcBorders>
              <w:top w:val="nil"/>
              <w:left w:val="nil"/>
              <w:bottom w:val="single" w:sz="4" w:space="0" w:color="auto"/>
              <w:right w:val="single" w:sz="4" w:space="0" w:color="auto"/>
            </w:tcBorders>
            <w:shd w:val="clear" w:color="auto" w:fill="auto"/>
            <w:noWrap/>
            <w:vAlign w:val="center"/>
            <w:hideMark/>
          </w:tcPr>
          <w:p w14:paraId="1FD01B82"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30%</w:t>
            </w:r>
          </w:p>
        </w:tc>
        <w:tc>
          <w:tcPr>
            <w:tcW w:w="1644" w:type="dxa"/>
            <w:tcBorders>
              <w:top w:val="nil"/>
              <w:left w:val="nil"/>
              <w:bottom w:val="single" w:sz="4" w:space="0" w:color="auto"/>
              <w:right w:val="single" w:sz="4" w:space="0" w:color="auto"/>
            </w:tcBorders>
            <w:shd w:val="clear" w:color="auto" w:fill="auto"/>
            <w:noWrap/>
            <w:vAlign w:val="center"/>
            <w:hideMark/>
          </w:tcPr>
          <w:p w14:paraId="0DBC172E"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562,711</w:t>
            </w:r>
          </w:p>
        </w:tc>
        <w:tc>
          <w:tcPr>
            <w:tcW w:w="1716" w:type="dxa"/>
            <w:tcBorders>
              <w:top w:val="nil"/>
              <w:left w:val="nil"/>
              <w:bottom w:val="single" w:sz="4" w:space="0" w:color="auto"/>
              <w:right w:val="single" w:sz="8" w:space="0" w:color="auto"/>
            </w:tcBorders>
            <w:shd w:val="clear" w:color="auto" w:fill="auto"/>
            <w:noWrap/>
            <w:vAlign w:val="center"/>
            <w:hideMark/>
          </w:tcPr>
          <w:p w14:paraId="03D20818"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30%</w:t>
            </w:r>
          </w:p>
        </w:tc>
      </w:tr>
      <w:tr w:rsidR="001B1603" w:rsidRPr="001B1603" w14:paraId="2EF9C1D0" w14:textId="77777777" w:rsidTr="001B1603">
        <w:trPr>
          <w:trHeight w:val="1185"/>
        </w:trPr>
        <w:tc>
          <w:tcPr>
            <w:tcW w:w="1580" w:type="dxa"/>
            <w:vMerge w:val="restart"/>
            <w:tcBorders>
              <w:top w:val="nil"/>
              <w:left w:val="single" w:sz="8" w:space="0" w:color="auto"/>
              <w:bottom w:val="single" w:sz="4" w:space="0" w:color="auto"/>
              <w:right w:val="single" w:sz="4" w:space="0" w:color="auto"/>
            </w:tcBorders>
            <w:shd w:val="clear" w:color="auto" w:fill="auto"/>
            <w:vAlign w:val="center"/>
            <w:hideMark/>
          </w:tcPr>
          <w:p w14:paraId="65C4550E"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Currently or Originally Eligible for Medicare Due to Disability</w:t>
            </w:r>
          </w:p>
        </w:tc>
        <w:tc>
          <w:tcPr>
            <w:tcW w:w="1520" w:type="dxa"/>
            <w:tcBorders>
              <w:top w:val="nil"/>
              <w:left w:val="nil"/>
              <w:bottom w:val="single" w:sz="4" w:space="0" w:color="auto"/>
              <w:right w:val="single" w:sz="4" w:space="0" w:color="auto"/>
            </w:tcBorders>
            <w:shd w:val="clear" w:color="auto" w:fill="auto"/>
            <w:noWrap/>
            <w:vAlign w:val="center"/>
            <w:hideMark/>
          </w:tcPr>
          <w:p w14:paraId="37FFE41C"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Yes</w:t>
            </w:r>
          </w:p>
        </w:tc>
        <w:tc>
          <w:tcPr>
            <w:tcW w:w="1693" w:type="dxa"/>
            <w:tcBorders>
              <w:top w:val="nil"/>
              <w:left w:val="nil"/>
              <w:bottom w:val="single" w:sz="4" w:space="0" w:color="auto"/>
              <w:right w:val="single" w:sz="4" w:space="0" w:color="auto"/>
            </w:tcBorders>
            <w:shd w:val="clear" w:color="auto" w:fill="auto"/>
            <w:noWrap/>
            <w:vAlign w:val="center"/>
            <w:hideMark/>
          </w:tcPr>
          <w:p w14:paraId="6EDEE0D5"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997,682</w:t>
            </w:r>
          </w:p>
        </w:tc>
        <w:tc>
          <w:tcPr>
            <w:tcW w:w="1767" w:type="dxa"/>
            <w:tcBorders>
              <w:top w:val="nil"/>
              <w:left w:val="nil"/>
              <w:bottom w:val="single" w:sz="4" w:space="0" w:color="auto"/>
              <w:right w:val="single" w:sz="4" w:space="0" w:color="auto"/>
            </w:tcBorders>
            <w:shd w:val="clear" w:color="auto" w:fill="auto"/>
            <w:noWrap/>
            <w:vAlign w:val="center"/>
            <w:hideMark/>
          </w:tcPr>
          <w:p w14:paraId="77644356"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24%</w:t>
            </w:r>
          </w:p>
        </w:tc>
        <w:tc>
          <w:tcPr>
            <w:tcW w:w="1732" w:type="dxa"/>
            <w:tcBorders>
              <w:top w:val="nil"/>
              <w:left w:val="nil"/>
              <w:bottom w:val="single" w:sz="4" w:space="0" w:color="auto"/>
              <w:right w:val="single" w:sz="4" w:space="0" w:color="auto"/>
            </w:tcBorders>
            <w:shd w:val="clear" w:color="auto" w:fill="auto"/>
            <w:noWrap/>
            <w:vAlign w:val="center"/>
            <w:hideMark/>
          </w:tcPr>
          <w:p w14:paraId="5C78331A"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477,407</w:t>
            </w:r>
          </w:p>
        </w:tc>
        <w:tc>
          <w:tcPr>
            <w:tcW w:w="1808" w:type="dxa"/>
            <w:tcBorders>
              <w:top w:val="nil"/>
              <w:left w:val="nil"/>
              <w:bottom w:val="single" w:sz="4" w:space="0" w:color="auto"/>
              <w:right w:val="single" w:sz="4" w:space="0" w:color="auto"/>
            </w:tcBorders>
            <w:shd w:val="clear" w:color="auto" w:fill="auto"/>
            <w:noWrap/>
            <w:vAlign w:val="center"/>
            <w:hideMark/>
          </w:tcPr>
          <w:p w14:paraId="0A4D45D7"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24%</w:t>
            </w:r>
          </w:p>
        </w:tc>
        <w:tc>
          <w:tcPr>
            <w:tcW w:w="1644" w:type="dxa"/>
            <w:tcBorders>
              <w:top w:val="nil"/>
              <w:left w:val="nil"/>
              <w:bottom w:val="single" w:sz="4" w:space="0" w:color="auto"/>
              <w:right w:val="single" w:sz="4" w:space="0" w:color="auto"/>
            </w:tcBorders>
            <w:shd w:val="clear" w:color="auto" w:fill="auto"/>
            <w:noWrap/>
            <w:vAlign w:val="center"/>
            <w:hideMark/>
          </w:tcPr>
          <w:p w14:paraId="517CF0F7"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463,606</w:t>
            </w:r>
          </w:p>
        </w:tc>
        <w:tc>
          <w:tcPr>
            <w:tcW w:w="1716" w:type="dxa"/>
            <w:tcBorders>
              <w:top w:val="nil"/>
              <w:left w:val="nil"/>
              <w:bottom w:val="single" w:sz="4" w:space="0" w:color="auto"/>
              <w:right w:val="single" w:sz="8" w:space="0" w:color="auto"/>
            </w:tcBorders>
            <w:shd w:val="clear" w:color="auto" w:fill="auto"/>
            <w:noWrap/>
            <w:vAlign w:val="center"/>
            <w:hideMark/>
          </w:tcPr>
          <w:p w14:paraId="413525D9"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24%</w:t>
            </w:r>
          </w:p>
        </w:tc>
      </w:tr>
      <w:tr w:rsidR="001B1603" w:rsidRPr="001B1603" w14:paraId="00F417DD" w14:textId="77777777" w:rsidTr="001B1603">
        <w:trPr>
          <w:trHeight w:val="300"/>
        </w:trPr>
        <w:tc>
          <w:tcPr>
            <w:tcW w:w="1580" w:type="dxa"/>
            <w:vMerge/>
            <w:tcBorders>
              <w:top w:val="nil"/>
              <w:left w:val="single" w:sz="8" w:space="0" w:color="auto"/>
              <w:bottom w:val="single" w:sz="4" w:space="0" w:color="auto"/>
              <w:right w:val="single" w:sz="4" w:space="0" w:color="auto"/>
            </w:tcBorders>
            <w:vAlign w:val="center"/>
            <w:hideMark/>
          </w:tcPr>
          <w:p w14:paraId="3E8D0315" w14:textId="77777777" w:rsidR="001B1603" w:rsidRPr="001B1603" w:rsidRDefault="001B1603" w:rsidP="001B1603">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42BC1126"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No</w:t>
            </w:r>
          </w:p>
        </w:tc>
        <w:tc>
          <w:tcPr>
            <w:tcW w:w="1693" w:type="dxa"/>
            <w:tcBorders>
              <w:top w:val="nil"/>
              <w:left w:val="nil"/>
              <w:bottom w:val="single" w:sz="4" w:space="0" w:color="auto"/>
              <w:right w:val="single" w:sz="4" w:space="0" w:color="auto"/>
            </w:tcBorders>
            <w:shd w:val="clear" w:color="auto" w:fill="auto"/>
            <w:noWrap/>
            <w:vAlign w:val="center"/>
            <w:hideMark/>
          </w:tcPr>
          <w:p w14:paraId="43EAB473"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3,239,682</w:t>
            </w:r>
          </w:p>
        </w:tc>
        <w:tc>
          <w:tcPr>
            <w:tcW w:w="1767" w:type="dxa"/>
            <w:tcBorders>
              <w:top w:val="nil"/>
              <w:left w:val="nil"/>
              <w:bottom w:val="single" w:sz="4" w:space="0" w:color="auto"/>
              <w:right w:val="single" w:sz="4" w:space="0" w:color="auto"/>
            </w:tcBorders>
            <w:shd w:val="clear" w:color="auto" w:fill="auto"/>
            <w:noWrap/>
            <w:vAlign w:val="center"/>
            <w:hideMark/>
          </w:tcPr>
          <w:p w14:paraId="1E196ADC"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76%</w:t>
            </w:r>
          </w:p>
        </w:tc>
        <w:tc>
          <w:tcPr>
            <w:tcW w:w="1732" w:type="dxa"/>
            <w:tcBorders>
              <w:top w:val="nil"/>
              <w:left w:val="nil"/>
              <w:bottom w:val="single" w:sz="4" w:space="0" w:color="auto"/>
              <w:right w:val="single" w:sz="4" w:space="0" w:color="auto"/>
            </w:tcBorders>
            <w:shd w:val="clear" w:color="auto" w:fill="auto"/>
            <w:noWrap/>
            <w:vAlign w:val="center"/>
            <w:hideMark/>
          </w:tcPr>
          <w:p w14:paraId="50252D8C"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1,491,925</w:t>
            </w:r>
          </w:p>
        </w:tc>
        <w:tc>
          <w:tcPr>
            <w:tcW w:w="1808" w:type="dxa"/>
            <w:tcBorders>
              <w:top w:val="nil"/>
              <w:left w:val="nil"/>
              <w:bottom w:val="single" w:sz="4" w:space="0" w:color="auto"/>
              <w:right w:val="single" w:sz="4" w:space="0" w:color="auto"/>
            </w:tcBorders>
            <w:shd w:val="clear" w:color="auto" w:fill="auto"/>
            <w:noWrap/>
            <w:vAlign w:val="center"/>
            <w:hideMark/>
          </w:tcPr>
          <w:p w14:paraId="3D513378"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76%</w:t>
            </w:r>
          </w:p>
        </w:tc>
        <w:tc>
          <w:tcPr>
            <w:tcW w:w="1644" w:type="dxa"/>
            <w:tcBorders>
              <w:top w:val="nil"/>
              <w:left w:val="nil"/>
              <w:bottom w:val="single" w:sz="4" w:space="0" w:color="auto"/>
              <w:right w:val="single" w:sz="4" w:space="0" w:color="auto"/>
            </w:tcBorders>
            <w:shd w:val="clear" w:color="auto" w:fill="auto"/>
            <w:noWrap/>
            <w:vAlign w:val="center"/>
            <w:hideMark/>
          </w:tcPr>
          <w:p w14:paraId="6F3053BD"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1,434,324</w:t>
            </w:r>
          </w:p>
        </w:tc>
        <w:tc>
          <w:tcPr>
            <w:tcW w:w="1716" w:type="dxa"/>
            <w:tcBorders>
              <w:top w:val="nil"/>
              <w:left w:val="nil"/>
              <w:bottom w:val="single" w:sz="4" w:space="0" w:color="auto"/>
              <w:right w:val="single" w:sz="8" w:space="0" w:color="auto"/>
            </w:tcBorders>
            <w:shd w:val="clear" w:color="auto" w:fill="auto"/>
            <w:noWrap/>
            <w:vAlign w:val="center"/>
            <w:hideMark/>
          </w:tcPr>
          <w:p w14:paraId="2C096F00"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76%</w:t>
            </w:r>
          </w:p>
        </w:tc>
      </w:tr>
      <w:tr w:rsidR="001B1603" w:rsidRPr="001B1603" w14:paraId="7DCB52CB" w14:textId="77777777" w:rsidTr="001B1603">
        <w:trPr>
          <w:trHeight w:val="585"/>
        </w:trPr>
        <w:tc>
          <w:tcPr>
            <w:tcW w:w="1580" w:type="dxa"/>
            <w:vMerge w:val="restart"/>
            <w:tcBorders>
              <w:top w:val="nil"/>
              <w:left w:val="single" w:sz="8" w:space="0" w:color="auto"/>
              <w:bottom w:val="single" w:sz="8" w:space="0" w:color="000000"/>
              <w:right w:val="single" w:sz="4" w:space="0" w:color="auto"/>
            </w:tcBorders>
            <w:shd w:val="clear" w:color="auto" w:fill="auto"/>
            <w:vAlign w:val="center"/>
            <w:hideMark/>
          </w:tcPr>
          <w:p w14:paraId="2F4429FD"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Dual Enrollment in Medicare and Medicaid</w:t>
            </w:r>
          </w:p>
        </w:tc>
        <w:tc>
          <w:tcPr>
            <w:tcW w:w="1520" w:type="dxa"/>
            <w:tcBorders>
              <w:top w:val="nil"/>
              <w:left w:val="nil"/>
              <w:bottom w:val="single" w:sz="4" w:space="0" w:color="auto"/>
              <w:right w:val="single" w:sz="4" w:space="0" w:color="auto"/>
            </w:tcBorders>
            <w:shd w:val="clear" w:color="auto" w:fill="auto"/>
            <w:noWrap/>
            <w:vAlign w:val="center"/>
            <w:hideMark/>
          </w:tcPr>
          <w:p w14:paraId="650BAB4C"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Yes</w:t>
            </w:r>
          </w:p>
        </w:tc>
        <w:tc>
          <w:tcPr>
            <w:tcW w:w="1693" w:type="dxa"/>
            <w:tcBorders>
              <w:top w:val="nil"/>
              <w:left w:val="nil"/>
              <w:bottom w:val="single" w:sz="4" w:space="0" w:color="auto"/>
              <w:right w:val="single" w:sz="4" w:space="0" w:color="auto"/>
            </w:tcBorders>
            <w:shd w:val="clear" w:color="auto" w:fill="auto"/>
            <w:noWrap/>
            <w:vAlign w:val="center"/>
            <w:hideMark/>
          </w:tcPr>
          <w:p w14:paraId="0BB76688"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1,084,428</w:t>
            </w:r>
          </w:p>
        </w:tc>
        <w:tc>
          <w:tcPr>
            <w:tcW w:w="1767" w:type="dxa"/>
            <w:tcBorders>
              <w:top w:val="nil"/>
              <w:left w:val="nil"/>
              <w:bottom w:val="single" w:sz="4" w:space="0" w:color="auto"/>
              <w:right w:val="single" w:sz="4" w:space="0" w:color="auto"/>
            </w:tcBorders>
            <w:shd w:val="clear" w:color="auto" w:fill="auto"/>
            <w:noWrap/>
            <w:vAlign w:val="center"/>
            <w:hideMark/>
          </w:tcPr>
          <w:p w14:paraId="15E51805"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26%</w:t>
            </w:r>
          </w:p>
        </w:tc>
        <w:tc>
          <w:tcPr>
            <w:tcW w:w="1732" w:type="dxa"/>
            <w:tcBorders>
              <w:top w:val="nil"/>
              <w:left w:val="nil"/>
              <w:bottom w:val="single" w:sz="4" w:space="0" w:color="auto"/>
              <w:right w:val="single" w:sz="4" w:space="0" w:color="auto"/>
            </w:tcBorders>
            <w:shd w:val="clear" w:color="auto" w:fill="auto"/>
            <w:noWrap/>
            <w:vAlign w:val="center"/>
            <w:hideMark/>
          </w:tcPr>
          <w:p w14:paraId="10D73C87"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545,649</w:t>
            </w:r>
          </w:p>
        </w:tc>
        <w:tc>
          <w:tcPr>
            <w:tcW w:w="1808" w:type="dxa"/>
            <w:tcBorders>
              <w:top w:val="nil"/>
              <w:left w:val="nil"/>
              <w:bottom w:val="single" w:sz="4" w:space="0" w:color="auto"/>
              <w:right w:val="single" w:sz="4" w:space="0" w:color="auto"/>
            </w:tcBorders>
            <w:shd w:val="clear" w:color="auto" w:fill="auto"/>
            <w:noWrap/>
            <w:vAlign w:val="center"/>
            <w:hideMark/>
          </w:tcPr>
          <w:p w14:paraId="2C39D02D"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28%</w:t>
            </w:r>
          </w:p>
        </w:tc>
        <w:tc>
          <w:tcPr>
            <w:tcW w:w="1644" w:type="dxa"/>
            <w:tcBorders>
              <w:top w:val="nil"/>
              <w:left w:val="nil"/>
              <w:bottom w:val="single" w:sz="4" w:space="0" w:color="auto"/>
              <w:right w:val="single" w:sz="4" w:space="0" w:color="auto"/>
            </w:tcBorders>
            <w:shd w:val="clear" w:color="auto" w:fill="auto"/>
            <w:noWrap/>
            <w:vAlign w:val="center"/>
            <w:hideMark/>
          </w:tcPr>
          <w:p w14:paraId="40F40C9D"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524,992</w:t>
            </w:r>
          </w:p>
        </w:tc>
        <w:tc>
          <w:tcPr>
            <w:tcW w:w="1716" w:type="dxa"/>
            <w:tcBorders>
              <w:top w:val="nil"/>
              <w:left w:val="nil"/>
              <w:bottom w:val="single" w:sz="4" w:space="0" w:color="auto"/>
              <w:right w:val="single" w:sz="8" w:space="0" w:color="auto"/>
            </w:tcBorders>
            <w:shd w:val="clear" w:color="auto" w:fill="auto"/>
            <w:noWrap/>
            <w:vAlign w:val="center"/>
            <w:hideMark/>
          </w:tcPr>
          <w:p w14:paraId="6D94BAB3"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28%</w:t>
            </w:r>
          </w:p>
        </w:tc>
      </w:tr>
      <w:tr w:rsidR="001B1603" w:rsidRPr="001B1603" w14:paraId="7903E350" w14:textId="77777777" w:rsidTr="001B1603">
        <w:trPr>
          <w:trHeight w:val="315"/>
        </w:trPr>
        <w:tc>
          <w:tcPr>
            <w:tcW w:w="1580" w:type="dxa"/>
            <w:vMerge/>
            <w:tcBorders>
              <w:top w:val="nil"/>
              <w:left w:val="single" w:sz="8" w:space="0" w:color="auto"/>
              <w:bottom w:val="single" w:sz="8" w:space="0" w:color="000000"/>
              <w:right w:val="single" w:sz="4" w:space="0" w:color="auto"/>
            </w:tcBorders>
            <w:vAlign w:val="center"/>
            <w:hideMark/>
          </w:tcPr>
          <w:p w14:paraId="7C3439FE" w14:textId="77777777" w:rsidR="001B1603" w:rsidRPr="001B1603" w:rsidRDefault="001B1603" w:rsidP="001B1603">
            <w:pPr>
              <w:spacing w:after="0" w:line="240" w:lineRule="auto"/>
              <w:rPr>
                <w:rFonts w:ascii="Calibri" w:eastAsia="Times New Roman" w:hAnsi="Calibri" w:cs="Times New Roman"/>
                <w:color w:val="000000"/>
              </w:rPr>
            </w:pPr>
          </w:p>
        </w:tc>
        <w:tc>
          <w:tcPr>
            <w:tcW w:w="1520" w:type="dxa"/>
            <w:tcBorders>
              <w:top w:val="nil"/>
              <w:left w:val="nil"/>
              <w:bottom w:val="single" w:sz="8" w:space="0" w:color="auto"/>
              <w:right w:val="single" w:sz="4" w:space="0" w:color="auto"/>
            </w:tcBorders>
            <w:shd w:val="clear" w:color="auto" w:fill="auto"/>
            <w:noWrap/>
            <w:vAlign w:val="center"/>
            <w:hideMark/>
          </w:tcPr>
          <w:p w14:paraId="7AA1B60A"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No</w:t>
            </w:r>
          </w:p>
        </w:tc>
        <w:tc>
          <w:tcPr>
            <w:tcW w:w="1693" w:type="dxa"/>
            <w:tcBorders>
              <w:top w:val="nil"/>
              <w:left w:val="nil"/>
              <w:bottom w:val="single" w:sz="8" w:space="0" w:color="auto"/>
              <w:right w:val="single" w:sz="4" w:space="0" w:color="auto"/>
            </w:tcBorders>
            <w:shd w:val="clear" w:color="auto" w:fill="auto"/>
            <w:noWrap/>
            <w:vAlign w:val="center"/>
            <w:hideMark/>
          </w:tcPr>
          <w:p w14:paraId="28D185B6"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3,152,936</w:t>
            </w:r>
          </w:p>
        </w:tc>
        <w:tc>
          <w:tcPr>
            <w:tcW w:w="1767" w:type="dxa"/>
            <w:tcBorders>
              <w:top w:val="nil"/>
              <w:left w:val="nil"/>
              <w:bottom w:val="single" w:sz="8" w:space="0" w:color="auto"/>
              <w:right w:val="single" w:sz="4" w:space="0" w:color="auto"/>
            </w:tcBorders>
            <w:shd w:val="clear" w:color="auto" w:fill="auto"/>
            <w:noWrap/>
            <w:vAlign w:val="center"/>
            <w:hideMark/>
          </w:tcPr>
          <w:p w14:paraId="09035623"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74%</w:t>
            </w:r>
          </w:p>
        </w:tc>
        <w:tc>
          <w:tcPr>
            <w:tcW w:w="1732" w:type="dxa"/>
            <w:tcBorders>
              <w:top w:val="nil"/>
              <w:left w:val="nil"/>
              <w:bottom w:val="single" w:sz="8" w:space="0" w:color="auto"/>
              <w:right w:val="single" w:sz="4" w:space="0" w:color="auto"/>
            </w:tcBorders>
            <w:shd w:val="clear" w:color="auto" w:fill="auto"/>
            <w:noWrap/>
            <w:vAlign w:val="center"/>
            <w:hideMark/>
          </w:tcPr>
          <w:p w14:paraId="600C26F9"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1,423,683</w:t>
            </w:r>
          </w:p>
        </w:tc>
        <w:tc>
          <w:tcPr>
            <w:tcW w:w="1808" w:type="dxa"/>
            <w:tcBorders>
              <w:top w:val="nil"/>
              <w:left w:val="nil"/>
              <w:bottom w:val="single" w:sz="8" w:space="0" w:color="auto"/>
              <w:right w:val="single" w:sz="4" w:space="0" w:color="auto"/>
            </w:tcBorders>
            <w:shd w:val="clear" w:color="auto" w:fill="auto"/>
            <w:noWrap/>
            <w:vAlign w:val="center"/>
            <w:hideMark/>
          </w:tcPr>
          <w:p w14:paraId="4D400961"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72%</w:t>
            </w:r>
          </w:p>
        </w:tc>
        <w:tc>
          <w:tcPr>
            <w:tcW w:w="1644" w:type="dxa"/>
            <w:tcBorders>
              <w:top w:val="nil"/>
              <w:left w:val="nil"/>
              <w:bottom w:val="single" w:sz="8" w:space="0" w:color="auto"/>
              <w:right w:val="single" w:sz="4" w:space="0" w:color="auto"/>
            </w:tcBorders>
            <w:shd w:val="clear" w:color="auto" w:fill="auto"/>
            <w:noWrap/>
            <w:vAlign w:val="center"/>
            <w:hideMark/>
          </w:tcPr>
          <w:p w14:paraId="2CB4AFCC"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1,372,938</w:t>
            </w:r>
          </w:p>
        </w:tc>
        <w:tc>
          <w:tcPr>
            <w:tcW w:w="1716" w:type="dxa"/>
            <w:tcBorders>
              <w:top w:val="nil"/>
              <w:left w:val="nil"/>
              <w:bottom w:val="single" w:sz="8" w:space="0" w:color="auto"/>
              <w:right w:val="single" w:sz="8" w:space="0" w:color="auto"/>
            </w:tcBorders>
            <w:shd w:val="clear" w:color="auto" w:fill="auto"/>
            <w:noWrap/>
            <w:vAlign w:val="center"/>
            <w:hideMark/>
          </w:tcPr>
          <w:p w14:paraId="2AC8EB9E"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72%</w:t>
            </w:r>
          </w:p>
        </w:tc>
      </w:tr>
    </w:tbl>
    <w:p w14:paraId="253468E1" w14:textId="77777777" w:rsidR="00867D63" w:rsidRDefault="00867D63" w:rsidP="0032079E">
      <w:pPr>
        <w:spacing w:after="0"/>
        <w:jc w:val="center"/>
        <w:rPr>
          <w:b/>
        </w:rPr>
      </w:pPr>
    </w:p>
    <w:p w14:paraId="66A83A1B" w14:textId="77777777" w:rsidR="0032079E" w:rsidRDefault="0032079E" w:rsidP="0032079E"/>
    <w:p w14:paraId="5ECA0AC1" w14:textId="77777777" w:rsidR="002F1158" w:rsidRDefault="002F1158" w:rsidP="002D454E">
      <w:pPr>
        <w:spacing w:after="0"/>
      </w:pPr>
    </w:p>
    <w:p w14:paraId="080B6C01" w14:textId="77777777" w:rsidR="002F1158" w:rsidRDefault="002F1158" w:rsidP="002D454E">
      <w:pPr>
        <w:spacing w:after="0"/>
      </w:pPr>
    </w:p>
    <w:p w14:paraId="393B0654" w14:textId="77777777" w:rsidR="002D454E" w:rsidRDefault="002D454E" w:rsidP="002D454E">
      <w:pPr>
        <w:spacing w:after="0"/>
      </w:pPr>
      <w:r>
        <w:lastRenderedPageBreak/>
        <w:t xml:space="preserve">In terms of Medicare-certified agencies with at least 20 home health quality </w:t>
      </w:r>
      <w:r w:rsidR="009F656D" w:rsidRPr="009F656D">
        <w:t xml:space="preserve">episodes ending between </w:t>
      </w:r>
      <w:r w:rsidR="00E61F36" w:rsidRPr="00F90894">
        <w:t>July 1, 201</w:t>
      </w:r>
      <w:r w:rsidR="00F90894" w:rsidRPr="00F90894">
        <w:t>3</w:t>
      </w:r>
      <w:r w:rsidR="00E61F36" w:rsidRPr="00F90894">
        <w:t xml:space="preserve"> and June 30, 201</w:t>
      </w:r>
      <w:r w:rsidR="00F90894" w:rsidRPr="00F90894">
        <w:t>4</w:t>
      </w:r>
      <w:r w:rsidR="00E61F36">
        <w:t xml:space="preserve"> </w:t>
      </w:r>
      <w:r>
        <w:t xml:space="preserve">and meeting the measure denominator criteria, the data represented </w:t>
      </w:r>
      <w:r w:rsidR="001B1603">
        <w:t xml:space="preserve">4,255,742 patients in the </w:t>
      </w:r>
      <w:r w:rsidR="001B1603" w:rsidRPr="001B1603">
        <w:rPr>
          <w:i/>
        </w:rPr>
        <w:t>Pressure Ulcer Risk Assessment</w:t>
      </w:r>
      <w:r w:rsidR="001B1603">
        <w:t xml:space="preserve"> measure, 1,979,096 patients in </w:t>
      </w:r>
      <w:r w:rsidR="001B1603" w:rsidRPr="001B1603">
        <w:rPr>
          <w:i/>
        </w:rPr>
        <w:t>the Prevention in Plan of Care</w:t>
      </w:r>
      <w:r w:rsidR="001B1603">
        <w:t xml:space="preserve"> measure, and 1,907,295 patients in the </w:t>
      </w:r>
      <w:r w:rsidR="001B1603" w:rsidRPr="001B1603">
        <w:rPr>
          <w:i/>
        </w:rPr>
        <w:t>Prevention Implemented</w:t>
      </w:r>
      <w:r w:rsidR="001B1603">
        <w:t xml:space="preserve"> measure</w:t>
      </w:r>
      <w:r>
        <w:t xml:space="preserve">.  The table below identifies these patients by population group. </w:t>
      </w:r>
    </w:p>
    <w:p w14:paraId="286EA58D" w14:textId="77777777" w:rsidR="002D454E" w:rsidRDefault="002D454E" w:rsidP="002D454E">
      <w:pPr>
        <w:spacing w:after="0"/>
      </w:pPr>
    </w:p>
    <w:p w14:paraId="37D1CE51" w14:textId="77777777" w:rsidR="000736E0" w:rsidRDefault="0032079E" w:rsidP="000736E0">
      <w:pPr>
        <w:spacing w:after="0"/>
        <w:jc w:val="center"/>
        <w:rPr>
          <w:b/>
        </w:rPr>
      </w:pPr>
      <w:r w:rsidRPr="00DF2415">
        <w:rPr>
          <w:b/>
        </w:rPr>
        <w:t xml:space="preserve">Number/Percentage of Patients Represented in HHAs with At Least 20 </w:t>
      </w:r>
      <w:r w:rsidR="000736E0">
        <w:rPr>
          <w:b/>
        </w:rPr>
        <w:t xml:space="preserve">Valid </w:t>
      </w:r>
      <w:r w:rsidR="002D454E">
        <w:rPr>
          <w:b/>
        </w:rPr>
        <w:t>Episodes</w:t>
      </w:r>
      <w:r w:rsidRPr="00DF2415">
        <w:rPr>
          <w:b/>
        </w:rPr>
        <w:t xml:space="preserve">, </w:t>
      </w:r>
    </w:p>
    <w:p w14:paraId="06E4C6D5" w14:textId="77777777" w:rsidR="00F90894" w:rsidRDefault="0032079E" w:rsidP="00B953DE">
      <w:pPr>
        <w:spacing w:after="0"/>
        <w:jc w:val="center"/>
        <w:rPr>
          <w:b/>
        </w:rPr>
      </w:pPr>
      <w:r w:rsidRPr="00DF2415">
        <w:rPr>
          <w:b/>
        </w:rPr>
        <w:t>By Population Group</w:t>
      </w:r>
    </w:p>
    <w:tbl>
      <w:tblPr>
        <w:tblW w:w="13460" w:type="dxa"/>
        <w:tblInd w:w="93" w:type="dxa"/>
        <w:tblLook w:val="04A0" w:firstRow="1" w:lastRow="0" w:firstColumn="1" w:lastColumn="0" w:noHBand="0" w:noVBand="1"/>
      </w:tblPr>
      <w:tblGrid>
        <w:gridCol w:w="1580"/>
        <w:gridCol w:w="1520"/>
        <w:gridCol w:w="1693"/>
        <w:gridCol w:w="1767"/>
        <w:gridCol w:w="1732"/>
        <w:gridCol w:w="1808"/>
        <w:gridCol w:w="1644"/>
        <w:gridCol w:w="1716"/>
      </w:tblGrid>
      <w:tr w:rsidR="001B1603" w:rsidRPr="001B1603" w14:paraId="34421891" w14:textId="77777777" w:rsidTr="001B1603">
        <w:trPr>
          <w:trHeight w:val="300"/>
        </w:trPr>
        <w:tc>
          <w:tcPr>
            <w:tcW w:w="3100" w:type="dxa"/>
            <w:gridSpan w:val="2"/>
            <w:vMerge w:val="restart"/>
            <w:tcBorders>
              <w:top w:val="single" w:sz="8" w:space="0" w:color="auto"/>
              <w:left w:val="single" w:sz="8" w:space="0" w:color="auto"/>
              <w:bottom w:val="single" w:sz="4" w:space="0" w:color="000000"/>
              <w:right w:val="single" w:sz="4" w:space="0" w:color="000000"/>
            </w:tcBorders>
            <w:shd w:val="clear" w:color="000000" w:fill="CDECFF"/>
            <w:noWrap/>
            <w:vAlign w:val="center"/>
            <w:hideMark/>
          </w:tcPr>
          <w:p w14:paraId="11AC7ED9"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Population Group</w:t>
            </w:r>
          </w:p>
        </w:tc>
        <w:tc>
          <w:tcPr>
            <w:tcW w:w="3460" w:type="dxa"/>
            <w:gridSpan w:val="2"/>
            <w:tcBorders>
              <w:top w:val="single" w:sz="8" w:space="0" w:color="auto"/>
              <w:left w:val="nil"/>
              <w:bottom w:val="single" w:sz="4" w:space="0" w:color="auto"/>
              <w:right w:val="single" w:sz="4" w:space="0" w:color="auto"/>
            </w:tcBorders>
            <w:shd w:val="clear" w:color="000000" w:fill="CDECFF"/>
            <w:noWrap/>
            <w:vAlign w:val="center"/>
            <w:hideMark/>
          </w:tcPr>
          <w:p w14:paraId="218AF76B"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Pressure Ulcer Risk Assessment</w:t>
            </w:r>
          </w:p>
        </w:tc>
        <w:tc>
          <w:tcPr>
            <w:tcW w:w="3540" w:type="dxa"/>
            <w:gridSpan w:val="2"/>
            <w:tcBorders>
              <w:top w:val="single" w:sz="8" w:space="0" w:color="auto"/>
              <w:left w:val="nil"/>
              <w:bottom w:val="single" w:sz="4" w:space="0" w:color="auto"/>
              <w:right w:val="single" w:sz="4" w:space="0" w:color="auto"/>
            </w:tcBorders>
            <w:shd w:val="clear" w:color="000000" w:fill="CDECFF"/>
            <w:noWrap/>
            <w:vAlign w:val="center"/>
            <w:hideMark/>
          </w:tcPr>
          <w:p w14:paraId="6B427A44"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Prevention in Plan of Care</w:t>
            </w:r>
          </w:p>
        </w:tc>
        <w:tc>
          <w:tcPr>
            <w:tcW w:w="3360" w:type="dxa"/>
            <w:gridSpan w:val="2"/>
            <w:tcBorders>
              <w:top w:val="single" w:sz="8" w:space="0" w:color="auto"/>
              <w:left w:val="nil"/>
              <w:bottom w:val="single" w:sz="4" w:space="0" w:color="auto"/>
              <w:right w:val="single" w:sz="8" w:space="0" w:color="000000"/>
            </w:tcBorders>
            <w:shd w:val="clear" w:color="000000" w:fill="CDECFF"/>
            <w:noWrap/>
            <w:vAlign w:val="center"/>
            <w:hideMark/>
          </w:tcPr>
          <w:p w14:paraId="70597DF5"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Prevention Implemented</w:t>
            </w:r>
          </w:p>
        </w:tc>
      </w:tr>
      <w:tr w:rsidR="001B1603" w:rsidRPr="001B1603" w14:paraId="4A46DB4D" w14:textId="77777777" w:rsidTr="001B1603">
        <w:trPr>
          <w:trHeight w:val="300"/>
        </w:trPr>
        <w:tc>
          <w:tcPr>
            <w:tcW w:w="3100" w:type="dxa"/>
            <w:gridSpan w:val="2"/>
            <w:vMerge/>
            <w:tcBorders>
              <w:top w:val="single" w:sz="8" w:space="0" w:color="auto"/>
              <w:left w:val="single" w:sz="8" w:space="0" w:color="auto"/>
              <w:bottom w:val="single" w:sz="4" w:space="0" w:color="000000"/>
              <w:right w:val="single" w:sz="4" w:space="0" w:color="000000"/>
            </w:tcBorders>
            <w:vAlign w:val="center"/>
            <w:hideMark/>
          </w:tcPr>
          <w:p w14:paraId="66B53031" w14:textId="77777777" w:rsidR="001B1603" w:rsidRPr="001B1603" w:rsidRDefault="001B1603" w:rsidP="001B1603">
            <w:pPr>
              <w:spacing w:after="0" w:line="240" w:lineRule="auto"/>
              <w:rPr>
                <w:rFonts w:ascii="Calibri" w:eastAsia="Times New Roman" w:hAnsi="Calibri" w:cs="Times New Roman"/>
                <w:b/>
                <w:bCs/>
                <w:color w:val="000000"/>
              </w:rPr>
            </w:pPr>
          </w:p>
        </w:tc>
        <w:tc>
          <w:tcPr>
            <w:tcW w:w="1693" w:type="dxa"/>
            <w:tcBorders>
              <w:top w:val="nil"/>
              <w:left w:val="nil"/>
              <w:bottom w:val="single" w:sz="4" w:space="0" w:color="auto"/>
              <w:right w:val="single" w:sz="4" w:space="0" w:color="auto"/>
            </w:tcBorders>
            <w:shd w:val="clear" w:color="000000" w:fill="CDECFF"/>
            <w:noWrap/>
            <w:vAlign w:val="center"/>
            <w:hideMark/>
          </w:tcPr>
          <w:p w14:paraId="5006A682"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 of Patients</w:t>
            </w:r>
          </w:p>
        </w:tc>
        <w:tc>
          <w:tcPr>
            <w:tcW w:w="1767" w:type="dxa"/>
            <w:tcBorders>
              <w:top w:val="nil"/>
              <w:left w:val="nil"/>
              <w:bottom w:val="single" w:sz="4" w:space="0" w:color="auto"/>
              <w:right w:val="single" w:sz="4" w:space="0" w:color="auto"/>
            </w:tcBorders>
            <w:shd w:val="clear" w:color="000000" w:fill="CDECFF"/>
            <w:noWrap/>
            <w:vAlign w:val="center"/>
            <w:hideMark/>
          </w:tcPr>
          <w:p w14:paraId="2A2EB9D8"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 of Patients</w:t>
            </w:r>
          </w:p>
        </w:tc>
        <w:tc>
          <w:tcPr>
            <w:tcW w:w="1732" w:type="dxa"/>
            <w:tcBorders>
              <w:top w:val="nil"/>
              <w:left w:val="nil"/>
              <w:bottom w:val="single" w:sz="4" w:space="0" w:color="auto"/>
              <w:right w:val="single" w:sz="4" w:space="0" w:color="auto"/>
            </w:tcBorders>
            <w:shd w:val="clear" w:color="000000" w:fill="CDECFF"/>
            <w:noWrap/>
            <w:vAlign w:val="center"/>
            <w:hideMark/>
          </w:tcPr>
          <w:p w14:paraId="5D9C6D88"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 of Patients</w:t>
            </w:r>
          </w:p>
        </w:tc>
        <w:tc>
          <w:tcPr>
            <w:tcW w:w="1808" w:type="dxa"/>
            <w:tcBorders>
              <w:top w:val="nil"/>
              <w:left w:val="nil"/>
              <w:bottom w:val="single" w:sz="4" w:space="0" w:color="auto"/>
              <w:right w:val="single" w:sz="4" w:space="0" w:color="auto"/>
            </w:tcBorders>
            <w:shd w:val="clear" w:color="000000" w:fill="CDECFF"/>
            <w:noWrap/>
            <w:vAlign w:val="center"/>
            <w:hideMark/>
          </w:tcPr>
          <w:p w14:paraId="5522E0FB"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 of Patients</w:t>
            </w:r>
          </w:p>
        </w:tc>
        <w:tc>
          <w:tcPr>
            <w:tcW w:w="1644" w:type="dxa"/>
            <w:tcBorders>
              <w:top w:val="nil"/>
              <w:left w:val="nil"/>
              <w:bottom w:val="single" w:sz="4" w:space="0" w:color="auto"/>
              <w:right w:val="single" w:sz="4" w:space="0" w:color="auto"/>
            </w:tcBorders>
            <w:shd w:val="clear" w:color="000000" w:fill="CDECFF"/>
            <w:noWrap/>
            <w:vAlign w:val="center"/>
            <w:hideMark/>
          </w:tcPr>
          <w:p w14:paraId="361DF093"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 of Patients</w:t>
            </w:r>
          </w:p>
        </w:tc>
        <w:tc>
          <w:tcPr>
            <w:tcW w:w="1716" w:type="dxa"/>
            <w:tcBorders>
              <w:top w:val="nil"/>
              <w:left w:val="nil"/>
              <w:bottom w:val="single" w:sz="4" w:space="0" w:color="auto"/>
              <w:right w:val="single" w:sz="8" w:space="0" w:color="auto"/>
            </w:tcBorders>
            <w:shd w:val="clear" w:color="000000" w:fill="CDECFF"/>
            <w:noWrap/>
            <w:vAlign w:val="center"/>
            <w:hideMark/>
          </w:tcPr>
          <w:p w14:paraId="35A306C1"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 of Patients</w:t>
            </w:r>
          </w:p>
        </w:tc>
      </w:tr>
      <w:tr w:rsidR="001B1603" w:rsidRPr="001B1603" w14:paraId="158F1D8B" w14:textId="77777777" w:rsidTr="001B1603">
        <w:trPr>
          <w:trHeight w:val="300"/>
        </w:trPr>
        <w:tc>
          <w:tcPr>
            <w:tcW w:w="3100"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B57F3DD"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Total</w:t>
            </w:r>
          </w:p>
        </w:tc>
        <w:tc>
          <w:tcPr>
            <w:tcW w:w="1693" w:type="dxa"/>
            <w:tcBorders>
              <w:top w:val="nil"/>
              <w:left w:val="nil"/>
              <w:bottom w:val="single" w:sz="4" w:space="0" w:color="auto"/>
              <w:right w:val="single" w:sz="4" w:space="0" w:color="auto"/>
            </w:tcBorders>
            <w:shd w:val="clear" w:color="auto" w:fill="auto"/>
            <w:noWrap/>
            <w:vAlign w:val="center"/>
            <w:hideMark/>
          </w:tcPr>
          <w:p w14:paraId="1833256D"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4,255,742</w:t>
            </w:r>
          </w:p>
        </w:tc>
        <w:tc>
          <w:tcPr>
            <w:tcW w:w="1767" w:type="dxa"/>
            <w:tcBorders>
              <w:top w:val="nil"/>
              <w:left w:val="nil"/>
              <w:bottom w:val="single" w:sz="4" w:space="0" w:color="auto"/>
              <w:right w:val="single" w:sz="4" w:space="0" w:color="auto"/>
            </w:tcBorders>
            <w:shd w:val="clear" w:color="auto" w:fill="auto"/>
            <w:noWrap/>
            <w:vAlign w:val="center"/>
            <w:hideMark/>
          </w:tcPr>
          <w:p w14:paraId="7D2F8CA7"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100%</w:t>
            </w:r>
          </w:p>
        </w:tc>
        <w:tc>
          <w:tcPr>
            <w:tcW w:w="1732" w:type="dxa"/>
            <w:tcBorders>
              <w:top w:val="nil"/>
              <w:left w:val="nil"/>
              <w:bottom w:val="single" w:sz="4" w:space="0" w:color="auto"/>
              <w:right w:val="single" w:sz="4" w:space="0" w:color="auto"/>
            </w:tcBorders>
            <w:shd w:val="clear" w:color="auto" w:fill="auto"/>
            <w:noWrap/>
            <w:vAlign w:val="center"/>
            <w:hideMark/>
          </w:tcPr>
          <w:p w14:paraId="2433DC81"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1,979,096</w:t>
            </w:r>
          </w:p>
        </w:tc>
        <w:tc>
          <w:tcPr>
            <w:tcW w:w="1808" w:type="dxa"/>
            <w:tcBorders>
              <w:top w:val="nil"/>
              <w:left w:val="nil"/>
              <w:bottom w:val="single" w:sz="4" w:space="0" w:color="auto"/>
              <w:right w:val="single" w:sz="4" w:space="0" w:color="auto"/>
            </w:tcBorders>
            <w:shd w:val="clear" w:color="auto" w:fill="auto"/>
            <w:noWrap/>
            <w:vAlign w:val="center"/>
            <w:hideMark/>
          </w:tcPr>
          <w:p w14:paraId="749F01D3"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100%</w:t>
            </w:r>
          </w:p>
        </w:tc>
        <w:tc>
          <w:tcPr>
            <w:tcW w:w="1644" w:type="dxa"/>
            <w:tcBorders>
              <w:top w:val="nil"/>
              <w:left w:val="nil"/>
              <w:bottom w:val="single" w:sz="4" w:space="0" w:color="auto"/>
              <w:right w:val="single" w:sz="4" w:space="0" w:color="auto"/>
            </w:tcBorders>
            <w:shd w:val="clear" w:color="auto" w:fill="auto"/>
            <w:noWrap/>
            <w:vAlign w:val="center"/>
            <w:hideMark/>
          </w:tcPr>
          <w:p w14:paraId="1315E800"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1,907,295</w:t>
            </w:r>
          </w:p>
        </w:tc>
        <w:tc>
          <w:tcPr>
            <w:tcW w:w="1716" w:type="dxa"/>
            <w:tcBorders>
              <w:top w:val="nil"/>
              <w:left w:val="nil"/>
              <w:bottom w:val="single" w:sz="4" w:space="0" w:color="auto"/>
              <w:right w:val="single" w:sz="8" w:space="0" w:color="auto"/>
            </w:tcBorders>
            <w:shd w:val="clear" w:color="auto" w:fill="auto"/>
            <w:noWrap/>
            <w:vAlign w:val="center"/>
            <w:hideMark/>
          </w:tcPr>
          <w:p w14:paraId="4A7214A7" w14:textId="77777777" w:rsidR="001B1603" w:rsidRPr="001B1603" w:rsidRDefault="001B1603" w:rsidP="001B1603">
            <w:pPr>
              <w:spacing w:after="0" w:line="240" w:lineRule="auto"/>
              <w:jc w:val="center"/>
              <w:rPr>
                <w:rFonts w:ascii="Calibri" w:eastAsia="Times New Roman" w:hAnsi="Calibri" w:cs="Times New Roman"/>
                <w:b/>
                <w:bCs/>
                <w:color w:val="000000"/>
              </w:rPr>
            </w:pPr>
            <w:r w:rsidRPr="001B1603">
              <w:rPr>
                <w:rFonts w:ascii="Calibri" w:eastAsia="Times New Roman" w:hAnsi="Calibri" w:cs="Times New Roman"/>
                <w:b/>
                <w:bCs/>
                <w:color w:val="000000"/>
              </w:rPr>
              <w:t>100%</w:t>
            </w:r>
          </w:p>
        </w:tc>
      </w:tr>
      <w:tr w:rsidR="001B1603" w:rsidRPr="001B1603" w14:paraId="10EFEFD0" w14:textId="77777777" w:rsidTr="001B1603">
        <w:trPr>
          <w:trHeight w:val="300"/>
        </w:trPr>
        <w:tc>
          <w:tcPr>
            <w:tcW w:w="158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2E6D0CED"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Gender</w:t>
            </w:r>
          </w:p>
        </w:tc>
        <w:tc>
          <w:tcPr>
            <w:tcW w:w="1520" w:type="dxa"/>
            <w:tcBorders>
              <w:top w:val="nil"/>
              <w:left w:val="nil"/>
              <w:bottom w:val="single" w:sz="4" w:space="0" w:color="auto"/>
              <w:right w:val="single" w:sz="4" w:space="0" w:color="auto"/>
            </w:tcBorders>
            <w:shd w:val="clear" w:color="auto" w:fill="auto"/>
            <w:noWrap/>
            <w:vAlign w:val="center"/>
            <w:hideMark/>
          </w:tcPr>
          <w:p w14:paraId="2895B91D"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Male</w:t>
            </w:r>
          </w:p>
        </w:tc>
        <w:tc>
          <w:tcPr>
            <w:tcW w:w="1693" w:type="dxa"/>
            <w:tcBorders>
              <w:top w:val="nil"/>
              <w:left w:val="nil"/>
              <w:bottom w:val="single" w:sz="4" w:space="0" w:color="auto"/>
              <w:right w:val="single" w:sz="4" w:space="0" w:color="auto"/>
            </w:tcBorders>
            <w:shd w:val="clear" w:color="auto" w:fill="auto"/>
            <w:noWrap/>
            <w:vAlign w:val="center"/>
            <w:hideMark/>
          </w:tcPr>
          <w:p w14:paraId="12EB5F49"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1,634,110</w:t>
            </w:r>
          </w:p>
        </w:tc>
        <w:tc>
          <w:tcPr>
            <w:tcW w:w="1767" w:type="dxa"/>
            <w:tcBorders>
              <w:top w:val="nil"/>
              <w:left w:val="nil"/>
              <w:bottom w:val="single" w:sz="4" w:space="0" w:color="auto"/>
              <w:right w:val="single" w:sz="4" w:space="0" w:color="auto"/>
            </w:tcBorders>
            <w:shd w:val="clear" w:color="auto" w:fill="auto"/>
            <w:noWrap/>
            <w:vAlign w:val="center"/>
            <w:hideMark/>
          </w:tcPr>
          <w:p w14:paraId="6AB32D83"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38%</w:t>
            </w:r>
          </w:p>
        </w:tc>
        <w:tc>
          <w:tcPr>
            <w:tcW w:w="1732" w:type="dxa"/>
            <w:tcBorders>
              <w:top w:val="nil"/>
              <w:left w:val="nil"/>
              <w:bottom w:val="single" w:sz="4" w:space="0" w:color="auto"/>
              <w:right w:val="single" w:sz="4" w:space="0" w:color="auto"/>
            </w:tcBorders>
            <w:shd w:val="clear" w:color="auto" w:fill="auto"/>
            <w:noWrap/>
            <w:vAlign w:val="center"/>
            <w:hideMark/>
          </w:tcPr>
          <w:p w14:paraId="76E5EB0E"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741,762</w:t>
            </w:r>
          </w:p>
        </w:tc>
        <w:tc>
          <w:tcPr>
            <w:tcW w:w="1808" w:type="dxa"/>
            <w:tcBorders>
              <w:top w:val="nil"/>
              <w:left w:val="nil"/>
              <w:bottom w:val="single" w:sz="4" w:space="0" w:color="auto"/>
              <w:right w:val="single" w:sz="4" w:space="0" w:color="auto"/>
            </w:tcBorders>
            <w:shd w:val="clear" w:color="auto" w:fill="auto"/>
            <w:noWrap/>
            <w:vAlign w:val="center"/>
            <w:hideMark/>
          </w:tcPr>
          <w:p w14:paraId="6D776A93"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37%</w:t>
            </w:r>
          </w:p>
        </w:tc>
        <w:tc>
          <w:tcPr>
            <w:tcW w:w="1644" w:type="dxa"/>
            <w:tcBorders>
              <w:top w:val="nil"/>
              <w:left w:val="nil"/>
              <w:bottom w:val="single" w:sz="4" w:space="0" w:color="auto"/>
              <w:right w:val="single" w:sz="4" w:space="0" w:color="auto"/>
            </w:tcBorders>
            <w:shd w:val="clear" w:color="auto" w:fill="auto"/>
            <w:noWrap/>
            <w:vAlign w:val="center"/>
            <w:hideMark/>
          </w:tcPr>
          <w:p w14:paraId="19407839"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724,104</w:t>
            </w:r>
          </w:p>
        </w:tc>
        <w:tc>
          <w:tcPr>
            <w:tcW w:w="1716" w:type="dxa"/>
            <w:tcBorders>
              <w:top w:val="nil"/>
              <w:left w:val="nil"/>
              <w:bottom w:val="single" w:sz="4" w:space="0" w:color="auto"/>
              <w:right w:val="single" w:sz="8" w:space="0" w:color="auto"/>
            </w:tcBorders>
            <w:shd w:val="clear" w:color="auto" w:fill="auto"/>
            <w:noWrap/>
            <w:vAlign w:val="center"/>
            <w:hideMark/>
          </w:tcPr>
          <w:p w14:paraId="5950EF0F"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38%</w:t>
            </w:r>
          </w:p>
        </w:tc>
      </w:tr>
      <w:tr w:rsidR="001B1603" w:rsidRPr="001B1603" w14:paraId="3F67B1D3" w14:textId="77777777" w:rsidTr="001B1603">
        <w:trPr>
          <w:trHeight w:val="300"/>
        </w:trPr>
        <w:tc>
          <w:tcPr>
            <w:tcW w:w="1580" w:type="dxa"/>
            <w:vMerge/>
            <w:tcBorders>
              <w:top w:val="nil"/>
              <w:left w:val="single" w:sz="8" w:space="0" w:color="auto"/>
              <w:bottom w:val="single" w:sz="4" w:space="0" w:color="auto"/>
              <w:right w:val="single" w:sz="4" w:space="0" w:color="auto"/>
            </w:tcBorders>
            <w:vAlign w:val="center"/>
            <w:hideMark/>
          </w:tcPr>
          <w:p w14:paraId="5FCFBE7A" w14:textId="77777777" w:rsidR="001B1603" w:rsidRPr="001B1603" w:rsidRDefault="001B1603" w:rsidP="001B1603">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3FCB25D6"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Female</w:t>
            </w:r>
          </w:p>
        </w:tc>
        <w:tc>
          <w:tcPr>
            <w:tcW w:w="1693" w:type="dxa"/>
            <w:tcBorders>
              <w:top w:val="nil"/>
              <w:left w:val="nil"/>
              <w:bottom w:val="single" w:sz="4" w:space="0" w:color="auto"/>
              <w:right w:val="single" w:sz="4" w:space="0" w:color="auto"/>
            </w:tcBorders>
            <w:shd w:val="clear" w:color="auto" w:fill="auto"/>
            <w:noWrap/>
            <w:vAlign w:val="center"/>
            <w:hideMark/>
          </w:tcPr>
          <w:p w14:paraId="6F776293"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2,621,632</w:t>
            </w:r>
          </w:p>
        </w:tc>
        <w:tc>
          <w:tcPr>
            <w:tcW w:w="1767" w:type="dxa"/>
            <w:tcBorders>
              <w:top w:val="nil"/>
              <w:left w:val="nil"/>
              <w:bottom w:val="single" w:sz="4" w:space="0" w:color="auto"/>
              <w:right w:val="single" w:sz="4" w:space="0" w:color="auto"/>
            </w:tcBorders>
            <w:shd w:val="clear" w:color="auto" w:fill="auto"/>
            <w:noWrap/>
            <w:vAlign w:val="center"/>
            <w:hideMark/>
          </w:tcPr>
          <w:p w14:paraId="520D8774"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62%</w:t>
            </w:r>
          </w:p>
        </w:tc>
        <w:tc>
          <w:tcPr>
            <w:tcW w:w="1732" w:type="dxa"/>
            <w:tcBorders>
              <w:top w:val="nil"/>
              <w:left w:val="nil"/>
              <w:bottom w:val="single" w:sz="4" w:space="0" w:color="auto"/>
              <w:right w:val="single" w:sz="4" w:space="0" w:color="auto"/>
            </w:tcBorders>
            <w:shd w:val="clear" w:color="auto" w:fill="auto"/>
            <w:noWrap/>
            <w:vAlign w:val="center"/>
            <w:hideMark/>
          </w:tcPr>
          <w:p w14:paraId="6C125643"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1,237,334</w:t>
            </w:r>
          </w:p>
        </w:tc>
        <w:tc>
          <w:tcPr>
            <w:tcW w:w="1808" w:type="dxa"/>
            <w:tcBorders>
              <w:top w:val="nil"/>
              <w:left w:val="nil"/>
              <w:bottom w:val="single" w:sz="4" w:space="0" w:color="auto"/>
              <w:right w:val="single" w:sz="4" w:space="0" w:color="auto"/>
            </w:tcBorders>
            <w:shd w:val="clear" w:color="auto" w:fill="auto"/>
            <w:noWrap/>
            <w:vAlign w:val="center"/>
            <w:hideMark/>
          </w:tcPr>
          <w:p w14:paraId="1684427A"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63%</w:t>
            </w:r>
          </w:p>
        </w:tc>
        <w:tc>
          <w:tcPr>
            <w:tcW w:w="1644" w:type="dxa"/>
            <w:tcBorders>
              <w:top w:val="nil"/>
              <w:left w:val="nil"/>
              <w:bottom w:val="single" w:sz="4" w:space="0" w:color="auto"/>
              <w:right w:val="single" w:sz="4" w:space="0" w:color="auto"/>
            </w:tcBorders>
            <w:shd w:val="clear" w:color="auto" w:fill="auto"/>
            <w:noWrap/>
            <w:vAlign w:val="center"/>
            <w:hideMark/>
          </w:tcPr>
          <w:p w14:paraId="6AF6F8CA"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1,183,191</w:t>
            </w:r>
          </w:p>
        </w:tc>
        <w:tc>
          <w:tcPr>
            <w:tcW w:w="1716" w:type="dxa"/>
            <w:tcBorders>
              <w:top w:val="nil"/>
              <w:left w:val="nil"/>
              <w:bottom w:val="single" w:sz="4" w:space="0" w:color="auto"/>
              <w:right w:val="single" w:sz="8" w:space="0" w:color="auto"/>
            </w:tcBorders>
            <w:shd w:val="clear" w:color="auto" w:fill="auto"/>
            <w:noWrap/>
            <w:vAlign w:val="center"/>
            <w:hideMark/>
          </w:tcPr>
          <w:p w14:paraId="1FB35F9C"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62%</w:t>
            </w:r>
          </w:p>
        </w:tc>
      </w:tr>
      <w:tr w:rsidR="001B1603" w:rsidRPr="001B1603" w14:paraId="5ADFC2CA" w14:textId="77777777" w:rsidTr="001B1603">
        <w:trPr>
          <w:trHeight w:val="300"/>
        </w:trPr>
        <w:tc>
          <w:tcPr>
            <w:tcW w:w="158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081DB071"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Race</w:t>
            </w:r>
          </w:p>
        </w:tc>
        <w:tc>
          <w:tcPr>
            <w:tcW w:w="1520" w:type="dxa"/>
            <w:tcBorders>
              <w:top w:val="nil"/>
              <w:left w:val="nil"/>
              <w:bottom w:val="single" w:sz="4" w:space="0" w:color="auto"/>
              <w:right w:val="single" w:sz="4" w:space="0" w:color="auto"/>
            </w:tcBorders>
            <w:shd w:val="clear" w:color="auto" w:fill="auto"/>
            <w:noWrap/>
            <w:vAlign w:val="center"/>
            <w:hideMark/>
          </w:tcPr>
          <w:p w14:paraId="760688C8"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White</w:t>
            </w:r>
          </w:p>
        </w:tc>
        <w:tc>
          <w:tcPr>
            <w:tcW w:w="1693" w:type="dxa"/>
            <w:tcBorders>
              <w:top w:val="nil"/>
              <w:left w:val="nil"/>
              <w:bottom w:val="single" w:sz="4" w:space="0" w:color="auto"/>
              <w:right w:val="single" w:sz="4" w:space="0" w:color="auto"/>
            </w:tcBorders>
            <w:shd w:val="clear" w:color="auto" w:fill="auto"/>
            <w:noWrap/>
            <w:vAlign w:val="center"/>
            <w:hideMark/>
          </w:tcPr>
          <w:p w14:paraId="73BA6786"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3,245,981</w:t>
            </w:r>
          </w:p>
        </w:tc>
        <w:tc>
          <w:tcPr>
            <w:tcW w:w="1767" w:type="dxa"/>
            <w:tcBorders>
              <w:top w:val="nil"/>
              <w:left w:val="nil"/>
              <w:bottom w:val="single" w:sz="4" w:space="0" w:color="auto"/>
              <w:right w:val="single" w:sz="4" w:space="0" w:color="auto"/>
            </w:tcBorders>
            <w:shd w:val="clear" w:color="auto" w:fill="auto"/>
            <w:noWrap/>
            <w:vAlign w:val="center"/>
            <w:hideMark/>
          </w:tcPr>
          <w:p w14:paraId="51227E15"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76%</w:t>
            </w:r>
          </w:p>
        </w:tc>
        <w:tc>
          <w:tcPr>
            <w:tcW w:w="1732" w:type="dxa"/>
            <w:tcBorders>
              <w:top w:val="nil"/>
              <w:left w:val="nil"/>
              <w:bottom w:val="single" w:sz="4" w:space="0" w:color="auto"/>
              <w:right w:val="single" w:sz="4" w:space="0" w:color="auto"/>
            </w:tcBorders>
            <w:shd w:val="clear" w:color="auto" w:fill="auto"/>
            <w:noWrap/>
            <w:vAlign w:val="center"/>
            <w:hideMark/>
          </w:tcPr>
          <w:p w14:paraId="334BD5F4"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1,499,679</w:t>
            </w:r>
          </w:p>
        </w:tc>
        <w:tc>
          <w:tcPr>
            <w:tcW w:w="1808" w:type="dxa"/>
            <w:tcBorders>
              <w:top w:val="nil"/>
              <w:left w:val="nil"/>
              <w:bottom w:val="single" w:sz="4" w:space="0" w:color="auto"/>
              <w:right w:val="single" w:sz="4" w:space="0" w:color="auto"/>
            </w:tcBorders>
            <w:shd w:val="clear" w:color="auto" w:fill="auto"/>
            <w:noWrap/>
            <w:vAlign w:val="center"/>
            <w:hideMark/>
          </w:tcPr>
          <w:p w14:paraId="7F5BC1CF"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76%</w:t>
            </w:r>
          </w:p>
        </w:tc>
        <w:tc>
          <w:tcPr>
            <w:tcW w:w="1644" w:type="dxa"/>
            <w:tcBorders>
              <w:top w:val="nil"/>
              <w:left w:val="nil"/>
              <w:bottom w:val="single" w:sz="4" w:space="0" w:color="auto"/>
              <w:right w:val="single" w:sz="4" w:space="0" w:color="auto"/>
            </w:tcBorders>
            <w:shd w:val="clear" w:color="auto" w:fill="auto"/>
            <w:noWrap/>
            <w:vAlign w:val="center"/>
            <w:hideMark/>
          </w:tcPr>
          <w:p w14:paraId="7E273009"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1,449,298</w:t>
            </w:r>
          </w:p>
        </w:tc>
        <w:tc>
          <w:tcPr>
            <w:tcW w:w="1716" w:type="dxa"/>
            <w:tcBorders>
              <w:top w:val="nil"/>
              <w:left w:val="nil"/>
              <w:bottom w:val="single" w:sz="4" w:space="0" w:color="auto"/>
              <w:right w:val="single" w:sz="8" w:space="0" w:color="auto"/>
            </w:tcBorders>
            <w:shd w:val="clear" w:color="auto" w:fill="auto"/>
            <w:noWrap/>
            <w:vAlign w:val="center"/>
            <w:hideMark/>
          </w:tcPr>
          <w:p w14:paraId="406AC3A1"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76%</w:t>
            </w:r>
          </w:p>
        </w:tc>
      </w:tr>
      <w:tr w:rsidR="001B1603" w:rsidRPr="001B1603" w14:paraId="7D5D4DD4" w14:textId="77777777" w:rsidTr="001B1603">
        <w:trPr>
          <w:trHeight w:val="300"/>
        </w:trPr>
        <w:tc>
          <w:tcPr>
            <w:tcW w:w="1580" w:type="dxa"/>
            <w:vMerge/>
            <w:tcBorders>
              <w:top w:val="nil"/>
              <w:left w:val="single" w:sz="8" w:space="0" w:color="auto"/>
              <w:bottom w:val="single" w:sz="4" w:space="0" w:color="auto"/>
              <w:right w:val="single" w:sz="4" w:space="0" w:color="auto"/>
            </w:tcBorders>
            <w:vAlign w:val="center"/>
            <w:hideMark/>
          </w:tcPr>
          <w:p w14:paraId="5540AE47" w14:textId="77777777" w:rsidR="001B1603" w:rsidRPr="001B1603" w:rsidRDefault="001B1603" w:rsidP="001B1603">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2D6AAD0A"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Black</w:t>
            </w:r>
          </w:p>
        </w:tc>
        <w:tc>
          <w:tcPr>
            <w:tcW w:w="1693" w:type="dxa"/>
            <w:tcBorders>
              <w:top w:val="nil"/>
              <w:left w:val="nil"/>
              <w:bottom w:val="single" w:sz="4" w:space="0" w:color="auto"/>
              <w:right w:val="single" w:sz="4" w:space="0" w:color="auto"/>
            </w:tcBorders>
            <w:shd w:val="clear" w:color="auto" w:fill="auto"/>
            <w:noWrap/>
            <w:vAlign w:val="center"/>
            <w:hideMark/>
          </w:tcPr>
          <w:p w14:paraId="707D2AE7"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564,612</w:t>
            </w:r>
          </w:p>
        </w:tc>
        <w:tc>
          <w:tcPr>
            <w:tcW w:w="1767" w:type="dxa"/>
            <w:tcBorders>
              <w:top w:val="nil"/>
              <w:left w:val="nil"/>
              <w:bottom w:val="single" w:sz="4" w:space="0" w:color="auto"/>
              <w:right w:val="single" w:sz="4" w:space="0" w:color="auto"/>
            </w:tcBorders>
            <w:shd w:val="clear" w:color="auto" w:fill="auto"/>
            <w:noWrap/>
            <w:vAlign w:val="center"/>
            <w:hideMark/>
          </w:tcPr>
          <w:p w14:paraId="0CE3CAB2"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13%</w:t>
            </w:r>
          </w:p>
        </w:tc>
        <w:tc>
          <w:tcPr>
            <w:tcW w:w="1732" w:type="dxa"/>
            <w:tcBorders>
              <w:top w:val="nil"/>
              <w:left w:val="nil"/>
              <w:bottom w:val="single" w:sz="4" w:space="0" w:color="auto"/>
              <w:right w:val="single" w:sz="4" w:space="0" w:color="auto"/>
            </w:tcBorders>
            <w:shd w:val="clear" w:color="auto" w:fill="auto"/>
            <w:noWrap/>
            <w:vAlign w:val="center"/>
            <w:hideMark/>
          </w:tcPr>
          <w:p w14:paraId="19E3BC00"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268,221</w:t>
            </w:r>
          </w:p>
        </w:tc>
        <w:tc>
          <w:tcPr>
            <w:tcW w:w="1808" w:type="dxa"/>
            <w:tcBorders>
              <w:top w:val="nil"/>
              <w:left w:val="nil"/>
              <w:bottom w:val="single" w:sz="4" w:space="0" w:color="auto"/>
              <w:right w:val="single" w:sz="4" w:space="0" w:color="auto"/>
            </w:tcBorders>
            <w:shd w:val="clear" w:color="auto" w:fill="auto"/>
            <w:noWrap/>
            <w:vAlign w:val="center"/>
            <w:hideMark/>
          </w:tcPr>
          <w:p w14:paraId="50AFFB5B"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14%</w:t>
            </w:r>
          </w:p>
        </w:tc>
        <w:tc>
          <w:tcPr>
            <w:tcW w:w="1644" w:type="dxa"/>
            <w:tcBorders>
              <w:top w:val="nil"/>
              <w:left w:val="nil"/>
              <w:bottom w:val="single" w:sz="4" w:space="0" w:color="auto"/>
              <w:right w:val="single" w:sz="4" w:space="0" w:color="auto"/>
            </w:tcBorders>
            <w:shd w:val="clear" w:color="auto" w:fill="auto"/>
            <w:noWrap/>
            <w:vAlign w:val="center"/>
            <w:hideMark/>
          </w:tcPr>
          <w:p w14:paraId="0A4AA41C"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256,974</w:t>
            </w:r>
          </w:p>
        </w:tc>
        <w:tc>
          <w:tcPr>
            <w:tcW w:w="1716" w:type="dxa"/>
            <w:tcBorders>
              <w:top w:val="nil"/>
              <w:left w:val="nil"/>
              <w:bottom w:val="single" w:sz="4" w:space="0" w:color="auto"/>
              <w:right w:val="single" w:sz="8" w:space="0" w:color="auto"/>
            </w:tcBorders>
            <w:shd w:val="clear" w:color="auto" w:fill="auto"/>
            <w:noWrap/>
            <w:vAlign w:val="center"/>
            <w:hideMark/>
          </w:tcPr>
          <w:p w14:paraId="6C8675AD"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13%</w:t>
            </w:r>
          </w:p>
        </w:tc>
      </w:tr>
      <w:tr w:rsidR="001B1603" w:rsidRPr="001B1603" w14:paraId="07435B21" w14:textId="77777777" w:rsidTr="001B1603">
        <w:trPr>
          <w:trHeight w:val="300"/>
        </w:trPr>
        <w:tc>
          <w:tcPr>
            <w:tcW w:w="1580" w:type="dxa"/>
            <w:vMerge/>
            <w:tcBorders>
              <w:top w:val="nil"/>
              <w:left w:val="single" w:sz="8" w:space="0" w:color="auto"/>
              <w:bottom w:val="single" w:sz="4" w:space="0" w:color="auto"/>
              <w:right w:val="single" w:sz="4" w:space="0" w:color="auto"/>
            </w:tcBorders>
            <w:vAlign w:val="center"/>
            <w:hideMark/>
          </w:tcPr>
          <w:p w14:paraId="7F7FB213" w14:textId="77777777" w:rsidR="001B1603" w:rsidRPr="001B1603" w:rsidRDefault="001B1603" w:rsidP="001B1603">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60DF910A"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Hispanic</w:t>
            </w:r>
          </w:p>
        </w:tc>
        <w:tc>
          <w:tcPr>
            <w:tcW w:w="1693" w:type="dxa"/>
            <w:tcBorders>
              <w:top w:val="nil"/>
              <w:left w:val="nil"/>
              <w:bottom w:val="single" w:sz="4" w:space="0" w:color="auto"/>
              <w:right w:val="single" w:sz="4" w:space="0" w:color="auto"/>
            </w:tcBorders>
            <w:shd w:val="clear" w:color="auto" w:fill="auto"/>
            <w:noWrap/>
            <w:vAlign w:val="center"/>
            <w:hideMark/>
          </w:tcPr>
          <w:p w14:paraId="7BCC1C7F"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334,260</w:t>
            </w:r>
          </w:p>
        </w:tc>
        <w:tc>
          <w:tcPr>
            <w:tcW w:w="1767" w:type="dxa"/>
            <w:tcBorders>
              <w:top w:val="nil"/>
              <w:left w:val="nil"/>
              <w:bottom w:val="single" w:sz="4" w:space="0" w:color="auto"/>
              <w:right w:val="single" w:sz="4" w:space="0" w:color="auto"/>
            </w:tcBorders>
            <w:shd w:val="clear" w:color="auto" w:fill="auto"/>
            <w:noWrap/>
            <w:vAlign w:val="center"/>
            <w:hideMark/>
          </w:tcPr>
          <w:p w14:paraId="606E3B9B"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8%</w:t>
            </w:r>
          </w:p>
        </w:tc>
        <w:tc>
          <w:tcPr>
            <w:tcW w:w="1732" w:type="dxa"/>
            <w:tcBorders>
              <w:top w:val="nil"/>
              <w:left w:val="nil"/>
              <w:bottom w:val="single" w:sz="4" w:space="0" w:color="auto"/>
              <w:right w:val="single" w:sz="4" w:space="0" w:color="auto"/>
            </w:tcBorders>
            <w:shd w:val="clear" w:color="auto" w:fill="auto"/>
            <w:noWrap/>
            <w:vAlign w:val="center"/>
            <w:hideMark/>
          </w:tcPr>
          <w:p w14:paraId="7FF192BB"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158,282</w:t>
            </w:r>
          </w:p>
        </w:tc>
        <w:tc>
          <w:tcPr>
            <w:tcW w:w="1808" w:type="dxa"/>
            <w:tcBorders>
              <w:top w:val="nil"/>
              <w:left w:val="nil"/>
              <w:bottom w:val="single" w:sz="4" w:space="0" w:color="auto"/>
              <w:right w:val="single" w:sz="4" w:space="0" w:color="auto"/>
            </w:tcBorders>
            <w:shd w:val="clear" w:color="auto" w:fill="auto"/>
            <w:noWrap/>
            <w:vAlign w:val="center"/>
            <w:hideMark/>
          </w:tcPr>
          <w:p w14:paraId="7196FF93"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8%</w:t>
            </w:r>
          </w:p>
        </w:tc>
        <w:tc>
          <w:tcPr>
            <w:tcW w:w="1644" w:type="dxa"/>
            <w:tcBorders>
              <w:top w:val="nil"/>
              <w:left w:val="nil"/>
              <w:bottom w:val="single" w:sz="4" w:space="0" w:color="auto"/>
              <w:right w:val="single" w:sz="4" w:space="0" w:color="auto"/>
            </w:tcBorders>
            <w:shd w:val="clear" w:color="auto" w:fill="auto"/>
            <w:noWrap/>
            <w:vAlign w:val="center"/>
            <w:hideMark/>
          </w:tcPr>
          <w:p w14:paraId="48D79D1E"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151,056</w:t>
            </w:r>
          </w:p>
        </w:tc>
        <w:tc>
          <w:tcPr>
            <w:tcW w:w="1716" w:type="dxa"/>
            <w:tcBorders>
              <w:top w:val="nil"/>
              <w:left w:val="nil"/>
              <w:bottom w:val="single" w:sz="4" w:space="0" w:color="auto"/>
              <w:right w:val="single" w:sz="8" w:space="0" w:color="auto"/>
            </w:tcBorders>
            <w:shd w:val="clear" w:color="auto" w:fill="auto"/>
            <w:noWrap/>
            <w:vAlign w:val="center"/>
            <w:hideMark/>
          </w:tcPr>
          <w:p w14:paraId="12B36556"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8%</w:t>
            </w:r>
          </w:p>
        </w:tc>
      </w:tr>
      <w:tr w:rsidR="001B1603" w:rsidRPr="001B1603" w14:paraId="4AD85899" w14:textId="77777777" w:rsidTr="001B1603">
        <w:trPr>
          <w:trHeight w:val="300"/>
        </w:trPr>
        <w:tc>
          <w:tcPr>
            <w:tcW w:w="1580" w:type="dxa"/>
            <w:vMerge/>
            <w:tcBorders>
              <w:top w:val="nil"/>
              <w:left w:val="single" w:sz="8" w:space="0" w:color="auto"/>
              <w:bottom w:val="single" w:sz="4" w:space="0" w:color="auto"/>
              <w:right w:val="single" w:sz="4" w:space="0" w:color="auto"/>
            </w:tcBorders>
            <w:vAlign w:val="center"/>
            <w:hideMark/>
          </w:tcPr>
          <w:p w14:paraId="3E0BAE05" w14:textId="77777777" w:rsidR="001B1603" w:rsidRPr="001B1603" w:rsidRDefault="001B1603" w:rsidP="001B1603">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611FD606"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Other</w:t>
            </w:r>
          </w:p>
        </w:tc>
        <w:tc>
          <w:tcPr>
            <w:tcW w:w="1693" w:type="dxa"/>
            <w:tcBorders>
              <w:top w:val="nil"/>
              <w:left w:val="nil"/>
              <w:bottom w:val="single" w:sz="4" w:space="0" w:color="auto"/>
              <w:right w:val="single" w:sz="4" w:space="0" w:color="auto"/>
            </w:tcBorders>
            <w:shd w:val="clear" w:color="auto" w:fill="auto"/>
            <w:noWrap/>
            <w:vAlign w:val="center"/>
            <w:hideMark/>
          </w:tcPr>
          <w:p w14:paraId="1D6286B6"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110,889</w:t>
            </w:r>
          </w:p>
        </w:tc>
        <w:tc>
          <w:tcPr>
            <w:tcW w:w="1767" w:type="dxa"/>
            <w:tcBorders>
              <w:top w:val="nil"/>
              <w:left w:val="nil"/>
              <w:bottom w:val="single" w:sz="4" w:space="0" w:color="auto"/>
              <w:right w:val="single" w:sz="4" w:space="0" w:color="auto"/>
            </w:tcBorders>
            <w:shd w:val="clear" w:color="auto" w:fill="auto"/>
            <w:noWrap/>
            <w:vAlign w:val="center"/>
            <w:hideMark/>
          </w:tcPr>
          <w:p w14:paraId="67D6C87C"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w:t>
            </w:r>
          </w:p>
        </w:tc>
        <w:tc>
          <w:tcPr>
            <w:tcW w:w="1732" w:type="dxa"/>
            <w:tcBorders>
              <w:top w:val="nil"/>
              <w:left w:val="nil"/>
              <w:bottom w:val="single" w:sz="4" w:space="0" w:color="auto"/>
              <w:right w:val="single" w:sz="4" w:space="0" w:color="auto"/>
            </w:tcBorders>
            <w:shd w:val="clear" w:color="auto" w:fill="auto"/>
            <w:noWrap/>
            <w:vAlign w:val="center"/>
            <w:hideMark/>
          </w:tcPr>
          <w:p w14:paraId="35D62B1E"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52,914</w:t>
            </w:r>
          </w:p>
        </w:tc>
        <w:tc>
          <w:tcPr>
            <w:tcW w:w="1808" w:type="dxa"/>
            <w:tcBorders>
              <w:top w:val="nil"/>
              <w:left w:val="nil"/>
              <w:bottom w:val="single" w:sz="4" w:space="0" w:color="auto"/>
              <w:right w:val="single" w:sz="4" w:space="0" w:color="auto"/>
            </w:tcBorders>
            <w:shd w:val="clear" w:color="auto" w:fill="auto"/>
            <w:noWrap/>
            <w:vAlign w:val="center"/>
            <w:hideMark/>
          </w:tcPr>
          <w:p w14:paraId="7440F137"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w:t>
            </w:r>
          </w:p>
        </w:tc>
        <w:tc>
          <w:tcPr>
            <w:tcW w:w="1644" w:type="dxa"/>
            <w:tcBorders>
              <w:top w:val="nil"/>
              <w:left w:val="nil"/>
              <w:bottom w:val="single" w:sz="4" w:space="0" w:color="auto"/>
              <w:right w:val="single" w:sz="4" w:space="0" w:color="auto"/>
            </w:tcBorders>
            <w:shd w:val="clear" w:color="auto" w:fill="auto"/>
            <w:noWrap/>
            <w:vAlign w:val="center"/>
            <w:hideMark/>
          </w:tcPr>
          <w:p w14:paraId="7A72CA95"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49,967</w:t>
            </w:r>
          </w:p>
        </w:tc>
        <w:tc>
          <w:tcPr>
            <w:tcW w:w="1716" w:type="dxa"/>
            <w:tcBorders>
              <w:top w:val="nil"/>
              <w:left w:val="nil"/>
              <w:bottom w:val="single" w:sz="4" w:space="0" w:color="auto"/>
              <w:right w:val="single" w:sz="8" w:space="0" w:color="auto"/>
            </w:tcBorders>
            <w:shd w:val="clear" w:color="auto" w:fill="auto"/>
            <w:noWrap/>
            <w:vAlign w:val="center"/>
            <w:hideMark/>
          </w:tcPr>
          <w:p w14:paraId="20D29CDC"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w:t>
            </w:r>
          </w:p>
        </w:tc>
      </w:tr>
      <w:tr w:rsidR="001B1603" w:rsidRPr="001B1603" w14:paraId="6F445929" w14:textId="77777777" w:rsidTr="001B1603">
        <w:trPr>
          <w:trHeight w:val="300"/>
        </w:trPr>
        <w:tc>
          <w:tcPr>
            <w:tcW w:w="158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68CBB3A8"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Age</w:t>
            </w:r>
          </w:p>
        </w:tc>
        <w:tc>
          <w:tcPr>
            <w:tcW w:w="1520" w:type="dxa"/>
            <w:tcBorders>
              <w:top w:val="nil"/>
              <w:left w:val="nil"/>
              <w:bottom w:val="single" w:sz="4" w:space="0" w:color="auto"/>
              <w:right w:val="single" w:sz="4" w:space="0" w:color="auto"/>
            </w:tcBorders>
            <w:shd w:val="clear" w:color="auto" w:fill="auto"/>
            <w:noWrap/>
            <w:vAlign w:val="center"/>
            <w:hideMark/>
          </w:tcPr>
          <w:p w14:paraId="69B81835"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Under 65</w:t>
            </w:r>
          </w:p>
        </w:tc>
        <w:tc>
          <w:tcPr>
            <w:tcW w:w="1693" w:type="dxa"/>
            <w:tcBorders>
              <w:top w:val="nil"/>
              <w:left w:val="nil"/>
              <w:bottom w:val="single" w:sz="4" w:space="0" w:color="auto"/>
              <w:right w:val="single" w:sz="4" w:space="0" w:color="auto"/>
            </w:tcBorders>
            <w:shd w:val="clear" w:color="auto" w:fill="auto"/>
            <w:noWrap/>
            <w:vAlign w:val="center"/>
            <w:hideMark/>
          </w:tcPr>
          <w:p w14:paraId="5685A3D6"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752,100</w:t>
            </w:r>
          </w:p>
        </w:tc>
        <w:tc>
          <w:tcPr>
            <w:tcW w:w="1767" w:type="dxa"/>
            <w:tcBorders>
              <w:top w:val="nil"/>
              <w:left w:val="nil"/>
              <w:bottom w:val="single" w:sz="4" w:space="0" w:color="auto"/>
              <w:right w:val="single" w:sz="4" w:space="0" w:color="auto"/>
            </w:tcBorders>
            <w:shd w:val="clear" w:color="auto" w:fill="auto"/>
            <w:noWrap/>
            <w:vAlign w:val="center"/>
            <w:hideMark/>
          </w:tcPr>
          <w:p w14:paraId="5FEB28E0"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18%</w:t>
            </w:r>
          </w:p>
        </w:tc>
        <w:tc>
          <w:tcPr>
            <w:tcW w:w="1732" w:type="dxa"/>
            <w:tcBorders>
              <w:top w:val="nil"/>
              <w:left w:val="nil"/>
              <w:bottom w:val="single" w:sz="4" w:space="0" w:color="auto"/>
              <w:right w:val="single" w:sz="4" w:space="0" w:color="auto"/>
            </w:tcBorders>
            <w:shd w:val="clear" w:color="auto" w:fill="auto"/>
            <w:noWrap/>
            <w:vAlign w:val="center"/>
            <w:hideMark/>
          </w:tcPr>
          <w:p w14:paraId="5B8BF4F0"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314,871</w:t>
            </w:r>
          </w:p>
        </w:tc>
        <w:tc>
          <w:tcPr>
            <w:tcW w:w="1808" w:type="dxa"/>
            <w:tcBorders>
              <w:top w:val="nil"/>
              <w:left w:val="nil"/>
              <w:bottom w:val="single" w:sz="4" w:space="0" w:color="auto"/>
              <w:right w:val="single" w:sz="4" w:space="0" w:color="auto"/>
            </w:tcBorders>
            <w:shd w:val="clear" w:color="auto" w:fill="auto"/>
            <w:noWrap/>
            <w:vAlign w:val="center"/>
            <w:hideMark/>
          </w:tcPr>
          <w:p w14:paraId="234073AE"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16%</w:t>
            </w:r>
          </w:p>
        </w:tc>
        <w:tc>
          <w:tcPr>
            <w:tcW w:w="1644" w:type="dxa"/>
            <w:tcBorders>
              <w:top w:val="nil"/>
              <w:left w:val="nil"/>
              <w:bottom w:val="single" w:sz="4" w:space="0" w:color="auto"/>
              <w:right w:val="single" w:sz="4" w:space="0" w:color="auto"/>
            </w:tcBorders>
            <w:shd w:val="clear" w:color="auto" w:fill="auto"/>
            <w:noWrap/>
            <w:vAlign w:val="center"/>
            <w:hideMark/>
          </w:tcPr>
          <w:p w14:paraId="7AA2A18A"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308,984</w:t>
            </w:r>
          </w:p>
        </w:tc>
        <w:tc>
          <w:tcPr>
            <w:tcW w:w="1716" w:type="dxa"/>
            <w:tcBorders>
              <w:top w:val="nil"/>
              <w:left w:val="nil"/>
              <w:bottom w:val="single" w:sz="4" w:space="0" w:color="auto"/>
              <w:right w:val="single" w:sz="8" w:space="0" w:color="auto"/>
            </w:tcBorders>
            <w:shd w:val="clear" w:color="auto" w:fill="auto"/>
            <w:noWrap/>
            <w:vAlign w:val="center"/>
            <w:hideMark/>
          </w:tcPr>
          <w:p w14:paraId="4C1C2856"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16%</w:t>
            </w:r>
          </w:p>
        </w:tc>
      </w:tr>
      <w:tr w:rsidR="001B1603" w:rsidRPr="001B1603" w14:paraId="31257700" w14:textId="77777777" w:rsidTr="001B1603">
        <w:trPr>
          <w:trHeight w:val="300"/>
        </w:trPr>
        <w:tc>
          <w:tcPr>
            <w:tcW w:w="1580" w:type="dxa"/>
            <w:vMerge/>
            <w:tcBorders>
              <w:top w:val="nil"/>
              <w:left w:val="single" w:sz="8" w:space="0" w:color="auto"/>
              <w:bottom w:val="single" w:sz="4" w:space="0" w:color="auto"/>
              <w:right w:val="single" w:sz="4" w:space="0" w:color="auto"/>
            </w:tcBorders>
            <w:vAlign w:val="center"/>
            <w:hideMark/>
          </w:tcPr>
          <w:p w14:paraId="2C1D65A5" w14:textId="77777777" w:rsidR="001B1603" w:rsidRPr="001B1603" w:rsidRDefault="001B1603" w:rsidP="001B1603">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7ED12635"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65-74</w:t>
            </w:r>
          </w:p>
        </w:tc>
        <w:tc>
          <w:tcPr>
            <w:tcW w:w="1693" w:type="dxa"/>
            <w:tcBorders>
              <w:top w:val="nil"/>
              <w:left w:val="nil"/>
              <w:bottom w:val="single" w:sz="4" w:space="0" w:color="auto"/>
              <w:right w:val="single" w:sz="4" w:space="0" w:color="auto"/>
            </w:tcBorders>
            <w:shd w:val="clear" w:color="auto" w:fill="auto"/>
            <w:noWrap/>
            <w:vAlign w:val="center"/>
            <w:hideMark/>
          </w:tcPr>
          <w:p w14:paraId="38B3B318"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1,114,119</w:t>
            </w:r>
          </w:p>
        </w:tc>
        <w:tc>
          <w:tcPr>
            <w:tcW w:w="1767" w:type="dxa"/>
            <w:tcBorders>
              <w:top w:val="nil"/>
              <w:left w:val="nil"/>
              <w:bottom w:val="single" w:sz="4" w:space="0" w:color="auto"/>
              <w:right w:val="single" w:sz="4" w:space="0" w:color="auto"/>
            </w:tcBorders>
            <w:shd w:val="clear" w:color="auto" w:fill="auto"/>
            <w:noWrap/>
            <w:vAlign w:val="center"/>
            <w:hideMark/>
          </w:tcPr>
          <w:p w14:paraId="60EA72AA"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26%</w:t>
            </w:r>
          </w:p>
        </w:tc>
        <w:tc>
          <w:tcPr>
            <w:tcW w:w="1732" w:type="dxa"/>
            <w:tcBorders>
              <w:top w:val="nil"/>
              <w:left w:val="nil"/>
              <w:bottom w:val="single" w:sz="4" w:space="0" w:color="auto"/>
              <w:right w:val="single" w:sz="4" w:space="0" w:color="auto"/>
            </w:tcBorders>
            <w:shd w:val="clear" w:color="auto" w:fill="auto"/>
            <w:noWrap/>
            <w:vAlign w:val="center"/>
            <w:hideMark/>
          </w:tcPr>
          <w:p w14:paraId="1D3DC086"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455,669</w:t>
            </w:r>
          </w:p>
        </w:tc>
        <w:tc>
          <w:tcPr>
            <w:tcW w:w="1808" w:type="dxa"/>
            <w:tcBorders>
              <w:top w:val="nil"/>
              <w:left w:val="nil"/>
              <w:bottom w:val="single" w:sz="4" w:space="0" w:color="auto"/>
              <w:right w:val="single" w:sz="4" w:space="0" w:color="auto"/>
            </w:tcBorders>
            <w:shd w:val="clear" w:color="auto" w:fill="auto"/>
            <w:noWrap/>
            <w:vAlign w:val="center"/>
            <w:hideMark/>
          </w:tcPr>
          <w:p w14:paraId="650F8335"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23%</w:t>
            </w:r>
          </w:p>
        </w:tc>
        <w:tc>
          <w:tcPr>
            <w:tcW w:w="1644" w:type="dxa"/>
            <w:tcBorders>
              <w:top w:val="nil"/>
              <w:left w:val="nil"/>
              <w:bottom w:val="single" w:sz="4" w:space="0" w:color="auto"/>
              <w:right w:val="single" w:sz="4" w:space="0" w:color="auto"/>
            </w:tcBorders>
            <w:shd w:val="clear" w:color="auto" w:fill="auto"/>
            <w:noWrap/>
            <w:vAlign w:val="center"/>
            <w:hideMark/>
          </w:tcPr>
          <w:p w14:paraId="1F2980BE"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443,589</w:t>
            </w:r>
          </w:p>
        </w:tc>
        <w:tc>
          <w:tcPr>
            <w:tcW w:w="1716" w:type="dxa"/>
            <w:tcBorders>
              <w:top w:val="nil"/>
              <w:left w:val="nil"/>
              <w:bottom w:val="single" w:sz="4" w:space="0" w:color="auto"/>
              <w:right w:val="single" w:sz="8" w:space="0" w:color="auto"/>
            </w:tcBorders>
            <w:shd w:val="clear" w:color="auto" w:fill="auto"/>
            <w:noWrap/>
            <w:vAlign w:val="center"/>
            <w:hideMark/>
          </w:tcPr>
          <w:p w14:paraId="163CAF80"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23%</w:t>
            </w:r>
          </w:p>
        </w:tc>
      </w:tr>
      <w:tr w:rsidR="001B1603" w:rsidRPr="001B1603" w14:paraId="1F497396" w14:textId="77777777" w:rsidTr="001B1603">
        <w:trPr>
          <w:trHeight w:val="300"/>
        </w:trPr>
        <w:tc>
          <w:tcPr>
            <w:tcW w:w="1580" w:type="dxa"/>
            <w:vMerge/>
            <w:tcBorders>
              <w:top w:val="nil"/>
              <w:left w:val="single" w:sz="8" w:space="0" w:color="auto"/>
              <w:bottom w:val="single" w:sz="4" w:space="0" w:color="auto"/>
              <w:right w:val="single" w:sz="4" w:space="0" w:color="auto"/>
            </w:tcBorders>
            <w:vAlign w:val="center"/>
            <w:hideMark/>
          </w:tcPr>
          <w:p w14:paraId="05530901" w14:textId="77777777" w:rsidR="001B1603" w:rsidRPr="001B1603" w:rsidRDefault="001B1603" w:rsidP="001B1603">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5D8D2236"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75-84</w:t>
            </w:r>
          </w:p>
        </w:tc>
        <w:tc>
          <w:tcPr>
            <w:tcW w:w="1693" w:type="dxa"/>
            <w:tcBorders>
              <w:top w:val="nil"/>
              <w:left w:val="nil"/>
              <w:bottom w:val="single" w:sz="4" w:space="0" w:color="auto"/>
              <w:right w:val="single" w:sz="4" w:space="0" w:color="auto"/>
            </w:tcBorders>
            <w:shd w:val="clear" w:color="auto" w:fill="auto"/>
            <w:noWrap/>
            <w:vAlign w:val="center"/>
            <w:hideMark/>
          </w:tcPr>
          <w:p w14:paraId="0A6649F6"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1,307,634</w:t>
            </w:r>
          </w:p>
        </w:tc>
        <w:tc>
          <w:tcPr>
            <w:tcW w:w="1767" w:type="dxa"/>
            <w:tcBorders>
              <w:top w:val="nil"/>
              <w:left w:val="nil"/>
              <w:bottom w:val="single" w:sz="4" w:space="0" w:color="auto"/>
              <w:right w:val="single" w:sz="4" w:space="0" w:color="auto"/>
            </w:tcBorders>
            <w:shd w:val="clear" w:color="auto" w:fill="auto"/>
            <w:noWrap/>
            <w:vAlign w:val="center"/>
            <w:hideMark/>
          </w:tcPr>
          <w:p w14:paraId="11301BC4"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31%</w:t>
            </w:r>
          </w:p>
        </w:tc>
        <w:tc>
          <w:tcPr>
            <w:tcW w:w="1732" w:type="dxa"/>
            <w:tcBorders>
              <w:top w:val="nil"/>
              <w:left w:val="nil"/>
              <w:bottom w:val="single" w:sz="4" w:space="0" w:color="auto"/>
              <w:right w:val="single" w:sz="4" w:space="0" w:color="auto"/>
            </w:tcBorders>
            <w:shd w:val="clear" w:color="auto" w:fill="auto"/>
            <w:noWrap/>
            <w:vAlign w:val="center"/>
            <w:hideMark/>
          </w:tcPr>
          <w:p w14:paraId="7DA5E6EC"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613,711</w:t>
            </w:r>
          </w:p>
        </w:tc>
        <w:tc>
          <w:tcPr>
            <w:tcW w:w="1808" w:type="dxa"/>
            <w:tcBorders>
              <w:top w:val="nil"/>
              <w:left w:val="nil"/>
              <w:bottom w:val="single" w:sz="4" w:space="0" w:color="auto"/>
              <w:right w:val="single" w:sz="4" w:space="0" w:color="auto"/>
            </w:tcBorders>
            <w:shd w:val="clear" w:color="auto" w:fill="auto"/>
            <w:noWrap/>
            <w:vAlign w:val="center"/>
            <w:hideMark/>
          </w:tcPr>
          <w:p w14:paraId="6098D8D4"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31%</w:t>
            </w:r>
          </w:p>
        </w:tc>
        <w:tc>
          <w:tcPr>
            <w:tcW w:w="1644" w:type="dxa"/>
            <w:tcBorders>
              <w:top w:val="nil"/>
              <w:left w:val="nil"/>
              <w:bottom w:val="single" w:sz="4" w:space="0" w:color="auto"/>
              <w:right w:val="single" w:sz="4" w:space="0" w:color="auto"/>
            </w:tcBorders>
            <w:shd w:val="clear" w:color="auto" w:fill="auto"/>
            <w:noWrap/>
            <w:vAlign w:val="center"/>
            <w:hideMark/>
          </w:tcPr>
          <w:p w14:paraId="62C328D6"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590,033</w:t>
            </w:r>
          </w:p>
        </w:tc>
        <w:tc>
          <w:tcPr>
            <w:tcW w:w="1716" w:type="dxa"/>
            <w:tcBorders>
              <w:top w:val="nil"/>
              <w:left w:val="nil"/>
              <w:bottom w:val="single" w:sz="4" w:space="0" w:color="auto"/>
              <w:right w:val="single" w:sz="8" w:space="0" w:color="auto"/>
            </w:tcBorders>
            <w:shd w:val="clear" w:color="auto" w:fill="auto"/>
            <w:noWrap/>
            <w:vAlign w:val="center"/>
            <w:hideMark/>
          </w:tcPr>
          <w:p w14:paraId="74028230"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31%</w:t>
            </w:r>
          </w:p>
        </w:tc>
      </w:tr>
      <w:tr w:rsidR="001B1603" w:rsidRPr="001B1603" w14:paraId="51D10232" w14:textId="77777777" w:rsidTr="001B1603">
        <w:trPr>
          <w:trHeight w:val="300"/>
        </w:trPr>
        <w:tc>
          <w:tcPr>
            <w:tcW w:w="1580" w:type="dxa"/>
            <w:vMerge/>
            <w:tcBorders>
              <w:top w:val="nil"/>
              <w:left w:val="single" w:sz="8" w:space="0" w:color="auto"/>
              <w:bottom w:val="single" w:sz="4" w:space="0" w:color="auto"/>
              <w:right w:val="single" w:sz="4" w:space="0" w:color="auto"/>
            </w:tcBorders>
            <w:vAlign w:val="center"/>
            <w:hideMark/>
          </w:tcPr>
          <w:p w14:paraId="5FE3F69D" w14:textId="77777777" w:rsidR="001B1603" w:rsidRPr="001B1603" w:rsidRDefault="001B1603" w:rsidP="001B1603">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4778DCEC"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85 and Over</w:t>
            </w:r>
          </w:p>
        </w:tc>
        <w:tc>
          <w:tcPr>
            <w:tcW w:w="1693" w:type="dxa"/>
            <w:tcBorders>
              <w:top w:val="nil"/>
              <w:left w:val="nil"/>
              <w:bottom w:val="single" w:sz="4" w:space="0" w:color="auto"/>
              <w:right w:val="single" w:sz="4" w:space="0" w:color="auto"/>
            </w:tcBorders>
            <w:shd w:val="clear" w:color="auto" w:fill="auto"/>
            <w:noWrap/>
            <w:vAlign w:val="center"/>
            <w:hideMark/>
          </w:tcPr>
          <w:p w14:paraId="02C01531"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1,081,889</w:t>
            </w:r>
          </w:p>
        </w:tc>
        <w:tc>
          <w:tcPr>
            <w:tcW w:w="1767" w:type="dxa"/>
            <w:tcBorders>
              <w:top w:val="nil"/>
              <w:left w:val="nil"/>
              <w:bottom w:val="single" w:sz="4" w:space="0" w:color="auto"/>
              <w:right w:val="single" w:sz="4" w:space="0" w:color="auto"/>
            </w:tcBorders>
            <w:shd w:val="clear" w:color="auto" w:fill="auto"/>
            <w:noWrap/>
            <w:vAlign w:val="center"/>
            <w:hideMark/>
          </w:tcPr>
          <w:p w14:paraId="1DF9A8E8"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25%</w:t>
            </w:r>
          </w:p>
        </w:tc>
        <w:tc>
          <w:tcPr>
            <w:tcW w:w="1732" w:type="dxa"/>
            <w:tcBorders>
              <w:top w:val="nil"/>
              <w:left w:val="nil"/>
              <w:bottom w:val="single" w:sz="4" w:space="0" w:color="auto"/>
              <w:right w:val="single" w:sz="4" w:space="0" w:color="auto"/>
            </w:tcBorders>
            <w:shd w:val="clear" w:color="auto" w:fill="auto"/>
            <w:noWrap/>
            <w:vAlign w:val="center"/>
            <w:hideMark/>
          </w:tcPr>
          <w:p w14:paraId="0DD1974A"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594,845</w:t>
            </w:r>
          </w:p>
        </w:tc>
        <w:tc>
          <w:tcPr>
            <w:tcW w:w="1808" w:type="dxa"/>
            <w:tcBorders>
              <w:top w:val="nil"/>
              <w:left w:val="nil"/>
              <w:bottom w:val="single" w:sz="4" w:space="0" w:color="auto"/>
              <w:right w:val="single" w:sz="4" w:space="0" w:color="auto"/>
            </w:tcBorders>
            <w:shd w:val="clear" w:color="auto" w:fill="auto"/>
            <w:noWrap/>
            <w:vAlign w:val="center"/>
            <w:hideMark/>
          </w:tcPr>
          <w:p w14:paraId="3CA5B58B"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30%</w:t>
            </w:r>
          </w:p>
        </w:tc>
        <w:tc>
          <w:tcPr>
            <w:tcW w:w="1644" w:type="dxa"/>
            <w:tcBorders>
              <w:top w:val="nil"/>
              <w:left w:val="nil"/>
              <w:bottom w:val="single" w:sz="4" w:space="0" w:color="auto"/>
              <w:right w:val="single" w:sz="4" w:space="0" w:color="auto"/>
            </w:tcBorders>
            <w:shd w:val="clear" w:color="auto" w:fill="auto"/>
            <w:noWrap/>
            <w:vAlign w:val="center"/>
            <w:hideMark/>
          </w:tcPr>
          <w:p w14:paraId="3C327029"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564,689</w:t>
            </w:r>
          </w:p>
        </w:tc>
        <w:tc>
          <w:tcPr>
            <w:tcW w:w="1716" w:type="dxa"/>
            <w:tcBorders>
              <w:top w:val="nil"/>
              <w:left w:val="nil"/>
              <w:bottom w:val="single" w:sz="4" w:space="0" w:color="auto"/>
              <w:right w:val="single" w:sz="8" w:space="0" w:color="auto"/>
            </w:tcBorders>
            <w:shd w:val="clear" w:color="auto" w:fill="auto"/>
            <w:noWrap/>
            <w:vAlign w:val="center"/>
            <w:hideMark/>
          </w:tcPr>
          <w:p w14:paraId="7605A67D"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30%</w:t>
            </w:r>
          </w:p>
        </w:tc>
      </w:tr>
      <w:tr w:rsidR="001B1603" w:rsidRPr="001B1603" w14:paraId="3DD02DEC" w14:textId="77777777" w:rsidTr="001B1603">
        <w:trPr>
          <w:trHeight w:val="1185"/>
        </w:trPr>
        <w:tc>
          <w:tcPr>
            <w:tcW w:w="1580" w:type="dxa"/>
            <w:vMerge w:val="restart"/>
            <w:tcBorders>
              <w:top w:val="nil"/>
              <w:left w:val="single" w:sz="8" w:space="0" w:color="auto"/>
              <w:bottom w:val="single" w:sz="4" w:space="0" w:color="auto"/>
              <w:right w:val="single" w:sz="4" w:space="0" w:color="auto"/>
            </w:tcBorders>
            <w:shd w:val="clear" w:color="auto" w:fill="auto"/>
            <w:vAlign w:val="center"/>
            <w:hideMark/>
          </w:tcPr>
          <w:p w14:paraId="5A4E0A82"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Currently or Originally Eligible for Medicare Due to Disability</w:t>
            </w:r>
          </w:p>
        </w:tc>
        <w:tc>
          <w:tcPr>
            <w:tcW w:w="1520" w:type="dxa"/>
            <w:tcBorders>
              <w:top w:val="nil"/>
              <w:left w:val="nil"/>
              <w:bottom w:val="single" w:sz="4" w:space="0" w:color="auto"/>
              <w:right w:val="single" w:sz="4" w:space="0" w:color="auto"/>
            </w:tcBorders>
            <w:shd w:val="clear" w:color="auto" w:fill="auto"/>
            <w:noWrap/>
            <w:vAlign w:val="center"/>
            <w:hideMark/>
          </w:tcPr>
          <w:p w14:paraId="7EF60EF7"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Yes</w:t>
            </w:r>
          </w:p>
        </w:tc>
        <w:tc>
          <w:tcPr>
            <w:tcW w:w="1693" w:type="dxa"/>
            <w:tcBorders>
              <w:top w:val="nil"/>
              <w:left w:val="nil"/>
              <w:bottom w:val="single" w:sz="4" w:space="0" w:color="auto"/>
              <w:right w:val="single" w:sz="4" w:space="0" w:color="auto"/>
            </w:tcBorders>
            <w:shd w:val="clear" w:color="auto" w:fill="auto"/>
            <w:noWrap/>
            <w:vAlign w:val="center"/>
            <w:hideMark/>
          </w:tcPr>
          <w:p w14:paraId="40A90F98"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1,004,252</w:t>
            </w:r>
          </w:p>
        </w:tc>
        <w:tc>
          <w:tcPr>
            <w:tcW w:w="1767" w:type="dxa"/>
            <w:tcBorders>
              <w:top w:val="nil"/>
              <w:left w:val="nil"/>
              <w:bottom w:val="single" w:sz="4" w:space="0" w:color="auto"/>
              <w:right w:val="single" w:sz="4" w:space="0" w:color="auto"/>
            </w:tcBorders>
            <w:shd w:val="clear" w:color="auto" w:fill="auto"/>
            <w:noWrap/>
            <w:vAlign w:val="center"/>
            <w:hideMark/>
          </w:tcPr>
          <w:p w14:paraId="30C8096B"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24%</w:t>
            </w:r>
          </w:p>
        </w:tc>
        <w:tc>
          <w:tcPr>
            <w:tcW w:w="1732" w:type="dxa"/>
            <w:tcBorders>
              <w:top w:val="nil"/>
              <w:left w:val="nil"/>
              <w:bottom w:val="single" w:sz="4" w:space="0" w:color="auto"/>
              <w:right w:val="single" w:sz="4" w:space="0" w:color="auto"/>
            </w:tcBorders>
            <w:shd w:val="clear" w:color="auto" w:fill="auto"/>
            <w:noWrap/>
            <w:vAlign w:val="center"/>
            <w:hideMark/>
          </w:tcPr>
          <w:p w14:paraId="051E277D"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480,888</w:t>
            </w:r>
          </w:p>
        </w:tc>
        <w:tc>
          <w:tcPr>
            <w:tcW w:w="1808" w:type="dxa"/>
            <w:tcBorders>
              <w:top w:val="nil"/>
              <w:left w:val="nil"/>
              <w:bottom w:val="single" w:sz="4" w:space="0" w:color="auto"/>
              <w:right w:val="single" w:sz="4" w:space="0" w:color="auto"/>
            </w:tcBorders>
            <w:shd w:val="clear" w:color="auto" w:fill="auto"/>
            <w:noWrap/>
            <w:vAlign w:val="center"/>
            <w:hideMark/>
          </w:tcPr>
          <w:p w14:paraId="70DDA32D"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24%</w:t>
            </w:r>
          </w:p>
        </w:tc>
        <w:tc>
          <w:tcPr>
            <w:tcW w:w="1644" w:type="dxa"/>
            <w:tcBorders>
              <w:top w:val="nil"/>
              <w:left w:val="nil"/>
              <w:bottom w:val="single" w:sz="4" w:space="0" w:color="auto"/>
              <w:right w:val="single" w:sz="4" w:space="0" w:color="auto"/>
            </w:tcBorders>
            <w:shd w:val="clear" w:color="auto" w:fill="auto"/>
            <w:noWrap/>
            <w:vAlign w:val="center"/>
            <w:hideMark/>
          </w:tcPr>
          <w:p w14:paraId="01C9DB1B"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466,954</w:t>
            </w:r>
          </w:p>
        </w:tc>
        <w:tc>
          <w:tcPr>
            <w:tcW w:w="1716" w:type="dxa"/>
            <w:tcBorders>
              <w:top w:val="nil"/>
              <w:left w:val="nil"/>
              <w:bottom w:val="single" w:sz="4" w:space="0" w:color="auto"/>
              <w:right w:val="single" w:sz="8" w:space="0" w:color="auto"/>
            </w:tcBorders>
            <w:shd w:val="clear" w:color="auto" w:fill="auto"/>
            <w:noWrap/>
            <w:vAlign w:val="center"/>
            <w:hideMark/>
          </w:tcPr>
          <w:p w14:paraId="37E741B2"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24%</w:t>
            </w:r>
          </w:p>
        </w:tc>
      </w:tr>
      <w:tr w:rsidR="001B1603" w:rsidRPr="001B1603" w14:paraId="4BFAB71C" w14:textId="77777777" w:rsidTr="001B1603">
        <w:trPr>
          <w:trHeight w:val="300"/>
        </w:trPr>
        <w:tc>
          <w:tcPr>
            <w:tcW w:w="1580" w:type="dxa"/>
            <w:vMerge/>
            <w:tcBorders>
              <w:top w:val="nil"/>
              <w:left w:val="single" w:sz="8" w:space="0" w:color="auto"/>
              <w:bottom w:val="single" w:sz="4" w:space="0" w:color="auto"/>
              <w:right w:val="single" w:sz="4" w:space="0" w:color="auto"/>
            </w:tcBorders>
            <w:vAlign w:val="center"/>
            <w:hideMark/>
          </w:tcPr>
          <w:p w14:paraId="767E828F" w14:textId="77777777" w:rsidR="001B1603" w:rsidRPr="001B1603" w:rsidRDefault="001B1603" w:rsidP="001B1603">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6E63A141"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No</w:t>
            </w:r>
          </w:p>
        </w:tc>
        <w:tc>
          <w:tcPr>
            <w:tcW w:w="1693" w:type="dxa"/>
            <w:tcBorders>
              <w:top w:val="nil"/>
              <w:left w:val="nil"/>
              <w:bottom w:val="single" w:sz="4" w:space="0" w:color="auto"/>
              <w:right w:val="single" w:sz="4" w:space="0" w:color="auto"/>
            </w:tcBorders>
            <w:shd w:val="clear" w:color="auto" w:fill="auto"/>
            <w:noWrap/>
            <w:vAlign w:val="center"/>
            <w:hideMark/>
          </w:tcPr>
          <w:p w14:paraId="7F2E3DCF"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3,251,490</w:t>
            </w:r>
          </w:p>
        </w:tc>
        <w:tc>
          <w:tcPr>
            <w:tcW w:w="1767" w:type="dxa"/>
            <w:tcBorders>
              <w:top w:val="nil"/>
              <w:left w:val="nil"/>
              <w:bottom w:val="single" w:sz="4" w:space="0" w:color="auto"/>
              <w:right w:val="single" w:sz="4" w:space="0" w:color="auto"/>
            </w:tcBorders>
            <w:shd w:val="clear" w:color="auto" w:fill="auto"/>
            <w:noWrap/>
            <w:vAlign w:val="center"/>
            <w:hideMark/>
          </w:tcPr>
          <w:p w14:paraId="2C063080"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76%</w:t>
            </w:r>
          </w:p>
        </w:tc>
        <w:tc>
          <w:tcPr>
            <w:tcW w:w="1732" w:type="dxa"/>
            <w:tcBorders>
              <w:top w:val="nil"/>
              <w:left w:val="nil"/>
              <w:bottom w:val="single" w:sz="4" w:space="0" w:color="auto"/>
              <w:right w:val="single" w:sz="4" w:space="0" w:color="auto"/>
            </w:tcBorders>
            <w:shd w:val="clear" w:color="auto" w:fill="auto"/>
            <w:noWrap/>
            <w:vAlign w:val="center"/>
            <w:hideMark/>
          </w:tcPr>
          <w:p w14:paraId="047F738C"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1,498,208</w:t>
            </w:r>
          </w:p>
        </w:tc>
        <w:tc>
          <w:tcPr>
            <w:tcW w:w="1808" w:type="dxa"/>
            <w:tcBorders>
              <w:top w:val="nil"/>
              <w:left w:val="nil"/>
              <w:bottom w:val="single" w:sz="4" w:space="0" w:color="auto"/>
              <w:right w:val="single" w:sz="4" w:space="0" w:color="auto"/>
            </w:tcBorders>
            <w:shd w:val="clear" w:color="auto" w:fill="auto"/>
            <w:noWrap/>
            <w:vAlign w:val="center"/>
            <w:hideMark/>
          </w:tcPr>
          <w:p w14:paraId="28807B8E"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76%</w:t>
            </w:r>
          </w:p>
        </w:tc>
        <w:tc>
          <w:tcPr>
            <w:tcW w:w="1644" w:type="dxa"/>
            <w:tcBorders>
              <w:top w:val="nil"/>
              <w:left w:val="nil"/>
              <w:bottom w:val="single" w:sz="4" w:space="0" w:color="auto"/>
              <w:right w:val="single" w:sz="4" w:space="0" w:color="auto"/>
            </w:tcBorders>
            <w:shd w:val="clear" w:color="auto" w:fill="auto"/>
            <w:noWrap/>
            <w:vAlign w:val="center"/>
            <w:hideMark/>
          </w:tcPr>
          <w:p w14:paraId="6410CB2E"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1,440,341</w:t>
            </w:r>
          </w:p>
        </w:tc>
        <w:tc>
          <w:tcPr>
            <w:tcW w:w="1716" w:type="dxa"/>
            <w:tcBorders>
              <w:top w:val="nil"/>
              <w:left w:val="nil"/>
              <w:bottom w:val="single" w:sz="4" w:space="0" w:color="auto"/>
              <w:right w:val="single" w:sz="8" w:space="0" w:color="auto"/>
            </w:tcBorders>
            <w:shd w:val="clear" w:color="auto" w:fill="auto"/>
            <w:noWrap/>
            <w:vAlign w:val="center"/>
            <w:hideMark/>
          </w:tcPr>
          <w:p w14:paraId="734F8052"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76%</w:t>
            </w:r>
          </w:p>
        </w:tc>
      </w:tr>
      <w:tr w:rsidR="001B1603" w:rsidRPr="001B1603" w14:paraId="2C14E401" w14:textId="77777777" w:rsidTr="001B1603">
        <w:trPr>
          <w:trHeight w:val="585"/>
        </w:trPr>
        <w:tc>
          <w:tcPr>
            <w:tcW w:w="1580" w:type="dxa"/>
            <w:vMerge w:val="restart"/>
            <w:tcBorders>
              <w:top w:val="nil"/>
              <w:left w:val="single" w:sz="8" w:space="0" w:color="auto"/>
              <w:bottom w:val="single" w:sz="8" w:space="0" w:color="000000"/>
              <w:right w:val="single" w:sz="4" w:space="0" w:color="auto"/>
            </w:tcBorders>
            <w:shd w:val="clear" w:color="auto" w:fill="auto"/>
            <w:vAlign w:val="center"/>
            <w:hideMark/>
          </w:tcPr>
          <w:p w14:paraId="6C4F879C"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Dual Enrollment in Medicare and Medicaid</w:t>
            </w:r>
          </w:p>
        </w:tc>
        <w:tc>
          <w:tcPr>
            <w:tcW w:w="1520" w:type="dxa"/>
            <w:tcBorders>
              <w:top w:val="nil"/>
              <w:left w:val="nil"/>
              <w:bottom w:val="single" w:sz="4" w:space="0" w:color="auto"/>
              <w:right w:val="single" w:sz="4" w:space="0" w:color="auto"/>
            </w:tcBorders>
            <w:shd w:val="clear" w:color="auto" w:fill="auto"/>
            <w:noWrap/>
            <w:vAlign w:val="center"/>
            <w:hideMark/>
          </w:tcPr>
          <w:p w14:paraId="42124EBA"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Yes</w:t>
            </w:r>
          </w:p>
        </w:tc>
        <w:tc>
          <w:tcPr>
            <w:tcW w:w="1693" w:type="dxa"/>
            <w:tcBorders>
              <w:top w:val="nil"/>
              <w:left w:val="nil"/>
              <w:bottom w:val="single" w:sz="4" w:space="0" w:color="auto"/>
              <w:right w:val="single" w:sz="4" w:space="0" w:color="auto"/>
            </w:tcBorders>
            <w:shd w:val="clear" w:color="auto" w:fill="auto"/>
            <w:noWrap/>
            <w:vAlign w:val="center"/>
            <w:hideMark/>
          </w:tcPr>
          <w:p w14:paraId="53631481"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1,093,645</w:t>
            </w:r>
          </w:p>
        </w:tc>
        <w:tc>
          <w:tcPr>
            <w:tcW w:w="1767" w:type="dxa"/>
            <w:tcBorders>
              <w:top w:val="nil"/>
              <w:left w:val="nil"/>
              <w:bottom w:val="single" w:sz="4" w:space="0" w:color="auto"/>
              <w:right w:val="single" w:sz="4" w:space="0" w:color="auto"/>
            </w:tcBorders>
            <w:shd w:val="clear" w:color="auto" w:fill="auto"/>
            <w:noWrap/>
            <w:vAlign w:val="center"/>
            <w:hideMark/>
          </w:tcPr>
          <w:p w14:paraId="1B167806"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26%</w:t>
            </w:r>
          </w:p>
        </w:tc>
        <w:tc>
          <w:tcPr>
            <w:tcW w:w="1732" w:type="dxa"/>
            <w:tcBorders>
              <w:top w:val="nil"/>
              <w:left w:val="nil"/>
              <w:bottom w:val="single" w:sz="4" w:space="0" w:color="auto"/>
              <w:right w:val="single" w:sz="4" w:space="0" w:color="auto"/>
            </w:tcBorders>
            <w:shd w:val="clear" w:color="auto" w:fill="auto"/>
            <w:noWrap/>
            <w:vAlign w:val="center"/>
            <w:hideMark/>
          </w:tcPr>
          <w:p w14:paraId="48074BE1"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550,735</w:t>
            </w:r>
          </w:p>
        </w:tc>
        <w:tc>
          <w:tcPr>
            <w:tcW w:w="1808" w:type="dxa"/>
            <w:tcBorders>
              <w:top w:val="nil"/>
              <w:left w:val="nil"/>
              <w:bottom w:val="single" w:sz="4" w:space="0" w:color="auto"/>
              <w:right w:val="single" w:sz="4" w:space="0" w:color="auto"/>
            </w:tcBorders>
            <w:shd w:val="clear" w:color="auto" w:fill="auto"/>
            <w:noWrap/>
            <w:vAlign w:val="center"/>
            <w:hideMark/>
          </w:tcPr>
          <w:p w14:paraId="5AF6DE70"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28%</w:t>
            </w:r>
          </w:p>
        </w:tc>
        <w:tc>
          <w:tcPr>
            <w:tcW w:w="1644" w:type="dxa"/>
            <w:tcBorders>
              <w:top w:val="nil"/>
              <w:left w:val="nil"/>
              <w:bottom w:val="single" w:sz="4" w:space="0" w:color="auto"/>
              <w:right w:val="single" w:sz="4" w:space="0" w:color="auto"/>
            </w:tcBorders>
            <w:shd w:val="clear" w:color="auto" w:fill="auto"/>
            <w:noWrap/>
            <w:vAlign w:val="center"/>
            <w:hideMark/>
          </w:tcPr>
          <w:p w14:paraId="4BC05783"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529,860</w:t>
            </w:r>
          </w:p>
        </w:tc>
        <w:tc>
          <w:tcPr>
            <w:tcW w:w="1716" w:type="dxa"/>
            <w:tcBorders>
              <w:top w:val="nil"/>
              <w:left w:val="nil"/>
              <w:bottom w:val="single" w:sz="4" w:space="0" w:color="auto"/>
              <w:right w:val="single" w:sz="8" w:space="0" w:color="auto"/>
            </w:tcBorders>
            <w:shd w:val="clear" w:color="auto" w:fill="auto"/>
            <w:noWrap/>
            <w:vAlign w:val="center"/>
            <w:hideMark/>
          </w:tcPr>
          <w:p w14:paraId="2CEA1ADA"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28%</w:t>
            </w:r>
          </w:p>
        </w:tc>
      </w:tr>
      <w:tr w:rsidR="001B1603" w:rsidRPr="001B1603" w14:paraId="77295B04" w14:textId="77777777" w:rsidTr="001B1603">
        <w:trPr>
          <w:trHeight w:val="315"/>
        </w:trPr>
        <w:tc>
          <w:tcPr>
            <w:tcW w:w="1580" w:type="dxa"/>
            <w:vMerge/>
            <w:tcBorders>
              <w:top w:val="nil"/>
              <w:left w:val="single" w:sz="8" w:space="0" w:color="auto"/>
              <w:bottom w:val="single" w:sz="8" w:space="0" w:color="000000"/>
              <w:right w:val="single" w:sz="4" w:space="0" w:color="auto"/>
            </w:tcBorders>
            <w:vAlign w:val="center"/>
            <w:hideMark/>
          </w:tcPr>
          <w:p w14:paraId="387BC6CA" w14:textId="77777777" w:rsidR="001B1603" w:rsidRPr="001B1603" w:rsidRDefault="001B1603" w:rsidP="001B1603">
            <w:pPr>
              <w:spacing w:after="0" w:line="240" w:lineRule="auto"/>
              <w:rPr>
                <w:rFonts w:ascii="Calibri" w:eastAsia="Times New Roman" w:hAnsi="Calibri" w:cs="Times New Roman"/>
                <w:color w:val="000000"/>
              </w:rPr>
            </w:pPr>
          </w:p>
        </w:tc>
        <w:tc>
          <w:tcPr>
            <w:tcW w:w="1520" w:type="dxa"/>
            <w:tcBorders>
              <w:top w:val="nil"/>
              <w:left w:val="nil"/>
              <w:bottom w:val="single" w:sz="8" w:space="0" w:color="auto"/>
              <w:right w:val="single" w:sz="4" w:space="0" w:color="auto"/>
            </w:tcBorders>
            <w:shd w:val="clear" w:color="auto" w:fill="auto"/>
            <w:noWrap/>
            <w:vAlign w:val="center"/>
            <w:hideMark/>
          </w:tcPr>
          <w:p w14:paraId="7F8617B5"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No</w:t>
            </w:r>
          </w:p>
        </w:tc>
        <w:tc>
          <w:tcPr>
            <w:tcW w:w="1693" w:type="dxa"/>
            <w:tcBorders>
              <w:top w:val="nil"/>
              <w:left w:val="nil"/>
              <w:bottom w:val="single" w:sz="8" w:space="0" w:color="auto"/>
              <w:right w:val="single" w:sz="4" w:space="0" w:color="auto"/>
            </w:tcBorders>
            <w:shd w:val="clear" w:color="auto" w:fill="auto"/>
            <w:noWrap/>
            <w:vAlign w:val="center"/>
            <w:hideMark/>
          </w:tcPr>
          <w:p w14:paraId="56488346"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3,162,097</w:t>
            </w:r>
          </w:p>
        </w:tc>
        <w:tc>
          <w:tcPr>
            <w:tcW w:w="1767" w:type="dxa"/>
            <w:tcBorders>
              <w:top w:val="nil"/>
              <w:left w:val="nil"/>
              <w:bottom w:val="single" w:sz="8" w:space="0" w:color="auto"/>
              <w:right w:val="single" w:sz="4" w:space="0" w:color="auto"/>
            </w:tcBorders>
            <w:shd w:val="clear" w:color="auto" w:fill="auto"/>
            <w:noWrap/>
            <w:vAlign w:val="center"/>
            <w:hideMark/>
          </w:tcPr>
          <w:p w14:paraId="36E0EC79"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74%</w:t>
            </w:r>
          </w:p>
        </w:tc>
        <w:tc>
          <w:tcPr>
            <w:tcW w:w="1732" w:type="dxa"/>
            <w:tcBorders>
              <w:top w:val="nil"/>
              <w:left w:val="nil"/>
              <w:bottom w:val="single" w:sz="8" w:space="0" w:color="auto"/>
              <w:right w:val="single" w:sz="4" w:space="0" w:color="auto"/>
            </w:tcBorders>
            <w:shd w:val="clear" w:color="auto" w:fill="auto"/>
            <w:noWrap/>
            <w:vAlign w:val="center"/>
            <w:hideMark/>
          </w:tcPr>
          <w:p w14:paraId="6DDCA1D7"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1,428,361</w:t>
            </w:r>
          </w:p>
        </w:tc>
        <w:tc>
          <w:tcPr>
            <w:tcW w:w="1808" w:type="dxa"/>
            <w:tcBorders>
              <w:top w:val="nil"/>
              <w:left w:val="nil"/>
              <w:bottom w:val="single" w:sz="8" w:space="0" w:color="auto"/>
              <w:right w:val="single" w:sz="4" w:space="0" w:color="auto"/>
            </w:tcBorders>
            <w:shd w:val="clear" w:color="auto" w:fill="auto"/>
            <w:noWrap/>
            <w:vAlign w:val="center"/>
            <w:hideMark/>
          </w:tcPr>
          <w:p w14:paraId="4439A4AC"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72%</w:t>
            </w:r>
          </w:p>
        </w:tc>
        <w:tc>
          <w:tcPr>
            <w:tcW w:w="1644" w:type="dxa"/>
            <w:tcBorders>
              <w:top w:val="nil"/>
              <w:left w:val="nil"/>
              <w:bottom w:val="single" w:sz="8" w:space="0" w:color="auto"/>
              <w:right w:val="single" w:sz="4" w:space="0" w:color="auto"/>
            </w:tcBorders>
            <w:shd w:val="clear" w:color="auto" w:fill="auto"/>
            <w:noWrap/>
            <w:vAlign w:val="center"/>
            <w:hideMark/>
          </w:tcPr>
          <w:p w14:paraId="726F4627"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1,377,435</w:t>
            </w:r>
          </w:p>
        </w:tc>
        <w:tc>
          <w:tcPr>
            <w:tcW w:w="1716" w:type="dxa"/>
            <w:tcBorders>
              <w:top w:val="nil"/>
              <w:left w:val="nil"/>
              <w:bottom w:val="single" w:sz="8" w:space="0" w:color="auto"/>
              <w:right w:val="single" w:sz="8" w:space="0" w:color="auto"/>
            </w:tcBorders>
            <w:shd w:val="clear" w:color="auto" w:fill="auto"/>
            <w:noWrap/>
            <w:vAlign w:val="center"/>
            <w:hideMark/>
          </w:tcPr>
          <w:p w14:paraId="31E3470C" w14:textId="77777777" w:rsidR="001B1603" w:rsidRPr="001B1603" w:rsidRDefault="001B1603" w:rsidP="001B1603">
            <w:pPr>
              <w:spacing w:after="0" w:line="240" w:lineRule="auto"/>
              <w:jc w:val="center"/>
              <w:rPr>
                <w:rFonts w:ascii="Calibri" w:eastAsia="Times New Roman" w:hAnsi="Calibri" w:cs="Times New Roman"/>
                <w:color w:val="000000"/>
              </w:rPr>
            </w:pPr>
            <w:r w:rsidRPr="001B1603">
              <w:rPr>
                <w:rFonts w:ascii="Calibri" w:eastAsia="Times New Roman" w:hAnsi="Calibri" w:cs="Times New Roman"/>
                <w:color w:val="000000"/>
              </w:rPr>
              <w:t>72%</w:t>
            </w:r>
          </w:p>
        </w:tc>
      </w:tr>
    </w:tbl>
    <w:p w14:paraId="0895A97C" w14:textId="77777777" w:rsidR="00DC493A" w:rsidRDefault="00DC493A" w:rsidP="00E61F36">
      <w:pPr>
        <w:spacing w:after="0"/>
        <w:jc w:val="center"/>
        <w:rPr>
          <w:rFonts w:cstheme="minorHAnsi"/>
          <w:bCs/>
        </w:rPr>
      </w:pPr>
    </w:p>
    <w:p w14:paraId="7093A56D" w14:textId="77777777" w:rsidR="002F1158" w:rsidRDefault="002F1158" w:rsidP="00DB3627">
      <w:pPr>
        <w:autoSpaceDE w:val="0"/>
        <w:autoSpaceDN w:val="0"/>
        <w:adjustRightInd w:val="0"/>
        <w:spacing w:after="0" w:line="240" w:lineRule="auto"/>
        <w:rPr>
          <w:rFonts w:cstheme="minorHAnsi"/>
          <w:bCs/>
        </w:rPr>
        <w:sectPr w:rsidR="002F1158" w:rsidSect="002F1158">
          <w:pgSz w:w="15840" w:h="12240" w:orient="landscape"/>
          <w:pgMar w:top="1440" w:right="1440" w:bottom="1440" w:left="1440" w:header="720" w:footer="720" w:gutter="0"/>
          <w:cols w:space="720"/>
          <w:docGrid w:linePitch="360"/>
        </w:sectPr>
      </w:pPr>
    </w:p>
    <w:p w14:paraId="6B3E4D51" w14:textId="77777777" w:rsidR="00E37E1B" w:rsidRDefault="002B5016" w:rsidP="00E37E1B">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r w:rsidR="006E31F3">
        <w:rPr>
          <w:rFonts w:cstheme="minorHAnsi"/>
          <w:bCs/>
        </w:rPr>
        <w:t xml:space="preserve"> </w:t>
      </w:r>
    </w:p>
    <w:p w14:paraId="50290D0B" w14:textId="77777777" w:rsidR="001B1603" w:rsidRDefault="001B1603" w:rsidP="001B1603">
      <w:r>
        <w:t xml:space="preserve">To calculate the intra-class correlation (ICC) as part of </w:t>
      </w:r>
      <w:r w:rsidRPr="00BB35E1">
        <w:t>reliability test</w:t>
      </w:r>
      <w:r>
        <w:t xml:space="preserve">ing for the </w:t>
      </w:r>
      <w:r w:rsidRPr="00EF0B4B">
        <w:rPr>
          <w:i/>
        </w:rPr>
        <w:t xml:space="preserve">Pressure Ulcer Risk Assessment </w:t>
      </w:r>
      <w:r w:rsidRPr="00EA0837">
        <w:t>measure</w:t>
      </w:r>
      <w:r w:rsidRPr="00BB35E1">
        <w:t xml:space="preserve">, </w:t>
      </w:r>
      <w:r>
        <w:t xml:space="preserve">the measure developer included Medicare-certified agencies with at least 40 home health quality episodes ending </w:t>
      </w:r>
      <w:r w:rsidRPr="00794BE7">
        <w:t xml:space="preserve">between </w:t>
      </w:r>
      <w:r w:rsidRPr="00867D63">
        <w:t>July 1, 2013 and June 30, 201</w:t>
      </w:r>
      <w:r>
        <w:t>4 and meeting the measure denominator criteria. There were 9,732 such agencies (80.3 percent of the 12,126 agencies with at least one quality episode ending during the same time period).  The sample included all quality episodes (</w:t>
      </w:r>
      <w:r w:rsidRPr="00A82695">
        <w:t>5</w:t>
      </w:r>
      <w:r>
        <w:t>,8</w:t>
      </w:r>
      <w:r w:rsidRPr="00A82695">
        <w:t>6</w:t>
      </w:r>
      <w:r>
        <w:t>5,128</w:t>
      </w:r>
      <w:r w:rsidRPr="00A82695">
        <w:t xml:space="preserve"> </w:t>
      </w:r>
      <w:r>
        <w:t xml:space="preserve">in total) </w:t>
      </w:r>
      <w:r w:rsidRPr="009F656D">
        <w:t xml:space="preserve">ending </w:t>
      </w:r>
      <w:r w:rsidRPr="00A82695">
        <w:t>between July 1, 2013 and June 30, 2014.</w:t>
      </w:r>
    </w:p>
    <w:p w14:paraId="51E63922" w14:textId="77777777" w:rsidR="001B1603" w:rsidRDefault="001B1603" w:rsidP="001B1603">
      <w:r>
        <w:t xml:space="preserve">To calculate the intra-class correlation (ICC) as part of </w:t>
      </w:r>
      <w:r w:rsidRPr="00BB35E1">
        <w:t>reliability test</w:t>
      </w:r>
      <w:r>
        <w:t xml:space="preserve">ing for the </w:t>
      </w:r>
      <w:r>
        <w:rPr>
          <w:i/>
        </w:rPr>
        <w:t>Prevention in Plan of Care</w:t>
      </w:r>
      <w:r w:rsidRPr="00EF0B4B">
        <w:rPr>
          <w:i/>
        </w:rPr>
        <w:t xml:space="preserve"> </w:t>
      </w:r>
      <w:r w:rsidRPr="00EA0837">
        <w:t>measure</w:t>
      </w:r>
      <w:r w:rsidRPr="00BB35E1">
        <w:t xml:space="preserve">, </w:t>
      </w:r>
      <w:r>
        <w:t xml:space="preserve">the measure developer included Medicare-certified agencies with at least 40 home health quality episodes ending </w:t>
      </w:r>
      <w:r w:rsidRPr="00794BE7">
        <w:t xml:space="preserve">between </w:t>
      </w:r>
      <w:r w:rsidRPr="00867D63">
        <w:t>July 1, 2013 and June 30, 201</w:t>
      </w:r>
      <w:r>
        <w:t>4 and meeting the measure denominator criteria. There were 7,671 such agencies (64.4 percent of the 11,904 agencies with at least one quality episode ending during the same time period).  The sample included all quality episodes (2,544,406</w:t>
      </w:r>
      <w:r w:rsidRPr="00A82695">
        <w:t xml:space="preserve"> </w:t>
      </w:r>
      <w:r>
        <w:t xml:space="preserve">in total) </w:t>
      </w:r>
      <w:r w:rsidRPr="009F656D">
        <w:t xml:space="preserve">ending </w:t>
      </w:r>
      <w:r w:rsidRPr="00A82695">
        <w:t>between July 1, 2013 and June 30, 2014.</w:t>
      </w:r>
    </w:p>
    <w:p w14:paraId="082ABAE7" w14:textId="77777777" w:rsidR="001B1603" w:rsidRDefault="001B1603" w:rsidP="001B1603">
      <w:r>
        <w:t xml:space="preserve">To calculate the intra-class correlation (ICC) as part of </w:t>
      </w:r>
      <w:r w:rsidRPr="00BB35E1">
        <w:t>reliability test</w:t>
      </w:r>
      <w:r>
        <w:t xml:space="preserve">ing for the </w:t>
      </w:r>
      <w:r>
        <w:rPr>
          <w:i/>
        </w:rPr>
        <w:t>Prevention Implemented</w:t>
      </w:r>
      <w:r w:rsidRPr="00EF0B4B">
        <w:rPr>
          <w:i/>
        </w:rPr>
        <w:t xml:space="preserve"> </w:t>
      </w:r>
      <w:r w:rsidRPr="00EA0837">
        <w:t>measure</w:t>
      </w:r>
      <w:r w:rsidRPr="00BB35E1">
        <w:t xml:space="preserve">, </w:t>
      </w:r>
      <w:r>
        <w:t xml:space="preserve">the measure developer included Medicare-certified agencies with at least 40 home health quality episodes ending </w:t>
      </w:r>
      <w:r w:rsidRPr="00794BE7">
        <w:t xml:space="preserve">between </w:t>
      </w:r>
      <w:r w:rsidRPr="00867D63">
        <w:t>July 1, 2013 and June 30, 201</w:t>
      </w:r>
      <w:r>
        <w:t>4 and meeting the measure denominator criteria. There were 7,424 such agencies (62.6 percent of the 11,850 agencies with at least one quality episode ending during the same time period).  The sample included all quality episodes (2,448,459</w:t>
      </w:r>
      <w:r w:rsidRPr="00A82695">
        <w:t xml:space="preserve"> </w:t>
      </w:r>
      <w:r>
        <w:t xml:space="preserve">in total) </w:t>
      </w:r>
      <w:r w:rsidRPr="009F656D">
        <w:t xml:space="preserve">ending </w:t>
      </w:r>
      <w:r w:rsidRPr="00A82695">
        <w:t>between July 1, 2013 and June 30, 2014.</w:t>
      </w:r>
    </w:p>
    <w:p w14:paraId="6A50D275" w14:textId="77777777" w:rsidR="001B1603" w:rsidRDefault="001B1603" w:rsidP="001B1603">
      <w:r>
        <w:t>To calculate the beta-binomial scores (as part of reliability testing) and conduct analyses related to</w:t>
      </w:r>
      <w:r w:rsidRPr="00BB35E1">
        <w:t xml:space="preserve"> </w:t>
      </w:r>
      <w:r>
        <w:t xml:space="preserve">validity </w:t>
      </w:r>
      <w:r w:rsidRPr="00BB35E1">
        <w:t>testing</w:t>
      </w:r>
      <w:r>
        <w:t xml:space="preserve"> and exclusions for the </w:t>
      </w:r>
      <w:r w:rsidRPr="00EF0B4B">
        <w:rPr>
          <w:i/>
        </w:rPr>
        <w:t xml:space="preserve">Pressure Ulcer Risk Assessment </w:t>
      </w:r>
      <w:r w:rsidRPr="00EA0837">
        <w:t>measure,</w:t>
      </w:r>
      <w:r>
        <w:t xml:space="preserve"> the measure developer included Medicare-certified agencies with at least 20 home health quality episodes </w:t>
      </w:r>
      <w:r w:rsidRPr="009F656D">
        <w:t xml:space="preserve">ending between </w:t>
      </w:r>
      <w:r w:rsidRPr="00A82695">
        <w:t>July 1, 2013 and June 30, 201</w:t>
      </w:r>
      <w:r>
        <w:t>4 and meeting the measure denominator criteria. There were 10,747 such agencies (88.6 percent of the 12,126 agencies with at least one quality episode ending during the same time period).  The sample included all quality episodes (</w:t>
      </w:r>
      <w:r w:rsidRPr="00A82695">
        <w:t>5</w:t>
      </w:r>
      <w:r>
        <w:t>,8</w:t>
      </w:r>
      <w:r w:rsidRPr="00A82695">
        <w:t>9</w:t>
      </w:r>
      <w:r>
        <w:t>4,6</w:t>
      </w:r>
      <w:r w:rsidRPr="00A82695">
        <w:t>9</w:t>
      </w:r>
      <w:r>
        <w:t>8</w:t>
      </w:r>
      <w:r w:rsidRPr="00A82695">
        <w:t xml:space="preserve"> in total</w:t>
      </w:r>
      <w:r>
        <w:t xml:space="preserve">) </w:t>
      </w:r>
      <w:r w:rsidRPr="009F656D">
        <w:t xml:space="preserve">ending between </w:t>
      </w:r>
      <w:r w:rsidRPr="00A82695">
        <w:t>July 1, 2013 and June 30, 201</w:t>
      </w:r>
      <w:r>
        <w:t xml:space="preserve">4. </w:t>
      </w:r>
    </w:p>
    <w:p w14:paraId="39A6C897" w14:textId="77777777" w:rsidR="001B1603" w:rsidRDefault="001B1603" w:rsidP="001B1603">
      <w:r>
        <w:t>To calculate the beta-binomial scores (as part of reliability testing) and conduct analyses related to</w:t>
      </w:r>
      <w:r w:rsidRPr="00BB35E1">
        <w:t xml:space="preserve"> </w:t>
      </w:r>
      <w:r>
        <w:t xml:space="preserve">validity </w:t>
      </w:r>
      <w:r w:rsidRPr="00BB35E1">
        <w:t>testing</w:t>
      </w:r>
      <w:r>
        <w:t xml:space="preserve"> and exclusions for the </w:t>
      </w:r>
      <w:r>
        <w:rPr>
          <w:i/>
        </w:rPr>
        <w:t>Prevention in Plan of Care</w:t>
      </w:r>
      <w:r w:rsidRPr="00EF0B4B">
        <w:rPr>
          <w:i/>
        </w:rPr>
        <w:t xml:space="preserve"> </w:t>
      </w:r>
      <w:r w:rsidRPr="00EA0837">
        <w:t>measure</w:t>
      </w:r>
      <w:r>
        <w:t xml:space="preserve">, the measure developer included Medicare-certified agencies with at least 20 home health quality episodes </w:t>
      </w:r>
      <w:r w:rsidRPr="009F656D">
        <w:t xml:space="preserve">ending between </w:t>
      </w:r>
      <w:r w:rsidRPr="00A82695">
        <w:t>July 1, 2013 and June 30, 201</w:t>
      </w:r>
      <w:r>
        <w:t>4 and meeting the measure denominator criteria. There were 9,149 such agencies (76.9 percent of the 11,904 agencies with at least one quality episode ending during the same time period).  The sample included all quality episodes (2,586,874</w:t>
      </w:r>
      <w:r w:rsidRPr="00A82695">
        <w:t xml:space="preserve"> in total</w:t>
      </w:r>
      <w:r>
        <w:t xml:space="preserve">) </w:t>
      </w:r>
      <w:r w:rsidRPr="009F656D">
        <w:t xml:space="preserve">ending between </w:t>
      </w:r>
      <w:r w:rsidRPr="00A82695">
        <w:t>July 1, 2013 and June 30, 201</w:t>
      </w:r>
      <w:r>
        <w:t xml:space="preserve">4. </w:t>
      </w:r>
    </w:p>
    <w:p w14:paraId="4E6A2CE2" w14:textId="77777777" w:rsidR="001B1603" w:rsidRDefault="001B1603" w:rsidP="001B1603">
      <w:r>
        <w:t>To calculate the beta-binomial scores (as part of reliability testing) and conduct analyses related to</w:t>
      </w:r>
      <w:r w:rsidRPr="00BB35E1">
        <w:t xml:space="preserve"> </w:t>
      </w:r>
      <w:r>
        <w:t xml:space="preserve">validity </w:t>
      </w:r>
      <w:r w:rsidRPr="00BB35E1">
        <w:t>testing</w:t>
      </w:r>
      <w:r>
        <w:t xml:space="preserve"> and exclusions for the </w:t>
      </w:r>
      <w:r>
        <w:rPr>
          <w:i/>
        </w:rPr>
        <w:t>Prevention Implemented</w:t>
      </w:r>
      <w:r w:rsidRPr="00EF0B4B">
        <w:rPr>
          <w:i/>
        </w:rPr>
        <w:t xml:space="preserve"> </w:t>
      </w:r>
      <w:r w:rsidRPr="00EA0837">
        <w:t>measure</w:t>
      </w:r>
      <w:r>
        <w:t xml:space="preserve">, the measure developer included Medicare-certified agencies with at least 20 home health quality episodes </w:t>
      </w:r>
      <w:r w:rsidRPr="009F656D">
        <w:t xml:space="preserve">ending between </w:t>
      </w:r>
      <w:r w:rsidRPr="00A82695">
        <w:t>July 1, 2013 and June 30, 201</w:t>
      </w:r>
      <w:r>
        <w:t xml:space="preserve">4 and meeting the measure denominator criteria. There were 8,927 such </w:t>
      </w:r>
      <w:r>
        <w:lastRenderedPageBreak/>
        <w:t>agencies (75.3 percent of the 11,850 agencies with at least one quality episode ending during the same time period).  The sample included all quality episodes (2,491,704</w:t>
      </w:r>
      <w:r w:rsidRPr="00A82695">
        <w:t xml:space="preserve"> in total</w:t>
      </w:r>
      <w:r>
        <w:t xml:space="preserve">) </w:t>
      </w:r>
      <w:r w:rsidRPr="009F656D">
        <w:t xml:space="preserve">ending between </w:t>
      </w:r>
      <w:r w:rsidRPr="00A82695">
        <w:t>July 1, 2013 and June 30, 201</w:t>
      </w:r>
      <w:r>
        <w:t xml:space="preserve">4. </w:t>
      </w:r>
    </w:p>
    <w:p w14:paraId="34FD75C3"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A9B94A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3DA2AA34"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24685726" w14:textId="77777777" w:rsidR="008C54A9" w:rsidRPr="00A25024" w:rsidRDefault="008C54A9" w:rsidP="00DB3627">
      <w:pPr>
        <w:autoSpaceDE w:val="0"/>
        <w:autoSpaceDN w:val="0"/>
        <w:adjustRightInd w:val="0"/>
        <w:spacing w:after="0" w:line="240" w:lineRule="auto"/>
        <w:rPr>
          <w:rFonts w:cstheme="minorHAnsi"/>
          <w:b/>
          <w:bCs/>
        </w:rPr>
      </w:pPr>
    </w:p>
    <w:p w14:paraId="51E40081" w14:textId="7A5C6F9C"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EA0837">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EA0837">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32F43B71" w14:textId="3F0AE821" w:rsidR="00A724E2" w:rsidRDefault="00DB26C6" w:rsidP="00A724E2">
      <w:r w:rsidRPr="00DB26C6">
        <w:rPr>
          <w:b/>
          <w:u w:val="single"/>
        </w:rPr>
        <w:t>Performance Measure Score</w:t>
      </w:r>
      <w:r>
        <w:t xml:space="preserve"> </w:t>
      </w:r>
      <w:r w:rsidR="00A724E2">
        <w:t>To address the reliability o</w:t>
      </w:r>
      <w:r w:rsidR="00771501">
        <w:t xml:space="preserve">f the performance scores, Abt </w:t>
      </w:r>
      <w:r w:rsidR="00BA2BF6">
        <w:t xml:space="preserve">Associates </w:t>
      </w:r>
      <w:r w:rsidR="00771501">
        <w:t>team</w:t>
      </w:r>
      <w:r w:rsidR="00A724E2">
        <w:t xml:space="preserve"> measured the extent to which differences in each quality measure were due to actual differences in agency performance versus variation that arises from measurement error.  Statistically, reliability depends on performance variation for a measure across agencies, the random variation in performance for a measure within an agency’s panel of attributed beneficiaries, and the number of beneficiaries attributed to the agency.  High reliability for a measure suggests that comparisons of relative performance across agencies are likely to be stable over different performance periods, and that the performance of one agency on the quality measure can confidently be distinguished from another.  Potential reliability values range from zero to one, where one (highest possible reliability) means that all variation in the measure’s rates is the result of variation in differences in performance across agencies, while zero (lowest possible reliability) means that all variation is a result of measurement error.</w:t>
      </w:r>
    </w:p>
    <w:p w14:paraId="5E992B13" w14:textId="600B3E20" w:rsidR="00A724E2" w:rsidRDefault="00A724E2" w:rsidP="00A724E2">
      <w:r>
        <w:t>Following the approach described by Adams,</w:t>
      </w:r>
      <w:r>
        <w:rPr>
          <w:rStyle w:val="FootnoteReference"/>
        </w:rPr>
        <w:footnoteReference w:id="1"/>
      </w:r>
      <w:r>
        <w:t xml:space="preserve"> </w:t>
      </w:r>
      <w:r w:rsidR="00BA2BF6">
        <w:t>the Abt Associates team</w:t>
      </w:r>
      <w:r w:rsidRPr="002413C2">
        <w:t xml:space="preserve"> fit a beta-binomial model</w:t>
      </w:r>
      <w:r>
        <w:t xml:space="preserve"> to estimate measure reliability. The beta-binomial model is appropriate because a particular agency’s measure rate follows a binomial distribution (i.e., all measures are pass/fail), and it is reasonable to assume that the agencies’ true measure rates vary and follow a beta distribution.  The true measure rates among the agencies vary because of differences in agency styles, for example. It is reasonable to use the beta distribution to fit the true measure rates because it is a flexible distribution on the interval from 0 to 1, can have any mean on the interval, and can be skewed left, right, or U-shaped. </w:t>
      </w:r>
    </w:p>
    <w:p w14:paraId="35166D9E" w14:textId="77777777" w:rsidR="00A724E2" w:rsidRDefault="00A724E2" w:rsidP="00A724E2">
      <w:r>
        <w:t xml:space="preserve">Equation (1), which is based on the beta-binomial model, shows that reliability is dependent on two variance components: the variation across agencies, and variation within agencies. In general, reliability for agencies will be higher when the measure rates across agencies are more heterogeneous (as </w:t>
      </w:r>
      <w:r>
        <w:lastRenderedPageBreak/>
        <w:t>measured by the agency-to-agency variation).  Agencies with larger samples (</w:t>
      </w:r>
      <w:r w:rsidRPr="007E04A2">
        <w:t>n</w:t>
      </w:r>
      <w:r>
        <w:t>) and pass rates (</w:t>
      </w:r>
      <w:r w:rsidRPr="007E04A2">
        <w:t>p</w:t>
      </w:r>
      <w:r>
        <w:t xml:space="preserve">) nearer to 0 or 1 will have higher levels of reliability because the agency-specific error is reduced (i.e. the estimated agency rates are more precise).    </w:t>
      </w:r>
    </w:p>
    <w:p w14:paraId="38780796" w14:textId="77777777" w:rsidR="00A724E2" w:rsidRDefault="00A724E2" w:rsidP="00A724E2">
      <w:pPr>
        <w:pStyle w:val="Body125"/>
      </w:pPr>
      <m:oMath>
        <m:r>
          <m:rPr>
            <m:sty m:val="p"/>
          </m:rPr>
          <w:rPr>
            <w:rFonts w:ascii="Cambria Math" w:hAnsi="Cambria Math"/>
          </w:rPr>
          <m:t xml:space="preserve">Reliability= </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agency-to-agency</m:t>
                </m:r>
              </m:sub>
              <m:sup>
                <m:r>
                  <m:rPr>
                    <m:sty m:val="p"/>
                  </m:rPr>
                  <w:rPr>
                    <w:rFonts w:ascii="Cambria Math" w:hAnsi="Cambria Math"/>
                  </w:rPr>
                  <m:t>2</m:t>
                </m:r>
              </m:sup>
            </m:sSubSup>
          </m:num>
          <m:den>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agency-to-agency</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agency-specific-error</m:t>
                </m:r>
              </m:sub>
              <m:sup>
                <m:r>
                  <m:rPr>
                    <m:sty m:val="p"/>
                  </m:rPr>
                  <w:rPr>
                    <w:rFonts w:ascii="Cambria Math" w:hAnsi="Cambria Math"/>
                  </w:rPr>
                  <m:t>2</m:t>
                </m:r>
              </m:sup>
            </m:sSubSup>
          </m:den>
        </m:f>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agency-to-agency</m:t>
                </m:r>
              </m:sub>
              <m:sup>
                <m:r>
                  <m:rPr>
                    <m:sty m:val="p"/>
                  </m:rPr>
                  <w:rPr>
                    <w:rFonts w:ascii="Cambria Math" w:hAnsi="Cambria Math"/>
                  </w:rPr>
                  <m:t>2</m:t>
                </m:r>
              </m:sup>
            </m:sSubSup>
          </m:num>
          <m:den>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agency-to-agency</m:t>
                </m:r>
              </m:sub>
              <m:sup>
                <m:r>
                  <m:rPr>
                    <m:sty m:val="p"/>
                  </m:rPr>
                  <w:rPr>
                    <w:rFonts w:ascii="Cambria Math" w:hAnsi="Cambria Math"/>
                  </w:rPr>
                  <m:t>2</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p(1-p)</m:t>
                </m:r>
              </m:num>
              <m:den>
                <m:r>
                  <m:rPr>
                    <m:sty m:val="p"/>
                  </m:rPr>
                  <w:rPr>
                    <w:rFonts w:ascii="Cambria Math" w:hAnsi="Cambria Math"/>
                  </w:rPr>
                  <m:t>n</m:t>
                </m:r>
              </m:den>
            </m:f>
          </m:den>
        </m:f>
      </m:oMath>
      <w:r w:rsidRPr="00D41096">
        <w:rPr>
          <w:rFonts w:eastAsia="Times New Roman"/>
        </w:rPr>
        <w:t xml:space="preserve">   (1)</w:t>
      </w:r>
    </w:p>
    <w:p w14:paraId="6FC7E061" w14:textId="5AB2DE90" w:rsidR="00A724E2" w:rsidRDefault="00BA2BF6" w:rsidP="00A724E2">
      <w:r>
        <w:t>The Abt Associates team</w:t>
      </w:r>
      <w:r w:rsidR="00A724E2">
        <w:t xml:space="preserve"> also calculated the test-retest reliability using the ICC to measure between-agency variation and within-agency variation.  Home health episodes within each agency were randomly divided into two separate equally-sized groups. Performance rates were obtained for each set within a measure. Then, a measure-level mean and variance were estimated using the paired performance rates, and an ICC statistic was derived.  ICC values that approach 1 indicate that the fraction of the total variance due to between-agency variation is high.</w:t>
      </w:r>
    </w:p>
    <w:p w14:paraId="7AE97214" w14:textId="77777777" w:rsidR="00A724E2" w:rsidRDefault="00092566" w:rsidP="00A724E2">
      <w:pPr>
        <w:spacing w:after="0"/>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68CA6319" w14:textId="68E10C80" w:rsidR="00B10111" w:rsidRDefault="00625CDE" w:rsidP="00B10111">
      <w:r>
        <w:t>The table below summarizes the distribution of reliability scores for</w:t>
      </w:r>
      <w:r w:rsidR="00B10111">
        <w:t xml:space="preserve"> the </w:t>
      </w:r>
      <w:r w:rsidR="00945156">
        <w:t xml:space="preserve">10,747 agencies for the </w:t>
      </w:r>
      <w:r w:rsidR="00945156" w:rsidRPr="00945156">
        <w:rPr>
          <w:i/>
        </w:rPr>
        <w:t>Pressure Ulcer Risk Assessment</w:t>
      </w:r>
      <w:r w:rsidR="00945156">
        <w:t xml:space="preserve"> measure; 9149 agencies for the P</w:t>
      </w:r>
      <w:r w:rsidR="00945156" w:rsidRPr="00945156">
        <w:rPr>
          <w:i/>
        </w:rPr>
        <w:t xml:space="preserve">revention in </w:t>
      </w:r>
      <w:r w:rsidR="00945156">
        <w:rPr>
          <w:i/>
        </w:rPr>
        <w:t>P</w:t>
      </w:r>
      <w:r w:rsidR="00945156" w:rsidRPr="00945156">
        <w:rPr>
          <w:i/>
        </w:rPr>
        <w:t xml:space="preserve">lan of </w:t>
      </w:r>
      <w:r w:rsidR="00945156">
        <w:rPr>
          <w:i/>
        </w:rPr>
        <w:t>C</w:t>
      </w:r>
      <w:r w:rsidR="00945156" w:rsidRPr="00945156">
        <w:rPr>
          <w:i/>
        </w:rPr>
        <w:t>are</w:t>
      </w:r>
      <w:r w:rsidR="00945156">
        <w:t xml:space="preserve"> measure; and 8927 agencies for the </w:t>
      </w:r>
      <w:r w:rsidR="00945156" w:rsidRPr="00945156">
        <w:rPr>
          <w:i/>
        </w:rPr>
        <w:t>Prevention Implemented</w:t>
      </w:r>
      <w:r w:rsidR="00945156">
        <w:t xml:space="preserve"> measure</w:t>
      </w:r>
      <w:r>
        <w:t xml:space="preserve"> </w:t>
      </w:r>
      <w:r w:rsidR="00B10111">
        <w:t>that had</w:t>
      </w:r>
      <w:r>
        <w:t xml:space="preserve"> at least 20 valid episodes.</w:t>
      </w:r>
      <w:r w:rsidR="006E31F3">
        <w:t xml:space="preserve"> </w:t>
      </w:r>
    </w:p>
    <w:p w14:paraId="37489D69" w14:textId="77777777" w:rsidR="00A724E2" w:rsidRDefault="00A724E2" w:rsidP="00531183">
      <w:pPr>
        <w:spacing w:after="0"/>
        <w:jc w:val="center"/>
        <w:rPr>
          <w:b/>
        </w:rPr>
      </w:pPr>
      <w:r>
        <w:rPr>
          <w:b/>
        </w:rPr>
        <w:t>Distribution of Beta Binomial Reliability Scores for Agencies with at Least 20 Valid Episodes</w:t>
      </w:r>
    </w:p>
    <w:tbl>
      <w:tblPr>
        <w:tblW w:w="10980" w:type="dxa"/>
        <w:tblInd w:w="-702" w:type="dxa"/>
        <w:tblLook w:val="04A0" w:firstRow="1" w:lastRow="0" w:firstColumn="1" w:lastColumn="0" w:noHBand="0" w:noVBand="1"/>
      </w:tblPr>
      <w:tblGrid>
        <w:gridCol w:w="2520"/>
        <w:gridCol w:w="990"/>
        <w:gridCol w:w="1080"/>
        <w:gridCol w:w="1080"/>
        <w:gridCol w:w="990"/>
        <w:gridCol w:w="1170"/>
        <w:gridCol w:w="1170"/>
        <w:gridCol w:w="990"/>
        <w:gridCol w:w="990"/>
      </w:tblGrid>
      <w:tr w:rsidR="00531183" w:rsidRPr="00531183" w14:paraId="6D4D98BC" w14:textId="77777777" w:rsidTr="00B90D49">
        <w:trPr>
          <w:trHeight w:val="900"/>
        </w:trPr>
        <w:tc>
          <w:tcPr>
            <w:tcW w:w="2520" w:type="dxa"/>
            <w:tcBorders>
              <w:top w:val="single" w:sz="8" w:space="0" w:color="auto"/>
              <w:left w:val="single" w:sz="8" w:space="0" w:color="auto"/>
              <w:bottom w:val="single" w:sz="4" w:space="0" w:color="auto"/>
              <w:right w:val="single" w:sz="4" w:space="0" w:color="auto"/>
            </w:tcBorders>
            <w:shd w:val="clear" w:color="000000" w:fill="CDECFF"/>
            <w:noWrap/>
            <w:vAlign w:val="center"/>
            <w:hideMark/>
          </w:tcPr>
          <w:p w14:paraId="77CB8B20" w14:textId="77777777" w:rsidR="00531183" w:rsidRPr="001B1603" w:rsidRDefault="00531183" w:rsidP="001B1603">
            <w:pPr>
              <w:spacing w:after="0" w:line="240" w:lineRule="auto"/>
              <w:jc w:val="center"/>
              <w:rPr>
                <w:rFonts w:ascii="Calibri" w:eastAsia="Times New Roman" w:hAnsi="Calibri" w:cs="Times New Roman"/>
                <w:b/>
                <w:bCs/>
                <w:color w:val="000000"/>
                <w:sz w:val="18"/>
              </w:rPr>
            </w:pPr>
            <w:r w:rsidRPr="001B1603">
              <w:rPr>
                <w:rFonts w:ascii="Calibri" w:eastAsia="Times New Roman" w:hAnsi="Calibri" w:cs="Times New Roman"/>
                <w:b/>
                <w:bCs/>
                <w:color w:val="000000"/>
                <w:sz w:val="18"/>
              </w:rPr>
              <w:t>Measure</w:t>
            </w:r>
          </w:p>
        </w:tc>
        <w:tc>
          <w:tcPr>
            <w:tcW w:w="990" w:type="dxa"/>
            <w:tcBorders>
              <w:top w:val="single" w:sz="8" w:space="0" w:color="auto"/>
              <w:left w:val="nil"/>
              <w:bottom w:val="single" w:sz="4" w:space="0" w:color="auto"/>
              <w:right w:val="single" w:sz="4" w:space="0" w:color="auto"/>
            </w:tcBorders>
            <w:shd w:val="clear" w:color="000000" w:fill="CDECFF"/>
            <w:vAlign w:val="center"/>
            <w:hideMark/>
          </w:tcPr>
          <w:p w14:paraId="56A53D7D" w14:textId="77777777" w:rsidR="00531183" w:rsidRPr="001B1603" w:rsidRDefault="00531183" w:rsidP="001B1603">
            <w:pPr>
              <w:spacing w:after="0" w:line="240" w:lineRule="auto"/>
              <w:jc w:val="center"/>
              <w:rPr>
                <w:rFonts w:ascii="Calibri" w:eastAsia="Times New Roman" w:hAnsi="Calibri" w:cs="Times New Roman"/>
                <w:b/>
                <w:bCs/>
                <w:color w:val="000000"/>
                <w:sz w:val="18"/>
              </w:rPr>
            </w:pPr>
            <w:r w:rsidRPr="001B1603">
              <w:rPr>
                <w:rFonts w:ascii="Calibri" w:eastAsia="Times New Roman" w:hAnsi="Calibri" w:cs="Times New Roman"/>
                <w:b/>
                <w:bCs/>
                <w:color w:val="000000"/>
                <w:sz w:val="18"/>
              </w:rPr>
              <w:t>Mean</w:t>
            </w:r>
          </w:p>
        </w:tc>
        <w:tc>
          <w:tcPr>
            <w:tcW w:w="1080" w:type="dxa"/>
            <w:tcBorders>
              <w:top w:val="single" w:sz="8" w:space="0" w:color="auto"/>
              <w:left w:val="nil"/>
              <w:bottom w:val="single" w:sz="4" w:space="0" w:color="auto"/>
              <w:right w:val="single" w:sz="4" w:space="0" w:color="auto"/>
            </w:tcBorders>
            <w:shd w:val="clear" w:color="000000" w:fill="CDECFF"/>
            <w:vAlign w:val="center"/>
            <w:hideMark/>
          </w:tcPr>
          <w:p w14:paraId="1C34CFC9" w14:textId="77777777" w:rsidR="00531183" w:rsidRPr="001B1603" w:rsidRDefault="00531183" w:rsidP="001B1603">
            <w:pPr>
              <w:spacing w:after="0" w:line="240" w:lineRule="auto"/>
              <w:jc w:val="center"/>
              <w:rPr>
                <w:rFonts w:ascii="Calibri" w:eastAsia="Times New Roman" w:hAnsi="Calibri" w:cs="Times New Roman"/>
                <w:b/>
                <w:bCs/>
                <w:color w:val="000000"/>
                <w:sz w:val="18"/>
              </w:rPr>
            </w:pPr>
            <w:r w:rsidRPr="001B1603">
              <w:rPr>
                <w:rFonts w:ascii="Calibri" w:eastAsia="Times New Roman" w:hAnsi="Calibri" w:cs="Times New Roman"/>
                <w:b/>
                <w:bCs/>
                <w:color w:val="000000"/>
                <w:sz w:val="18"/>
              </w:rPr>
              <w:t xml:space="preserve">Minimum </w:t>
            </w:r>
          </w:p>
        </w:tc>
        <w:tc>
          <w:tcPr>
            <w:tcW w:w="1080" w:type="dxa"/>
            <w:tcBorders>
              <w:top w:val="single" w:sz="8" w:space="0" w:color="auto"/>
              <w:left w:val="nil"/>
              <w:bottom w:val="single" w:sz="4" w:space="0" w:color="auto"/>
              <w:right w:val="single" w:sz="4" w:space="0" w:color="auto"/>
            </w:tcBorders>
            <w:shd w:val="clear" w:color="000000" w:fill="CDECFF"/>
            <w:vAlign w:val="center"/>
            <w:hideMark/>
          </w:tcPr>
          <w:p w14:paraId="311410A9" w14:textId="77777777" w:rsidR="00531183" w:rsidRPr="001B1603" w:rsidRDefault="00531183" w:rsidP="001B1603">
            <w:pPr>
              <w:spacing w:after="0" w:line="240" w:lineRule="auto"/>
              <w:jc w:val="center"/>
              <w:rPr>
                <w:rFonts w:ascii="Calibri" w:eastAsia="Times New Roman" w:hAnsi="Calibri" w:cs="Times New Roman"/>
                <w:b/>
                <w:bCs/>
                <w:color w:val="000000"/>
                <w:sz w:val="18"/>
              </w:rPr>
            </w:pPr>
            <w:r w:rsidRPr="001B1603">
              <w:rPr>
                <w:rFonts w:ascii="Calibri" w:eastAsia="Times New Roman" w:hAnsi="Calibri" w:cs="Times New Roman"/>
                <w:b/>
                <w:bCs/>
                <w:color w:val="000000"/>
                <w:sz w:val="18"/>
              </w:rPr>
              <w:t>10th Percentile</w:t>
            </w:r>
          </w:p>
        </w:tc>
        <w:tc>
          <w:tcPr>
            <w:tcW w:w="990" w:type="dxa"/>
            <w:tcBorders>
              <w:top w:val="single" w:sz="8" w:space="0" w:color="auto"/>
              <w:left w:val="nil"/>
              <w:bottom w:val="single" w:sz="4" w:space="0" w:color="auto"/>
              <w:right w:val="single" w:sz="4" w:space="0" w:color="auto"/>
            </w:tcBorders>
            <w:shd w:val="clear" w:color="000000" w:fill="CDECFF"/>
            <w:vAlign w:val="center"/>
            <w:hideMark/>
          </w:tcPr>
          <w:p w14:paraId="69CFF789" w14:textId="77777777" w:rsidR="00531183" w:rsidRPr="001B1603" w:rsidRDefault="00531183" w:rsidP="001B1603">
            <w:pPr>
              <w:spacing w:after="0" w:line="240" w:lineRule="auto"/>
              <w:jc w:val="center"/>
              <w:rPr>
                <w:rFonts w:ascii="Calibri" w:eastAsia="Times New Roman" w:hAnsi="Calibri" w:cs="Times New Roman"/>
                <w:b/>
                <w:bCs/>
                <w:color w:val="000000"/>
                <w:sz w:val="18"/>
              </w:rPr>
            </w:pPr>
            <w:r w:rsidRPr="001B1603">
              <w:rPr>
                <w:rFonts w:ascii="Calibri" w:eastAsia="Times New Roman" w:hAnsi="Calibri" w:cs="Times New Roman"/>
                <w:b/>
                <w:bCs/>
                <w:color w:val="000000"/>
                <w:sz w:val="18"/>
              </w:rPr>
              <w:t>25th Percentile</w:t>
            </w:r>
          </w:p>
        </w:tc>
        <w:tc>
          <w:tcPr>
            <w:tcW w:w="1170" w:type="dxa"/>
            <w:tcBorders>
              <w:top w:val="single" w:sz="8" w:space="0" w:color="auto"/>
              <w:left w:val="nil"/>
              <w:bottom w:val="single" w:sz="4" w:space="0" w:color="auto"/>
              <w:right w:val="single" w:sz="4" w:space="0" w:color="auto"/>
            </w:tcBorders>
            <w:shd w:val="clear" w:color="000000" w:fill="CDECFF"/>
            <w:vAlign w:val="center"/>
            <w:hideMark/>
          </w:tcPr>
          <w:p w14:paraId="6A58424C" w14:textId="77777777" w:rsidR="00531183" w:rsidRPr="001B1603" w:rsidRDefault="00531183" w:rsidP="001B1603">
            <w:pPr>
              <w:spacing w:after="0" w:line="240" w:lineRule="auto"/>
              <w:jc w:val="center"/>
              <w:rPr>
                <w:rFonts w:ascii="Calibri" w:eastAsia="Times New Roman" w:hAnsi="Calibri" w:cs="Times New Roman"/>
                <w:b/>
                <w:bCs/>
                <w:color w:val="000000"/>
                <w:sz w:val="18"/>
              </w:rPr>
            </w:pPr>
            <w:r w:rsidRPr="001B1603">
              <w:rPr>
                <w:rFonts w:ascii="Calibri" w:eastAsia="Times New Roman" w:hAnsi="Calibri" w:cs="Times New Roman"/>
                <w:b/>
                <w:bCs/>
                <w:color w:val="000000"/>
                <w:sz w:val="18"/>
              </w:rPr>
              <w:t>Median</w:t>
            </w:r>
          </w:p>
        </w:tc>
        <w:tc>
          <w:tcPr>
            <w:tcW w:w="1170" w:type="dxa"/>
            <w:tcBorders>
              <w:top w:val="single" w:sz="8" w:space="0" w:color="auto"/>
              <w:left w:val="nil"/>
              <w:bottom w:val="single" w:sz="4" w:space="0" w:color="auto"/>
              <w:right w:val="single" w:sz="4" w:space="0" w:color="auto"/>
            </w:tcBorders>
            <w:shd w:val="clear" w:color="000000" w:fill="CDECFF"/>
            <w:vAlign w:val="center"/>
            <w:hideMark/>
          </w:tcPr>
          <w:p w14:paraId="56F43D4B" w14:textId="77777777" w:rsidR="00531183" w:rsidRPr="001B1603" w:rsidRDefault="00531183" w:rsidP="001B1603">
            <w:pPr>
              <w:spacing w:after="0" w:line="240" w:lineRule="auto"/>
              <w:jc w:val="center"/>
              <w:rPr>
                <w:rFonts w:ascii="Calibri" w:eastAsia="Times New Roman" w:hAnsi="Calibri" w:cs="Times New Roman"/>
                <w:b/>
                <w:bCs/>
                <w:color w:val="000000"/>
                <w:sz w:val="18"/>
              </w:rPr>
            </w:pPr>
            <w:r w:rsidRPr="001B1603">
              <w:rPr>
                <w:rFonts w:ascii="Calibri" w:eastAsia="Times New Roman" w:hAnsi="Calibri" w:cs="Times New Roman"/>
                <w:b/>
                <w:bCs/>
                <w:color w:val="000000"/>
                <w:sz w:val="18"/>
              </w:rPr>
              <w:t>75th Percentile</w:t>
            </w:r>
          </w:p>
        </w:tc>
        <w:tc>
          <w:tcPr>
            <w:tcW w:w="990" w:type="dxa"/>
            <w:tcBorders>
              <w:top w:val="single" w:sz="8" w:space="0" w:color="auto"/>
              <w:left w:val="nil"/>
              <w:bottom w:val="single" w:sz="4" w:space="0" w:color="auto"/>
              <w:right w:val="single" w:sz="4" w:space="0" w:color="auto"/>
            </w:tcBorders>
            <w:shd w:val="clear" w:color="000000" w:fill="CDECFF"/>
            <w:vAlign w:val="center"/>
            <w:hideMark/>
          </w:tcPr>
          <w:p w14:paraId="72E03E5C" w14:textId="77777777" w:rsidR="00531183" w:rsidRPr="001B1603" w:rsidRDefault="00531183" w:rsidP="001B1603">
            <w:pPr>
              <w:spacing w:after="0" w:line="240" w:lineRule="auto"/>
              <w:jc w:val="center"/>
              <w:rPr>
                <w:rFonts w:ascii="Calibri" w:eastAsia="Times New Roman" w:hAnsi="Calibri" w:cs="Times New Roman"/>
                <w:b/>
                <w:bCs/>
                <w:color w:val="000000"/>
                <w:sz w:val="18"/>
              </w:rPr>
            </w:pPr>
            <w:r w:rsidRPr="001B1603">
              <w:rPr>
                <w:rFonts w:ascii="Calibri" w:eastAsia="Times New Roman" w:hAnsi="Calibri" w:cs="Times New Roman"/>
                <w:b/>
                <w:bCs/>
                <w:color w:val="000000"/>
                <w:sz w:val="18"/>
              </w:rPr>
              <w:t>90th Percentile</w:t>
            </w:r>
          </w:p>
        </w:tc>
        <w:tc>
          <w:tcPr>
            <w:tcW w:w="990" w:type="dxa"/>
            <w:tcBorders>
              <w:top w:val="single" w:sz="8" w:space="0" w:color="auto"/>
              <w:left w:val="nil"/>
              <w:bottom w:val="single" w:sz="4" w:space="0" w:color="auto"/>
              <w:right w:val="single" w:sz="8" w:space="0" w:color="auto"/>
            </w:tcBorders>
            <w:shd w:val="clear" w:color="000000" w:fill="CDECFF"/>
            <w:vAlign w:val="center"/>
            <w:hideMark/>
          </w:tcPr>
          <w:p w14:paraId="1FC540A4" w14:textId="77777777" w:rsidR="00531183" w:rsidRPr="001B1603" w:rsidRDefault="00531183" w:rsidP="001B1603">
            <w:pPr>
              <w:spacing w:after="0" w:line="240" w:lineRule="auto"/>
              <w:jc w:val="center"/>
              <w:rPr>
                <w:rFonts w:ascii="Calibri" w:eastAsia="Times New Roman" w:hAnsi="Calibri" w:cs="Times New Roman"/>
                <w:b/>
                <w:bCs/>
                <w:color w:val="000000"/>
                <w:sz w:val="18"/>
              </w:rPr>
            </w:pPr>
            <w:r w:rsidRPr="001B1603">
              <w:rPr>
                <w:rFonts w:ascii="Calibri" w:eastAsia="Times New Roman" w:hAnsi="Calibri" w:cs="Times New Roman"/>
                <w:b/>
                <w:bCs/>
                <w:color w:val="000000"/>
                <w:sz w:val="18"/>
              </w:rPr>
              <w:t>Maximum</w:t>
            </w:r>
          </w:p>
        </w:tc>
      </w:tr>
      <w:tr w:rsidR="00531183" w:rsidRPr="00531183" w14:paraId="4F01D2A0" w14:textId="77777777" w:rsidTr="00B90D49">
        <w:trPr>
          <w:trHeight w:val="300"/>
        </w:trPr>
        <w:tc>
          <w:tcPr>
            <w:tcW w:w="2520" w:type="dxa"/>
            <w:tcBorders>
              <w:top w:val="nil"/>
              <w:left w:val="single" w:sz="8" w:space="0" w:color="auto"/>
              <w:bottom w:val="single" w:sz="4" w:space="0" w:color="auto"/>
              <w:right w:val="single" w:sz="4" w:space="0" w:color="auto"/>
            </w:tcBorders>
            <w:shd w:val="clear" w:color="auto" w:fill="auto"/>
            <w:noWrap/>
            <w:vAlign w:val="center"/>
            <w:hideMark/>
          </w:tcPr>
          <w:p w14:paraId="54E9573C" w14:textId="77777777" w:rsidR="00531183" w:rsidRPr="001B1603" w:rsidRDefault="00531183" w:rsidP="001B1603">
            <w:pPr>
              <w:spacing w:after="0" w:line="240" w:lineRule="auto"/>
              <w:rPr>
                <w:rFonts w:ascii="Calibri" w:eastAsia="Times New Roman" w:hAnsi="Calibri" w:cs="Times New Roman"/>
                <w:color w:val="000000"/>
                <w:sz w:val="18"/>
              </w:rPr>
            </w:pPr>
            <w:r w:rsidRPr="001B1603">
              <w:rPr>
                <w:rFonts w:ascii="Calibri" w:eastAsia="Times New Roman" w:hAnsi="Calibri" w:cs="Times New Roman"/>
                <w:color w:val="000000"/>
                <w:sz w:val="18"/>
              </w:rPr>
              <w:t>Pressure Ulcer Risk Assessment</w:t>
            </w:r>
          </w:p>
        </w:tc>
        <w:tc>
          <w:tcPr>
            <w:tcW w:w="990" w:type="dxa"/>
            <w:tcBorders>
              <w:top w:val="nil"/>
              <w:left w:val="nil"/>
              <w:bottom w:val="single" w:sz="4" w:space="0" w:color="auto"/>
              <w:right w:val="single" w:sz="4" w:space="0" w:color="auto"/>
            </w:tcBorders>
            <w:shd w:val="clear" w:color="auto" w:fill="auto"/>
            <w:noWrap/>
            <w:vAlign w:val="bottom"/>
            <w:hideMark/>
          </w:tcPr>
          <w:p w14:paraId="16C48B37" w14:textId="77777777" w:rsidR="00531183" w:rsidRPr="001B1603" w:rsidRDefault="00531183" w:rsidP="001B1603">
            <w:pPr>
              <w:spacing w:after="0" w:line="240" w:lineRule="auto"/>
              <w:jc w:val="center"/>
              <w:rPr>
                <w:rFonts w:ascii="Calibri" w:eastAsia="Times New Roman" w:hAnsi="Calibri" w:cs="Times New Roman"/>
                <w:color w:val="000000"/>
                <w:sz w:val="18"/>
              </w:rPr>
            </w:pPr>
            <w:r w:rsidRPr="001B1603">
              <w:rPr>
                <w:rFonts w:ascii="Calibri" w:eastAsia="Times New Roman" w:hAnsi="Calibri" w:cs="Times New Roman"/>
                <w:color w:val="000000"/>
                <w:sz w:val="18"/>
              </w:rPr>
              <w:t>0.92</w:t>
            </w:r>
          </w:p>
        </w:tc>
        <w:tc>
          <w:tcPr>
            <w:tcW w:w="1080" w:type="dxa"/>
            <w:tcBorders>
              <w:top w:val="nil"/>
              <w:left w:val="nil"/>
              <w:bottom w:val="single" w:sz="4" w:space="0" w:color="auto"/>
              <w:right w:val="single" w:sz="4" w:space="0" w:color="auto"/>
            </w:tcBorders>
            <w:shd w:val="clear" w:color="auto" w:fill="auto"/>
            <w:noWrap/>
            <w:vAlign w:val="bottom"/>
            <w:hideMark/>
          </w:tcPr>
          <w:p w14:paraId="0D1D7E79" w14:textId="77777777" w:rsidR="00531183" w:rsidRPr="001B1603" w:rsidRDefault="00531183" w:rsidP="001B1603">
            <w:pPr>
              <w:spacing w:after="0" w:line="240" w:lineRule="auto"/>
              <w:jc w:val="center"/>
              <w:rPr>
                <w:rFonts w:ascii="Calibri" w:eastAsia="Times New Roman" w:hAnsi="Calibri" w:cs="Times New Roman"/>
                <w:color w:val="000000"/>
                <w:sz w:val="18"/>
              </w:rPr>
            </w:pPr>
            <w:r w:rsidRPr="001B1603">
              <w:rPr>
                <w:rFonts w:ascii="Calibri" w:eastAsia="Times New Roman" w:hAnsi="Calibri" w:cs="Times New Roman"/>
                <w:color w:val="000000"/>
                <w:sz w:val="18"/>
              </w:rPr>
              <w:t>0.17</w:t>
            </w:r>
          </w:p>
        </w:tc>
        <w:tc>
          <w:tcPr>
            <w:tcW w:w="1080" w:type="dxa"/>
            <w:tcBorders>
              <w:top w:val="nil"/>
              <w:left w:val="nil"/>
              <w:bottom w:val="single" w:sz="4" w:space="0" w:color="auto"/>
              <w:right w:val="single" w:sz="4" w:space="0" w:color="auto"/>
            </w:tcBorders>
            <w:shd w:val="clear" w:color="auto" w:fill="auto"/>
            <w:noWrap/>
            <w:vAlign w:val="bottom"/>
            <w:hideMark/>
          </w:tcPr>
          <w:p w14:paraId="3F8991FE" w14:textId="77777777" w:rsidR="00531183" w:rsidRPr="001B1603" w:rsidRDefault="00531183" w:rsidP="001B1603">
            <w:pPr>
              <w:spacing w:after="0" w:line="240" w:lineRule="auto"/>
              <w:jc w:val="center"/>
              <w:rPr>
                <w:rFonts w:ascii="Calibri" w:eastAsia="Times New Roman" w:hAnsi="Calibri" w:cs="Times New Roman"/>
                <w:color w:val="000000"/>
                <w:sz w:val="18"/>
              </w:rPr>
            </w:pPr>
            <w:r w:rsidRPr="001B1603">
              <w:rPr>
                <w:rFonts w:ascii="Calibri" w:eastAsia="Times New Roman" w:hAnsi="Calibri" w:cs="Times New Roman"/>
                <w:color w:val="000000"/>
                <w:sz w:val="18"/>
              </w:rPr>
              <w:t>0.72</w:t>
            </w:r>
          </w:p>
        </w:tc>
        <w:tc>
          <w:tcPr>
            <w:tcW w:w="990" w:type="dxa"/>
            <w:tcBorders>
              <w:top w:val="nil"/>
              <w:left w:val="nil"/>
              <w:bottom w:val="single" w:sz="4" w:space="0" w:color="auto"/>
              <w:right w:val="single" w:sz="4" w:space="0" w:color="auto"/>
            </w:tcBorders>
            <w:shd w:val="clear" w:color="auto" w:fill="auto"/>
            <w:noWrap/>
            <w:vAlign w:val="bottom"/>
            <w:hideMark/>
          </w:tcPr>
          <w:p w14:paraId="1BB2934B" w14:textId="77777777" w:rsidR="00531183" w:rsidRPr="001B1603" w:rsidRDefault="00531183" w:rsidP="001B1603">
            <w:pPr>
              <w:spacing w:after="0" w:line="240" w:lineRule="auto"/>
              <w:jc w:val="center"/>
              <w:rPr>
                <w:rFonts w:ascii="Calibri" w:eastAsia="Times New Roman" w:hAnsi="Calibri" w:cs="Times New Roman"/>
                <w:color w:val="000000"/>
                <w:sz w:val="18"/>
              </w:rPr>
            </w:pPr>
            <w:r w:rsidRPr="001B1603">
              <w:rPr>
                <w:rFonts w:ascii="Calibri" w:eastAsia="Times New Roman" w:hAnsi="Calibri" w:cs="Times New Roman"/>
                <w:color w:val="000000"/>
                <w:sz w:val="18"/>
              </w:rPr>
              <w:t>0.93</w:t>
            </w:r>
          </w:p>
        </w:tc>
        <w:tc>
          <w:tcPr>
            <w:tcW w:w="1170" w:type="dxa"/>
            <w:tcBorders>
              <w:top w:val="nil"/>
              <w:left w:val="nil"/>
              <w:bottom w:val="single" w:sz="4" w:space="0" w:color="auto"/>
              <w:right w:val="single" w:sz="4" w:space="0" w:color="auto"/>
            </w:tcBorders>
            <w:shd w:val="clear" w:color="auto" w:fill="auto"/>
            <w:noWrap/>
            <w:vAlign w:val="bottom"/>
            <w:hideMark/>
          </w:tcPr>
          <w:p w14:paraId="2CC96BCE" w14:textId="77777777" w:rsidR="00531183" w:rsidRPr="001B1603" w:rsidRDefault="00531183" w:rsidP="001B1603">
            <w:pPr>
              <w:spacing w:after="0" w:line="240" w:lineRule="auto"/>
              <w:jc w:val="center"/>
              <w:rPr>
                <w:rFonts w:ascii="Calibri" w:eastAsia="Times New Roman" w:hAnsi="Calibri" w:cs="Times New Roman"/>
                <w:color w:val="000000"/>
                <w:sz w:val="18"/>
              </w:rPr>
            </w:pPr>
            <w:r w:rsidRPr="001B1603">
              <w:rPr>
                <w:rFonts w:ascii="Calibri" w:eastAsia="Times New Roman" w:hAnsi="Calibri" w:cs="Times New Roman"/>
                <w:color w:val="000000"/>
                <w:sz w:val="18"/>
              </w:rPr>
              <w:t>0.99</w:t>
            </w:r>
          </w:p>
        </w:tc>
        <w:tc>
          <w:tcPr>
            <w:tcW w:w="1170" w:type="dxa"/>
            <w:tcBorders>
              <w:top w:val="nil"/>
              <w:left w:val="nil"/>
              <w:bottom w:val="single" w:sz="4" w:space="0" w:color="auto"/>
              <w:right w:val="single" w:sz="4" w:space="0" w:color="auto"/>
            </w:tcBorders>
            <w:shd w:val="clear" w:color="auto" w:fill="auto"/>
            <w:noWrap/>
            <w:vAlign w:val="bottom"/>
            <w:hideMark/>
          </w:tcPr>
          <w:p w14:paraId="46398338" w14:textId="77777777" w:rsidR="00531183" w:rsidRPr="001B1603" w:rsidRDefault="00531183" w:rsidP="001B1603">
            <w:pPr>
              <w:spacing w:after="0" w:line="240" w:lineRule="auto"/>
              <w:jc w:val="center"/>
              <w:rPr>
                <w:rFonts w:ascii="Calibri" w:eastAsia="Times New Roman" w:hAnsi="Calibri" w:cs="Times New Roman"/>
                <w:color w:val="000000"/>
                <w:sz w:val="18"/>
              </w:rPr>
            </w:pPr>
            <w:r w:rsidRPr="001B1603">
              <w:rPr>
                <w:rFonts w:ascii="Calibri" w:eastAsia="Times New Roman" w:hAnsi="Calibri" w:cs="Times New Roman"/>
                <w:color w:val="000000"/>
                <w:sz w:val="18"/>
              </w:rPr>
              <w:t>1.00</w:t>
            </w:r>
          </w:p>
        </w:tc>
        <w:tc>
          <w:tcPr>
            <w:tcW w:w="990" w:type="dxa"/>
            <w:tcBorders>
              <w:top w:val="nil"/>
              <w:left w:val="nil"/>
              <w:bottom w:val="single" w:sz="4" w:space="0" w:color="auto"/>
              <w:right w:val="single" w:sz="4" w:space="0" w:color="auto"/>
            </w:tcBorders>
            <w:shd w:val="clear" w:color="auto" w:fill="auto"/>
            <w:noWrap/>
            <w:vAlign w:val="bottom"/>
            <w:hideMark/>
          </w:tcPr>
          <w:p w14:paraId="276BDCD4" w14:textId="77777777" w:rsidR="00531183" w:rsidRPr="001B1603" w:rsidRDefault="00531183" w:rsidP="001B1603">
            <w:pPr>
              <w:spacing w:after="0" w:line="240" w:lineRule="auto"/>
              <w:jc w:val="center"/>
              <w:rPr>
                <w:rFonts w:ascii="Calibri" w:eastAsia="Times New Roman" w:hAnsi="Calibri" w:cs="Times New Roman"/>
                <w:color w:val="000000"/>
                <w:sz w:val="18"/>
              </w:rPr>
            </w:pPr>
            <w:r w:rsidRPr="001B1603">
              <w:rPr>
                <w:rFonts w:ascii="Calibri" w:eastAsia="Times New Roman" w:hAnsi="Calibri" w:cs="Times New Roman"/>
                <w:color w:val="000000"/>
                <w:sz w:val="18"/>
              </w:rPr>
              <w:t>1.00</w:t>
            </w:r>
          </w:p>
        </w:tc>
        <w:tc>
          <w:tcPr>
            <w:tcW w:w="990" w:type="dxa"/>
            <w:tcBorders>
              <w:top w:val="nil"/>
              <w:left w:val="nil"/>
              <w:bottom w:val="single" w:sz="4" w:space="0" w:color="auto"/>
              <w:right w:val="single" w:sz="8" w:space="0" w:color="auto"/>
            </w:tcBorders>
            <w:shd w:val="clear" w:color="auto" w:fill="auto"/>
            <w:noWrap/>
            <w:vAlign w:val="bottom"/>
            <w:hideMark/>
          </w:tcPr>
          <w:p w14:paraId="7003708D" w14:textId="77777777" w:rsidR="00531183" w:rsidRPr="001B1603" w:rsidRDefault="00531183" w:rsidP="001B1603">
            <w:pPr>
              <w:spacing w:after="0" w:line="240" w:lineRule="auto"/>
              <w:jc w:val="center"/>
              <w:rPr>
                <w:rFonts w:ascii="Calibri" w:eastAsia="Times New Roman" w:hAnsi="Calibri" w:cs="Times New Roman"/>
                <w:color w:val="000000"/>
                <w:sz w:val="18"/>
              </w:rPr>
            </w:pPr>
            <w:r w:rsidRPr="001B1603">
              <w:rPr>
                <w:rFonts w:ascii="Calibri" w:eastAsia="Times New Roman" w:hAnsi="Calibri" w:cs="Times New Roman"/>
                <w:color w:val="000000"/>
                <w:sz w:val="18"/>
              </w:rPr>
              <w:t>1.00</w:t>
            </w:r>
          </w:p>
        </w:tc>
      </w:tr>
      <w:tr w:rsidR="00531183" w:rsidRPr="00531183" w14:paraId="3097980E" w14:textId="77777777" w:rsidTr="00B90D49">
        <w:trPr>
          <w:trHeight w:val="300"/>
        </w:trPr>
        <w:tc>
          <w:tcPr>
            <w:tcW w:w="2520" w:type="dxa"/>
            <w:tcBorders>
              <w:top w:val="nil"/>
              <w:left w:val="single" w:sz="8" w:space="0" w:color="auto"/>
              <w:bottom w:val="single" w:sz="4" w:space="0" w:color="auto"/>
              <w:right w:val="single" w:sz="4" w:space="0" w:color="auto"/>
            </w:tcBorders>
            <w:shd w:val="clear" w:color="auto" w:fill="auto"/>
            <w:noWrap/>
            <w:vAlign w:val="center"/>
            <w:hideMark/>
          </w:tcPr>
          <w:p w14:paraId="13FA1247" w14:textId="77777777" w:rsidR="00531183" w:rsidRPr="001B1603" w:rsidRDefault="00531183" w:rsidP="001B1603">
            <w:pPr>
              <w:spacing w:after="0" w:line="240" w:lineRule="auto"/>
              <w:rPr>
                <w:rFonts w:ascii="Calibri" w:eastAsia="Times New Roman" w:hAnsi="Calibri" w:cs="Times New Roman"/>
                <w:color w:val="000000"/>
                <w:sz w:val="18"/>
              </w:rPr>
            </w:pPr>
            <w:r w:rsidRPr="001B1603">
              <w:rPr>
                <w:rFonts w:ascii="Calibri" w:eastAsia="Times New Roman" w:hAnsi="Calibri" w:cs="Times New Roman"/>
                <w:color w:val="000000"/>
                <w:sz w:val="18"/>
              </w:rPr>
              <w:t>Prevention in Plan of Care</w:t>
            </w:r>
          </w:p>
        </w:tc>
        <w:tc>
          <w:tcPr>
            <w:tcW w:w="990" w:type="dxa"/>
            <w:tcBorders>
              <w:top w:val="nil"/>
              <w:left w:val="nil"/>
              <w:bottom w:val="single" w:sz="4" w:space="0" w:color="auto"/>
              <w:right w:val="single" w:sz="4" w:space="0" w:color="auto"/>
            </w:tcBorders>
            <w:shd w:val="clear" w:color="auto" w:fill="auto"/>
            <w:noWrap/>
            <w:vAlign w:val="bottom"/>
            <w:hideMark/>
          </w:tcPr>
          <w:p w14:paraId="7B9BF293" w14:textId="77777777" w:rsidR="00531183" w:rsidRPr="001B1603" w:rsidRDefault="00531183" w:rsidP="001B1603">
            <w:pPr>
              <w:spacing w:after="0" w:line="240" w:lineRule="auto"/>
              <w:jc w:val="center"/>
              <w:rPr>
                <w:rFonts w:ascii="Calibri" w:eastAsia="Times New Roman" w:hAnsi="Calibri" w:cs="Times New Roman"/>
                <w:color w:val="000000"/>
                <w:sz w:val="18"/>
              </w:rPr>
            </w:pPr>
            <w:r w:rsidRPr="001B1603">
              <w:rPr>
                <w:rFonts w:ascii="Calibri" w:eastAsia="Times New Roman" w:hAnsi="Calibri" w:cs="Times New Roman"/>
                <w:color w:val="000000"/>
                <w:sz w:val="18"/>
              </w:rPr>
              <w:t>0.94</w:t>
            </w:r>
          </w:p>
        </w:tc>
        <w:tc>
          <w:tcPr>
            <w:tcW w:w="1080" w:type="dxa"/>
            <w:tcBorders>
              <w:top w:val="nil"/>
              <w:left w:val="nil"/>
              <w:bottom w:val="single" w:sz="4" w:space="0" w:color="auto"/>
              <w:right w:val="single" w:sz="4" w:space="0" w:color="auto"/>
            </w:tcBorders>
            <w:shd w:val="clear" w:color="auto" w:fill="auto"/>
            <w:noWrap/>
            <w:vAlign w:val="bottom"/>
            <w:hideMark/>
          </w:tcPr>
          <w:p w14:paraId="28B5E7DE" w14:textId="77777777" w:rsidR="00531183" w:rsidRPr="001B1603" w:rsidRDefault="00531183" w:rsidP="001B1603">
            <w:pPr>
              <w:spacing w:after="0" w:line="240" w:lineRule="auto"/>
              <w:jc w:val="center"/>
              <w:rPr>
                <w:rFonts w:ascii="Calibri" w:eastAsia="Times New Roman" w:hAnsi="Calibri" w:cs="Times New Roman"/>
                <w:color w:val="000000"/>
                <w:sz w:val="18"/>
              </w:rPr>
            </w:pPr>
            <w:r w:rsidRPr="001B1603">
              <w:rPr>
                <w:rFonts w:ascii="Calibri" w:eastAsia="Times New Roman" w:hAnsi="Calibri" w:cs="Times New Roman"/>
                <w:color w:val="000000"/>
                <w:sz w:val="18"/>
              </w:rPr>
              <w:t>0.27</w:t>
            </w:r>
          </w:p>
        </w:tc>
        <w:tc>
          <w:tcPr>
            <w:tcW w:w="1080" w:type="dxa"/>
            <w:tcBorders>
              <w:top w:val="nil"/>
              <w:left w:val="nil"/>
              <w:bottom w:val="single" w:sz="4" w:space="0" w:color="auto"/>
              <w:right w:val="single" w:sz="4" w:space="0" w:color="auto"/>
            </w:tcBorders>
            <w:shd w:val="clear" w:color="auto" w:fill="auto"/>
            <w:noWrap/>
            <w:vAlign w:val="bottom"/>
            <w:hideMark/>
          </w:tcPr>
          <w:p w14:paraId="658CE9DE" w14:textId="77777777" w:rsidR="00531183" w:rsidRPr="001B1603" w:rsidRDefault="00531183" w:rsidP="001B1603">
            <w:pPr>
              <w:spacing w:after="0" w:line="240" w:lineRule="auto"/>
              <w:jc w:val="center"/>
              <w:rPr>
                <w:rFonts w:ascii="Calibri" w:eastAsia="Times New Roman" w:hAnsi="Calibri" w:cs="Times New Roman"/>
                <w:color w:val="000000"/>
                <w:sz w:val="18"/>
              </w:rPr>
            </w:pPr>
            <w:r w:rsidRPr="001B1603">
              <w:rPr>
                <w:rFonts w:ascii="Calibri" w:eastAsia="Times New Roman" w:hAnsi="Calibri" w:cs="Times New Roman"/>
                <w:color w:val="000000"/>
                <w:sz w:val="18"/>
              </w:rPr>
              <w:t>0.80</w:t>
            </w:r>
          </w:p>
        </w:tc>
        <w:tc>
          <w:tcPr>
            <w:tcW w:w="990" w:type="dxa"/>
            <w:tcBorders>
              <w:top w:val="nil"/>
              <w:left w:val="nil"/>
              <w:bottom w:val="single" w:sz="4" w:space="0" w:color="auto"/>
              <w:right w:val="single" w:sz="4" w:space="0" w:color="auto"/>
            </w:tcBorders>
            <w:shd w:val="clear" w:color="auto" w:fill="auto"/>
            <w:noWrap/>
            <w:vAlign w:val="bottom"/>
            <w:hideMark/>
          </w:tcPr>
          <w:p w14:paraId="69F4C8A8" w14:textId="77777777" w:rsidR="00531183" w:rsidRPr="001B1603" w:rsidRDefault="00531183" w:rsidP="001B1603">
            <w:pPr>
              <w:spacing w:after="0" w:line="240" w:lineRule="auto"/>
              <w:jc w:val="center"/>
              <w:rPr>
                <w:rFonts w:ascii="Calibri" w:eastAsia="Times New Roman" w:hAnsi="Calibri" w:cs="Times New Roman"/>
                <w:color w:val="000000"/>
                <w:sz w:val="18"/>
              </w:rPr>
            </w:pPr>
            <w:r w:rsidRPr="001B1603">
              <w:rPr>
                <w:rFonts w:ascii="Calibri" w:eastAsia="Times New Roman" w:hAnsi="Calibri" w:cs="Times New Roman"/>
                <w:color w:val="000000"/>
                <w:sz w:val="18"/>
              </w:rPr>
              <w:t>0.96</w:t>
            </w:r>
          </w:p>
        </w:tc>
        <w:tc>
          <w:tcPr>
            <w:tcW w:w="1170" w:type="dxa"/>
            <w:tcBorders>
              <w:top w:val="nil"/>
              <w:left w:val="nil"/>
              <w:bottom w:val="single" w:sz="4" w:space="0" w:color="auto"/>
              <w:right w:val="single" w:sz="4" w:space="0" w:color="auto"/>
            </w:tcBorders>
            <w:shd w:val="clear" w:color="auto" w:fill="auto"/>
            <w:noWrap/>
            <w:vAlign w:val="bottom"/>
            <w:hideMark/>
          </w:tcPr>
          <w:p w14:paraId="6EC2BB28" w14:textId="77777777" w:rsidR="00531183" w:rsidRPr="001B1603" w:rsidRDefault="00531183" w:rsidP="001B1603">
            <w:pPr>
              <w:spacing w:after="0" w:line="240" w:lineRule="auto"/>
              <w:jc w:val="center"/>
              <w:rPr>
                <w:rFonts w:ascii="Calibri" w:eastAsia="Times New Roman" w:hAnsi="Calibri" w:cs="Times New Roman"/>
                <w:color w:val="000000"/>
                <w:sz w:val="18"/>
              </w:rPr>
            </w:pPr>
            <w:r w:rsidRPr="001B1603">
              <w:rPr>
                <w:rFonts w:ascii="Calibri" w:eastAsia="Times New Roman" w:hAnsi="Calibri" w:cs="Times New Roman"/>
                <w:color w:val="000000"/>
                <w:sz w:val="18"/>
              </w:rPr>
              <w:t>1.00</w:t>
            </w:r>
          </w:p>
        </w:tc>
        <w:tc>
          <w:tcPr>
            <w:tcW w:w="1170" w:type="dxa"/>
            <w:tcBorders>
              <w:top w:val="nil"/>
              <w:left w:val="nil"/>
              <w:bottom w:val="single" w:sz="4" w:space="0" w:color="auto"/>
              <w:right w:val="single" w:sz="4" w:space="0" w:color="auto"/>
            </w:tcBorders>
            <w:shd w:val="clear" w:color="auto" w:fill="auto"/>
            <w:noWrap/>
            <w:vAlign w:val="bottom"/>
            <w:hideMark/>
          </w:tcPr>
          <w:p w14:paraId="3F92DD79" w14:textId="77777777" w:rsidR="00531183" w:rsidRPr="001B1603" w:rsidRDefault="00531183" w:rsidP="001B1603">
            <w:pPr>
              <w:spacing w:after="0" w:line="240" w:lineRule="auto"/>
              <w:jc w:val="center"/>
              <w:rPr>
                <w:rFonts w:ascii="Calibri" w:eastAsia="Times New Roman" w:hAnsi="Calibri" w:cs="Times New Roman"/>
                <w:color w:val="000000"/>
                <w:sz w:val="18"/>
              </w:rPr>
            </w:pPr>
            <w:r w:rsidRPr="001B1603">
              <w:rPr>
                <w:rFonts w:ascii="Calibri" w:eastAsia="Times New Roman" w:hAnsi="Calibri" w:cs="Times New Roman"/>
                <w:color w:val="000000"/>
                <w:sz w:val="18"/>
              </w:rPr>
              <w:t>1.00</w:t>
            </w:r>
          </w:p>
        </w:tc>
        <w:tc>
          <w:tcPr>
            <w:tcW w:w="990" w:type="dxa"/>
            <w:tcBorders>
              <w:top w:val="nil"/>
              <w:left w:val="nil"/>
              <w:bottom w:val="single" w:sz="4" w:space="0" w:color="auto"/>
              <w:right w:val="single" w:sz="4" w:space="0" w:color="auto"/>
            </w:tcBorders>
            <w:shd w:val="clear" w:color="auto" w:fill="auto"/>
            <w:noWrap/>
            <w:vAlign w:val="bottom"/>
            <w:hideMark/>
          </w:tcPr>
          <w:p w14:paraId="00475330" w14:textId="77777777" w:rsidR="00531183" w:rsidRPr="001B1603" w:rsidRDefault="00531183" w:rsidP="001B1603">
            <w:pPr>
              <w:spacing w:after="0" w:line="240" w:lineRule="auto"/>
              <w:jc w:val="center"/>
              <w:rPr>
                <w:rFonts w:ascii="Calibri" w:eastAsia="Times New Roman" w:hAnsi="Calibri" w:cs="Times New Roman"/>
                <w:color w:val="000000"/>
                <w:sz w:val="18"/>
              </w:rPr>
            </w:pPr>
            <w:r w:rsidRPr="001B1603">
              <w:rPr>
                <w:rFonts w:ascii="Calibri" w:eastAsia="Times New Roman" w:hAnsi="Calibri" w:cs="Times New Roman"/>
                <w:color w:val="000000"/>
                <w:sz w:val="18"/>
              </w:rPr>
              <w:t>1.00</w:t>
            </w:r>
          </w:p>
        </w:tc>
        <w:tc>
          <w:tcPr>
            <w:tcW w:w="990" w:type="dxa"/>
            <w:tcBorders>
              <w:top w:val="nil"/>
              <w:left w:val="nil"/>
              <w:bottom w:val="single" w:sz="4" w:space="0" w:color="auto"/>
              <w:right w:val="single" w:sz="8" w:space="0" w:color="auto"/>
            </w:tcBorders>
            <w:shd w:val="clear" w:color="auto" w:fill="auto"/>
            <w:noWrap/>
            <w:vAlign w:val="bottom"/>
            <w:hideMark/>
          </w:tcPr>
          <w:p w14:paraId="4B4EFEF3" w14:textId="77777777" w:rsidR="00531183" w:rsidRPr="001B1603" w:rsidRDefault="00531183" w:rsidP="001B1603">
            <w:pPr>
              <w:spacing w:after="0" w:line="240" w:lineRule="auto"/>
              <w:jc w:val="center"/>
              <w:rPr>
                <w:rFonts w:ascii="Calibri" w:eastAsia="Times New Roman" w:hAnsi="Calibri" w:cs="Times New Roman"/>
                <w:color w:val="000000"/>
                <w:sz w:val="18"/>
              </w:rPr>
            </w:pPr>
            <w:r w:rsidRPr="001B1603">
              <w:rPr>
                <w:rFonts w:ascii="Calibri" w:eastAsia="Times New Roman" w:hAnsi="Calibri" w:cs="Times New Roman"/>
                <w:color w:val="000000"/>
                <w:sz w:val="18"/>
              </w:rPr>
              <w:t>1.00</w:t>
            </w:r>
          </w:p>
        </w:tc>
      </w:tr>
      <w:tr w:rsidR="00531183" w:rsidRPr="00531183" w14:paraId="536A457E" w14:textId="77777777" w:rsidTr="00B90D49">
        <w:trPr>
          <w:trHeight w:val="315"/>
        </w:trPr>
        <w:tc>
          <w:tcPr>
            <w:tcW w:w="2520" w:type="dxa"/>
            <w:tcBorders>
              <w:top w:val="nil"/>
              <w:left w:val="single" w:sz="8" w:space="0" w:color="auto"/>
              <w:bottom w:val="single" w:sz="8" w:space="0" w:color="auto"/>
              <w:right w:val="single" w:sz="4" w:space="0" w:color="auto"/>
            </w:tcBorders>
            <w:shd w:val="clear" w:color="auto" w:fill="auto"/>
            <w:noWrap/>
            <w:vAlign w:val="center"/>
            <w:hideMark/>
          </w:tcPr>
          <w:p w14:paraId="42B128E7" w14:textId="77777777" w:rsidR="00531183" w:rsidRPr="001B1603" w:rsidRDefault="00531183" w:rsidP="001B1603">
            <w:pPr>
              <w:spacing w:after="0" w:line="240" w:lineRule="auto"/>
              <w:rPr>
                <w:rFonts w:ascii="Calibri" w:eastAsia="Times New Roman" w:hAnsi="Calibri" w:cs="Times New Roman"/>
                <w:color w:val="000000"/>
                <w:sz w:val="18"/>
              </w:rPr>
            </w:pPr>
            <w:r w:rsidRPr="001B1603">
              <w:rPr>
                <w:rFonts w:ascii="Calibri" w:eastAsia="Times New Roman" w:hAnsi="Calibri" w:cs="Times New Roman"/>
                <w:color w:val="000000"/>
                <w:sz w:val="18"/>
              </w:rPr>
              <w:t>Prevention Implemented</w:t>
            </w:r>
          </w:p>
        </w:tc>
        <w:tc>
          <w:tcPr>
            <w:tcW w:w="990" w:type="dxa"/>
            <w:tcBorders>
              <w:top w:val="nil"/>
              <w:left w:val="nil"/>
              <w:bottom w:val="single" w:sz="8" w:space="0" w:color="auto"/>
              <w:right w:val="single" w:sz="4" w:space="0" w:color="auto"/>
            </w:tcBorders>
            <w:shd w:val="clear" w:color="auto" w:fill="auto"/>
            <w:noWrap/>
            <w:vAlign w:val="bottom"/>
            <w:hideMark/>
          </w:tcPr>
          <w:p w14:paraId="217AFB43" w14:textId="77777777" w:rsidR="00531183" w:rsidRPr="001B1603" w:rsidRDefault="00531183" w:rsidP="001B1603">
            <w:pPr>
              <w:spacing w:after="0" w:line="240" w:lineRule="auto"/>
              <w:jc w:val="center"/>
              <w:rPr>
                <w:rFonts w:ascii="Calibri" w:eastAsia="Times New Roman" w:hAnsi="Calibri" w:cs="Times New Roman"/>
                <w:color w:val="000000"/>
                <w:sz w:val="18"/>
              </w:rPr>
            </w:pPr>
            <w:r w:rsidRPr="001B1603">
              <w:rPr>
                <w:rFonts w:ascii="Calibri" w:eastAsia="Times New Roman" w:hAnsi="Calibri" w:cs="Times New Roman"/>
                <w:color w:val="000000"/>
                <w:sz w:val="18"/>
              </w:rPr>
              <w:t>0.94</w:t>
            </w:r>
          </w:p>
        </w:tc>
        <w:tc>
          <w:tcPr>
            <w:tcW w:w="1080" w:type="dxa"/>
            <w:tcBorders>
              <w:top w:val="nil"/>
              <w:left w:val="nil"/>
              <w:bottom w:val="single" w:sz="8" w:space="0" w:color="auto"/>
              <w:right w:val="single" w:sz="4" w:space="0" w:color="auto"/>
            </w:tcBorders>
            <w:shd w:val="clear" w:color="auto" w:fill="auto"/>
            <w:noWrap/>
            <w:vAlign w:val="bottom"/>
            <w:hideMark/>
          </w:tcPr>
          <w:p w14:paraId="06060EE9" w14:textId="77777777" w:rsidR="00531183" w:rsidRPr="001B1603" w:rsidRDefault="00531183" w:rsidP="001B1603">
            <w:pPr>
              <w:spacing w:after="0" w:line="240" w:lineRule="auto"/>
              <w:jc w:val="center"/>
              <w:rPr>
                <w:rFonts w:ascii="Calibri" w:eastAsia="Times New Roman" w:hAnsi="Calibri" w:cs="Times New Roman"/>
                <w:color w:val="000000"/>
                <w:sz w:val="18"/>
              </w:rPr>
            </w:pPr>
            <w:r w:rsidRPr="001B1603">
              <w:rPr>
                <w:rFonts w:ascii="Calibri" w:eastAsia="Times New Roman" w:hAnsi="Calibri" w:cs="Times New Roman"/>
                <w:color w:val="000000"/>
                <w:sz w:val="18"/>
              </w:rPr>
              <w:t>0.32</w:t>
            </w:r>
          </w:p>
        </w:tc>
        <w:tc>
          <w:tcPr>
            <w:tcW w:w="1080" w:type="dxa"/>
            <w:tcBorders>
              <w:top w:val="nil"/>
              <w:left w:val="nil"/>
              <w:bottom w:val="single" w:sz="8" w:space="0" w:color="auto"/>
              <w:right w:val="single" w:sz="4" w:space="0" w:color="auto"/>
            </w:tcBorders>
            <w:shd w:val="clear" w:color="auto" w:fill="auto"/>
            <w:noWrap/>
            <w:vAlign w:val="bottom"/>
            <w:hideMark/>
          </w:tcPr>
          <w:p w14:paraId="3176C4C1" w14:textId="77777777" w:rsidR="00531183" w:rsidRPr="001B1603" w:rsidRDefault="00531183" w:rsidP="001B1603">
            <w:pPr>
              <w:spacing w:after="0" w:line="240" w:lineRule="auto"/>
              <w:jc w:val="center"/>
              <w:rPr>
                <w:rFonts w:ascii="Calibri" w:eastAsia="Times New Roman" w:hAnsi="Calibri" w:cs="Times New Roman"/>
                <w:color w:val="000000"/>
                <w:sz w:val="18"/>
              </w:rPr>
            </w:pPr>
            <w:r w:rsidRPr="001B1603">
              <w:rPr>
                <w:rFonts w:ascii="Calibri" w:eastAsia="Times New Roman" w:hAnsi="Calibri" w:cs="Times New Roman"/>
                <w:color w:val="000000"/>
                <w:sz w:val="18"/>
              </w:rPr>
              <w:t>0.80</w:t>
            </w:r>
          </w:p>
        </w:tc>
        <w:tc>
          <w:tcPr>
            <w:tcW w:w="990" w:type="dxa"/>
            <w:tcBorders>
              <w:top w:val="nil"/>
              <w:left w:val="nil"/>
              <w:bottom w:val="single" w:sz="8" w:space="0" w:color="auto"/>
              <w:right w:val="single" w:sz="4" w:space="0" w:color="auto"/>
            </w:tcBorders>
            <w:shd w:val="clear" w:color="auto" w:fill="auto"/>
            <w:noWrap/>
            <w:vAlign w:val="bottom"/>
            <w:hideMark/>
          </w:tcPr>
          <w:p w14:paraId="3466FE39" w14:textId="77777777" w:rsidR="00531183" w:rsidRPr="001B1603" w:rsidRDefault="00531183" w:rsidP="001B1603">
            <w:pPr>
              <w:spacing w:after="0" w:line="240" w:lineRule="auto"/>
              <w:jc w:val="center"/>
              <w:rPr>
                <w:rFonts w:ascii="Calibri" w:eastAsia="Times New Roman" w:hAnsi="Calibri" w:cs="Times New Roman"/>
                <w:color w:val="000000"/>
                <w:sz w:val="18"/>
              </w:rPr>
            </w:pPr>
            <w:r w:rsidRPr="001B1603">
              <w:rPr>
                <w:rFonts w:ascii="Calibri" w:eastAsia="Times New Roman" w:hAnsi="Calibri" w:cs="Times New Roman"/>
                <w:color w:val="000000"/>
                <w:sz w:val="18"/>
              </w:rPr>
              <w:t>0.94</w:t>
            </w:r>
          </w:p>
        </w:tc>
        <w:tc>
          <w:tcPr>
            <w:tcW w:w="1170" w:type="dxa"/>
            <w:tcBorders>
              <w:top w:val="nil"/>
              <w:left w:val="nil"/>
              <w:bottom w:val="single" w:sz="8" w:space="0" w:color="auto"/>
              <w:right w:val="single" w:sz="4" w:space="0" w:color="auto"/>
            </w:tcBorders>
            <w:shd w:val="clear" w:color="auto" w:fill="auto"/>
            <w:noWrap/>
            <w:vAlign w:val="bottom"/>
            <w:hideMark/>
          </w:tcPr>
          <w:p w14:paraId="6E33AFF0" w14:textId="77777777" w:rsidR="00531183" w:rsidRPr="001B1603" w:rsidRDefault="00531183" w:rsidP="001B1603">
            <w:pPr>
              <w:spacing w:after="0" w:line="240" w:lineRule="auto"/>
              <w:jc w:val="center"/>
              <w:rPr>
                <w:rFonts w:ascii="Calibri" w:eastAsia="Times New Roman" w:hAnsi="Calibri" w:cs="Times New Roman"/>
                <w:color w:val="000000"/>
                <w:sz w:val="18"/>
              </w:rPr>
            </w:pPr>
            <w:r w:rsidRPr="001B1603">
              <w:rPr>
                <w:rFonts w:ascii="Calibri" w:eastAsia="Times New Roman" w:hAnsi="Calibri" w:cs="Times New Roman"/>
                <w:color w:val="000000"/>
                <w:sz w:val="18"/>
              </w:rPr>
              <w:t>0.99</w:t>
            </w:r>
          </w:p>
        </w:tc>
        <w:tc>
          <w:tcPr>
            <w:tcW w:w="1170" w:type="dxa"/>
            <w:tcBorders>
              <w:top w:val="nil"/>
              <w:left w:val="nil"/>
              <w:bottom w:val="single" w:sz="8" w:space="0" w:color="auto"/>
              <w:right w:val="single" w:sz="4" w:space="0" w:color="auto"/>
            </w:tcBorders>
            <w:shd w:val="clear" w:color="auto" w:fill="auto"/>
            <w:noWrap/>
            <w:vAlign w:val="bottom"/>
            <w:hideMark/>
          </w:tcPr>
          <w:p w14:paraId="4FF18538" w14:textId="77777777" w:rsidR="00531183" w:rsidRPr="001B1603" w:rsidRDefault="00531183" w:rsidP="001B1603">
            <w:pPr>
              <w:spacing w:after="0" w:line="240" w:lineRule="auto"/>
              <w:jc w:val="center"/>
              <w:rPr>
                <w:rFonts w:ascii="Calibri" w:eastAsia="Times New Roman" w:hAnsi="Calibri" w:cs="Times New Roman"/>
                <w:color w:val="000000"/>
                <w:sz w:val="18"/>
              </w:rPr>
            </w:pPr>
            <w:r w:rsidRPr="001B1603">
              <w:rPr>
                <w:rFonts w:ascii="Calibri" w:eastAsia="Times New Roman" w:hAnsi="Calibri" w:cs="Times New Roman"/>
                <w:color w:val="000000"/>
                <w:sz w:val="18"/>
              </w:rPr>
              <w:t>1.00</w:t>
            </w:r>
          </w:p>
        </w:tc>
        <w:tc>
          <w:tcPr>
            <w:tcW w:w="990" w:type="dxa"/>
            <w:tcBorders>
              <w:top w:val="nil"/>
              <w:left w:val="nil"/>
              <w:bottom w:val="single" w:sz="8" w:space="0" w:color="auto"/>
              <w:right w:val="single" w:sz="4" w:space="0" w:color="auto"/>
            </w:tcBorders>
            <w:shd w:val="clear" w:color="auto" w:fill="auto"/>
            <w:noWrap/>
            <w:vAlign w:val="bottom"/>
            <w:hideMark/>
          </w:tcPr>
          <w:p w14:paraId="7F909912" w14:textId="77777777" w:rsidR="00531183" w:rsidRPr="001B1603" w:rsidRDefault="00531183" w:rsidP="001B1603">
            <w:pPr>
              <w:spacing w:after="0" w:line="240" w:lineRule="auto"/>
              <w:jc w:val="center"/>
              <w:rPr>
                <w:rFonts w:ascii="Calibri" w:eastAsia="Times New Roman" w:hAnsi="Calibri" w:cs="Times New Roman"/>
                <w:color w:val="000000"/>
                <w:sz w:val="18"/>
              </w:rPr>
            </w:pPr>
            <w:r w:rsidRPr="001B1603">
              <w:rPr>
                <w:rFonts w:ascii="Calibri" w:eastAsia="Times New Roman" w:hAnsi="Calibri" w:cs="Times New Roman"/>
                <w:color w:val="000000"/>
                <w:sz w:val="18"/>
              </w:rPr>
              <w:t>1.00</w:t>
            </w:r>
          </w:p>
        </w:tc>
        <w:tc>
          <w:tcPr>
            <w:tcW w:w="990" w:type="dxa"/>
            <w:tcBorders>
              <w:top w:val="nil"/>
              <w:left w:val="nil"/>
              <w:bottom w:val="single" w:sz="8" w:space="0" w:color="auto"/>
              <w:right w:val="single" w:sz="8" w:space="0" w:color="auto"/>
            </w:tcBorders>
            <w:shd w:val="clear" w:color="auto" w:fill="auto"/>
            <w:noWrap/>
            <w:vAlign w:val="bottom"/>
            <w:hideMark/>
          </w:tcPr>
          <w:p w14:paraId="694D3EAC" w14:textId="77777777" w:rsidR="00531183" w:rsidRPr="001B1603" w:rsidRDefault="00531183" w:rsidP="001B1603">
            <w:pPr>
              <w:spacing w:after="0" w:line="240" w:lineRule="auto"/>
              <w:jc w:val="center"/>
              <w:rPr>
                <w:rFonts w:ascii="Calibri" w:eastAsia="Times New Roman" w:hAnsi="Calibri" w:cs="Times New Roman"/>
                <w:color w:val="000000"/>
                <w:sz w:val="18"/>
              </w:rPr>
            </w:pPr>
            <w:r w:rsidRPr="001B1603">
              <w:rPr>
                <w:rFonts w:ascii="Calibri" w:eastAsia="Times New Roman" w:hAnsi="Calibri" w:cs="Times New Roman"/>
                <w:color w:val="000000"/>
                <w:sz w:val="18"/>
              </w:rPr>
              <w:t>1.00</w:t>
            </w:r>
          </w:p>
        </w:tc>
      </w:tr>
    </w:tbl>
    <w:p w14:paraId="2EF8DA07" w14:textId="77777777" w:rsidR="001B1603" w:rsidRDefault="001B1603" w:rsidP="00DF2415">
      <w:pPr>
        <w:rPr>
          <w:b/>
        </w:rPr>
      </w:pPr>
    </w:p>
    <w:p w14:paraId="3B9C2793" w14:textId="2C88F8D8" w:rsidR="00625CDE" w:rsidRDefault="00092566" w:rsidP="00625CDE">
      <w:r>
        <w:rPr>
          <w:b/>
        </w:rPr>
        <w:t xml:space="preserve">2a2.4 </w:t>
      </w:r>
      <w:proofErr w:type="gramStart"/>
      <w:r w:rsidR="007422FD" w:rsidRPr="00A25024">
        <w:rPr>
          <w:b/>
        </w:rPr>
        <w:t>What</w:t>
      </w:r>
      <w:proofErr w:type="gramEnd"/>
      <w:r w:rsidR="007422FD" w:rsidRPr="00A25024">
        <w:rPr>
          <w:b/>
        </w:rPr>
        <w:t xml:space="preserve"> </w:t>
      </w:r>
      <w:r w:rsidR="000B2DF7" w:rsidRPr="00A25024">
        <w:rPr>
          <w:b/>
        </w:rPr>
        <w:t>is your interpretation of the results in terms of</w:t>
      </w:r>
      <w:r w:rsidR="007422FD" w:rsidRPr="00A25024">
        <w:rPr>
          <w:b/>
        </w:rPr>
        <w:t xml:space="preserve"> demonstrating reliability</w:t>
      </w:r>
      <w:r w:rsidR="007422FD" w:rsidRPr="00A25024">
        <w:t xml:space="preserve">? </w:t>
      </w:r>
      <w:r w:rsidR="000B2DF7" w:rsidRPr="00A25024">
        <w:t>(i</w:t>
      </w:r>
      <w:r w:rsidR="000B2DF7" w:rsidRPr="00A25024">
        <w:rPr>
          <w:i/>
        </w:rPr>
        <w:t>.e., what do the results mean and what are the norms for the test conducted</w:t>
      </w:r>
      <w:r w:rsidR="007757CE" w:rsidRPr="00A25024">
        <w:rPr>
          <w:i/>
        </w:rPr>
        <w:t>?</w:t>
      </w:r>
      <w:r w:rsidR="000B2DF7" w:rsidRPr="00A25024">
        <w:t>)</w:t>
      </w:r>
      <w:r w:rsidR="007422FD" w:rsidRPr="00A25024">
        <w:br/>
      </w:r>
      <w:r w:rsidR="00625CDE">
        <w:t xml:space="preserve">Using the beta-binomial model, </w:t>
      </w:r>
      <w:r w:rsidR="00BA2BF6">
        <w:t>Abt Associates team</w:t>
      </w:r>
      <w:r w:rsidR="00625CDE">
        <w:t xml:space="preserve"> concluded that the measure reliability was high</w:t>
      </w:r>
      <w:r w:rsidR="00625CDE" w:rsidRPr="004F4778">
        <w:t xml:space="preserve">.  </w:t>
      </w:r>
      <w:r w:rsidR="00531183">
        <w:t xml:space="preserve">For </w:t>
      </w:r>
      <w:r w:rsidR="00531183" w:rsidRPr="00531183">
        <w:rPr>
          <w:i/>
        </w:rPr>
        <w:t>Pressure Ulcer Risk Assessment</w:t>
      </w:r>
      <w:r w:rsidR="00531183">
        <w:t xml:space="preserve"> measure, t</w:t>
      </w:r>
      <w:r w:rsidR="00625CDE">
        <w:t xml:space="preserve">he </w:t>
      </w:r>
      <w:r w:rsidR="00793860">
        <w:t xml:space="preserve">mean and </w:t>
      </w:r>
      <w:r w:rsidR="006171AF">
        <w:t>median</w:t>
      </w:r>
      <w:r w:rsidR="00625CDE">
        <w:t xml:space="preserve"> reliability score</w:t>
      </w:r>
      <w:r w:rsidR="00793860">
        <w:t xml:space="preserve">s of </w:t>
      </w:r>
      <w:r w:rsidR="00B953DE" w:rsidRPr="00B953DE">
        <w:rPr>
          <w:b/>
        </w:rPr>
        <w:t>0.9</w:t>
      </w:r>
      <w:r w:rsidR="00531183">
        <w:rPr>
          <w:b/>
        </w:rPr>
        <w:t>2</w:t>
      </w:r>
      <w:r w:rsidR="00793860">
        <w:rPr>
          <w:b/>
        </w:rPr>
        <w:t xml:space="preserve"> </w:t>
      </w:r>
      <w:r w:rsidR="00793860">
        <w:t>and</w:t>
      </w:r>
      <w:r w:rsidR="00625CDE">
        <w:t xml:space="preserve"> </w:t>
      </w:r>
      <w:r w:rsidR="00531183" w:rsidRPr="00531183">
        <w:rPr>
          <w:b/>
        </w:rPr>
        <w:t>0</w:t>
      </w:r>
      <w:r w:rsidR="00B953DE" w:rsidRPr="00531183">
        <w:rPr>
          <w:b/>
        </w:rPr>
        <w:t>.</w:t>
      </w:r>
      <w:r w:rsidR="00531183">
        <w:rPr>
          <w:b/>
        </w:rPr>
        <w:t>99</w:t>
      </w:r>
      <w:r w:rsidR="00625CDE">
        <w:t xml:space="preserve"> </w:t>
      </w:r>
      <w:r w:rsidR="00793860">
        <w:t>respectively, are</w:t>
      </w:r>
      <w:r w:rsidR="00625CDE">
        <w:t xml:space="preserve"> above the range considered acceptable (0.70 – 0.80) for drawing inferences about home health agencies</w:t>
      </w:r>
      <w:r w:rsidR="00625CDE" w:rsidRPr="004F4778">
        <w:t xml:space="preserve">.  </w:t>
      </w:r>
    </w:p>
    <w:p w14:paraId="70A6F6F6" w14:textId="77777777" w:rsidR="00625CDE" w:rsidRDefault="00625CDE" w:rsidP="00625CDE">
      <w:pPr>
        <w:spacing w:after="120"/>
      </w:pPr>
      <w:r>
        <w:t>Furthermore, the ICC coefficient is</w:t>
      </w:r>
      <w:r w:rsidR="006171AF">
        <w:t xml:space="preserve"> </w:t>
      </w:r>
      <w:r w:rsidR="00B953DE" w:rsidRPr="00B953DE">
        <w:rPr>
          <w:b/>
        </w:rPr>
        <w:t>0.9</w:t>
      </w:r>
      <w:r w:rsidR="00531183">
        <w:rPr>
          <w:b/>
        </w:rPr>
        <w:t>0</w:t>
      </w:r>
      <w:r>
        <w:rPr>
          <w:b/>
        </w:rPr>
        <w:t xml:space="preserve"> </w:t>
      </w:r>
      <w:r>
        <w:t>for agencies with at least 40 valid episodes (recall that an ICC statistic is derived from paired perf</w:t>
      </w:r>
      <w:r w:rsidR="006171AF">
        <w:t>ormance rates), suggesting acceptable test-retest reliability</w:t>
      </w:r>
      <w:r w:rsidRPr="004F4778">
        <w:t xml:space="preserve">.  </w:t>
      </w:r>
    </w:p>
    <w:p w14:paraId="505D1CEC" w14:textId="1DB4E063" w:rsidR="00531183" w:rsidRDefault="00531183" w:rsidP="00531183">
      <w:r>
        <w:t xml:space="preserve">Using the beta-binomial model, </w:t>
      </w:r>
      <w:r w:rsidR="00BA2BF6">
        <w:t>Abt Associates team</w:t>
      </w:r>
      <w:r>
        <w:t xml:space="preserve"> concluded that the measure reliability was high</w:t>
      </w:r>
      <w:r w:rsidRPr="004F4778">
        <w:t xml:space="preserve">.  </w:t>
      </w:r>
      <w:r>
        <w:t xml:space="preserve">For </w:t>
      </w:r>
      <w:r>
        <w:rPr>
          <w:i/>
        </w:rPr>
        <w:t>Prevention in Plan of Care</w:t>
      </w:r>
      <w:r>
        <w:t xml:space="preserve"> measure, the mean and median reliability scores of </w:t>
      </w:r>
      <w:r w:rsidRPr="00B953DE">
        <w:rPr>
          <w:b/>
        </w:rPr>
        <w:t>0.9</w:t>
      </w:r>
      <w:r>
        <w:rPr>
          <w:b/>
        </w:rPr>
        <w:t xml:space="preserve">4 </w:t>
      </w:r>
      <w:r>
        <w:t xml:space="preserve">and </w:t>
      </w:r>
      <w:r w:rsidRPr="00531183">
        <w:rPr>
          <w:b/>
        </w:rPr>
        <w:t>1.</w:t>
      </w:r>
      <w:r>
        <w:rPr>
          <w:b/>
        </w:rPr>
        <w:t>00</w:t>
      </w:r>
      <w:r>
        <w:t xml:space="preserve"> respectively, are above the range considered acceptable (0.70 – 0.80) for drawing inferences about home health agencies</w:t>
      </w:r>
      <w:r w:rsidRPr="004F4778">
        <w:t xml:space="preserve">.  </w:t>
      </w:r>
    </w:p>
    <w:p w14:paraId="1F2B76C2" w14:textId="77777777" w:rsidR="00531183" w:rsidRDefault="00531183" w:rsidP="00531183">
      <w:pPr>
        <w:spacing w:after="120"/>
      </w:pPr>
      <w:r>
        <w:lastRenderedPageBreak/>
        <w:t xml:space="preserve">Furthermore, the ICC coefficient is </w:t>
      </w:r>
      <w:r w:rsidRPr="00B953DE">
        <w:rPr>
          <w:b/>
        </w:rPr>
        <w:t>0.9</w:t>
      </w:r>
      <w:r>
        <w:rPr>
          <w:b/>
        </w:rPr>
        <w:t xml:space="preserve">4 </w:t>
      </w:r>
      <w:r>
        <w:t>for agencies with at least 40 valid episodes (recall that an ICC statistic is derived from paired performance rates), suggesting acceptable test-retest reliability</w:t>
      </w:r>
      <w:r w:rsidRPr="004F4778">
        <w:t xml:space="preserve">.  </w:t>
      </w:r>
    </w:p>
    <w:p w14:paraId="6177AEF7" w14:textId="16A16B15" w:rsidR="00531183" w:rsidRDefault="00531183" w:rsidP="00531183">
      <w:r>
        <w:t xml:space="preserve">Using the beta-binomial model, </w:t>
      </w:r>
      <w:r w:rsidR="00BA2BF6">
        <w:t>Abt Associates team</w:t>
      </w:r>
      <w:r>
        <w:t xml:space="preserve"> concluded that the measure reliability was high</w:t>
      </w:r>
      <w:r w:rsidRPr="004F4778">
        <w:t xml:space="preserve">.  </w:t>
      </w:r>
      <w:r>
        <w:t xml:space="preserve">For the </w:t>
      </w:r>
      <w:r w:rsidRPr="00531183">
        <w:rPr>
          <w:i/>
        </w:rPr>
        <w:t>Prevention Implemented</w:t>
      </w:r>
      <w:r>
        <w:t xml:space="preserve"> measure, the mean and median reliability scores of </w:t>
      </w:r>
      <w:r w:rsidRPr="00B953DE">
        <w:rPr>
          <w:b/>
        </w:rPr>
        <w:t>0.9</w:t>
      </w:r>
      <w:r>
        <w:rPr>
          <w:b/>
        </w:rPr>
        <w:t xml:space="preserve">4 </w:t>
      </w:r>
      <w:r>
        <w:t xml:space="preserve">and </w:t>
      </w:r>
      <w:r w:rsidRPr="00531183">
        <w:rPr>
          <w:b/>
        </w:rPr>
        <w:t>0.</w:t>
      </w:r>
      <w:r>
        <w:rPr>
          <w:b/>
        </w:rPr>
        <w:t>99</w:t>
      </w:r>
      <w:r>
        <w:t xml:space="preserve"> respectively, are above the range considered acceptable (0.70 – 0.80) for drawing inferences about home health agencies</w:t>
      </w:r>
      <w:r w:rsidRPr="004F4778">
        <w:t xml:space="preserve">.  </w:t>
      </w:r>
    </w:p>
    <w:p w14:paraId="4780264D" w14:textId="77777777" w:rsidR="00531183" w:rsidRDefault="00531183" w:rsidP="00531183">
      <w:pPr>
        <w:spacing w:after="120"/>
      </w:pPr>
      <w:r>
        <w:t xml:space="preserve">Furthermore, the ICC coefficient is </w:t>
      </w:r>
      <w:r w:rsidRPr="00B953DE">
        <w:rPr>
          <w:b/>
        </w:rPr>
        <w:t>0.9</w:t>
      </w:r>
      <w:r>
        <w:rPr>
          <w:b/>
        </w:rPr>
        <w:t xml:space="preserve">3 </w:t>
      </w:r>
      <w:r>
        <w:t>for agencies with at least 40 valid episodes (recall that an ICC statistic is derived from paired performance rates), suggesting acceptable test-retest reliability</w:t>
      </w:r>
      <w:r w:rsidRPr="004F4778">
        <w:t xml:space="preserve">.  </w:t>
      </w:r>
    </w:p>
    <w:p w14:paraId="7CD40024"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C165924"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3066A1DB"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DF0297">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6C5C1810" w14:textId="77777777" w:rsidR="00696262" w:rsidRPr="00A25024" w:rsidRDefault="00EA4ECD"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32079E">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2413FEEC" w14:textId="77777777" w:rsidR="000574AB" w:rsidRPr="00A25024" w:rsidRDefault="00EA4ECD"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32079E">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DF0297">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2E2766CC" w14:textId="77777777" w:rsidR="00CA06D8" w:rsidRPr="00A25024" w:rsidRDefault="00CA06D8" w:rsidP="00DB3627">
      <w:pPr>
        <w:autoSpaceDE w:val="0"/>
        <w:autoSpaceDN w:val="0"/>
        <w:adjustRightInd w:val="0"/>
        <w:spacing w:after="0" w:line="240" w:lineRule="auto"/>
        <w:rPr>
          <w:rFonts w:cstheme="minorHAnsi"/>
        </w:rPr>
      </w:pPr>
    </w:p>
    <w:p w14:paraId="389F6964" w14:textId="51845BB5" w:rsidR="00746654" w:rsidRDefault="00092566" w:rsidP="00746654">
      <w:pPr>
        <w:spacing w:after="120"/>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DF0297" w:rsidRPr="00DF0297">
        <w:rPr>
          <w:b/>
          <w:bCs/>
        </w:rPr>
        <w:t>Performance measure score</w:t>
      </w:r>
      <w:r w:rsidR="00DF0297">
        <w:rPr>
          <w:b/>
          <w:bCs/>
        </w:rPr>
        <w:t xml:space="preserve"> - </w:t>
      </w:r>
      <w:r w:rsidR="00DF0297" w:rsidRPr="00DF0297">
        <w:rPr>
          <w:b/>
          <w:bCs/>
        </w:rPr>
        <w:t>Empirical validity testing</w:t>
      </w:r>
      <w:r w:rsidR="00DF0297" w:rsidRPr="00DF0297">
        <w:rPr>
          <w:b/>
          <w:bCs/>
        </w:rPr>
        <w:br/>
      </w:r>
      <w:r w:rsidR="0032079E">
        <w:t>The measure developer assessed the conv</w:t>
      </w:r>
      <w:r w:rsidR="00746654">
        <w:t xml:space="preserve">ergent validity of the measure.  Convergent validity </w:t>
      </w:r>
      <w:r w:rsidR="0032079E">
        <w:t xml:space="preserve">refers to the extent to which measures that are designed to assess the same construct are related to each other.  </w:t>
      </w:r>
      <w:r w:rsidR="00746654">
        <w:t xml:space="preserve">To evaluate the convergent validity of the measure, </w:t>
      </w:r>
      <w:r w:rsidR="00BA2BF6">
        <w:t>Abt Associates team</w:t>
      </w:r>
      <w:r w:rsidR="00746654">
        <w:t xml:space="preserve"> calculated the Sp</w:t>
      </w:r>
      <w:r w:rsidR="005221FD">
        <w:t>earman rank correlations of the</w:t>
      </w:r>
      <w:r w:rsidR="005221FD" w:rsidRPr="005221FD">
        <w:rPr>
          <w:i/>
        </w:rPr>
        <w:t xml:space="preserve"> </w:t>
      </w:r>
      <w:r w:rsidR="00531183">
        <w:rPr>
          <w:i/>
        </w:rPr>
        <w:t>Pressure Ulcer Prevention and Care</w:t>
      </w:r>
      <w:r w:rsidR="005221FD" w:rsidRPr="005221FD">
        <w:rPr>
          <w:i/>
        </w:rPr>
        <w:t xml:space="preserve"> </w:t>
      </w:r>
      <w:r w:rsidR="00746654">
        <w:t xml:space="preserve">measure with other relevant measures, </w:t>
      </w:r>
      <w:r w:rsidR="00793860">
        <w:t>including the publicly-reported</w:t>
      </w:r>
      <w:r w:rsidR="00746654">
        <w:t xml:space="preserve"> measures of home health quality derived from OASIS assessments</w:t>
      </w:r>
      <w:r w:rsidR="00793860">
        <w:t xml:space="preserve"> and patient experience of care measures derived from the Home Health Clinician and Group Consumer Assessment of Healthcare Providers and Systems (HHCAHPS) survey</w:t>
      </w:r>
      <w:r w:rsidR="00746654">
        <w:t xml:space="preserve">. </w:t>
      </w:r>
    </w:p>
    <w:p w14:paraId="109749D5" w14:textId="77777777" w:rsidR="00746654" w:rsidRDefault="00092566" w:rsidP="00746654">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746654">
        <w:t xml:space="preserve">The table below shows the Spearman rank correlations of the </w:t>
      </w:r>
      <w:r w:rsidR="00531183">
        <w:rPr>
          <w:i/>
        </w:rPr>
        <w:t>Pressure Ulcer Prevention and Care</w:t>
      </w:r>
      <w:r w:rsidR="00531183" w:rsidRPr="005221FD">
        <w:rPr>
          <w:i/>
        </w:rPr>
        <w:t xml:space="preserve"> </w:t>
      </w:r>
      <w:r w:rsidR="00746654">
        <w:t xml:space="preserve">measure with other </w:t>
      </w:r>
      <w:r w:rsidR="002C3650">
        <w:t>publicly-reported</w:t>
      </w:r>
      <w:r w:rsidR="00746654">
        <w:t xml:space="preserve"> measures of home health quality derived from OASIS assessments</w:t>
      </w:r>
      <w:r w:rsidR="00B41855">
        <w:t xml:space="preserve"> and </w:t>
      </w:r>
      <w:r w:rsidR="00793860">
        <w:t>HHCAHPS survey.</w:t>
      </w:r>
    </w:p>
    <w:p w14:paraId="00DA2CD3" w14:textId="77777777" w:rsidR="00EA4ECD" w:rsidRDefault="00EA4ECD" w:rsidP="00746654"/>
    <w:p w14:paraId="4CF64609" w14:textId="77777777" w:rsidR="00EA4ECD" w:rsidRDefault="00EA4ECD" w:rsidP="00746654"/>
    <w:p w14:paraId="1EE9A7A1" w14:textId="77777777" w:rsidR="00EA4ECD" w:rsidRPr="008D563B" w:rsidRDefault="00EA4ECD" w:rsidP="00746654"/>
    <w:p w14:paraId="16F8388A" w14:textId="77777777" w:rsidR="00746654" w:rsidRDefault="00746654" w:rsidP="00746654">
      <w:pPr>
        <w:spacing w:after="0" w:line="240" w:lineRule="auto"/>
        <w:jc w:val="center"/>
        <w:rPr>
          <w:b/>
        </w:rPr>
      </w:pPr>
      <w:r w:rsidRPr="00C73E8F">
        <w:rPr>
          <w:b/>
        </w:rPr>
        <w:lastRenderedPageBreak/>
        <w:t xml:space="preserve">Spearman Rank Correlations of </w:t>
      </w:r>
      <w:r w:rsidR="00531183" w:rsidRPr="00C73E8F">
        <w:rPr>
          <w:b/>
          <w:i/>
        </w:rPr>
        <w:t>Pressure Ulcer Prevention and Care</w:t>
      </w:r>
      <w:r w:rsidR="005221FD" w:rsidRPr="00C73E8F">
        <w:rPr>
          <w:b/>
          <w:i/>
        </w:rPr>
        <w:t xml:space="preserve"> </w:t>
      </w:r>
      <w:r w:rsidRPr="00C73E8F">
        <w:rPr>
          <w:b/>
        </w:rPr>
        <w:t>Measure with Other Measures of Home Health Quality</w:t>
      </w:r>
    </w:p>
    <w:p w14:paraId="4B9DB689" w14:textId="77777777" w:rsidR="006E31F3" w:rsidRPr="006F082D" w:rsidRDefault="006E31F3" w:rsidP="00746654">
      <w:pPr>
        <w:spacing w:after="0" w:line="240" w:lineRule="auto"/>
        <w:jc w:val="center"/>
        <w:rPr>
          <w:b/>
        </w:rPr>
      </w:pP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1825"/>
        <w:gridCol w:w="1800"/>
        <w:gridCol w:w="1595"/>
      </w:tblGrid>
      <w:tr w:rsidR="00C73E8F" w:rsidRPr="006F082D" w14:paraId="5E56A343" w14:textId="77777777" w:rsidTr="00C73E8F">
        <w:trPr>
          <w:trHeight w:val="206"/>
          <w:jc w:val="center"/>
        </w:trPr>
        <w:tc>
          <w:tcPr>
            <w:tcW w:w="4090" w:type="dxa"/>
            <w:shd w:val="clear" w:color="auto" w:fill="CDECFF"/>
            <w:noWrap/>
            <w:vAlign w:val="center"/>
            <w:hideMark/>
          </w:tcPr>
          <w:p w14:paraId="7C708CA5" w14:textId="77777777" w:rsidR="00C73E8F" w:rsidRPr="00D41096" w:rsidRDefault="00C73E8F" w:rsidP="00733E1D">
            <w:pPr>
              <w:spacing w:after="0" w:line="240" w:lineRule="auto"/>
              <w:jc w:val="center"/>
              <w:rPr>
                <w:rFonts w:ascii="Calibri" w:hAnsi="Calibri"/>
                <w:b/>
                <w:bCs/>
                <w:color w:val="000000"/>
                <w:sz w:val="20"/>
                <w:szCs w:val="20"/>
              </w:rPr>
            </w:pPr>
            <w:r>
              <w:rPr>
                <w:rFonts w:ascii="Calibri" w:hAnsi="Calibri"/>
                <w:b/>
                <w:bCs/>
                <w:color w:val="000000"/>
                <w:sz w:val="20"/>
                <w:szCs w:val="20"/>
              </w:rPr>
              <w:t xml:space="preserve">Home Health Quality </w:t>
            </w:r>
            <w:r w:rsidRPr="00D41096">
              <w:rPr>
                <w:rFonts w:ascii="Calibri" w:hAnsi="Calibri"/>
                <w:b/>
                <w:bCs/>
                <w:color w:val="000000"/>
                <w:sz w:val="20"/>
                <w:szCs w:val="20"/>
              </w:rPr>
              <w:t>Measure</w:t>
            </w:r>
            <w:r>
              <w:rPr>
                <w:rFonts w:ascii="Calibri" w:hAnsi="Calibri"/>
                <w:b/>
                <w:bCs/>
                <w:color w:val="000000"/>
                <w:sz w:val="20"/>
                <w:szCs w:val="20"/>
              </w:rPr>
              <w:t>s</w:t>
            </w:r>
          </w:p>
        </w:tc>
        <w:tc>
          <w:tcPr>
            <w:tcW w:w="1825" w:type="dxa"/>
            <w:shd w:val="clear" w:color="auto" w:fill="CDECFF"/>
            <w:vAlign w:val="center"/>
            <w:hideMark/>
          </w:tcPr>
          <w:p w14:paraId="04D07ED8" w14:textId="77777777" w:rsidR="00C73E8F" w:rsidRPr="00D41096" w:rsidRDefault="00C73E8F" w:rsidP="00733E1D">
            <w:pPr>
              <w:spacing w:after="0" w:line="240" w:lineRule="auto"/>
              <w:jc w:val="center"/>
              <w:rPr>
                <w:rFonts w:ascii="Calibri" w:hAnsi="Calibri"/>
                <w:b/>
                <w:bCs/>
                <w:color w:val="000000"/>
                <w:sz w:val="20"/>
                <w:szCs w:val="20"/>
              </w:rPr>
            </w:pPr>
            <w:r w:rsidRPr="00D41096">
              <w:rPr>
                <w:rFonts w:ascii="Calibri" w:hAnsi="Calibri"/>
                <w:b/>
                <w:bCs/>
                <w:color w:val="000000"/>
                <w:sz w:val="20"/>
                <w:szCs w:val="20"/>
              </w:rPr>
              <w:t xml:space="preserve">Spearman </w:t>
            </w:r>
            <w:r>
              <w:rPr>
                <w:rFonts w:ascii="Calibri" w:hAnsi="Calibri"/>
                <w:b/>
                <w:bCs/>
                <w:color w:val="000000"/>
                <w:sz w:val="20"/>
                <w:szCs w:val="20"/>
              </w:rPr>
              <w:t>Rank Correlation with Pressure Ulcer Risk Assessment</w:t>
            </w:r>
          </w:p>
        </w:tc>
        <w:tc>
          <w:tcPr>
            <w:tcW w:w="1800" w:type="dxa"/>
            <w:shd w:val="clear" w:color="auto" w:fill="CDECFF"/>
          </w:tcPr>
          <w:p w14:paraId="4D9EE355" w14:textId="77777777" w:rsidR="00C73E8F" w:rsidRPr="00D41096" w:rsidRDefault="00C73E8F" w:rsidP="00733E1D">
            <w:pPr>
              <w:spacing w:after="0" w:line="240" w:lineRule="auto"/>
              <w:jc w:val="center"/>
              <w:rPr>
                <w:rFonts w:ascii="Calibri" w:hAnsi="Calibri"/>
                <w:b/>
                <w:bCs/>
                <w:color w:val="000000"/>
                <w:sz w:val="20"/>
                <w:szCs w:val="20"/>
              </w:rPr>
            </w:pPr>
            <w:r>
              <w:rPr>
                <w:rFonts w:ascii="Calibri" w:hAnsi="Calibri"/>
                <w:b/>
                <w:bCs/>
                <w:color w:val="000000"/>
                <w:sz w:val="20"/>
                <w:szCs w:val="20"/>
              </w:rPr>
              <w:t>Spearman Rank Correlation with Prevention in Plan of Care</w:t>
            </w:r>
          </w:p>
        </w:tc>
        <w:tc>
          <w:tcPr>
            <w:tcW w:w="1595" w:type="dxa"/>
            <w:shd w:val="clear" w:color="auto" w:fill="CDECFF"/>
          </w:tcPr>
          <w:p w14:paraId="63841CED" w14:textId="77777777" w:rsidR="00C73E8F" w:rsidRPr="00D41096" w:rsidRDefault="00C73E8F" w:rsidP="00733E1D">
            <w:pPr>
              <w:spacing w:after="0" w:line="240" w:lineRule="auto"/>
              <w:jc w:val="center"/>
              <w:rPr>
                <w:rFonts w:ascii="Calibri" w:hAnsi="Calibri"/>
                <w:b/>
                <w:bCs/>
                <w:color w:val="000000"/>
                <w:sz w:val="20"/>
                <w:szCs w:val="20"/>
              </w:rPr>
            </w:pPr>
            <w:r>
              <w:rPr>
                <w:rFonts w:ascii="Calibri" w:hAnsi="Calibri"/>
                <w:b/>
                <w:bCs/>
                <w:color w:val="000000"/>
                <w:sz w:val="20"/>
                <w:szCs w:val="20"/>
              </w:rPr>
              <w:t>Spearman Rank Correlation with Prevention Implemented</w:t>
            </w:r>
          </w:p>
        </w:tc>
      </w:tr>
      <w:tr w:rsidR="00C73E8F" w:rsidRPr="006F082D" w14:paraId="08EFFE50" w14:textId="77777777" w:rsidTr="00733E1D">
        <w:trPr>
          <w:trHeight w:val="300"/>
          <w:jc w:val="center"/>
        </w:trPr>
        <w:tc>
          <w:tcPr>
            <w:tcW w:w="4090" w:type="dxa"/>
            <w:shd w:val="clear" w:color="auto" w:fill="auto"/>
            <w:noWrap/>
            <w:vAlign w:val="bottom"/>
          </w:tcPr>
          <w:p w14:paraId="3CC22226" w14:textId="77777777" w:rsidR="00C73E8F" w:rsidRDefault="00C73E8F" w:rsidP="00733E1D">
            <w:pPr>
              <w:rPr>
                <w:rFonts w:ascii="Calibri" w:hAnsi="Calibri"/>
                <w:color w:val="000000"/>
              </w:rPr>
            </w:pPr>
            <w:r w:rsidRPr="00C73E8F">
              <w:rPr>
                <w:rFonts w:ascii="Calibri" w:hAnsi="Calibri"/>
                <w:color w:val="000000"/>
              </w:rPr>
              <w:t>Diabetic Foot Care and Patient Education in Plan of Care</w:t>
            </w:r>
          </w:p>
        </w:tc>
        <w:tc>
          <w:tcPr>
            <w:tcW w:w="1825" w:type="dxa"/>
            <w:shd w:val="clear" w:color="auto" w:fill="auto"/>
            <w:noWrap/>
            <w:vAlign w:val="bottom"/>
          </w:tcPr>
          <w:p w14:paraId="7EA4D95A" w14:textId="77777777" w:rsidR="00C73E8F" w:rsidRDefault="00C73E8F" w:rsidP="00733E1D">
            <w:pPr>
              <w:jc w:val="center"/>
              <w:rPr>
                <w:rFonts w:ascii="Calibri" w:hAnsi="Calibri"/>
                <w:color w:val="000000"/>
              </w:rPr>
            </w:pPr>
            <w:r w:rsidRPr="00C73E8F">
              <w:rPr>
                <w:rFonts w:ascii="Calibri" w:hAnsi="Calibri"/>
                <w:color w:val="000000"/>
              </w:rPr>
              <w:t>0.2114</w:t>
            </w:r>
          </w:p>
        </w:tc>
        <w:tc>
          <w:tcPr>
            <w:tcW w:w="1800" w:type="dxa"/>
            <w:vAlign w:val="bottom"/>
          </w:tcPr>
          <w:p w14:paraId="153351D3" w14:textId="77777777" w:rsidR="00C73E8F" w:rsidRDefault="00C73E8F" w:rsidP="00733E1D">
            <w:pPr>
              <w:jc w:val="center"/>
              <w:rPr>
                <w:rFonts w:ascii="Calibri" w:hAnsi="Calibri"/>
                <w:color w:val="000000"/>
              </w:rPr>
            </w:pPr>
            <w:r w:rsidRPr="00C73E8F">
              <w:rPr>
                <w:rFonts w:ascii="Calibri" w:hAnsi="Calibri"/>
                <w:color w:val="000000"/>
              </w:rPr>
              <w:t>0.4689</w:t>
            </w:r>
          </w:p>
        </w:tc>
        <w:tc>
          <w:tcPr>
            <w:tcW w:w="1595" w:type="dxa"/>
            <w:vAlign w:val="bottom"/>
          </w:tcPr>
          <w:p w14:paraId="6CD6D681" w14:textId="77777777" w:rsidR="00C73E8F" w:rsidRDefault="00C73E8F" w:rsidP="00733E1D">
            <w:pPr>
              <w:jc w:val="center"/>
              <w:rPr>
                <w:rFonts w:ascii="Calibri" w:hAnsi="Calibri"/>
                <w:color w:val="000000"/>
              </w:rPr>
            </w:pPr>
            <w:r w:rsidRPr="00C73E8F">
              <w:rPr>
                <w:rFonts w:ascii="Calibri" w:hAnsi="Calibri"/>
                <w:color w:val="000000"/>
              </w:rPr>
              <w:t>0.6862</w:t>
            </w:r>
          </w:p>
        </w:tc>
      </w:tr>
      <w:tr w:rsidR="00C73E8F" w:rsidRPr="006F082D" w14:paraId="4B54352E" w14:textId="77777777" w:rsidTr="00733E1D">
        <w:trPr>
          <w:trHeight w:val="300"/>
          <w:jc w:val="center"/>
        </w:trPr>
        <w:tc>
          <w:tcPr>
            <w:tcW w:w="4090" w:type="dxa"/>
            <w:shd w:val="clear" w:color="auto" w:fill="auto"/>
            <w:noWrap/>
            <w:vAlign w:val="bottom"/>
          </w:tcPr>
          <w:p w14:paraId="79FC08D1" w14:textId="538E8DAF" w:rsidR="00C73E8F" w:rsidRDefault="00C73E8F" w:rsidP="00771501">
            <w:pPr>
              <w:rPr>
                <w:rFonts w:ascii="Calibri" w:hAnsi="Calibri"/>
                <w:color w:val="000000"/>
              </w:rPr>
            </w:pPr>
            <w:r w:rsidRPr="00C73E8F">
              <w:rPr>
                <w:rFonts w:ascii="Calibri" w:hAnsi="Calibri"/>
                <w:color w:val="000000"/>
              </w:rPr>
              <w:t>Depression Assessment Conducted</w:t>
            </w:r>
          </w:p>
        </w:tc>
        <w:tc>
          <w:tcPr>
            <w:tcW w:w="1825" w:type="dxa"/>
            <w:shd w:val="clear" w:color="auto" w:fill="auto"/>
            <w:noWrap/>
            <w:vAlign w:val="bottom"/>
          </w:tcPr>
          <w:p w14:paraId="54EB3E40" w14:textId="77777777" w:rsidR="00C73E8F" w:rsidRDefault="00C73E8F" w:rsidP="00733E1D">
            <w:pPr>
              <w:jc w:val="center"/>
              <w:rPr>
                <w:rFonts w:ascii="Calibri" w:hAnsi="Calibri"/>
                <w:color w:val="000000"/>
              </w:rPr>
            </w:pPr>
            <w:r w:rsidRPr="00C73E8F">
              <w:rPr>
                <w:rFonts w:ascii="Calibri" w:hAnsi="Calibri"/>
                <w:color w:val="000000"/>
              </w:rPr>
              <w:t>0.3758</w:t>
            </w:r>
          </w:p>
        </w:tc>
        <w:tc>
          <w:tcPr>
            <w:tcW w:w="1800" w:type="dxa"/>
            <w:vAlign w:val="bottom"/>
          </w:tcPr>
          <w:p w14:paraId="5FBFEEB2" w14:textId="77777777" w:rsidR="00C73E8F" w:rsidRDefault="00C73E8F" w:rsidP="00733E1D">
            <w:pPr>
              <w:jc w:val="center"/>
              <w:rPr>
                <w:rFonts w:ascii="Calibri" w:hAnsi="Calibri"/>
                <w:color w:val="000000"/>
              </w:rPr>
            </w:pPr>
            <w:r w:rsidRPr="00C73E8F">
              <w:rPr>
                <w:rFonts w:ascii="Calibri" w:hAnsi="Calibri"/>
                <w:color w:val="000000"/>
              </w:rPr>
              <w:t>0.3593</w:t>
            </w:r>
          </w:p>
        </w:tc>
        <w:tc>
          <w:tcPr>
            <w:tcW w:w="1595" w:type="dxa"/>
            <w:vAlign w:val="bottom"/>
          </w:tcPr>
          <w:p w14:paraId="61350D83" w14:textId="77777777" w:rsidR="00C73E8F" w:rsidRDefault="00C73E8F" w:rsidP="00733E1D">
            <w:pPr>
              <w:jc w:val="center"/>
              <w:rPr>
                <w:rFonts w:ascii="Calibri" w:hAnsi="Calibri"/>
                <w:color w:val="000000"/>
              </w:rPr>
            </w:pPr>
            <w:r w:rsidRPr="00C73E8F">
              <w:rPr>
                <w:rFonts w:ascii="Calibri" w:hAnsi="Calibri"/>
                <w:color w:val="000000"/>
              </w:rPr>
              <w:t>0.3040</w:t>
            </w:r>
          </w:p>
        </w:tc>
      </w:tr>
      <w:tr w:rsidR="00771501" w:rsidRPr="006F082D" w14:paraId="7CA1B5B4" w14:textId="77777777" w:rsidTr="00733E1D">
        <w:trPr>
          <w:trHeight w:val="300"/>
          <w:jc w:val="center"/>
        </w:trPr>
        <w:tc>
          <w:tcPr>
            <w:tcW w:w="4090" w:type="dxa"/>
            <w:shd w:val="clear" w:color="auto" w:fill="auto"/>
            <w:noWrap/>
            <w:vAlign w:val="bottom"/>
          </w:tcPr>
          <w:p w14:paraId="3066E592" w14:textId="62C4A8FC" w:rsidR="00771501" w:rsidRPr="009943BC" w:rsidRDefault="00771501" w:rsidP="00733E1D">
            <w:pPr>
              <w:rPr>
                <w:rFonts w:ascii="Calibri" w:hAnsi="Calibri"/>
                <w:color w:val="000000"/>
              </w:rPr>
            </w:pPr>
            <w:r>
              <w:rPr>
                <w:rFonts w:ascii="Calibri" w:hAnsi="Calibri"/>
                <w:color w:val="000000"/>
              </w:rPr>
              <w:t>Multifactor Fall Risk Assessment Conducted</w:t>
            </w:r>
          </w:p>
        </w:tc>
        <w:tc>
          <w:tcPr>
            <w:tcW w:w="1825" w:type="dxa"/>
            <w:shd w:val="clear" w:color="auto" w:fill="auto"/>
            <w:noWrap/>
            <w:vAlign w:val="bottom"/>
          </w:tcPr>
          <w:p w14:paraId="7681DC97" w14:textId="2D93A949" w:rsidR="00771501" w:rsidRPr="009943BC" w:rsidRDefault="00771501" w:rsidP="00733E1D">
            <w:pPr>
              <w:jc w:val="center"/>
              <w:rPr>
                <w:rFonts w:ascii="Calibri" w:hAnsi="Calibri"/>
                <w:color w:val="000000"/>
              </w:rPr>
            </w:pPr>
            <w:r>
              <w:rPr>
                <w:rFonts w:ascii="Calibri" w:hAnsi="Calibri"/>
                <w:color w:val="000000"/>
              </w:rPr>
              <w:t>0.2183</w:t>
            </w:r>
          </w:p>
        </w:tc>
        <w:tc>
          <w:tcPr>
            <w:tcW w:w="1800" w:type="dxa"/>
            <w:vAlign w:val="bottom"/>
          </w:tcPr>
          <w:p w14:paraId="6EF882CA" w14:textId="14D211EA" w:rsidR="00771501" w:rsidRPr="009943BC" w:rsidRDefault="00771501" w:rsidP="00733E1D">
            <w:pPr>
              <w:jc w:val="center"/>
              <w:rPr>
                <w:rFonts w:ascii="Calibri" w:hAnsi="Calibri"/>
                <w:color w:val="000000"/>
              </w:rPr>
            </w:pPr>
            <w:r>
              <w:rPr>
                <w:rFonts w:ascii="Calibri" w:hAnsi="Calibri"/>
                <w:color w:val="000000"/>
              </w:rPr>
              <w:t>0.3006</w:t>
            </w:r>
          </w:p>
        </w:tc>
        <w:tc>
          <w:tcPr>
            <w:tcW w:w="1595" w:type="dxa"/>
            <w:vAlign w:val="bottom"/>
          </w:tcPr>
          <w:p w14:paraId="4EBE7BD7" w14:textId="5A0600EB" w:rsidR="00771501" w:rsidRPr="009943BC" w:rsidRDefault="00771501" w:rsidP="00733E1D">
            <w:pPr>
              <w:jc w:val="center"/>
              <w:rPr>
                <w:rFonts w:ascii="Calibri" w:hAnsi="Calibri"/>
                <w:color w:val="000000"/>
              </w:rPr>
            </w:pPr>
            <w:r>
              <w:rPr>
                <w:rFonts w:ascii="Calibri" w:hAnsi="Calibri"/>
                <w:color w:val="000000"/>
              </w:rPr>
              <w:t>0.2732</w:t>
            </w:r>
          </w:p>
        </w:tc>
      </w:tr>
    </w:tbl>
    <w:p w14:paraId="28E758BD" w14:textId="77777777" w:rsidR="007422FD" w:rsidRPr="00092566" w:rsidRDefault="007422FD" w:rsidP="00092566">
      <w:pPr>
        <w:autoSpaceDE w:val="0"/>
        <w:autoSpaceDN w:val="0"/>
        <w:adjustRightInd w:val="0"/>
        <w:spacing w:after="0" w:line="240" w:lineRule="auto"/>
        <w:rPr>
          <w:rFonts w:cstheme="minorHAnsi"/>
          <w:bCs/>
        </w:rPr>
      </w:pPr>
    </w:p>
    <w:p w14:paraId="4E440507" w14:textId="523F6546" w:rsidR="007422FD" w:rsidRDefault="00092566" w:rsidP="00DF2415">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6C43B6">
        <w:t xml:space="preserve">As detailed in the table, the </w:t>
      </w:r>
      <w:r w:rsidR="00531183">
        <w:rPr>
          <w:i/>
        </w:rPr>
        <w:t>Pressure Ulcer Prevention and Care</w:t>
      </w:r>
      <w:r w:rsidR="005221FD" w:rsidRPr="005221FD">
        <w:rPr>
          <w:i/>
        </w:rPr>
        <w:t xml:space="preserve"> </w:t>
      </w:r>
      <w:r w:rsidR="006C43B6">
        <w:t xml:space="preserve">measure displays a statistically significant positive correlation with several publicly-reported measures </w:t>
      </w:r>
      <w:r w:rsidR="00B41855">
        <w:t xml:space="preserve">and </w:t>
      </w:r>
      <w:r w:rsidR="006C43B6">
        <w:t>th</w:t>
      </w:r>
      <w:r w:rsidR="00B41855">
        <w:t>at similarly assess the quality of home health care</w:t>
      </w:r>
      <w:r w:rsidR="006C43B6">
        <w:t xml:space="preserve">, which lends evidence to the measure’s validity.  </w:t>
      </w:r>
      <w:r w:rsidR="0032079E">
        <w:t>It may be that strong performance on the other measur</w:t>
      </w:r>
      <w:r w:rsidR="000906D5">
        <w:t xml:space="preserve">es directly leads to better performance on </w:t>
      </w:r>
      <w:r w:rsidR="000906D5">
        <w:rPr>
          <w:i/>
        </w:rPr>
        <w:t>Pressure Ulcer Prevention and Care</w:t>
      </w:r>
      <w:r w:rsidR="0032079E">
        <w:t xml:space="preserve">.  It may also be the case that high quality agencies </w:t>
      </w:r>
      <w:r w:rsidR="006C43B6">
        <w:t xml:space="preserve">perform well on both </w:t>
      </w:r>
      <w:r w:rsidR="00531183">
        <w:rPr>
          <w:i/>
        </w:rPr>
        <w:t>Pressure Ulcer Prevention and Care</w:t>
      </w:r>
      <w:r w:rsidR="00531183" w:rsidRPr="005221FD">
        <w:rPr>
          <w:i/>
        </w:rPr>
        <w:t xml:space="preserve"> </w:t>
      </w:r>
      <w:r w:rsidR="00771501">
        <w:t xml:space="preserve">measure and other OASIS-based </w:t>
      </w:r>
      <w:r w:rsidR="0032079E">
        <w:t>measures due to cultural or organization</w:t>
      </w:r>
      <w:r w:rsidR="006C43B6">
        <w:t>-level</w:t>
      </w:r>
      <w:r w:rsidR="0032079E">
        <w:t xml:space="preserve"> factors.</w:t>
      </w:r>
    </w:p>
    <w:p w14:paraId="2281CA7E"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6841FB4B"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6525CF0"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60C44438" w14:textId="77777777" w:rsidR="00001D73" w:rsidRDefault="00001D73" w:rsidP="00DB3627">
      <w:pPr>
        <w:autoSpaceDE w:val="0"/>
        <w:autoSpaceDN w:val="0"/>
        <w:adjustRightInd w:val="0"/>
        <w:spacing w:after="0" w:line="240" w:lineRule="auto"/>
        <w:rPr>
          <w:rFonts w:cstheme="minorHAnsi"/>
          <w:b/>
          <w:bCs/>
        </w:rPr>
      </w:pPr>
    </w:p>
    <w:p w14:paraId="6479FACC" w14:textId="77777777" w:rsidR="00A23CE2" w:rsidRDefault="00092566" w:rsidP="00A23CE2">
      <w:pPr>
        <w:spacing w:after="0"/>
      </w:pPr>
      <w:r>
        <w:rPr>
          <w:b/>
        </w:rPr>
        <w:t>2b3.</w:t>
      </w:r>
      <w:r w:rsidR="00A25024" w:rsidRPr="00A25024">
        <w:rPr>
          <w:b/>
        </w:rPr>
        <w:t>1. Describe the method of</w:t>
      </w:r>
      <w:r w:rsidR="00E672D6" w:rsidRPr="00A25024">
        <w:rPr>
          <w:b/>
        </w:rPr>
        <w:t xml:space="preserve"> </w:t>
      </w:r>
      <w:r w:rsidR="005333CC" w:rsidRPr="00A25024">
        <w:rPr>
          <w:b/>
        </w:rPr>
        <w:t>testing</w:t>
      </w:r>
      <w:r w:rsidR="00833325" w:rsidRPr="00A25024">
        <w:rPr>
          <w:b/>
        </w:rPr>
        <w:t xml:space="preserve"> </w:t>
      </w:r>
      <w:r w:rsidR="004B6CEE" w:rsidRPr="00A25024">
        <w:rPr>
          <w:b/>
        </w:rPr>
        <w:t xml:space="preserve">exclusions </w:t>
      </w:r>
      <w:r w:rsidR="00A25024" w:rsidRPr="00A25024">
        <w:rPr>
          <w:b/>
        </w:rPr>
        <w:t>and what it tests</w:t>
      </w:r>
      <w:r w:rsidR="00833325" w:rsidRPr="00A25024">
        <w:t xml:space="preserve"> </w:t>
      </w:r>
      <w:r w:rsidR="00833325" w:rsidRPr="00A23CE2">
        <w:rPr>
          <w:i/>
        </w:rPr>
        <w:t>(</w:t>
      </w:r>
      <w:r w:rsidR="00A25024" w:rsidRPr="00A23CE2">
        <w:rPr>
          <w:i/>
        </w:rPr>
        <w:t>describe the steps―do not just name a method; what was tested, e.g., whether exclusions affect overall performance scores</w:t>
      </w:r>
      <w:r w:rsidR="0022691B" w:rsidRPr="00A23CE2">
        <w:rPr>
          <w:i/>
        </w:rPr>
        <w:t>; what statistical analysis was used</w:t>
      </w:r>
      <w:r w:rsidR="0032079E" w:rsidRPr="00A23CE2">
        <w:rPr>
          <w:i/>
        </w:rPr>
        <w:t>)</w:t>
      </w:r>
    </w:p>
    <w:p w14:paraId="369757E0" w14:textId="616CE25B" w:rsidR="007B7D9B" w:rsidRDefault="00A23CE2" w:rsidP="00A23CE2">
      <w:r>
        <w:t>There are two major exclusion types</w:t>
      </w:r>
      <w:r w:rsidR="005221FD">
        <w:t xml:space="preserve"> for the</w:t>
      </w:r>
      <w:r w:rsidR="005221FD" w:rsidRPr="005221FD">
        <w:t xml:space="preserve"> </w:t>
      </w:r>
      <w:r w:rsidR="00531183">
        <w:rPr>
          <w:i/>
        </w:rPr>
        <w:t>Pressure Ulcer Prevention and Care</w:t>
      </w:r>
      <w:r w:rsidR="005221FD" w:rsidRPr="005221FD">
        <w:rPr>
          <w:i/>
        </w:rPr>
        <w:t xml:space="preserve"> </w:t>
      </w:r>
      <w:r w:rsidR="00941A17">
        <w:t>measure</w:t>
      </w:r>
      <w:r>
        <w:t>, including exclusions that are applicable to home health measures in general (i.e., generic exclusions) and exclusions that ar</w:t>
      </w:r>
      <w:r w:rsidR="005221FD">
        <w:t>e specific to the</w:t>
      </w:r>
      <w:r w:rsidR="005221FD" w:rsidRPr="005221FD">
        <w:t xml:space="preserve"> </w:t>
      </w:r>
      <w:r w:rsidR="00531183">
        <w:rPr>
          <w:i/>
        </w:rPr>
        <w:t>Pressure Ulcer Prevention and Care</w:t>
      </w:r>
      <w:r w:rsidR="005221FD" w:rsidRPr="005221FD">
        <w:rPr>
          <w:i/>
        </w:rPr>
        <w:t xml:space="preserve"> </w:t>
      </w:r>
      <w:r>
        <w:t>measure.  Generic exclusions include (</w:t>
      </w:r>
      <w:proofErr w:type="spellStart"/>
      <w:r>
        <w:t>i</w:t>
      </w:r>
      <w:proofErr w:type="spellEnd"/>
      <w:r>
        <w:t>) children and maternity patients, (ii) non-Medicare/non-Medicaid patients, and (i</w:t>
      </w:r>
      <w:r w:rsidR="00E357E3">
        <w:t>ii</w:t>
      </w:r>
      <w:r>
        <w:t>)</w:t>
      </w:r>
      <w:r w:rsidR="00CE4FC3">
        <w:t xml:space="preserve"> </w:t>
      </w:r>
      <w:r>
        <w:t xml:space="preserve">small and new agencies/rare conditions.  </w:t>
      </w:r>
      <w:r w:rsidRPr="007B7D9B">
        <w:t xml:space="preserve">Exclusions that are specific to the </w:t>
      </w:r>
      <w:r w:rsidR="007B7D9B">
        <w:rPr>
          <w:i/>
        </w:rPr>
        <w:t>Pressure Ulcer Prevention and Care</w:t>
      </w:r>
      <w:r w:rsidR="007B7D9B" w:rsidRPr="005221FD">
        <w:rPr>
          <w:i/>
        </w:rPr>
        <w:t xml:space="preserve"> </w:t>
      </w:r>
      <w:r w:rsidRPr="007B7D9B">
        <w:t xml:space="preserve">measure </w:t>
      </w:r>
      <w:r w:rsidR="007B7D9B">
        <w:t>are</w:t>
      </w:r>
      <w:r w:rsidR="00E357E3">
        <w:t>,</w:t>
      </w:r>
      <w:r w:rsidR="007B7D9B">
        <w:t xml:space="preserve"> </w:t>
      </w:r>
      <w:r w:rsidR="00E357E3">
        <w:t xml:space="preserve">for the </w:t>
      </w:r>
      <w:r w:rsidR="00E357E3" w:rsidRPr="00EF0B4B">
        <w:rPr>
          <w:i/>
        </w:rPr>
        <w:t xml:space="preserve">Pressure Ulcer Risk Assessment </w:t>
      </w:r>
      <w:r w:rsidR="00E357E3" w:rsidRPr="004A0DFA">
        <w:t>measure</w:t>
      </w:r>
      <w:r w:rsidR="00E357E3">
        <w:t xml:space="preserve"> , none; for the </w:t>
      </w:r>
      <w:r w:rsidR="00376DF0" w:rsidRPr="004A0DFA">
        <w:rPr>
          <w:i/>
        </w:rPr>
        <w:t xml:space="preserve">Prevention in Plan of Care </w:t>
      </w:r>
      <w:r w:rsidR="004A0DFA">
        <w:t>m</w:t>
      </w:r>
      <w:r w:rsidR="00376DF0" w:rsidRPr="004A0DFA">
        <w:t>easure</w:t>
      </w:r>
      <w:r w:rsidR="00376DF0" w:rsidRPr="00376DF0">
        <w:t xml:space="preserve"> </w:t>
      </w:r>
      <w:r w:rsidR="00376DF0">
        <w:t xml:space="preserve">, </w:t>
      </w:r>
      <w:r w:rsidR="007B7D9B">
        <w:t xml:space="preserve"> h</w:t>
      </w:r>
      <w:r w:rsidR="007B7D9B" w:rsidRPr="007B7D9B">
        <w:t>ome health episodes for patients for whom a formal assessment indicated the patient was not at risk of developing pressure ulc</w:t>
      </w:r>
      <w:r w:rsidR="007B7D9B">
        <w:t>ers at start/resumption of care</w:t>
      </w:r>
      <w:r w:rsidR="00376DF0">
        <w:t>; for the</w:t>
      </w:r>
      <w:r w:rsidR="00376DF0" w:rsidRPr="00376DF0">
        <w:t xml:space="preserve"> </w:t>
      </w:r>
      <w:r w:rsidR="00376DF0" w:rsidRPr="004A0DFA">
        <w:rPr>
          <w:i/>
        </w:rPr>
        <w:t>Prevention Implemented</w:t>
      </w:r>
      <w:r w:rsidR="004A0DFA">
        <w:t xml:space="preserve"> m</w:t>
      </w:r>
      <w:r w:rsidR="00376DF0" w:rsidRPr="00376DF0">
        <w:t>easure</w:t>
      </w:r>
      <w:r w:rsidR="00376DF0">
        <w:t xml:space="preserve"> </w:t>
      </w:r>
      <w:r w:rsidR="007B7D9B">
        <w:t>, (</w:t>
      </w:r>
      <w:proofErr w:type="spellStart"/>
      <w:r w:rsidR="007B7D9B">
        <w:t>i</w:t>
      </w:r>
      <w:proofErr w:type="spellEnd"/>
      <w:r w:rsidR="007B7D9B">
        <w:t>) h</w:t>
      </w:r>
      <w:r w:rsidR="007B7D9B" w:rsidRPr="007B7D9B">
        <w:t>ome health episodes ending with patients' death</w:t>
      </w:r>
      <w:r w:rsidR="007B7D9B">
        <w:t xml:space="preserve">, (ii) </w:t>
      </w:r>
      <w:r w:rsidR="007B7D9B" w:rsidRPr="007B7D9B">
        <w:t>Home health episodes for patients for whom formal assessment indicates the patient was NOT at risk of developing pressure ulcers at or since the last OASIS assessment prior to transfer or discharge</w:t>
      </w:r>
      <w:r w:rsidR="007B7D9B">
        <w:t>.</w:t>
      </w:r>
    </w:p>
    <w:p w14:paraId="6712F833" w14:textId="00A4797B" w:rsidR="00457236" w:rsidRDefault="00BA2BF6" w:rsidP="00A23CE2">
      <w:r>
        <w:lastRenderedPageBreak/>
        <w:t>The Abt Associates team</w:t>
      </w:r>
      <w:r w:rsidR="00457236">
        <w:t xml:space="preserve"> calculated the frequency of the excl</w:t>
      </w:r>
      <w:r w:rsidR="005221FD">
        <w:t>usions that are specific to the</w:t>
      </w:r>
      <w:r w:rsidR="005221FD" w:rsidRPr="005221FD">
        <w:rPr>
          <w:i/>
        </w:rPr>
        <w:t xml:space="preserve"> </w:t>
      </w:r>
      <w:r w:rsidR="007B7D9B">
        <w:rPr>
          <w:i/>
        </w:rPr>
        <w:t>Pressure Ulcer Prevention and Care</w:t>
      </w:r>
      <w:r w:rsidR="007B7D9B" w:rsidRPr="005221FD">
        <w:rPr>
          <w:i/>
        </w:rPr>
        <w:t xml:space="preserve"> </w:t>
      </w:r>
      <w:r w:rsidR="00457236">
        <w:t xml:space="preserve">measure, by exclusion type.  </w:t>
      </w:r>
    </w:p>
    <w:p w14:paraId="5DC8B5D6" w14:textId="77777777" w:rsidR="00A93E0E" w:rsidRDefault="00092566" w:rsidP="00A93E0E">
      <w:pPr>
        <w:spacing w:after="0"/>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77F4AF80" w14:textId="77777777" w:rsidR="00911B72" w:rsidRDefault="00911B72" w:rsidP="00911B72">
      <w:pPr>
        <w:spacing w:after="0"/>
        <w:jc w:val="center"/>
        <w:rPr>
          <w:b/>
        </w:rPr>
      </w:pPr>
      <w:r w:rsidRPr="0032079E">
        <w:rPr>
          <w:b/>
        </w:rPr>
        <w:t xml:space="preserve">Measure </w:t>
      </w:r>
      <w:r>
        <w:rPr>
          <w:b/>
        </w:rPr>
        <w:t>Denominator Exclusion, July 201</w:t>
      </w:r>
      <w:r w:rsidR="00F31FDE">
        <w:rPr>
          <w:b/>
        </w:rPr>
        <w:t>3</w:t>
      </w:r>
      <w:r w:rsidRPr="0032079E">
        <w:rPr>
          <w:b/>
        </w:rPr>
        <w:t xml:space="preserve"> – June 201</w:t>
      </w:r>
      <w:r w:rsidR="00F31FDE">
        <w:rPr>
          <w:b/>
        </w:rPr>
        <w:t>4</w:t>
      </w:r>
    </w:p>
    <w:p w14:paraId="00FDBCC3" w14:textId="77777777" w:rsidR="00531183" w:rsidRDefault="00531183" w:rsidP="00911B72">
      <w:pPr>
        <w:spacing w:after="0"/>
        <w:jc w:val="center"/>
        <w:rPr>
          <w:b/>
        </w:rPr>
      </w:pPr>
    </w:p>
    <w:p w14:paraId="213F30AD" w14:textId="77777777" w:rsidR="006E31F3" w:rsidRPr="00531183" w:rsidRDefault="00531183" w:rsidP="00911B72">
      <w:pPr>
        <w:spacing w:after="0"/>
        <w:jc w:val="center"/>
        <w:rPr>
          <w:b/>
          <w:i/>
        </w:rPr>
      </w:pPr>
      <w:r w:rsidRPr="00531183">
        <w:rPr>
          <w:b/>
          <w:i/>
        </w:rPr>
        <w:t>Prevention in Plan of Care Measure</w:t>
      </w:r>
    </w:p>
    <w:p w14:paraId="103B1A4B" w14:textId="77777777" w:rsidR="00531183" w:rsidRDefault="00531183" w:rsidP="00911B72">
      <w:pPr>
        <w:spacing w:after="0"/>
        <w:jc w:val="center"/>
        <w:rPr>
          <w:b/>
        </w:rPr>
      </w:pPr>
    </w:p>
    <w:tbl>
      <w:tblPr>
        <w:tblW w:w="8149" w:type="dxa"/>
        <w:jc w:val="center"/>
        <w:tblCellMar>
          <w:left w:w="0" w:type="dxa"/>
          <w:right w:w="0" w:type="dxa"/>
        </w:tblCellMar>
        <w:tblLook w:val="04A0" w:firstRow="1" w:lastRow="0" w:firstColumn="1" w:lastColumn="0" w:noHBand="0" w:noVBand="1"/>
      </w:tblPr>
      <w:tblGrid>
        <w:gridCol w:w="4750"/>
        <w:gridCol w:w="1149"/>
        <w:gridCol w:w="1170"/>
        <w:gridCol w:w="1080"/>
      </w:tblGrid>
      <w:tr w:rsidR="00911B72" w:rsidRPr="0032079E" w14:paraId="4EDFB6AC" w14:textId="77777777" w:rsidTr="00B41855">
        <w:trPr>
          <w:trHeight w:val="50"/>
          <w:jc w:val="center"/>
        </w:trPr>
        <w:tc>
          <w:tcPr>
            <w:tcW w:w="4750" w:type="dxa"/>
            <w:tcBorders>
              <w:top w:val="single" w:sz="4" w:space="0" w:color="auto"/>
              <w:left w:val="single" w:sz="4" w:space="0" w:color="auto"/>
              <w:bottom w:val="single" w:sz="4" w:space="0" w:color="auto"/>
              <w:right w:val="single" w:sz="4" w:space="0" w:color="auto"/>
            </w:tcBorders>
            <w:shd w:val="clear" w:color="auto" w:fill="CDECFF"/>
            <w:tcMar>
              <w:top w:w="15" w:type="dxa"/>
              <w:left w:w="108" w:type="dxa"/>
              <w:bottom w:w="0" w:type="dxa"/>
              <w:right w:w="108" w:type="dxa"/>
            </w:tcMar>
            <w:vAlign w:val="center"/>
            <w:hideMark/>
          </w:tcPr>
          <w:p w14:paraId="466C6C20" w14:textId="77777777" w:rsidR="00911B72" w:rsidRPr="0032079E" w:rsidRDefault="00531183" w:rsidP="00D35804">
            <w:pPr>
              <w:spacing w:after="0"/>
              <w:jc w:val="center"/>
              <w:rPr>
                <w:b/>
              </w:rPr>
            </w:pPr>
            <w:r>
              <w:rPr>
                <w:b/>
              </w:rPr>
              <w:t>H</w:t>
            </w:r>
            <w:r w:rsidR="00911B72" w:rsidRPr="0032079E">
              <w:rPr>
                <w:b/>
              </w:rPr>
              <w:t>ome Health Stays</w:t>
            </w:r>
          </w:p>
        </w:tc>
        <w:tc>
          <w:tcPr>
            <w:tcW w:w="1149" w:type="dxa"/>
            <w:tcBorders>
              <w:top w:val="single" w:sz="4" w:space="0" w:color="auto"/>
              <w:left w:val="single" w:sz="4" w:space="0" w:color="auto"/>
              <w:bottom w:val="single" w:sz="4" w:space="0" w:color="auto"/>
              <w:right w:val="single" w:sz="4" w:space="0" w:color="auto"/>
            </w:tcBorders>
            <w:shd w:val="clear" w:color="auto" w:fill="CDECFF"/>
            <w:vAlign w:val="center"/>
          </w:tcPr>
          <w:p w14:paraId="487CE4A6" w14:textId="77777777" w:rsidR="00911B72" w:rsidRPr="0032079E" w:rsidRDefault="00911B72" w:rsidP="00B41855">
            <w:pPr>
              <w:spacing w:after="0"/>
              <w:jc w:val="center"/>
              <w:rPr>
                <w:b/>
              </w:rPr>
            </w:pPr>
            <w:r w:rsidRPr="0032079E">
              <w:rPr>
                <w:b/>
              </w:rPr>
              <w:t xml:space="preserve"># of </w:t>
            </w:r>
            <w:r w:rsidR="00B41855">
              <w:rPr>
                <w:b/>
              </w:rPr>
              <w:t>Episodes</w:t>
            </w:r>
            <w:r w:rsidRPr="0032079E">
              <w:rPr>
                <w:b/>
              </w:rPr>
              <w:t xml:space="preserve"> Excluded</w:t>
            </w:r>
          </w:p>
        </w:tc>
        <w:tc>
          <w:tcPr>
            <w:tcW w:w="1170" w:type="dxa"/>
            <w:tcBorders>
              <w:top w:val="single" w:sz="4" w:space="0" w:color="auto"/>
              <w:left w:val="single" w:sz="4" w:space="0" w:color="auto"/>
              <w:bottom w:val="single" w:sz="4" w:space="0" w:color="auto"/>
              <w:right w:val="single" w:sz="4" w:space="0" w:color="auto"/>
            </w:tcBorders>
            <w:shd w:val="clear" w:color="auto" w:fill="CDECFF"/>
          </w:tcPr>
          <w:p w14:paraId="7A5C8E5E" w14:textId="77777777" w:rsidR="00911B72" w:rsidRPr="0032079E" w:rsidRDefault="00911B72" w:rsidP="00B41855">
            <w:pPr>
              <w:spacing w:after="0"/>
              <w:jc w:val="center"/>
              <w:rPr>
                <w:b/>
              </w:rPr>
            </w:pPr>
            <w:r w:rsidRPr="0032079E">
              <w:rPr>
                <w:b/>
              </w:rPr>
              <w:t xml:space="preserve">% of </w:t>
            </w:r>
            <w:r w:rsidR="00B41855">
              <w:rPr>
                <w:b/>
              </w:rPr>
              <w:t>Episodes</w:t>
            </w:r>
            <w:r w:rsidRPr="0032079E">
              <w:rPr>
                <w:b/>
              </w:rPr>
              <w:t xml:space="preserve"> Excluded</w:t>
            </w:r>
          </w:p>
        </w:tc>
        <w:tc>
          <w:tcPr>
            <w:tcW w:w="1080" w:type="dxa"/>
            <w:tcBorders>
              <w:top w:val="single" w:sz="4" w:space="0" w:color="auto"/>
              <w:left w:val="single" w:sz="4" w:space="0" w:color="auto"/>
              <w:bottom w:val="single" w:sz="4" w:space="0" w:color="auto"/>
              <w:right w:val="single" w:sz="4" w:space="0" w:color="auto"/>
            </w:tcBorders>
            <w:shd w:val="clear" w:color="auto" w:fill="CDECFF"/>
            <w:vAlign w:val="center"/>
          </w:tcPr>
          <w:p w14:paraId="4BCE92BA" w14:textId="77777777" w:rsidR="00911B72" w:rsidRPr="0032079E" w:rsidRDefault="00B41855" w:rsidP="00D35804">
            <w:pPr>
              <w:spacing w:after="0"/>
              <w:jc w:val="center"/>
              <w:rPr>
                <w:b/>
              </w:rPr>
            </w:pPr>
            <w:r>
              <w:rPr>
                <w:b/>
              </w:rPr>
              <w:t># of Episodes</w:t>
            </w:r>
            <w:r w:rsidR="00911B72" w:rsidRPr="0032079E">
              <w:rPr>
                <w:b/>
              </w:rPr>
              <w:t xml:space="preserve"> Remaining</w:t>
            </w:r>
          </w:p>
        </w:tc>
      </w:tr>
      <w:tr w:rsidR="00911B72" w:rsidRPr="0032079E" w14:paraId="0AC0F529" w14:textId="77777777" w:rsidTr="00B41855">
        <w:trPr>
          <w:trHeight w:val="50"/>
          <w:jc w:val="center"/>
        </w:trPr>
        <w:tc>
          <w:tcPr>
            <w:tcW w:w="475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bottom"/>
          </w:tcPr>
          <w:p w14:paraId="776FBACC" w14:textId="77777777" w:rsidR="00911B72" w:rsidRPr="0032079E" w:rsidRDefault="00911B72" w:rsidP="00D35804">
            <w:pPr>
              <w:spacing w:after="0"/>
              <w:rPr>
                <w:b/>
              </w:rPr>
            </w:pPr>
            <w:r w:rsidRPr="0032079E">
              <w:t xml:space="preserve">A. </w:t>
            </w:r>
            <w:r>
              <w:t>All home health episodes</w:t>
            </w:r>
          </w:p>
        </w:tc>
        <w:tc>
          <w:tcPr>
            <w:tcW w:w="1149" w:type="dxa"/>
            <w:tcBorders>
              <w:top w:val="single" w:sz="4" w:space="0" w:color="auto"/>
              <w:left w:val="single" w:sz="4" w:space="0" w:color="auto"/>
              <w:bottom w:val="single" w:sz="4" w:space="0" w:color="auto"/>
              <w:right w:val="single" w:sz="4" w:space="0" w:color="auto"/>
            </w:tcBorders>
            <w:vAlign w:val="center"/>
          </w:tcPr>
          <w:p w14:paraId="145E2DE8" w14:textId="77777777" w:rsidR="00911B72" w:rsidRPr="009E3056" w:rsidRDefault="00911B72" w:rsidP="00D35804">
            <w:pPr>
              <w:spacing w:after="0"/>
              <w:jc w:val="center"/>
            </w:pPr>
            <w:r w:rsidRPr="009E3056">
              <w:t>N/A</w:t>
            </w:r>
          </w:p>
        </w:tc>
        <w:tc>
          <w:tcPr>
            <w:tcW w:w="1170" w:type="dxa"/>
            <w:tcBorders>
              <w:top w:val="single" w:sz="4" w:space="0" w:color="auto"/>
              <w:left w:val="single" w:sz="4" w:space="0" w:color="auto"/>
              <w:bottom w:val="single" w:sz="4" w:space="0" w:color="auto"/>
              <w:right w:val="single" w:sz="4" w:space="0" w:color="auto"/>
            </w:tcBorders>
            <w:vAlign w:val="center"/>
          </w:tcPr>
          <w:p w14:paraId="7C13D241" w14:textId="77777777" w:rsidR="00911B72" w:rsidRPr="009E3056" w:rsidRDefault="00911B72" w:rsidP="00D35804">
            <w:pPr>
              <w:spacing w:after="0"/>
              <w:jc w:val="center"/>
            </w:pPr>
            <w:r w:rsidRPr="009E3056">
              <w:t>N/A</w:t>
            </w:r>
          </w:p>
        </w:tc>
        <w:tc>
          <w:tcPr>
            <w:tcW w:w="1080" w:type="dxa"/>
            <w:tcBorders>
              <w:top w:val="single" w:sz="4" w:space="0" w:color="auto"/>
              <w:left w:val="single" w:sz="4" w:space="0" w:color="auto"/>
              <w:bottom w:val="single" w:sz="4" w:space="0" w:color="auto"/>
              <w:right w:val="single" w:sz="4" w:space="0" w:color="auto"/>
            </w:tcBorders>
            <w:vAlign w:val="center"/>
          </w:tcPr>
          <w:p w14:paraId="1F75F190" w14:textId="77777777" w:rsidR="00911B72" w:rsidRPr="009E3056" w:rsidRDefault="00F31FDE" w:rsidP="00F31FDE">
            <w:pPr>
              <w:spacing w:after="0"/>
              <w:jc w:val="center"/>
            </w:pPr>
            <w:r>
              <w:t>5</w:t>
            </w:r>
            <w:r w:rsidR="00B41855" w:rsidRPr="009E3056">
              <w:t>,</w:t>
            </w:r>
            <w:r>
              <w:t>906</w:t>
            </w:r>
            <w:r w:rsidR="00B41855" w:rsidRPr="009E3056">
              <w:t>,0</w:t>
            </w:r>
            <w:r>
              <w:t>07</w:t>
            </w:r>
          </w:p>
        </w:tc>
      </w:tr>
      <w:tr w:rsidR="00911B72" w:rsidRPr="0032079E" w14:paraId="06023399" w14:textId="77777777" w:rsidTr="00B41855">
        <w:trPr>
          <w:trHeight w:val="50"/>
          <w:jc w:val="center"/>
        </w:trPr>
        <w:tc>
          <w:tcPr>
            <w:tcW w:w="475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bottom"/>
          </w:tcPr>
          <w:p w14:paraId="2789E330" w14:textId="77777777" w:rsidR="00911B72" w:rsidRPr="0032079E" w:rsidRDefault="00911B72" w:rsidP="00531183">
            <w:pPr>
              <w:spacing w:after="0"/>
            </w:pPr>
            <w:r w:rsidRPr="0032079E">
              <w:t xml:space="preserve">B. </w:t>
            </w:r>
            <w:r w:rsidR="00531183" w:rsidRPr="00531183">
              <w:t>Home health episodes for patients for whom a formal assessment indicated the patient was not at risk of developing pressure ulcers at start/resumption of care.</w:t>
            </w:r>
          </w:p>
        </w:tc>
        <w:tc>
          <w:tcPr>
            <w:tcW w:w="1149" w:type="dxa"/>
            <w:tcBorders>
              <w:top w:val="single" w:sz="4" w:space="0" w:color="auto"/>
              <w:left w:val="single" w:sz="4" w:space="0" w:color="auto"/>
              <w:bottom w:val="single" w:sz="4" w:space="0" w:color="auto"/>
              <w:right w:val="single" w:sz="4" w:space="0" w:color="auto"/>
            </w:tcBorders>
            <w:vAlign w:val="center"/>
          </w:tcPr>
          <w:p w14:paraId="6FDD723D" w14:textId="77777777" w:rsidR="00911B72" w:rsidRPr="009E3056" w:rsidRDefault="00531183" w:rsidP="00D35804">
            <w:pPr>
              <w:spacing w:after="0"/>
              <w:jc w:val="center"/>
            </w:pPr>
            <w:r w:rsidRPr="00531183">
              <w:t>3,295,680</w:t>
            </w:r>
          </w:p>
        </w:tc>
        <w:tc>
          <w:tcPr>
            <w:tcW w:w="1170" w:type="dxa"/>
            <w:tcBorders>
              <w:top w:val="single" w:sz="4" w:space="0" w:color="auto"/>
              <w:left w:val="single" w:sz="4" w:space="0" w:color="auto"/>
              <w:bottom w:val="single" w:sz="4" w:space="0" w:color="auto"/>
              <w:right w:val="single" w:sz="4" w:space="0" w:color="auto"/>
            </w:tcBorders>
            <w:vAlign w:val="center"/>
          </w:tcPr>
          <w:p w14:paraId="1D748B25" w14:textId="77777777" w:rsidR="00911B72" w:rsidRPr="009E3056" w:rsidRDefault="00531183" w:rsidP="00F31FDE">
            <w:pPr>
              <w:spacing w:after="0"/>
              <w:jc w:val="center"/>
            </w:pPr>
            <w:r w:rsidRPr="00531183">
              <w:t>56%</w:t>
            </w:r>
          </w:p>
        </w:tc>
        <w:tc>
          <w:tcPr>
            <w:tcW w:w="1080" w:type="dxa"/>
            <w:tcBorders>
              <w:top w:val="single" w:sz="4" w:space="0" w:color="auto"/>
              <w:left w:val="single" w:sz="4" w:space="0" w:color="auto"/>
              <w:bottom w:val="single" w:sz="4" w:space="0" w:color="auto"/>
              <w:right w:val="single" w:sz="4" w:space="0" w:color="auto"/>
            </w:tcBorders>
            <w:vAlign w:val="center"/>
          </w:tcPr>
          <w:p w14:paraId="1B0ABD05" w14:textId="77777777" w:rsidR="00911B72" w:rsidRPr="009E3056" w:rsidRDefault="00531183" w:rsidP="00F31FDE">
            <w:pPr>
              <w:spacing w:after="0"/>
              <w:jc w:val="center"/>
            </w:pPr>
            <w:r w:rsidRPr="00531183">
              <w:t>2,610,327</w:t>
            </w:r>
          </w:p>
        </w:tc>
      </w:tr>
    </w:tbl>
    <w:p w14:paraId="1D8232B3" w14:textId="77777777" w:rsidR="00F67500" w:rsidRDefault="00F67500" w:rsidP="00911B72">
      <w:pPr>
        <w:spacing w:after="0"/>
        <w:rPr>
          <w:rFonts w:cstheme="minorHAnsi"/>
          <w:bCs/>
        </w:rPr>
      </w:pPr>
    </w:p>
    <w:p w14:paraId="26DFC6C2" w14:textId="77777777" w:rsidR="00F67500" w:rsidRDefault="00531183" w:rsidP="00A93E0E">
      <w:pPr>
        <w:spacing w:after="0"/>
        <w:jc w:val="center"/>
        <w:rPr>
          <w:rFonts w:cstheme="minorHAnsi"/>
          <w:b/>
          <w:bCs/>
          <w:i/>
        </w:rPr>
      </w:pPr>
      <w:r w:rsidRPr="007E520E">
        <w:rPr>
          <w:rFonts w:cstheme="minorHAnsi"/>
          <w:b/>
          <w:bCs/>
          <w:i/>
        </w:rPr>
        <w:t>Prevention Implemented Measure</w:t>
      </w:r>
    </w:p>
    <w:p w14:paraId="71D8D01F" w14:textId="77777777" w:rsidR="007E520E" w:rsidRDefault="007E520E" w:rsidP="00A93E0E">
      <w:pPr>
        <w:spacing w:after="0"/>
        <w:jc w:val="center"/>
        <w:rPr>
          <w:rFonts w:cstheme="minorHAnsi"/>
          <w:b/>
          <w:bCs/>
          <w:i/>
        </w:rPr>
      </w:pPr>
    </w:p>
    <w:tbl>
      <w:tblPr>
        <w:tblW w:w="8149" w:type="dxa"/>
        <w:jc w:val="center"/>
        <w:tblCellMar>
          <w:left w:w="0" w:type="dxa"/>
          <w:right w:w="0" w:type="dxa"/>
        </w:tblCellMar>
        <w:tblLook w:val="04A0" w:firstRow="1" w:lastRow="0" w:firstColumn="1" w:lastColumn="0" w:noHBand="0" w:noVBand="1"/>
      </w:tblPr>
      <w:tblGrid>
        <w:gridCol w:w="4750"/>
        <w:gridCol w:w="1149"/>
        <w:gridCol w:w="1170"/>
        <w:gridCol w:w="1080"/>
      </w:tblGrid>
      <w:tr w:rsidR="007E520E" w:rsidRPr="0032079E" w14:paraId="07C4A334" w14:textId="77777777" w:rsidTr="00733E1D">
        <w:trPr>
          <w:trHeight w:val="50"/>
          <w:jc w:val="center"/>
        </w:trPr>
        <w:tc>
          <w:tcPr>
            <w:tcW w:w="4750" w:type="dxa"/>
            <w:tcBorders>
              <w:top w:val="single" w:sz="4" w:space="0" w:color="auto"/>
              <w:left w:val="single" w:sz="4" w:space="0" w:color="auto"/>
              <w:bottom w:val="single" w:sz="4" w:space="0" w:color="auto"/>
              <w:right w:val="single" w:sz="4" w:space="0" w:color="auto"/>
            </w:tcBorders>
            <w:shd w:val="clear" w:color="auto" w:fill="CDECFF"/>
            <w:tcMar>
              <w:top w:w="15" w:type="dxa"/>
              <w:left w:w="108" w:type="dxa"/>
              <w:bottom w:w="0" w:type="dxa"/>
              <w:right w:w="108" w:type="dxa"/>
            </w:tcMar>
            <w:vAlign w:val="center"/>
            <w:hideMark/>
          </w:tcPr>
          <w:p w14:paraId="25B538B0" w14:textId="77777777" w:rsidR="007E520E" w:rsidRPr="0032079E" w:rsidRDefault="007E520E" w:rsidP="00733E1D">
            <w:pPr>
              <w:spacing w:after="0"/>
              <w:jc w:val="center"/>
              <w:rPr>
                <w:b/>
              </w:rPr>
            </w:pPr>
            <w:r>
              <w:rPr>
                <w:b/>
              </w:rPr>
              <w:t>H</w:t>
            </w:r>
            <w:r w:rsidRPr="0032079E">
              <w:rPr>
                <w:b/>
              </w:rPr>
              <w:t>ome Health Stays</w:t>
            </w:r>
          </w:p>
        </w:tc>
        <w:tc>
          <w:tcPr>
            <w:tcW w:w="1149" w:type="dxa"/>
            <w:tcBorders>
              <w:top w:val="single" w:sz="4" w:space="0" w:color="auto"/>
              <w:left w:val="single" w:sz="4" w:space="0" w:color="auto"/>
              <w:bottom w:val="single" w:sz="4" w:space="0" w:color="auto"/>
              <w:right w:val="single" w:sz="4" w:space="0" w:color="auto"/>
            </w:tcBorders>
            <w:shd w:val="clear" w:color="auto" w:fill="CDECFF"/>
            <w:vAlign w:val="center"/>
          </w:tcPr>
          <w:p w14:paraId="344C827E" w14:textId="77777777" w:rsidR="007E520E" w:rsidRPr="0032079E" w:rsidRDefault="007E520E" w:rsidP="00733E1D">
            <w:pPr>
              <w:spacing w:after="0"/>
              <w:jc w:val="center"/>
              <w:rPr>
                <w:b/>
              </w:rPr>
            </w:pPr>
            <w:r w:rsidRPr="0032079E">
              <w:rPr>
                <w:b/>
              </w:rPr>
              <w:t xml:space="preserve"># of </w:t>
            </w:r>
            <w:r>
              <w:rPr>
                <w:b/>
              </w:rPr>
              <w:t>Episodes</w:t>
            </w:r>
            <w:r w:rsidRPr="0032079E">
              <w:rPr>
                <w:b/>
              </w:rPr>
              <w:t xml:space="preserve"> Excluded</w:t>
            </w:r>
          </w:p>
        </w:tc>
        <w:tc>
          <w:tcPr>
            <w:tcW w:w="1170" w:type="dxa"/>
            <w:tcBorders>
              <w:top w:val="single" w:sz="4" w:space="0" w:color="auto"/>
              <w:left w:val="single" w:sz="4" w:space="0" w:color="auto"/>
              <w:bottom w:val="single" w:sz="4" w:space="0" w:color="auto"/>
              <w:right w:val="single" w:sz="4" w:space="0" w:color="auto"/>
            </w:tcBorders>
            <w:shd w:val="clear" w:color="auto" w:fill="CDECFF"/>
          </w:tcPr>
          <w:p w14:paraId="7636EB58" w14:textId="77777777" w:rsidR="007E520E" w:rsidRPr="0032079E" w:rsidRDefault="007E520E" w:rsidP="00733E1D">
            <w:pPr>
              <w:spacing w:after="0"/>
              <w:jc w:val="center"/>
              <w:rPr>
                <w:b/>
              </w:rPr>
            </w:pPr>
            <w:r w:rsidRPr="0032079E">
              <w:rPr>
                <w:b/>
              </w:rPr>
              <w:t xml:space="preserve">% of </w:t>
            </w:r>
            <w:r>
              <w:rPr>
                <w:b/>
              </w:rPr>
              <w:t>Episodes</w:t>
            </w:r>
            <w:r w:rsidRPr="0032079E">
              <w:rPr>
                <w:b/>
              </w:rPr>
              <w:t xml:space="preserve"> Excluded</w:t>
            </w:r>
          </w:p>
        </w:tc>
        <w:tc>
          <w:tcPr>
            <w:tcW w:w="1080" w:type="dxa"/>
            <w:tcBorders>
              <w:top w:val="single" w:sz="4" w:space="0" w:color="auto"/>
              <w:left w:val="single" w:sz="4" w:space="0" w:color="auto"/>
              <w:bottom w:val="single" w:sz="4" w:space="0" w:color="auto"/>
              <w:right w:val="single" w:sz="4" w:space="0" w:color="auto"/>
            </w:tcBorders>
            <w:shd w:val="clear" w:color="auto" w:fill="CDECFF"/>
            <w:vAlign w:val="center"/>
          </w:tcPr>
          <w:p w14:paraId="33EF8B6D" w14:textId="77777777" w:rsidR="007E520E" w:rsidRPr="0032079E" w:rsidRDefault="007E520E" w:rsidP="00733E1D">
            <w:pPr>
              <w:spacing w:after="0"/>
              <w:jc w:val="center"/>
              <w:rPr>
                <w:b/>
              </w:rPr>
            </w:pPr>
            <w:r>
              <w:rPr>
                <w:b/>
              </w:rPr>
              <w:t># of Episodes</w:t>
            </w:r>
            <w:r w:rsidRPr="0032079E">
              <w:rPr>
                <w:b/>
              </w:rPr>
              <w:t xml:space="preserve"> Remaining</w:t>
            </w:r>
          </w:p>
        </w:tc>
      </w:tr>
      <w:tr w:rsidR="007E520E" w:rsidRPr="0032079E" w14:paraId="12C07EBB" w14:textId="77777777" w:rsidTr="00733E1D">
        <w:trPr>
          <w:trHeight w:val="50"/>
          <w:jc w:val="center"/>
        </w:trPr>
        <w:tc>
          <w:tcPr>
            <w:tcW w:w="475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bottom"/>
          </w:tcPr>
          <w:p w14:paraId="1DB5A3C3" w14:textId="77777777" w:rsidR="007E520E" w:rsidRPr="0032079E" w:rsidRDefault="007E520E" w:rsidP="00733E1D">
            <w:pPr>
              <w:spacing w:after="0"/>
              <w:rPr>
                <w:b/>
              </w:rPr>
            </w:pPr>
            <w:r w:rsidRPr="0032079E">
              <w:t xml:space="preserve">A. </w:t>
            </w:r>
            <w:r>
              <w:t>All home health episodes</w:t>
            </w:r>
          </w:p>
        </w:tc>
        <w:tc>
          <w:tcPr>
            <w:tcW w:w="1149" w:type="dxa"/>
            <w:tcBorders>
              <w:top w:val="single" w:sz="4" w:space="0" w:color="auto"/>
              <w:left w:val="single" w:sz="4" w:space="0" w:color="auto"/>
              <w:bottom w:val="single" w:sz="4" w:space="0" w:color="auto"/>
              <w:right w:val="single" w:sz="4" w:space="0" w:color="auto"/>
            </w:tcBorders>
            <w:vAlign w:val="center"/>
          </w:tcPr>
          <w:p w14:paraId="5C582736" w14:textId="77777777" w:rsidR="007E520E" w:rsidRPr="009E3056" w:rsidRDefault="007E520E" w:rsidP="00733E1D">
            <w:pPr>
              <w:spacing w:after="0"/>
              <w:jc w:val="center"/>
            </w:pPr>
            <w:r w:rsidRPr="009E3056">
              <w:t>N/A</w:t>
            </w:r>
          </w:p>
        </w:tc>
        <w:tc>
          <w:tcPr>
            <w:tcW w:w="1170" w:type="dxa"/>
            <w:tcBorders>
              <w:top w:val="single" w:sz="4" w:space="0" w:color="auto"/>
              <w:left w:val="single" w:sz="4" w:space="0" w:color="auto"/>
              <w:bottom w:val="single" w:sz="4" w:space="0" w:color="auto"/>
              <w:right w:val="single" w:sz="4" w:space="0" w:color="auto"/>
            </w:tcBorders>
            <w:vAlign w:val="center"/>
          </w:tcPr>
          <w:p w14:paraId="3CE52560" w14:textId="77777777" w:rsidR="007E520E" w:rsidRPr="009E3056" w:rsidRDefault="007E520E" w:rsidP="00733E1D">
            <w:pPr>
              <w:spacing w:after="0"/>
              <w:jc w:val="center"/>
            </w:pPr>
            <w:r w:rsidRPr="009E3056">
              <w:t>N/A</w:t>
            </w:r>
          </w:p>
        </w:tc>
        <w:tc>
          <w:tcPr>
            <w:tcW w:w="1080" w:type="dxa"/>
            <w:tcBorders>
              <w:top w:val="single" w:sz="4" w:space="0" w:color="auto"/>
              <w:left w:val="single" w:sz="4" w:space="0" w:color="auto"/>
              <w:bottom w:val="single" w:sz="4" w:space="0" w:color="auto"/>
              <w:right w:val="single" w:sz="4" w:space="0" w:color="auto"/>
            </w:tcBorders>
            <w:vAlign w:val="center"/>
          </w:tcPr>
          <w:p w14:paraId="3DD796C9" w14:textId="77777777" w:rsidR="007E520E" w:rsidRPr="009E3056" w:rsidRDefault="007E520E" w:rsidP="00733E1D">
            <w:pPr>
              <w:spacing w:after="0"/>
              <w:jc w:val="center"/>
            </w:pPr>
            <w:r>
              <w:t>5</w:t>
            </w:r>
            <w:r w:rsidRPr="009E3056">
              <w:t>,</w:t>
            </w:r>
            <w:r>
              <w:t>906</w:t>
            </w:r>
            <w:r w:rsidRPr="009E3056">
              <w:t>,0</w:t>
            </w:r>
            <w:r>
              <w:t>07</w:t>
            </w:r>
          </w:p>
        </w:tc>
      </w:tr>
      <w:tr w:rsidR="007E520E" w:rsidRPr="0032079E" w14:paraId="44D9D3A2" w14:textId="77777777" w:rsidTr="00733E1D">
        <w:trPr>
          <w:trHeight w:val="50"/>
          <w:jc w:val="center"/>
        </w:trPr>
        <w:tc>
          <w:tcPr>
            <w:tcW w:w="475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bottom"/>
          </w:tcPr>
          <w:p w14:paraId="7DCA7A03" w14:textId="77777777" w:rsidR="007E520E" w:rsidRPr="0032079E" w:rsidRDefault="007E520E" w:rsidP="00733E1D">
            <w:pPr>
              <w:spacing w:after="0"/>
            </w:pPr>
            <w:r w:rsidRPr="0032079E">
              <w:t xml:space="preserve">B. </w:t>
            </w:r>
            <w:r w:rsidRPr="007E520E">
              <w:t>Home health episodes ending with patients' death.</w:t>
            </w:r>
          </w:p>
        </w:tc>
        <w:tc>
          <w:tcPr>
            <w:tcW w:w="1149" w:type="dxa"/>
            <w:tcBorders>
              <w:top w:val="single" w:sz="4" w:space="0" w:color="auto"/>
              <w:left w:val="single" w:sz="4" w:space="0" w:color="auto"/>
              <w:bottom w:val="single" w:sz="4" w:space="0" w:color="auto"/>
              <w:right w:val="single" w:sz="4" w:space="0" w:color="auto"/>
            </w:tcBorders>
            <w:vAlign w:val="center"/>
          </w:tcPr>
          <w:p w14:paraId="5BB7BA20" w14:textId="77777777" w:rsidR="007E520E" w:rsidRPr="009E3056" w:rsidRDefault="007E520E" w:rsidP="00733E1D">
            <w:pPr>
              <w:spacing w:after="0"/>
              <w:jc w:val="center"/>
            </w:pPr>
            <w:r w:rsidRPr="007E520E">
              <w:t>35</w:t>
            </w:r>
            <w:r>
              <w:t>,</w:t>
            </w:r>
            <w:r w:rsidRPr="007E520E">
              <w:t>139</w:t>
            </w:r>
          </w:p>
        </w:tc>
        <w:tc>
          <w:tcPr>
            <w:tcW w:w="1170" w:type="dxa"/>
            <w:tcBorders>
              <w:top w:val="single" w:sz="4" w:space="0" w:color="auto"/>
              <w:left w:val="single" w:sz="4" w:space="0" w:color="auto"/>
              <w:bottom w:val="single" w:sz="4" w:space="0" w:color="auto"/>
              <w:right w:val="single" w:sz="4" w:space="0" w:color="auto"/>
            </w:tcBorders>
            <w:vAlign w:val="center"/>
          </w:tcPr>
          <w:p w14:paraId="326C5357" w14:textId="77777777" w:rsidR="007E520E" w:rsidRPr="009E3056" w:rsidRDefault="007E520E" w:rsidP="00733E1D">
            <w:pPr>
              <w:spacing w:after="0"/>
              <w:jc w:val="center"/>
            </w:pPr>
            <w:r>
              <w:t>1</w:t>
            </w:r>
            <w:r w:rsidRPr="00531183">
              <w:t>%</w:t>
            </w:r>
          </w:p>
        </w:tc>
        <w:tc>
          <w:tcPr>
            <w:tcW w:w="1080" w:type="dxa"/>
            <w:tcBorders>
              <w:top w:val="single" w:sz="4" w:space="0" w:color="auto"/>
              <w:left w:val="single" w:sz="4" w:space="0" w:color="auto"/>
              <w:bottom w:val="single" w:sz="4" w:space="0" w:color="auto"/>
              <w:right w:val="single" w:sz="4" w:space="0" w:color="auto"/>
            </w:tcBorders>
            <w:vAlign w:val="center"/>
          </w:tcPr>
          <w:p w14:paraId="00C5F1CC" w14:textId="77777777" w:rsidR="007E520E" w:rsidRPr="009E3056" w:rsidRDefault="007E520E" w:rsidP="00733E1D">
            <w:pPr>
              <w:spacing w:after="0"/>
              <w:jc w:val="center"/>
            </w:pPr>
            <w:r w:rsidRPr="007E520E">
              <w:t>5,870,868</w:t>
            </w:r>
          </w:p>
        </w:tc>
      </w:tr>
      <w:tr w:rsidR="007E520E" w:rsidRPr="0032079E" w14:paraId="37D1A996" w14:textId="77777777" w:rsidTr="00733E1D">
        <w:trPr>
          <w:trHeight w:val="50"/>
          <w:jc w:val="center"/>
        </w:trPr>
        <w:tc>
          <w:tcPr>
            <w:tcW w:w="475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bottom"/>
          </w:tcPr>
          <w:p w14:paraId="7398D45A" w14:textId="77777777" w:rsidR="007E520E" w:rsidRPr="0032079E" w:rsidRDefault="007E520E" w:rsidP="00733E1D">
            <w:pPr>
              <w:spacing w:after="0"/>
            </w:pPr>
            <w:r w:rsidRPr="007E520E">
              <w:t>C. Home health episodes for patients for whom formal assessment indicates the patient was NOT at risk of developing pressure ulcers at or since the last OASIS assessment prior to transfer or discharge.</w:t>
            </w:r>
          </w:p>
        </w:tc>
        <w:tc>
          <w:tcPr>
            <w:tcW w:w="1149" w:type="dxa"/>
            <w:tcBorders>
              <w:top w:val="single" w:sz="4" w:space="0" w:color="auto"/>
              <w:left w:val="single" w:sz="4" w:space="0" w:color="auto"/>
              <w:bottom w:val="single" w:sz="4" w:space="0" w:color="auto"/>
              <w:right w:val="single" w:sz="4" w:space="0" w:color="auto"/>
            </w:tcBorders>
            <w:vAlign w:val="center"/>
          </w:tcPr>
          <w:p w14:paraId="49177895" w14:textId="77777777" w:rsidR="007E520E" w:rsidRPr="00531183" w:rsidRDefault="007E520E" w:rsidP="00733E1D">
            <w:pPr>
              <w:spacing w:after="0"/>
              <w:jc w:val="center"/>
            </w:pPr>
            <w:r w:rsidRPr="007E520E">
              <w:t>3,354,924</w:t>
            </w:r>
          </w:p>
        </w:tc>
        <w:tc>
          <w:tcPr>
            <w:tcW w:w="1170" w:type="dxa"/>
            <w:tcBorders>
              <w:top w:val="single" w:sz="4" w:space="0" w:color="auto"/>
              <w:left w:val="single" w:sz="4" w:space="0" w:color="auto"/>
              <w:bottom w:val="single" w:sz="4" w:space="0" w:color="auto"/>
              <w:right w:val="single" w:sz="4" w:space="0" w:color="auto"/>
            </w:tcBorders>
            <w:vAlign w:val="center"/>
          </w:tcPr>
          <w:p w14:paraId="2479B795" w14:textId="77777777" w:rsidR="007E520E" w:rsidRPr="00531183" w:rsidRDefault="007E520E" w:rsidP="00733E1D">
            <w:pPr>
              <w:spacing w:after="0"/>
              <w:jc w:val="center"/>
            </w:pPr>
            <w:r w:rsidRPr="007E520E">
              <w:t>57%</w:t>
            </w:r>
          </w:p>
        </w:tc>
        <w:tc>
          <w:tcPr>
            <w:tcW w:w="1080" w:type="dxa"/>
            <w:tcBorders>
              <w:top w:val="single" w:sz="4" w:space="0" w:color="auto"/>
              <w:left w:val="single" w:sz="4" w:space="0" w:color="auto"/>
              <w:bottom w:val="single" w:sz="4" w:space="0" w:color="auto"/>
              <w:right w:val="single" w:sz="4" w:space="0" w:color="auto"/>
            </w:tcBorders>
            <w:vAlign w:val="center"/>
          </w:tcPr>
          <w:p w14:paraId="6C84A598" w14:textId="77777777" w:rsidR="007E520E" w:rsidRPr="00531183" w:rsidRDefault="007E520E" w:rsidP="00733E1D">
            <w:pPr>
              <w:spacing w:after="0"/>
              <w:jc w:val="center"/>
            </w:pPr>
            <w:r w:rsidRPr="007E520E">
              <w:t>2,515,944</w:t>
            </w:r>
          </w:p>
        </w:tc>
      </w:tr>
    </w:tbl>
    <w:p w14:paraId="0163B298" w14:textId="77777777" w:rsidR="007E520E" w:rsidRPr="007E520E" w:rsidRDefault="007E520E" w:rsidP="00A93E0E">
      <w:pPr>
        <w:spacing w:after="0"/>
        <w:jc w:val="center"/>
        <w:rPr>
          <w:rFonts w:cstheme="minorHAnsi"/>
          <w:b/>
          <w:bCs/>
          <w:i/>
        </w:rPr>
      </w:pPr>
    </w:p>
    <w:p w14:paraId="68C70F30" w14:textId="77777777" w:rsidR="00A23CE2" w:rsidRDefault="00092566" w:rsidP="00EB30BF">
      <w:pPr>
        <w:rPr>
          <w:rFonts w:cstheme="minorHAnsi"/>
          <w:bCs/>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379E9774" w14:textId="77777777" w:rsidR="00457236" w:rsidRDefault="00457236" w:rsidP="00457236">
      <w:r>
        <w:t>All the measure exclusions are conceptually justified, so the measure developer did not conduct further statistical analyses to test the exclusions.  The remainder of this response</w:t>
      </w:r>
      <w:r w:rsidR="00CE4FC3">
        <w:t xml:space="preserve"> provides</w:t>
      </w:r>
      <w:r>
        <w:t xml:space="preserve"> </w:t>
      </w:r>
      <w:r w:rsidR="003022C2">
        <w:t>justifi</w:t>
      </w:r>
      <w:r w:rsidR="00CE4FC3">
        <w:t>cations for</w:t>
      </w:r>
      <w:r w:rsidR="003022C2">
        <w:t xml:space="preserve"> the</w:t>
      </w:r>
      <w:r>
        <w:t xml:space="preserve"> exclusions</w:t>
      </w:r>
      <w:r w:rsidR="003022C2">
        <w:t xml:space="preserve"> for the </w:t>
      </w:r>
      <w:r w:rsidR="007B7D9B">
        <w:rPr>
          <w:i/>
        </w:rPr>
        <w:t>Pressure Ulcer Prevention and Care</w:t>
      </w:r>
      <w:r w:rsidR="007B7D9B" w:rsidRPr="005221FD">
        <w:rPr>
          <w:i/>
        </w:rPr>
        <w:t xml:space="preserve"> </w:t>
      </w:r>
      <w:r w:rsidR="003022C2">
        <w:t>measure</w:t>
      </w:r>
      <w:r>
        <w:t xml:space="preserve">.   </w:t>
      </w:r>
    </w:p>
    <w:p w14:paraId="5A251B79" w14:textId="7D24C178" w:rsidR="00457236" w:rsidRDefault="00376DF0" w:rsidP="00457236">
      <w:r w:rsidRPr="007B7D9B">
        <w:lastRenderedPageBreak/>
        <w:t xml:space="preserve">Exclusions that are specific to the </w:t>
      </w:r>
      <w:r>
        <w:rPr>
          <w:i/>
        </w:rPr>
        <w:t>Pressure Ulcer Prevention and Care</w:t>
      </w:r>
      <w:r w:rsidRPr="005221FD">
        <w:rPr>
          <w:i/>
        </w:rPr>
        <w:t xml:space="preserve"> </w:t>
      </w:r>
      <w:r w:rsidRPr="007B7D9B">
        <w:t xml:space="preserve">measure </w:t>
      </w:r>
      <w:r>
        <w:t xml:space="preserve">are, for the </w:t>
      </w:r>
      <w:r w:rsidRPr="00EF0B4B">
        <w:rPr>
          <w:i/>
        </w:rPr>
        <w:t>Pressure Ulcer Risk Assessment measure</w:t>
      </w:r>
      <w:r>
        <w:t xml:space="preserve"> , none; for the </w:t>
      </w:r>
      <w:r w:rsidRPr="004A0DFA">
        <w:rPr>
          <w:i/>
        </w:rPr>
        <w:t>Prevention in Plan of Care</w:t>
      </w:r>
      <w:r w:rsidR="004A0DFA">
        <w:t xml:space="preserve"> m</w:t>
      </w:r>
      <w:r w:rsidRPr="00376DF0">
        <w:t xml:space="preserve">easure </w:t>
      </w:r>
      <w:r>
        <w:t>,  h</w:t>
      </w:r>
      <w:r w:rsidRPr="007B7D9B">
        <w:t>ome health episodes for patients for whom a formal assessment indicated the patient was not at risk of developing pressure ulc</w:t>
      </w:r>
      <w:r>
        <w:t>ers at start/resumption of care; for the</w:t>
      </w:r>
      <w:r w:rsidRPr="00376DF0">
        <w:t xml:space="preserve"> </w:t>
      </w:r>
      <w:r w:rsidRPr="004A0DFA">
        <w:rPr>
          <w:i/>
        </w:rPr>
        <w:t>Prevention Implemented</w:t>
      </w:r>
      <w:r w:rsidR="004A0DFA">
        <w:t xml:space="preserve"> m</w:t>
      </w:r>
      <w:r w:rsidRPr="00376DF0">
        <w:t>easure</w:t>
      </w:r>
      <w:r>
        <w:t xml:space="preserve"> , (</w:t>
      </w:r>
      <w:proofErr w:type="spellStart"/>
      <w:r>
        <w:t>i</w:t>
      </w:r>
      <w:proofErr w:type="spellEnd"/>
      <w:r>
        <w:t>) h</w:t>
      </w:r>
      <w:r w:rsidRPr="007B7D9B">
        <w:t>ome health episodes ending with patients' death</w:t>
      </w:r>
      <w:r>
        <w:t xml:space="preserve">, (ii) </w:t>
      </w:r>
      <w:r w:rsidRPr="007B7D9B">
        <w:t>Home health episodes for patients for whom formal assessment indicates the patient was NOT at risk of developing pressure ulcers at or since the last OASIS assessment prior to transfer or discharge</w:t>
      </w:r>
      <w:r>
        <w:t xml:space="preserve">. For the </w:t>
      </w:r>
      <w:r w:rsidRPr="004A0DFA">
        <w:rPr>
          <w:i/>
        </w:rPr>
        <w:t>Prevention in Plan of Care</w:t>
      </w:r>
      <w:r w:rsidRPr="00376DF0">
        <w:t xml:space="preserve"> </w:t>
      </w:r>
      <w:r w:rsidR="004A0DFA">
        <w:t>m</w:t>
      </w:r>
      <w:r w:rsidR="00496437" w:rsidRPr="00376DF0">
        <w:t>easure,</w:t>
      </w:r>
      <w:r>
        <w:t xml:space="preserve"> the exclusion of patients assessed not to be at risk of developing a pressure ulcer is justified because prevention measures are clinically unnecessary unless the patient’s condition indicates some level of risk of developing pressure </w:t>
      </w:r>
      <w:r w:rsidR="00CD5379">
        <w:t>ulcers. Similarly, e</w:t>
      </w:r>
      <w:r>
        <w:t xml:space="preserve">xclusion (ii) for the </w:t>
      </w:r>
      <w:r w:rsidRPr="004A0DFA">
        <w:rPr>
          <w:i/>
        </w:rPr>
        <w:t>Prevention Implemented</w:t>
      </w:r>
      <w:r w:rsidR="004A0DFA">
        <w:t xml:space="preserve"> m</w:t>
      </w:r>
      <w:r w:rsidRPr="00376DF0">
        <w:t>easure</w:t>
      </w:r>
      <w:r w:rsidR="00CD5379">
        <w:t xml:space="preserve"> is justified because prevention steps are clinically unnecessary unless risk factors for developing pressure ulcers are present. Exclusion (</w:t>
      </w:r>
      <w:proofErr w:type="spellStart"/>
      <w:r w:rsidR="00CD5379">
        <w:t>i</w:t>
      </w:r>
      <w:proofErr w:type="spellEnd"/>
      <w:r w:rsidR="00CD5379">
        <w:t xml:space="preserve">) is based on </w:t>
      </w:r>
      <w:r w:rsidR="00A851A6">
        <w:t xml:space="preserve">lack of data. Due to data collection burden considerations, providers are not required to document interventions for deceased patients. </w:t>
      </w:r>
    </w:p>
    <w:p w14:paraId="5C9BE518" w14:textId="77777777" w:rsidR="00A23CE2" w:rsidRPr="003F1CF9" w:rsidRDefault="00310BD2" w:rsidP="00A23CE2">
      <w:r>
        <w:t xml:space="preserve">The generic </w:t>
      </w:r>
      <w:r w:rsidRPr="007B7D9B">
        <w:t>exclusions for this measure include</w:t>
      </w:r>
      <w:r>
        <w:t>:</w:t>
      </w:r>
      <w:r w:rsidR="00A23CE2" w:rsidRPr="003F1CF9">
        <w:t xml:space="preserve"> </w:t>
      </w:r>
    </w:p>
    <w:p w14:paraId="63B0B863" w14:textId="27D8E5F2" w:rsidR="00A23CE2" w:rsidRPr="003F1CF9" w:rsidRDefault="00A23CE2" w:rsidP="00310BD2">
      <w:pPr>
        <w:pStyle w:val="ListParagraph"/>
        <w:numPr>
          <w:ilvl w:val="0"/>
          <w:numId w:val="29"/>
        </w:numPr>
      </w:pPr>
      <w:r w:rsidRPr="00310BD2">
        <w:rPr>
          <w:i/>
        </w:rPr>
        <w:t>Children And Maternity Patients</w:t>
      </w:r>
      <w:r w:rsidRPr="003F1CF9">
        <w:t xml:space="preserve"> - The OASIS data set items are designed to be collected for non-maternity, adult patients who are 18 years and older. Maternity patients, and patients less than 18 years of age are excluded.  </w:t>
      </w:r>
      <w:r w:rsidR="003954E9">
        <w:t xml:space="preserve">Children are a very small proportion of the caseload of most home health agencies, and they have significantly different clinical characteristics and care needs than the adult population. The OASIS data set was developed and tested exclusively for assessment of adult, non-maternity patients, and it’s appropriateness for other populations is not established. </w:t>
      </w:r>
    </w:p>
    <w:p w14:paraId="0D9E92AC" w14:textId="4C9E8F11" w:rsidR="00A23CE2" w:rsidRPr="003F1CF9" w:rsidRDefault="00A23CE2" w:rsidP="00310BD2">
      <w:pPr>
        <w:pStyle w:val="ListParagraph"/>
        <w:numPr>
          <w:ilvl w:val="0"/>
          <w:numId w:val="29"/>
        </w:numPr>
      </w:pPr>
      <w:r w:rsidRPr="00310BD2">
        <w:rPr>
          <w:i/>
        </w:rPr>
        <w:t>Non-Medicare/non-Medicaid Patients</w:t>
      </w:r>
      <w:r w:rsidRPr="003F1CF9">
        <w:t xml:space="preserve"> - Medicare-certified home health agencies are currently required </w:t>
      </w:r>
      <w:r w:rsidR="003954E9">
        <w:t xml:space="preserve">by regulation </w:t>
      </w:r>
      <w:r w:rsidRPr="003F1CF9">
        <w:t xml:space="preserve">to collect and submit OASIS data only on Medicare and Medicaid patients who are receiving skilled home health care.  </w:t>
      </w:r>
      <w:r w:rsidR="003954E9">
        <w:t xml:space="preserve">Therefore, data are only available for this population. Home health agencies are free to use OASIS data for non-Medicare/non-Medicaid patients for their own quality reporting and quality improvement purposes, but </w:t>
      </w:r>
      <w:r w:rsidR="00771501">
        <w:t xml:space="preserve">there is not national database </w:t>
      </w:r>
      <w:r w:rsidR="003954E9">
        <w:t>that could be used for reporting of comparative performance for all home health agencies.</w:t>
      </w:r>
    </w:p>
    <w:p w14:paraId="176D88C2" w14:textId="24F13C90" w:rsidR="00A23CE2" w:rsidRDefault="00A23CE2" w:rsidP="00310BD2">
      <w:pPr>
        <w:pStyle w:val="ListParagraph"/>
        <w:numPr>
          <w:ilvl w:val="0"/>
          <w:numId w:val="29"/>
        </w:numPr>
      </w:pPr>
      <w:r w:rsidRPr="00310BD2">
        <w:rPr>
          <w:i/>
        </w:rPr>
        <w:t xml:space="preserve">Small and new agencies </w:t>
      </w:r>
      <w:r w:rsidRPr="00A23CE2">
        <w:t>- The publicly-reported data on CMS’ Home Health Compare web site also repress cells with fewer than 20 observations, and reports for home health agencies in operation less than six months.</w:t>
      </w:r>
      <w:r w:rsidR="003954E9">
        <w:t xml:space="preserve"> These exclusions are justified based on statistical grounds. Measures based on a very small number of cases are extremely volatile and cannot be relied upon to reflect valid performance differences. </w:t>
      </w:r>
      <w:r w:rsidR="00FF2E83">
        <w:t>In addition, measures based on less than six months of data are susceptible to seasonal variation.</w:t>
      </w:r>
    </w:p>
    <w:p w14:paraId="60243DC3" w14:textId="77777777" w:rsidR="001202E9" w:rsidRPr="00A25024" w:rsidRDefault="0086464B" w:rsidP="00EB30BF">
      <w:pPr>
        <w:rPr>
          <w:rFonts w:cstheme="minorHAnsi"/>
          <w:bCs/>
        </w:rPr>
      </w:pPr>
      <w:r>
        <w:rPr>
          <w:rFonts w:cstheme="minorHAnsi"/>
          <w:bCs/>
        </w:rPr>
        <w:t>____________________________</w:t>
      </w:r>
    </w:p>
    <w:p w14:paraId="69624006" w14:textId="77777777"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 xml:space="preserve">2b4. RISK </w:t>
      </w:r>
      <w:r w:rsidRPr="007B7D9B">
        <w:rPr>
          <w:rFonts w:cstheme="minorHAnsi"/>
          <w:b/>
          <w:bCs/>
        </w:rPr>
        <w:t>ADJUSTMENT/STRATIFICATION</w:t>
      </w:r>
      <w:r w:rsidRPr="00A25024">
        <w:rPr>
          <w:rFonts w:cstheme="minorHAnsi"/>
          <w:b/>
          <w:bCs/>
        </w:rPr>
        <w:t xml:space="preserve">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793F0C61" w14:textId="77777777" w:rsidR="007B7D9B" w:rsidRPr="00ED6AEC" w:rsidRDefault="007B7D9B" w:rsidP="007B7D9B">
      <w:pPr>
        <w:autoSpaceDE w:val="0"/>
        <w:autoSpaceDN w:val="0"/>
        <w:adjustRightInd w:val="0"/>
        <w:spacing w:after="0" w:line="240" w:lineRule="auto"/>
        <w:rPr>
          <w:rFonts w:cstheme="minorHAnsi"/>
          <w:bCs/>
        </w:rPr>
      </w:pPr>
      <w:r>
        <w:rPr>
          <w:rFonts w:cstheme="minorHAnsi"/>
          <w:bCs/>
        </w:rPr>
        <w:t>Not a</w:t>
      </w:r>
      <w:r w:rsidRPr="00ED6AEC">
        <w:rPr>
          <w:rFonts w:cstheme="minorHAnsi"/>
          <w:bCs/>
        </w:rPr>
        <w:t>pplicable</w:t>
      </w:r>
      <w:r>
        <w:rPr>
          <w:rFonts w:cstheme="minorHAnsi"/>
          <w:bCs/>
        </w:rPr>
        <w:t>.</w:t>
      </w:r>
    </w:p>
    <w:p w14:paraId="02CADC27" w14:textId="77777777" w:rsidR="004F605D" w:rsidRDefault="004F605D" w:rsidP="00092566">
      <w:pPr>
        <w:autoSpaceDE w:val="0"/>
        <w:autoSpaceDN w:val="0"/>
        <w:adjustRightInd w:val="0"/>
        <w:spacing w:after="0" w:line="240" w:lineRule="auto"/>
        <w:rPr>
          <w:rFonts w:cstheme="minorHAnsi"/>
          <w:b/>
          <w:bCs/>
        </w:rPr>
      </w:pPr>
    </w:p>
    <w:p w14:paraId="3B6C81D6"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lastRenderedPageBreak/>
        <w:t xml:space="preserve">2b4.1. </w:t>
      </w:r>
      <w:r w:rsidR="00743E46" w:rsidRPr="005232D6">
        <w:rPr>
          <w:rFonts w:cstheme="minorHAnsi"/>
          <w:b/>
          <w:bCs/>
        </w:rPr>
        <w:t>What method of controlling for differences in case mix is used?</w:t>
      </w:r>
    </w:p>
    <w:p w14:paraId="4CBDB507" w14:textId="77777777" w:rsidR="00033038" w:rsidRPr="005232D6" w:rsidRDefault="00EA4ECD"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7B7D9B">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4D6A68F" w14:textId="77777777" w:rsidR="00743E46" w:rsidRPr="005232D6" w:rsidRDefault="00EA4ECD"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7B7D9B">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32079E">
        <w:rPr>
          <w:rFonts w:cstheme="minorHAnsi"/>
          <w:b/>
          <w:bCs/>
        </w:rPr>
        <w:t xml:space="preserve">with </w:t>
      </w:r>
      <w:r w:rsidR="00EB30BF" w:rsidRPr="007B7D9B">
        <w:rPr>
          <w:b/>
        </w:rPr>
        <w:t>78</w:t>
      </w:r>
      <w:r w:rsidR="00EB30BF">
        <w:rPr>
          <w:b/>
        </w:rPr>
        <w:t xml:space="preserve"> unique risk factors</w:t>
      </w:r>
    </w:p>
    <w:p w14:paraId="59C08DB2" w14:textId="77777777" w:rsidR="00743E46" w:rsidRPr="005232D6" w:rsidRDefault="00EA4ECD"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B08C606" w14:textId="77777777" w:rsidR="00743E46" w:rsidRPr="005232D6" w:rsidRDefault="00EA4ECD"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2AA19E49" w14:textId="77777777" w:rsidR="00743E46" w:rsidRDefault="00743E46" w:rsidP="00092566">
      <w:pPr>
        <w:autoSpaceDE w:val="0"/>
        <w:autoSpaceDN w:val="0"/>
        <w:adjustRightInd w:val="0"/>
        <w:spacing w:after="0" w:line="240" w:lineRule="auto"/>
        <w:rPr>
          <w:rFonts w:cstheme="minorHAnsi"/>
          <w:b/>
          <w:bCs/>
        </w:rPr>
      </w:pPr>
    </w:p>
    <w:p w14:paraId="154222A6" w14:textId="77777777" w:rsidR="00092566"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p>
    <w:p w14:paraId="253802C3" w14:textId="77777777" w:rsidR="00EB30BF" w:rsidRPr="00A25024" w:rsidRDefault="007B7D9B" w:rsidP="00092566">
      <w:pPr>
        <w:autoSpaceDE w:val="0"/>
        <w:autoSpaceDN w:val="0"/>
        <w:adjustRightInd w:val="0"/>
        <w:spacing w:after="0" w:line="240" w:lineRule="auto"/>
        <w:rPr>
          <w:rFonts w:cstheme="minorHAnsi"/>
          <w:bCs/>
        </w:rPr>
      </w:pPr>
      <w:r>
        <w:rPr>
          <w:rFonts w:cstheme="minorHAnsi"/>
          <w:bCs/>
        </w:rPr>
        <w:t>Not applicable.</w:t>
      </w:r>
    </w:p>
    <w:p w14:paraId="70CEBF1D"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4686B84A" w14:textId="77777777" w:rsidR="00EB30BF" w:rsidRDefault="00092566" w:rsidP="00EB30BF">
      <w:pPr>
        <w:spacing w:after="0"/>
        <w:rPr>
          <w:b/>
        </w:rPr>
      </w:pPr>
      <w:r w:rsidRPr="00F109B1">
        <w:rPr>
          <w:b/>
        </w:rPr>
        <w:t xml:space="preserve">2b4.3. </w:t>
      </w:r>
      <w:r w:rsidR="00927027" w:rsidRPr="00F109B1">
        <w:rPr>
          <w:b/>
        </w:rPr>
        <w:t>Describe</w:t>
      </w:r>
      <w:r w:rsidRPr="00F109B1">
        <w:rPr>
          <w:b/>
        </w:rPr>
        <w:t xml:space="preserve"> the conceptual/clinical </w:t>
      </w:r>
      <w:r w:rsidRPr="00F109B1">
        <w:rPr>
          <w:b/>
          <w:u w:val="single"/>
        </w:rPr>
        <w:t>and</w:t>
      </w:r>
      <w:r w:rsidRPr="00F109B1">
        <w:rPr>
          <w:b/>
        </w:rPr>
        <w:t xml:space="preserve"> statistical methods and criteria used to select </w:t>
      </w:r>
      <w:r w:rsidR="005363F1" w:rsidRPr="00F109B1">
        <w:rPr>
          <w:b/>
        </w:rPr>
        <w:t xml:space="preserve">patient </w:t>
      </w:r>
      <w:r w:rsidRPr="00F109B1">
        <w:rPr>
          <w:b/>
        </w:rPr>
        <w:t>factors used in the statistical risk model or for stratification by risk</w:t>
      </w:r>
      <w:r w:rsidR="00927027" w:rsidRPr="00F109B1">
        <w:rPr>
          <w:b/>
        </w:rPr>
        <w:t xml:space="preserve"> </w:t>
      </w:r>
      <w:r w:rsidRPr="00EB30BF">
        <w:t>(</w:t>
      </w:r>
      <w:r w:rsidRPr="00EB30BF">
        <w:rPr>
          <w:i/>
        </w:rPr>
        <w:t xml:space="preserve">e.g., potential factors identified in </w:t>
      </w:r>
      <w:r w:rsidR="005363F1" w:rsidRPr="00EB30BF">
        <w:rPr>
          <w:i/>
        </w:rPr>
        <w:t xml:space="preserve">the </w:t>
      </w:r>
      <w:r w:rsidRPr="00EB30BF">
        <w:rPr>
          <w:i/>
        </w:rPr>
        <w:t>literature and/or expert panel; regression analysis; statistical significance of p&lt;0.10; correlation of x or higher</w:t>
      </w:r>
      <w:r w:rsidR="005363F1" w:rsidRPr="00EB30BF">
        <w:rPr>
          <w:i/>
        </w:rPr>
        <w:t>; patient factors should be present at the start of care and not related to disparities</w:t>
      </w:r>
      <w:r w:rsidRPr="00EB30BF">
        <w:t>)</w:t>
      </w:r>
    </w:p>
    <w:p w14:paraId="3958D95B" w14:textId="77777777" w:rsidR="007B7D9B" w:rsidRPr="00A25024" w:rsidRDefault="007B7D9B" w:rsidP="007B7D9B">
      <w:pPr>
        <w:autoSpaceDE w:val="0"/>
        <w:autoSpaceDN w:val="0"/>
        <w:adjustRightInd w:val="0"/>
        <w:spacing w:after="0" w:line="240" w:lineRule="auto"/>
        <w:rPr>
          <w:rFonts w:cstheme="minorHAnsi"/>
          <w:bCs/>
        </w:rPr>
      </w:pPr>
      <w:r>
        <w:rPr>
          <w:rFonts w:cstheme="minorHAnsi"/>
          <w:bCs/>
        </w:rPr>
        <w:t>Not applicable.</w:t>
      </w:r>
    </w:p>
    <w:p w14:paraId="2097562C" w14:textId="77777777" w:rsidR="007B7D9B" w:rsidRDefault="007B7D9B" w:rsidP="00001D73">
      <w:pPr>
        <w:autoSpaceDE w:val="0"/>
        <w:autoSpaceDN w:val="0"/>
        <w:adjustRightInd w:val="0"/>
        <w:spacing w:after="0" w:line="240" w:lineRule="auto"/>
        <w:rPr>
          <w:rFonts w:cstheme="minorHAnsi"/>
          <w:b/>
          <w:bCs/>
        </w:rPr>
      </w:pPr>
    </w:p>
    <w:p w14:paraId="68D18EDA" w14:textId="77777777" w:rsidR="00CE4FC3" w:rsidRDefault="00092566" w:rsidP="00001D73">
      <w:pPr>
        <w:autoSpaceDE w:val="0"/>
        <w:autoSpaceDN w:val="0"/>
        <w:adjustRightInd w:val="0"/>
        <w:spacing w:after="0" w:line="240" w:lineRule="auto"/>
        <w:rPr>
          <w:sz w:val="23"/>
          <w:szCs w:val="23"/>
        </w:rPr>
      </w:pPr>
      <w:r>
        <w:rPr>
          <w:rFonts w:cstheme="minorHAnsi"/>
          <w:b/>
          <w:bCs/>
        </w:rPr>
        <w:t xml:space="preserve">2b4.4. </w:t>
      </w:r>
      <w:r w:rsidRPr="00A25024">
        <w:rPr>
          <w:rFonts w:cstheme="minorHAnsi"/>
          <w:b/>
          <w:bCs/>
        </w:rPr>
        <w:t>What were the statistical results of the analyses used to select risk factors?</w:t>
      </w:r>
      <w:r w:rsidR="00001D73">
        <w:rPr>
          <w:rFonts w:cstheme="minorHAnsi"/>
          <w:b/>
          <w:bCs/>
        </w:rPr>
        <w:br/>
      </w:r>
      <w:r w:rsidR="00CE4FC3">
        <w:rPr>
          <w:sz w:val="23"/>
          <w:szCs w:val="23"/>
        </w:rPr>
        <w:t>Risk model details are attached under the “Specifications” tab.</w:t>
      </w:r>
      <w:r w:rsidR="00CE4FC3">
        <w:rPr>
          <w:rStyle w:val="FootnoteReference"/>
          <w:sz w:val="23"/>
          <w:szCs w:val="23"/>
        </w:rPr>
        <w:footnoteReference w:id="2"/>
      </w:r>
      <w:r w:rsidR="00CE4FC3">
        <w:rPr>
          <w:sz w:val="23"/>
          <w:szCs w:val="23"/>
        </w:rPr>
        <w:t xml:space="preserve">  </w:t>
      </w:r>
    </w:p>
    <w:p w14:paraId="4A623C3A" w14:textId="77777777" w:rsidR="007B7D9B" w:rsidRPr="00A25024" w:rsidRDefault="007B7D9B" w:rsidP="007B7D9B">
      <w:pPr>
        <w:autoSpaceDE w:val="0"/>
        <w:autoSpaceDN w:val="0"/>
        <w:adjustRightInd w:val="0"/>
        <w:spacing w:after="0" w:line="240" w:lineRule="auto"/>
        <w:rPr>
          <w:rFonts w:cstheme="minorHAnsi"/>
          <w:bCs/>
        </w:rPr>
      </w:pPr>
      <w:r>
        <w:rPr>
          <w:rFonts w:cstheme="minorHAnsi"/>
          <w:bCs/>
        </w:rPr>
        <w:t>Not applicable.</w:t>
      </w:r>
    </w:p>
    <w:p w14:paraId="35AD60A7" w14:textId="77777777" w:rsidR="005D7EB8" w:rsidRPr="00001D73" w:rsidRDefault="005D7EB8" w:rsidP="00001D73">
      <w:pPr>
        <w:autoSpaceDE w:val="0"/>
        <w:autoSpaceDN w:val="0"/>
        <w:adjustRightInd w:val="0"/>
        <w:spacing w:after="0" w:line="240" w:lineRule="auto"/>
        <w:rPr>
          <w:rFonts w:cstheme="minorHAnsi"/>
          <w:b/>
          <w:bCs/>
        </w:rPr>
      </w:pPr>
    </w:p>
    <w:p w14:paraId="5761A981" w14:textId="77777777" w:rsidR="007B7D9B" w:rsidRPr="00A25024" w:rsidRDefault="00E1508F" w:rsidP="007B7D9B">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7B7D9B">
        <w:rPr>
          <w:rFonts w:cstheme="minorHAnsi"/>
          <w:bCs/>
        </w:rPr>
        <w:t>Not applicable.</w:t>
      </w:r>
    </w:p>
    <w:p w14:paraId="58B0949A" w14:textId="77777777" w:rsidR="007B7D9B" w:rsidRDefault="007B7D9B" w:rsidP="007B7D9B">
      <w:pPr>
        <w:rPr>
          <w:rFonts w:cstheme="minorHAnsi"/>
          <w:bCs/>
          <w:i/>
        </w:rPr>
      </w:pPr>
    </w:p>
    <w:p w14:paraId="0941B084" w14:textId="77777777" w:rsidR="00E1508F" w:rsidRDefault="00001D73" w:rsidP="007B7D9B">
      <w:pPr>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381D5FE4" w14:textId="77777777" w:rsidR="00D35804" w:rsidRDefault="00743E46" w:rsidP="00D35804">
      <w:pPr>
        <w:spacing w:after="0"/>
        <w:rPr>
          <w:rFonts w:cstheme="minorHAnsi"/>
          <w:b/>
          <w:bCs/>
        </w:rPr>
      </w:pPr>
      <w:r>
        <w:rPr>
          <w:rFonts w:cstheme="minorHAnsi"/>
          <w:b/>
          <w:bCs/>
        </w:rPr>
        <w:t xml:space="preserve">2b4.6. </w:t>
      </w:r>
      <w:r w:rsidR="00001D73" w:rsidRPr="007B7D9B">
        <w:rPr>
          <w:rFonts w:cstheme="minorHAnsi"/>
          <w:b/>
          <w:bCs/>
        </w:rPr>
        <w:t xml:space="preserve">Statistical </w:t>
      </w:r>
      <w:r w:rsidR="00092566" w:rsidRPr="007B7D9B">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59F4808C" w14:textId="77777777" w:rsidR="007B7D9B" w:rsidRPr="00A25024" w:rsidRDefault="007B7D9B" w:rsidP="007B7D9B">
      <w:pPr>
        <w:autoSpaceDE w:val="0"/>
        <w:autoSpaceDN w:val="0"/>
        <w:adjustRightInd w:val="0"/>
        <w:spacing w:after="0" w:line="240" w:lineRule="auto"/>
        <w:rPr>
          <w:rFonts w:cstheme="minorHAnsi"/>
          <w:bCs/>
        </w:rPr>
      </w:pPr>
      <w:r>
        <w:rPr>
          <w:rFonts w:cstheme="minorHAnsi"/>
          <w:bCs/>
        </w:rPr>
        <w:t>Not applicable.</w:t>
      </w:r>
    </w:p>
    <w:p w14:paraId="13F46915" w14:textId="77777777" w:rsidR="007B7D9B" w:rsidRDefault="007B7D9B" w:rsidP="00D35804">
      <w:pPr>
        <w:spacing w:after="0"/>
        <w:rPr>
          <w:rFonts w:cstheme="minorHAnsi"/>
          <w:b/>
          <w:bCs/>
        </w:rPr>
      </w:pPr>
    </w:p>
    <w:p w14:paraId="22700586" w14:textId="77777777" w:rsidR="00D35804" w:rsidRDefault="00743E46" w:rsidP="00D35804">
      <w:pPr>
        <w:spacing w:after="0"/>
        <w:rPr>
          <w:rFonts w:cstheme="minorHAnsi"/>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p>
    <w:p w14:paraId="3E90B6AD" w14:textId="77777777" w:rsidR="007B7D9B" w:rsidRPr="00A25024" w:rsidRDefault="007B7D9B" w:rsidP="007B7D9B">
      <w:pPr>
        <w:autoSpaceDE w:val="0"/>
        <w:autoSpaceDN w:val="0"/>
        <w:adjustRightInd w:val="0"/>
        <w:spacing w:after="0" w:line="240" w:lineRule="auto"/>
        <w:rPr>
          <w:rFonts w:cstheme="minorHAnsi"/>
          <w:bCs/>
        </w:rPr>
      </w:pPr>
      <w:r>
        <w:rPr>
          <w:rFonts w:cstheme="minorHAnsi"/>
          <w:bCs/>
        </w:rPr>
        <w:t>Not applicable.</w:t>
      </w:r>
    </w:p>
    <w:p w14:paraId="50BCF23F" w14:textId="77777777" w:rsidR="00AB7032" w:rsidRDefault="00AB7032" w:rsidP="00D35804">
      <w:pPr>
        <w:spacing w:after="0"/>
        <w:rPr>
          <w:rFonts w:cstheme="minorHAnsi"/>
          <w:bCs/>
        </w:rPr>
      </w:pPr>
    </w:p>
    <w:p w14:paraId="7BA64E33" w14:textId="77777777" w:rsidR="00AB7032" w:rsidRDefault="00743E46" w:rsidP="00D35804">
      <w:pPr>
        <w:spacing w:after="0"/>
        <w:rPr>
          <w:rFonts w:cstheme="minorHAnsi"/>
          <w:bCs/>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 xml:space="preserve">Risk Model Calibration – Risk </w:t>
      </w:r>
      <w:proofErr w:type="spellStart"/>
      <w:r w:rsidR="00092566" w:rsidRPr="00A25024">
        <w:rPr>
          <w:rFonts w:cstheme="minorHAnsi"/>
          <w:b/>
          <w:bCs/>
        </w:rPr>
        <w:t>decile</w:t>
      </w:r>
      <w:proofErr w:type="spellEnd"/>
      <w:r w:rsidR="00092566" w:rsidRPr="00A25024">
        <w:rPr>
          <w:rFonts w:cstheme="minorHAnsi"/>
          <w:b/>
          <w:bCs/>
        </w:rPr>
        <w:t xml:space="preserve"> plots or calibration curves</w:t>
      </w:r>
      <w:r w:rsidR="00092566" w:rsidRPr="00A25024">
        <w:rPr>
          <w:rFonts w:cstheme="minorHAnsi"/>
          <w:bCs/>
        </w:rPr>
        <w:t>:</w:t>
      </w:r>
      <w:r w:rsidR="002A6786">
        <w:rPr>
          <w:rFonts w:cstheme="minorHAnsi"/>
          <w:bCs/>
        </w:rPr>
        <w:t xml:space="preserve"> </w:t>
      </w:r>
    </w:p>
    <w:p w14:paraId="3612E946" w14:textId="77777777" w:rsidR="007B7D9B" w:rsidRPr="00A25024" w:rsidRDefault="007B7D9B" w:rsidP="007B7D9B">
      <w:pPr>
        <w:autoSpaceDE w:val="0"/>
        <w:autoSpaceDN w:val="0"/>
        <w:adjustRightInd w:val="0"/>
        <w:spacing w:after="0" w:line="240" w:lineRule="auto"/>
        <w:rPr>
          <w:rFonts w:cstheme="minorHAnsi"/>
          <w:bCs/>
        </w:rPr>
      </w:pPr>
      <w:r>
        <w:rPr>
          <w:rFonts w:cstheme="minorHAnsi"/>
          <w:bCs/>
        </w:rPr>
        <w:t>Not applicable.</w:t>
      </w:r>
    </w:p>
    <w:p w14:paraId="0E8BE7E4" w14:textId="77777777" w:rsidR="0089153E" w:rsidRDefault="00092566" w:rsidP="00D35804">
      <w:pPr>
        <w:spacing w:after="0"/>
        <w:rPr>
          <w:rFonts w:cstheme="minorHAnsi"/>
          <w:bCs/>
        </w:rPr>
      </w:pPr>
      <w:r w:rsidRPr="00A25024">
        <w:rPr>
          <w:rFonts w:cstheme="minorHAnsi"/>
          <w:bCs/>
        </w:rPr>
        <w:lastRenderedPageBreak/>
        <w:br/>
      </w:r>
      <w:bookmarkStart w:id="12" w:name="question2b49"/>
      <w:bookmarkEnd w:id="12"/>
      <w:r w:rsidR="00743E46">
        <w:rPr>
          <w:rFonts w:cstheme="minorHAnsi"/>
          <w:b/>
        </w:rPr>
        <w:t>2b4.9</w:t>
      </w:r>
      <w:r w:rsidR="00001D73">
        <w:rPr>
          <w:rFonts w:cstheme="minorHAnsi"/>
          <w:b/>
        </w:rPr>
        <w:t xml:space="preserve">. Results of </w:t>
      </w:r>
      <w:r w:rsidRPr="00A25024">
        <w:rPr>
          <w:rFonts w:cstheme="minorHAnsi"/>
          <w:b/>
        </w:rPr>
        <w:t>Risk Stratification Analysis</w:t>
      </w:r>
      <w:r w:rsidRPr="00A25024">
        <w:rPr>
          <w:rFonts w:cstheme="minorHAnsi"/>
        </w:rPr>
        <w:t xml:space="preserve">: </w:t>
      </w:r>
      <w:r w:rsidRPr="00A25024">
        <w:rPr>
          <w:rFonts w:cstheme="minorHAnsi"/>
          <w:bCs/>
        </w:rPr>
        <w:t xml:space="preserve"> </w:t>
      </w:r>
    </w:p>
    <w:p w14:paraId="284BD7EB" w14:textId="77777777" w:rsidR="00255604" w:rsidRPr="00255604" w:rsidRDefault="00255604" w:rsidP="00255604">
      <w:r w:rsidRPr="00255604">
        <w:t>Not applicable.</w:t>
      </w:r>
    </w:p>
    <w:p w14:paraId="00A70DCB" w14:textId="77777777" w:rsidR="007B7D9B" w:rsidRDefault="00743E46" w:rsidP="007B7D9B">
      <w:pPr>
        <w:autoSpaceDE w:val="0"/>
        <w:autoSpaceDN w:val="0"/>
        <w:adjustRightInd w:val="0"/>
        <w:spacing w:after="0" w:line="240" w:lineRule="auto"/>
      </w:pPr>
      <w:r w:rsidRPr="0089153E">
        <w:rPr>
          <w:b/>
        </w:rPr>
        <w:t>2b4.10</w:t>
      </w:r>
      <w:r w:rsidR="00001D73" w:rsidRPr="0089153E">
        <w:rPr>
          <w:b/>
        </w:rPr>
        <w:t xml:space="preserve">. </w:t>
      </w:r>
      <w:r w:rsidR="00092566" w:rsidRPr="0089153E">
        <w:rPr>
          <w:b/>
        </w:rPr>
        <w:t xml:space="preserve">What is your interpretation of the results in terms of demonstrating adequacy of controlling for differences in patient characteristics (case mix)? </w:t>
      </w:r>
      <w:r w:rsidR="00092566" w:rsidRPr="0089153E">
        <w:t>(i</w:t>
      </w:r>
      <w:r w:rsidR="00092566" w:rsidRPr="0089153E">
        <w:rPr>
          <w:i/>
        </w:rPr>
        <w:t>.e., what do the results mean and what are the norms for the test conducted</w:t>
      </w:r>
      <w:r w:rsidR="00092566" w:rsidRPr="0089153E">
        <w:t>)</w:t>
      </w:r>
      <w:r w:rsidR="002A6786">
        <w:t xml:space="preserve"> </w:t>
      </w:r>
    </w:p>
    <w:p w14:paraId="23C8D9CC" w14:textId="77777777" w:rsidR="007B7D9B" w:rsidRPr="00A25024" w:rsidRDefault="007B7D9B" w:rsidP="007B7D9B">
      <w:pPr>
        <w:autoSpaceDE w:val="0"/>
        <w:autoSpaceDN w:val="0"/>
        <w:adjustRightInd w:val="0"/>
        <w:spacing w:after="0" w:line="240" w:lineRule="auto"/>
        <w:rPr>
          <w:rFonts w:cstheme="minorHAnsi"/>
          <w:bCs/>
        </w:rPr>
      </w:pPr>
      <w:r>
        <w:rPr>
          <w:rFonts w:cstheme="minorHAnsi"/>
          <w:bCs/>
        </w:rPr>
        <w:t>Not applicable.</w:t>
      </w:r>
    </w:p>
    <w:p w14:paraId="6B5831A9" w14:textId="77777777" w:rsidR="007B7D9B" w:rsidRDefault="007B7D9B" w:rsidP="00F55258">
      <w:pPr>
        <w:spacing w:after="0"/>
      </w:pPr>
    </w:p>
    <w:p w14:paraId="317621D6" w14:textId="77777777" w:rsidR="00021170" w:rsidRDefault="009B1A15" w:rsidP="00F55258">
      <w:pPr>
        <w:spacing w:after="0"/>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1BFCCD29" w14:textId="77777777" w:rsidR="007B7D9B" w:rsidRPr="00A25024" w:rsidRDefault="007B7D9B" w:rsidP="007B7D9B">
      <w:pPr>
        <w:autoSpaceDE w:val="0"/>
        <w:autoSpaceDN w:val="0"/>
        <w:adjustRightInd w:val="0"/>
        <w:spacing w:after="0" w:line="240" w:lineRule="auto"/>
        <w:rPr>
          <w:rFonts w:cstheme="minorHAnsi"/>
          <w:bCs/>
        </w:rPr>
      </w:pPr>
      <w:r>
        <w:rPr>
          <w:rFonts w:cstheme="minorHAnsi"/>
          <w:bCs/>
        </w:rPr>
        <w:t>Not applicable.</w:t>
      </w:r>
    </w:p>
    <w:p w14:paraId="4C575D22"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4E9CC6E1" w14:textId="77777777" w:rsidR="00D61410" w:rsidRPr="00A25024" w:rsidRDefault="00D61410" w:rsidP="00D61410">
      <w:pPr>
        <w:autoSpaceDE w:val="0"/>
        <w:autoSpaceDN w:val="0"/>
        <w:adjustRightInd w:val="0"/>
        <w:spacing w:after="0" w:line="240" w:lineRule="auto"/>
        <w:rPr>
          <w:rFonts w:cstheme="minorHAnsi"/>
          <w:b/>
          <w:bCs/>
        </w:rPr>
      </w:pPr>
      <w:bookmarkStart w:id="13" w:name="section2b5"/>
      <w:bookmarkEnd w:id="13"/>
      <w:r w:rsidRPr="00A25024">
        <w:rPr>
          <w:rFonts w:cstheme="minorHAnsi"/>
          <w:b/>
          <w:bCs/>
        </w:rPr>
        <w:t>2b5. IDENTIFICATION OF STATISTICALLY SIGNIFICANT &amp; MEANINGFUL DIFFERENCES IN PERFORMANCE</w:t>
      </w:r>
    </w:p>
    <w:p w14:paraId="6F86844C" w14:textId="77777777" w:rsidR="008E30A2" w:rsidRDefault="00D61410" w:rsidP="008E30A2">
      <w:pPr>
        <w:rPr>
          <w:rFonts w:cstheme="minorHAnsi"/>
          <w:b/>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r>
      <w:r w:rsidR="00BF3885">
        <w:t>The distribution of agency rates was analyzed to determine the inter-quartile range and the 90</w:t>
      </w:r>
      <w:r w:rsidR="00BF3885" w:rsidRPr="007B3901">
        <w:rPr>
          <w:vertAlign w:val="superscript"/>
        </w:rPr>
        <w:t>th</w:t>
      </w:r>
      <w:r w:rsidR="00BF3885">
        <w:rPr>
          <w:sz w:val="13"/>
          <w:szCs w:val="13"/>
        </w:rPr>
        <w:t xml:space="preserve"> </w:t>
      </w:r>
      <w:r w:rsidR="00BF3885">
        <w:t>vs. 10</w:t>
      </w:r>
      <w:r w:rsidR="00BF3885" w:rsidRPr="007B3901">
        <w:rPr>
          <w:vertAlign w:val="superscript"/>
        </w:rPr>
        <w:t xml:space="preserve">th </w:t>
      </w:r>
      <w:r w:rsidR="00BF3885">
        <w:t xml:space="preserve">percentile differences.  </w:t>
      </w:r>
    </w:p>
    <w:p w14:paraId="168E3A4B" w14:textId="77777777" w:rsidR="006A32AF" w:rsidRDefault="00D61410" w:rsidP="006A32AF">
      <w:pPr>
        <w:spacing w:after="0"/>
        <w:rPr>
          <w:rFonts w:ascii="Calibri" w:hAnsi="Calibri"/>
          <w:b/>
          <w:i/>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695F0B43" w14:textId="77A8E2CB" w:rsidR="00BF3885" w:rsidRDefault="00771501" w:rsidP="006A32AF">
      <w:pPr>
        <w:spacing w:after="0"/>
        <w:jc w:val="center"/>
        <w:rPr>
          <w:rFonts w:ascii="Calibri" w:hAnsi="Calibri"/>
          <w:b/>
          <w:i/>
        </w:rPr>
      </w:pPr>
      <w:r>
        <w:rPr>
          <w:rFonts w:ascii="Calibri" w:hAnsi="Calibri"/>
          <w:b/>
          <w:i/>
        </w:rPr>
        <w:t>Observed</w:t>
      </w:r>
      <w:r w:rsidR="00BF3885" w:rsidRPr="00BF3885">
        <w:rPr>
          <w:rFonts w:ascii="Calibri" w:hAnsi="Calibri"/>
          <w:b/>
          <w:i/>
        </w:rPr>
        <w:t xml:space="preserve"> Rates for Agencies with At Least 20 Valid Episodes</w:t>
      </w:r>
    </w:p>
    <w:p w14:paraId="7E3FF622" w14:textId="77777777" w:rsidR="002A6786" w:rsidRDefault="002A6786" w:rsidP="006A32AF">
      <w:pPr>
        <w:spacing w:after="0"/>
        <w:jc w:val="center"/>
        <w:rPr>
          <w:rFonts w:cstheme="minorHAnsi"/>
          <w:bCs/>
        </w:rPr>
      </w:pPr>
    </w:p>
    <w:p w14:paraId="25117624" w14:textId="29EE083D" w:rsidR="00771501" w:rsidRDefault="00771501" w:rsidP="006A32AF">
      <w:pPr>
        <w:spacing w:after="0"/>
        <w:jc w:val="center"/>
        <w:rPr>
          <w:rFonts w:cstheme="minorHAnsi"/>
          <w:b/>
          <w:bCs/>
          <w:i/>
        </w:rPr>
      </w:pPr>
      <w:r w:rsidRPr="00771501">
        <w:rPr>
          <w:rFonts w:cstheme="minorHAnsi"/>
          <w:b/>
          <w:bCs/>
          <w:i/>
        </w:rPr>
        <w:t>Pressure Ulcer Risk Assessment</w:t>
      </w:r>
    </w:p>
    <w:p w14:paraId="2BBED8BD" w14:textId="77777777" w:rsidR="00771501" w:rsidRPr="00771501" w:rsidRDefault="00771501" w:rsidP="006A32AF">
      <w:pPr>
        <w:spacing w:after="0"/>
        <w:jc w:val="center"/>
        <w:rPr>
          <w:rFonts w:cstheme="minorHAnsi"/>
          <w:b/>
          <w:bCs/>
          <w:i/>
        </w:rPr>
      </w:pPr>
    </w:p>
    <w:tbl>
      <w:tblPr>
        <w:tblW w:w="41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1019"/>
        <w:gridCol w:w="773"/>
        <w:gridCol w:w="809"/>
        <w:gridCol w:w="810"/>
        <w:gridCol w:w="810"/>
        <w:gridCol w:w="990"/>
        <w:gridCol w:w="958"/>
        <w:gridCol w:w="982"/>
      </w:tblGrid>
      <w:tr w:rsidR="00A0653D" w:rsidRPr="00BF3885" w14:paraId="7515A8A9" w14:textId="77777777" w:rsidTr="00A9621C">
        <w:trPr>
          <w:trHeight w:val="413"/>
          <w:tblHeader/>
          <w:jc w:val="center"/>
        </w:trPr>
        <w:tc>
          <w:tcPr>
            <w:tcW w:w="542" w:type="pct"/>
            <w:shd w:val="clear" w:color="auto" w:fill="CDECFF"/>
            <w:noWrap/>
            <w:vAlign w:val="center"/>
            <w:hideMark/>
          </w:tcPr>
          <w:p w14:paraId="76D26CA9" w14:textId="77777777"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Mean</w:t>
            </w:r>
          </w:p>
        </w:tc>
        <w:tc>
          <w:tcPr>
            <w:tcW w:w="635" w:type="pct"/>
            <w:shd w:val="clear" w:color="auto" w:fill="CDECFF"/>
            <w:noWrap/>
            <w:vAlign w:val="center"/>
            <w:hideMark/>
          </w:tcPr>
          <w:p w14:paraId="019F8868" w14:textId="77777777"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St. Dev.</w:t>
            </w:r>
          </w:p>
        </w:tc>
        <w:tc>
          <w:tcPr>
            <w:tcW w:w="482" w:type="pct"/>
            <w:shd w:val="clear" w:color="auto" w:fill="CDECFF"/>
            <w:vAlign w:val="center"/>
          </w:tcPr>
          <w:p w14:paraId="6040BEBE" w14:textId="77777777"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Min</w:t>
            </w:r>
          </w:p>
        </w:tc>
        <w:tc>
          <w:tcPr>
            <w:tcW w:w="504" w:type="pct"/>
            <w:shd w:val="clear" w:color="auto" w:fill="CDECFF"/>
            <w:noWrap/>
            <w:vAlign w:val="center"/>
            <w:hideMark/>
          </w:tcPr>
          <w:p w14:paraId="2EE26B5F" w14:textId="77777777"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10th</w:t>
            </w:r>
          </w:p>
        </w:tc>
        <w:tc>
          <w:tcPr>
            <w:tcW w:w="505" w:type="pct"/>
            <w:shd w:val="clear" w:color="auto" w:fill="CDECFF"/>
            <w:noWrap/>
            <w:vAlign w:val="center"/>
            <w:hideMark/>
          </w:tcPr>
          <w:p w14:paraId="3F3DF37A" w14:textId="77777777"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25th</w:t>
            </w:r>
          </w:p>
        </w:tc>
        <w:tc>
          <w:tcPr>
            <w:tcW w:w="505" w:type="pct"/>
            <w:shd w:val="clear" w:color="auto" w:fill="CDECFF"/>
            <w:noWrap/>
            <w:vAlign w:val="center"/>
            <w:hideMark/>
          </w:tcPr>
          <w:p w14:paraId="46B2729A" w14:textId="77777777"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50th</w:t>
            </w:r>
          </w:p>
        </w:tc>
        <w:tc>
          <w:tcPr>
            <w:tcW w:w="617" w:type="pct"/>
            <w:shd w:val="clear" w:color="auto" w:fill="CDECFF"/>
            <w:noWrap/>
            <w:vAlign w:val="center"/>
            <w:hideMark/>
          </w:tcPr>
          <w:p w14:paraId="46E34B45" w14:textId="77777777"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75</w:t>
            </w:r>
            <w:r w:rsidRPr="003C1955">
              <w:rPr>
                <w:rFonts w:ascii="Calibri" w:hAnsi="Calibri"/>
                <w:b/>
                <w:color w:val="000000"/>
              </w:rPr>
              <w:t>th</w:t>
            </w:r>
          </w:p>
        </w:tc>
        <w:tc>
          <w:tcPr>
            <w:tcW w:w="597" w:type="pct"/>
            <w:shd w:val="clear" w:color="auto" w:fill="CDECFF"/>
            <w:noWrap/>
            <w:vAlign w:val="center"/>
            <w:hideMark/>
          </w:tcPr>
          <w:p w14:paraId="18CB814B" w14:textId="77777777"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90th</w:t>
            </w:r>
          </w:p>
        </w:tc>
        <w:tc>
          <w:tcPr>
            <w:tcW w:w="612" w:type="pct"/>
            <w:shd w:val="clear" w:color="auto" w:fill="CDECFF"/>
            <w:noWrap/>
            <w:vAlign w:val="center"/>
            <w:hideMark/>
          </w:tcPr>
          <w:p w14:paraId="522BCAF3" w14:textId="77777777"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Max</w:t>
            </w:r>
          </w:p>
        </w:tc>
      </w:tr>
      <w:tr w:rsidR="00A0653D" w:rsidRPr="00BF3885" w14:paraId="3B42C845" w14:textId="77777777" w:rsidTr="00A9621C">
        <w:trPr>
          <w:trHeight w:val="460"/>
          <w:jc w:val="center"/>
        </w:trPr>
        <w:tc>
          <w:tcPr>
            <w:tcW w:w="542" w:type="pct"/>
            <w:shd w:val="clear" w:color="000000" w:fill="FFFFFF"/>
            <w:noWrap/>
            <w:vAlign w:val="center"/>
          </w:tcPr>
          <w:p w14:paraId="5AF45A2C" w14:textId="37FB4F62" w:rsidR="00A0653D" w:rsidRPr="00BF3885" w:rsidRDefault="00A9621C" w:rsidP="003C1955">
            <w:pPr>
              <w:spacing w:after="0" w:line="240" w:lineRule="auto"/>
              <w:jc w:val="center"/>
              <w:rPr>
                <w:rFonts w:ascii="Calibri" w:hAnsi="Calibri"/>
                <w:color w:val="000000"/>
              </w:rPr>
            </w:pPr>
            <w:r>
              <w:rPr>
                <w:rFonts w:ascii="Calibri" w:hAnsi="Calibri"/>
                <w:color w:val="000000"/>
              </w:rPr>
              <w:t>9</w:t>
            </w:r>
            <w:r w:rsidR="003C1955">
              <w:rPr>
                <w:rFonts w:ascii="Calibri" w:hAnsi="Calibri"/>
                <w:color w:val="000000"/>
              </w:rPr>
              <w:t>6</w:t>
            </w:r>
            <w:r w:rsidR="00A0653D" w:rsidRPr="00BF3885">
              <w:rPr>
                <w:rFonts w:ascii="Calibri" w:hAnsi="Calibri"/>
                <w:color w:val="000000"/>
              </w:rPr>
              <w:t>.</w:t>
            </w:r>
            <w:r w:rsidR="003C1955">
              <w:rPr>
                <w:rFonts w:ascii="Calibri" w:hAnsi="Calibri"/>
                <w:color w:val="000000"/>
              </w:rPr>
              <w:t>6</w:t>
            </w:r>
            <w:r w:rsidR="00A0653D" w:rsidRPr="00BF3885">
              <w:rPr>
                <w:rFonts w:ascii="Calibri" w:hAnsi="Calibri"/>
                <w:color w:val="000000"/>
              </w:rPr>
              <w:t>%</w:t>
            </w:r>
          </w:p>
        </w:tc>
        <w:tc>
          <w:tcPr>
            <w:tcW w:w="635" w:type="pct"/>
            <w:shd w:val="clear" w:color="000000" w:fill="FFFFFF"/>
            <w:noWrap/>
            <w:vAlign w:val="center"/>
          </w:tcPr>
          <w:p w14:paraId="6B3430B5" w14:textId="6F8906D6" w:rsidR="00A0653D" w:rsidRPr="00BF3885" w:rsidRDefault="003C1955" w:rsidP="003C1955">
            <w:pPr>
              <w:spacing w:after="0" w:line="240" w:lineRule="auto"/>
              <w:jc w:val="center"/>
              <w:rPr>
                <w:rFonts w:ascii="Calibri" w:hAnsi="Calibri"/>
                <w:color w:val="000000"/>
              </w:rPr>
            </w:pPr>
            <w:r>
              <w:rPr>
                <w:rFonts w:ascii="Calibri" w:hAnsi="Calibri"/>
                <w:color w:val="000000"/>
              </w:rPr>
              <w:t>7</w:t>
            </w:r>
            <w:r w:rsidR="00A0653D" w:rsidRPr="00BF3885">
              <w:rPr>
                <w:rFonts w:ascii="Calibri" w:hAnsi="Calibri"/>
                <w:color w:val="000000"/>
              </w:rPr>
              <w:t>.</w:t>
            </w:r>
            <w:r>
              <w:rPr>
                <w:rFonts w:ascii="Calibri" w:hAnsi="Calibri"/>
                <w:color w:val="000000"/>
              </w:rPr>
              <w:t>3</w:t>
            </w:r>
            <w:r w:rsidR="00A0653D" w:rsidRPr="00BF3885">
              <w:rPr>
                <w:rFonts w:ascii="Calibri" w:hAnsi="Calibri"/>
                <w:color w:val="000000"/>
              </w:rPr>
              <w:t>%</w:t>
            </w:r>
          </w:p>
        </w:tc>
        <w:tc>
          <w:tcPr>
            <w:tcW w:w="482" w:type="pct"/>
            <w:shd w:val="clear" w:color="000000" w:fill="FFFFFF"/>
            <w:vAlign w:val="center"/>
          </w:tcPr>
          <w:p w14:paraId="4C3D9114" w14:textId="0D41C4DF" w:rsidR="00A0653D" w:rsidRDefault="003C1955" w:rsidP="003C1955">
            <w:pPr>
              <w:spacing w:after="0"/>
              <w:jc w:val="center"/>
              <w:rPr>
                <w:rFonts w:ascii="Calibri" w:hAnsi="Calibri"/>
                <w:color w:val="000000"/>
              </w:rPr>
            </w:pPr>
            <w:r>
              <w:rPr>
                <w:rFonts w:ascii="Calibri" w:hAnsi="Calibri"/>
                <w:color w:val="000000"/>
              </w:rPr>
              <w:t>2</w:t>
            </w:r>
            <w:r w:rsidR="00A0653D">
              <w:rPr>
                <w:rFonts w:ascii="Calibri" w:hAnsi="Calibri"/>
                <w:color w:val="000000"/>
              </w:rPr>
              <w:t>.</w:t>
            </w:r>
            <w:r>
              <w:rPr>
                <w:rFonts w:ascii="Calibri" w:hAnsi="Calibri"/>
                <w:color w:val="000000"/>
              </w:rPr>
              <w:t>3</w:t>
            </w:r>
            <w:r w:rsidR="00A0653D">
              <w:rPr>
                <w:rFonts w:ascii="Calibri" w:hAnsi="Calibri"/>
                <w:color w:val="000000"/>
              </w:rPr>
              <w:t>%</w:t>
            </w:r>
          </w:p>
        </w:tc>
        <w:tc>
          <w:tcPr>
            <w:tcW w:w="504" w:type="pct"/>
            <w:shd w:val="clear" w:color="000000" w:fill="FFFFFF"/>
            <w:noWrap/>
            <w:vAlign w:val="center"/>
          </w:tcPr>
          <w:p w14:paraId="70F399E2" w14:textId="04F91F1B" w:rsidR="00A0653D" w:rsidRDefault="00A9621C" w:rsidP="003C1955">
            <w:pPr>
              <w:spacing w:after="0"/>
              <w:jc w:val="center"/>
              <w:rPr>
                <w:rFonts w:ascii="Calibri" w:hAnsi="Calibri"/>
                <w:color w:val="000000"/>
              </w:rPr>
            </w:pPr>
            <w:r>
              <w:rPr>
                <w:rFonts w:ascii="Calibri" w:hAnsi="Calibri"/>
                <w:color w:val="000000"/>
              </w:rPr>
              <w:t>9</w:t>
            </w:r>
            <w:r w:rsidR="003C1955">
              <w:rPr>
                <w:rFonts w:ascii="Calibri" w:hAnsi="Calibri"/>
                <w:color w:val="000000"/>
              </w:rPr>
              <w:t>2</w:t>
            </w:r>
            <w:r w:rsidR="00A0653D">
              <w:rPr>
                <w:rFonts w:ascii="Calibri" w:hAnsi="Calibri"/>
                <w:color w:val="000000"/>
              </w:rPr>
              <w:t>.</w:t>
            </w:r>
            <w:r>
              <w:rPr>
                <w:rFonts w:ascii="Calibri" w:hAnsi="Calibri"/>
                <w:color w:val="000000"/>
              </w:rPr>
              <w:t>0</w:t>
            </w:r>
            <w:r w:rsidR="00A0653D">
              <w:rPr>
                <w:rFonts w:ascii="Calibri" w:hAnsi="Calibri"/>
                <w:color w:val="000000"/>
              </w:rPr>
              <w:t>%</w:t>
            </w:r>
          </w:p>
        </w:tc>
        <w:tc>
          <w:tcPr>
            <w:tcW w:w="505" w:type="pct"/>
            <w:shd w:val="clear" w:color="000000" w:fill="FFFFFF"/>
            <w:noWrap/>
            <w:vAlign w:val="center"/>
          </w:tcPr>
          <w:p w14:paraId="4C636957" w14:textId="614FEA87" w:rsidR="00A0653D" w:rsidRDefault="00A9621C" w:rsidP="003C1955">
            <w:pPr>
              <w:spacing w:after="0"/>
              <w:jc w:val="center"/>
              <w:rPr>
                <w:rFonts w:ascii="Calibri" w:hAnsi="Calibri"/>
                <w:color w:val="000000"/>
              </w:rPr>
            </w:pPr>
            <w:r>
              <w:rPr>
                <w:rFonts w:ascii="Calibri" w:hAnsi="Calibri"/>
                <w:color w:val="000000"/>
              </w:rPr>
              <w:t>9</w:t>
            </w:r>
            <w:r w:rsidR="003C1955">
              <w:rPr>
                <w:rFonts w:ascii="Calibri" w:hAnsi="Calibri"/>
                <w:color w:val="000000"/>
              </w:rPr>
              <w:t>7</w:t>
            </w:r>
            <w:r w:rsidR="00A0653D">
              <w:rPr>
                <w:rFonts w:ascii="Calibri" w:hAnsi="Calibri"/>
                <w:color w:val="000000"/>
              </w:rPr>
              <w:t>.</w:t>
            </w:r>
            <w:r w:rsidR="003C1955">
              <w:rPr>
                <w:rFonts w:ascii="Calibri" w:hAnsi="Calibri"/>
                <w:color w:val="000000"/>
              </w:rPr>
              <w:t>0</w:t>
            </w:r>
            <w:r w:rsidR="00A0653D">
              <w:rPr>
                <w:rFonts w:ascii="Calibri" w:hAnsi="Calibri"/>
                <w:color w:val="000000"/>
              </w:rPr>
              <w:t>%</w:t>
            </w:r>
          </w:p>
        </w:tc>
        <w:tc>
          <w:tcPr>
            <w:tcW w:w="505" w:type="pct"/>
            <w:shd w:val="clear" w:color="000000" w:fill="FFFFFF"/>
            <w:noWrap/>
            <w:vAlign w:val="center"/>
          </w:tcPr>
          <w:p w14:paraId="1CCCFA5C" w14:textId="5D91A36D" w:rsidR="00A0653D" w:rsidRDefault="00A9621C" w:rsidP="003C1955">
            <w:pPr>
              <w:spacing w:after="0"/>
              <w:jc w:val="center"/>
              <w:rPr>
                <w:rFonts w:ascii="Calibri" w:hAnsi="Calibri"/>
                <w:color w:val="000000"/>
              </w:rPr>
            </w:pPr>
            <w:r>
              <w:rPr>
                <w:rFonts w:ascii="Calibri" w:hAnsi="Calibri"/>
                <w:color w:val="000000"/>
              </w:rPr>
              <w:t>99</w:t>
            </w:r>
            <w:r w:rsidR="00A0653D">
              <w:rPr>
                <w:rFonts w:ascii="Calibri" w:hAnsi="Calibri"/>
                <w:color w:val="000000"/>
              </w:rPr>
              <w:t>.</w:t>
            </w:r>
            <w:r w:rsidR="003C1955">
              <w:rPr>
                <w:rFonts w:ascii="Calibri" w:hAnsi="Calibri"/>
                <w:color w:val="000000"/>
              </w:rPr>
              <w:t>2</w:t>
            </w:r>
            <w:r w:rsidR="00A0653D">
              <w:rPr>
                <w:rFonts w:ascii="Calibri" w:hAnsi="Calibri"/>
                <w:color w:val="000000"/>
              </w:rPr>
              <w:t>%</w:t>
            </w:r>
          </w:p>
        </w:tc>
        <w:tc>
          <w:tcPr>
            <w:tcW w:w="617" w:type="pct"/>
            <w:shd w:val="clear" w:color="000000" w:fill="FFFFFF"/>
            <w:noWrap/>
            <w:vAlign w:val="center"/>
          </w:tcPr>
          <w:p w14:paraId="7EAD6765" w14:textId="77777777" w:rsidR="00A0653D" w:rsidRDefault="00A9621C" w:rsidP="00A9621C">
            <w:pPr>
              <w:spacing w:after="0"/>
              <w:jc w:val="center"/>
              <w:rPr>
                <w:rFonts w:ascii="Calibri" w:hAnsi="Calibri"/>
                <w:color w:val="000000"/>
              </w:rPr>
            </w:pPr>
            <w:r>
              <w:rPr>
                <w:rFonts w:ascii="Calibri" w:hAnsi="Calibri"/>
                <w:color w:val="000000"/>
              </w:rPr>
              <w:t>100</w:t>
            </w:r>
            <w:r w:rsidR="00A0653D">
              <w:rPr>
                <w:rFonts w:ascii="Calibri" w:hAnsi="Calibri"/>
                <w:color w:val="000000"/>
              </w:rPr>
              <w:t>.</w:t>
            </w:r>
            <w:r>
              <w:rPr>
                <w:rFonts w:ascii="Calibri" w:hAnsi="Calibri"/>
                <w:color w:val="000000"/>
              </w:rPr>
              <w:t>0</w:t>
            </w:r>
            <w:r w:rsidR="00A0653D">
              <w:rPr>
                <w:rFonts w:ascii="Calibri" w:hAnsi="Calibri"/>
                <w:color w:val="000000"/>
              </w:rPr>
              <w:t>%</w:t>
            </w:r>
          </w:p>
        </w:tc>
        <w:tc>
          <w:tcPr>
            <w:tcW w:w="597" w:type="pct"/>
            <w:shd w:val="clear" w:color="000000" w:fill="FFFFFF"/>
            <w:noWrap/>
            <w:vAlign w:val="center"/>
          </w:tcPr>
          <w:p w14:paraId="5D6494EF" w14:textId="77777777" w:rsidR="00A0653D" w:rsidRDefault="00A9621C" w:rsidP="00A9621C">
            <w:pPr>
              <w:spacing w:after="0"/>
              <w:jc w:val="center"/>
              <w:rPr>
                <w:rFonts w:ascii="Calibri" w:hAnsi="Calibri"/>
                <w:color w:val="000000"/>
              </w:rPr>
            </w:pPr>
            <w:r>
              <w:rPr>
                <w:rFonts w:ascii="Calibri" w:hAnsi="Calibri"/>
                <w:color w:val="000000"/>
              </w:rPr>
              <w:t>100</w:t>
            </w:r>
            <w:r w:rsidR="00A0653D">
              <w:rPr>
                <w:rFonts w:ascii="Calibri" w:hAnsi="Calibri"/>
                <w:color w:val="000000"/>
              </w:rPr>
              <w:t>.</w:t>
            </w:r>
            <w:r>
              <w:rPr>
                <w:rFonts w:ascii="Calibri" w:hAnsi="Calibri"/>
                <w:color w:val="000000"/>
              </w:rPr>
              <w:t>0</w:t>
            </w:r>
            <w:r w:rsidR="00A0653D">
              <w:rPr>
                <w:rFonts w:ascii="Calibri" w:hAnsi="Calibri"/>
                <w:color w:val="000000"/>
              </w:rPr>
              <w:t>%</w:t>
            </w:r>
          </w:p>
        </w:tc>
        <w:tc>
          <w:tcPr>
            <w:tcW w:w="612" w:type="pct"/>
            <w:shd w:val="clear" w:color="000000" w:fill="FFFFFF"/>
            <w:noWrap/>
            <w:vAlign w:val="center"/>
          </w:tcPr>
          <w:p w14:paraId="76B28FC7" w14:textId="77777777" w:rsidR="00A0653D" w:rsidRDefault="00A9621C" w:rsidP="00A9621C">
            <w:pPr>
              <w:spacing w:after="0"/>
              <w:jc w:val="center"/>
              <w:rPr>
                <w:rFonts w:ascii="Calibri" w:hAnsi="Calibri"/>
                <w:color w:val="000000"/>
              </w:rPr>
            </w:pPr>
            <w:r>
              <w:rPr>
                <w:rFonts w:ascii="Calibri" w:hAnsi="Calibri"/>
                <w:color w:val="000000"/>
              </w:rPr>
              <w:t>100</w:t>
            </w:r>
            <w:r w:rsidR="00A0653D">
              <w:rPr>
                <w:rFonts w:ascii="Calibri" w:hAnsi="Calibri"/>
                <w:color w:val="000000"/>
              </w:rPr>
              <w:t>.</w:t>
            </w:r>
            <w:r>
              <w:rPr>
                <w:rFonts w:ascii="Calibri" w:hAnsi="Calibri"/>
                <w:color w:val="000000"/>
              </w:rPr>
              <w:t>0</w:t>
            </w:r>
            <w:r w:rsidR="00A0653D">
              <w:rPr>
                <w:rFonts w:ascii="Calibri" w:hAnsi="Calibri"/>
                <w:color w:val="000000"/>
              </w:rPr>
              <w:t>%</w:t>
            </w:r>
          </w:p>
        </w:tc>
      </w:tr>
    </w:tbl>
    <w:p w14:paraId="0C09C607" w14:textId="77777777" w:rsidR="00594A85" w:rsidRDefault="00594A85" w:rsidP="00594A85">
      <w:pPr>
        <w:spacing w:after="0"/>
      </w:pPr>
    </w:p>
    <w:p w14:paraId="6DFEAE8A" w14:textId="7DB5C7A8" w:rsidR="00BF3885" w:rsidRPr="00BF3885" w:rsidRDefault="00BF3885" w:rsidP="00594A85">
      <w:pPr>
        <w:spacing w:after="0"/>
      </w:pPr>
      <w:r w:rsidRPr="00BF3885">
        <w:t xml:space="preserve">Inter-quartile range (75th – 25th) = </w:t>
      </w:r>
      <w:r w:rsidR="00A9621C">
        <w:t>100</w:t>
      </w:r>
      <w:r w:rsidRPr="00BF3885">
        <w:t>.</w:t>
      </w:r>
      <w:r w:rsidR="00A9621C">
        <w:t>0</w:t>
      </w:r>
      <w:r w:rsidR="00A0653D">
        <w:t xml:space="preserve"> percent</w:t>
      </w:r>
      <w:r w:rsidRPr="00BF3885">
        <w:t xml:space="preserve"> – </w:t>
      </w:r>
      <w:r w:rsidR="00A9621C">
        <w:t>9</w:t>
      </w:r>
      <w:r w:rsidR="003C1955">
        <w:t>7</w:t>
      </w:r>
      <w:r w:rsidRPr="00BF3885">
        <w:t>.</w:t>
      </w:r>
      <w:r w:rsidR="003C1955">
        <w:t>0</w:t>
      </w:r>
      <w:r w:rsidR="00A0653D">
        <w:t xml:space="preserve"> percent</w:t>
      </w:r>
      <w:r w:rsidRPr="00BF3885">
        <w:t xml:space="preserve"> = </w:t>
      </w:r>
      <w:r w:rsidR="003C1955" w:rsidRPr="003C1955">
        <w:rPr>
          <w:b/>
        </w:rPr>
        <w:t>3</w:t>
      </w:r>
      <w:r w:rsidRPr="00A9621C">
        <w:rPr>
          <w:b/>
        </w:rPr>
        <w:t>.</w:t>
      </w:r>
      <w:r w:rsidR="003C1955">
        <w:rPr>
          <w:b/>
        </w:rPr>
        <w:t>0</w:t>
      </w:r>
      <w:r w:rsidR="00A0653D" w:rsidRPr="007B3901">
        <w:rPr>
          <w:b/>
        </w:rPr>
        <w:t xml:space="preserve"> percent</w:t>
      </w:r>
      <w:r w:rsidRPr="00BF3885">
        <w:t xml:space="preserve"> </w:t>
      </w:r>
    </w:p>
    <w:p w14:paraId="5E7AE695" w14:textId="227F78C6" w:rsidR="00BF3885" w:rsidRDefault="00BF3885" w:rsidP="00BF3885">
      <w:r w:rsidRPr="00BF3885">
        <w:t xml:space="preserve">90th – 10th </w:t>
      </w:r>
      <w:r w:rsidR="00A0653D">
        <w:t xml:space="preserve">percentile = </w:t>
      </w:r>
      <w:r w:rsidR="00A9621C">
        <w:t>100</w:t>
      </w:r>
      <w:r w:rsidRPr="00BF3885">
        <w:t>.</w:t>
      </w:r>
      <w:r w:rsidR="00A9621C">
        <w:t>0</w:t>
      </w:r>
      <w:r w:rsidR="00A0653D">
        <w:t xml:space="preserve"> percent</w:t>
      </w:r>
      <w:r w:rsidRPr="00BF3885">
        <w:t xml:space="preserve"> –</w:t>
      </w:r>
      <w:r w:rsidR="00A9621C">
        <w:t xml:space="preserve"> 9</w:t>
      </w:r>
      <w:r w:rsidR="003C1955">
        <w:t>2</w:t>
      </w:r>
      <w:r w:rsidR="00A0653D">
        <w:t>.</w:t>
      </w:r>
      <w:r w:rsidR="00A9621C">
        <w:t>0</w:t>
      </w:r>
      <w:r w:rsidR="00A0653D">
        <w:t xml:space="preserve"> percent = </w:t>
      </w:r>
      <w:r w:rsidR="003C1955" w:rsidRPr="003C1955">
        <w:rPr>
          <w:b/>
        </w:rPr>
        <w:t>8</w:t>
      </w:r>
      <w:r w:rsidR="00A9621C" w:rsidRPr="00A9621C">
        <w:rPr>
          <w:b/>
        </w:rPr>
        <w:t>.0</w:t>
      </w:r>
      <w:r w:rsidR="00A0653D" w:rsidRPr="007B3901">
        <w:rPr>
          <w:b/>
        </w:rPr>
        <w:t xml:space="preserve"> percent</w:t>
      </w:r>
      <w:r w:rsidRPr="00BF3885">
        <w:t xml:space="preserve"> </w:t>
      </w:r>
    </w:p>
    <w:p w14:paraId="0F491814" w14:textId="77777777" w:rsidR="003C1955" w:rsidRDefault="003C1955" w:rsidP="003C1955">
      <w:pPr>
        <w:spacing w:after="0"/>
        <w:jc w:val="center"/>
        <w:rPr>
          <w:rFonts w:cstheme="minorHAnsi"/>
          <w:b/>
          <w:bCs/>
          <w:i/>
        </w:rPr>
      </w:pPr>
    </w:p>
    <w:p w14:paraId="7E9F43D2" w14:textId="77777777" w:rsidR="00897FFA" w:rsidRDefault="00897FFA" w:rsidP="003C1955">
      <w:pPr>
        <w:spacing w:after="0"/>
        <w:jc w:val="center"/>
        <w:rPr>
          <w:rFonts w:cstheme="minorHAnsi"/>
          <w:b/>
          <w:bCs/>
          <w:i/>
        </w:rPr>
      </w:pPr>
    </w:p>
    <w:p w14:paraId="3EF9BD36" w14:textId="77777777" w:rsidR="00897FFA" w:rsidRDefault="00897FFA" w:rsidP="003C1955">
      <w:pPr>
        <w:spacing w:after="0"/>
        <w:jc w:val="center"/>
        <w:rPr>
          <w:rFonts w:cstheme="minorHAnsi"/>
          <w:b/>
          <w:bCs/>
          <w:i/>
        </w:rPr>
      </w:pPr>
    </w:p>
    <w:p w14:paraId="04D0A10F" w14:textId="77777777" w:rsidR="00EA4ECD" w:rsidRDefault="00EA4ECD" w:rsidP="003C1955">
      <w:pPr>
        <w:spacing w:after="0"/>
        <w:jc w:val="center"/>
        <w:rPr>
          <w:rFonts w:cstheme="minorHAnsi"/>
          <w:b/>
          <w:bCs/>
          <w:i/>
        </w:rPr>
      </w:pPr>
    </w:p>
    <w:p w14:paraId="52BF808F" w14:textId="77777777" w:rsidR="00EA4ECD" w:rsidRDefault="00EA4ECD" w:rsidP="003C1955">
      <w:pPr>
        <w:spacing w:after="0"/>
        <w:jc w:val="center"/>
        <w:rPr>
          <w:rFonts w:cstheme="minorHAnsi"/>
          <w:b/>
          <w:bCs/>
          <w:i/>
        </w:rPr>
      </w:pPr>
    </w:p>
    <w:p w14:paraId="234B745A" w14:textId="2EFAD14A" w:rsidR="003C1955" w:rsidRDefault="003C1955" w:rsidP="003C1955">
      <w:pPr>
        <w:spacing w:after="0"/>
        <w:jc w:val="center"/>
        <w:rPr>
          <w:rFonts w:cstheme="minorHAnsi"/>
          <w:b/>
          <w:bCs/>
          <w:i/>
        </w:rPr>
      </w:pPr>
      <w:bookmarkStart w:id="14" w:name="_GoBack"/>
      <w:bookmarkEnd w:id="14"/>
      <w:r w:rsidRPr="00771501">
        <w:rPr>
          <w:rFonts w:cstheme="minorHAnsi"/>
          <w:b/>
          <w:bCs/>
          <w:i/>
        </w:rPr>
        <w:lastRenderedPageBreak/>
        <w:t>Pre</w:t>
      </w:r>
      <w:r>
        <w:rPr>
          <w:rFonts w:cstheme="minorHAnsi"/>
          <w:b/>
          <w:bCs/>
          <w:i/>
        </w:rPr>
        <w:t>vention in Plan of Care</w:t>
      </w:r>
    </w:p>
    <w:p w14:paraId="20BB77B0" w14:textId="77777777" w:rsidR="003C1955" w:rsidRPr="00771501" w:rsidRDefault="003C1955" w:rsidP="003C1955">
      <w:pPr>
        <w:spacing w:after="0"/>
        <w:jc w:val="center"/>
        <w:rPr>
          <w:rFonts w:cstheme="minorHAnsi"/>
          <w:b/>
          <w:bCs/>
          <w:i/>
        </w:rPr>
      </w:pPr>
    </w:p>
    <w:tbl>
      <w:tblPr>
        <w:tblW w:w="41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1019"/>
        <w:gridCol w:w="773"/>
        <w:gridCol w:w="809"/>
        <w:gridCol w:w="810"/>
        <w:gridCol w:w="810"/>
        <w:gridCol w:w="990"/>
        <w:gridCol w:w="958"/>
        <w:gridCol w:w="982"/>
      </w:tblGrid>
      <w:tr w:rsidR="003C1955" w:rsidRPr="00BF3885" w14:paraId="1D9441AB" w14:textId="77777777" w:rsidTr="00EA0837">
        <w:trPr>
          <w:trHeight w:val="413"/>
          <w:tblHeader/>
          <w:jc w:val="center"/>
        </w:trPr>
        <w:tc>
          <w:tcPr>
            <w:tcW w:w="542" w:type="pct"/>
            <w:shd w:val="clear" w:color="auto" w:fill="CDECFF"/>
            <w:noWrap/>
            <w:vAlign w:val="center"/>
            <w:hideMark/>
          </w:tcPr>
          <w:p w14:paraId="52EB705B" w14:textId="77777777" w:rsidR="003C1955" w:rsidRPr="00BF3885" w:rsidRDefault="003C1955" w:rsidP="00EA0837">
            <w:pPr>
              <w:spacing w:after="0" w:line="240" w:lineRule="auto"/>
              <w:jc w:val="center"/>
              <w:rPr>
                <w:rFonts w:ascii="Calibri" w:hAnsi="Calibri"/>
                <w:b/>
                <w:color w:val="000000"/>
              </w:rPr>
            </w:pPr>
            <w:r w:rsidRPr="00BF3885">
              <w:rPr>
                <w:rFonts w:ascii="Calibri" w:hAnsi="Calibri"/>
                <w:b/>
                <w:color w:val="000000"/>
              </w:rPr>
              <w:t>Mean</w:t>
            </w:r>
          </w:p>
        </w:tc>
        <w:tc>
          <w:tcPr>
            <w:tcW w:w="635" w:type="pct"/>
            <w:shd w:val="clear" w:color="auto" w:fill="CDECFF"/>
            <w:noWrap/>
            <w:vAlign w:val="center"/>
            <w:hideMark/>
          </w:tcPr>
          <w:p w14:paraId="2D422F99" w14:textId="77777777" w:rsidR="003C1955" w:rsidRPr="00BF3885" w:rsidRDefault="003C1955" w:rsidP="00EA0837">
            <w:pPr>
              <w:spacing w:after="0" w:line="240" w:lineRule="auto"/>
              <w:jc w:val="center"/>
              <w:rPr>
                <w:rFonts w:ascii="Calibri" w:hAnsi="Calibri"/>
                <w:b/>
                <w:color w:val="000000"/>
              </w:rPr>
            </w:pPr>
            <w:r w:rsidRPr="00BF3885">
              <w:rPr>
                <w:rFonts w:ascii="Calibri" w:hAnsi="Calibri"/>
                <w:b/>
                <w:color w:val="000000"/>
              </w:rPr>
              <w:t>St. Dev.</w:t>
            </w:r>
          </w:p>
        </w:tc>
        <w:tc>
          <w:tcPr>
            <w:tcW w:w="482" w:type="pct"/>
            <w:shd w:val="clear" w:color="auto" w:fill="CDECFF"/>
            <w:vAlign w:val="center"/>
          </w:tcPr>
          <w:p w14:paraId="5F28C092" w14:textId="77777777" w:rsidR="003C1955" w:rsidRPr="00BF3885" w:rsidRDefault="003C1955" w:rsidP="00EA0837">
            <w:pPr>
              <w:spacing w:after="0" w:line="240" w:lineRule="auto"/>
              <w:jc w:val="center"/>
              <w:rPr>
                <w:rFonts w:ascii="Calibri" w:hAnsi="Calibri"/>
                <w:b/>
                <w:color w:val="000000"/>
              </w:rPr>
            </w:pPr>
            <w:r w:rsidRPr="00BF3885">
              <w:rPr>
                <w:rFonts w:ascii="Calibri" w:hAnsi="Calibri"/>
                <w:b/>
                <w:color w:val="000000"/>
              </w:rPr>
              <w:t>Min</w:t>
            </w:r>
          </w:p>
        </w:tc>
        <w:tc>
          <w:tcPr>
            <w:tcW w:w="504" w:type="pct"/>
            <w:shd w:val="clear" w:color="auto" w:fill="CDECFF"/>
            <w:noWrap/>
            <w:vAlign w:val="center"/>
            <w:hideMark/>
          </w:tcPr>
          <w:p w14:paraId="39707F86" w14:textId="77777777" w:rsidR="003C1955" w:rsidRPr="00BF3885" w:rsidRDefault="003C1955" w:rsidP="00EA0837">
            <w:pPr>
              <w:spacing w:after="0" w:line="240" w:lineRule="auto"/>
              <w:jc w:val="center"/>
              <w:rPr>
                <w:rFonts w:ascii="Calibri" w:hAnsi="Calibri"/>
                <w:b/>
                <w:color w:val="000000"/>
              </w:rPr>
            </w:pPr>
            <w:r w:rsidRPr="00BF3885">
              <w:rPr>
                <w:rFonts w:ascii="Calibri" w:hAnsi="Calibri"/>
                <w:b/>
                <w:color w:val="000000"/>
              </w:rPr>
              <w:t>10th</w:t>
            </w:r>
          </w:p>
        </w:tc>
        <w:tc>
          <w:tcPr>
            <w:tcW w:w="505" w:type="pct"/>
            <w:shd w:val="clear" w:color="auto" w:fill="CDECFF"/>
            <w:noWrap/>
            <w:vAlign w:val="center"/>
            <w:hideMark/>
          </w:tcPr>
          <w:p w14:paraId="2BD91365" w14:textId="77777777" w:rsidR="003C1955" w:rsidRPr="00BF3885" w:rsidRDefault="003C1955" w:rsidP="00EA0837">
            <w:pPr>
              <w:spacing w:after="0" w:line="240" w:lineRule="auto"/>
              <w:jc w:val="center"/>
              <w:rPr>
                <w:rFonts w:ascii="Calibri" w:hAnsi="Calibri"/>
                <w:b/>
                <w:color w:val="000000"/>
              </w:rPr>
            </w:pPr>
            <w:r w:rsidRPr="00BF3885">
              <w:rPr>
                <w:rFonts w:ascii="Calibri" w:hAnsi="Calibri"/>
                <w:b/>
                <w:color w:val="000000"/>
              </w:rPr>
              <w:t>25th</w:t>
            </w:r>
          </w:p>
        </w:tc>
        <w:tc>
          <w:tcPr>
            <w:tcW w:w="505" w:type="pct"/>
            <w:shd w:val="clear" w:color="auto" w:fill="CDECFF"/>
            <w:noWrap/>
            <w:vAlign w:val="center"/>
            <w:hideMark/>
          </w:tcPr>
          <w:p w14:paraId="41C9C9C1" w14:textId="77777777" w:rsidR="003C1955" w:rsidRPr="00BF3885" w:rsidRDefault="003C1955" w:rsidP="00EA0837">
            <w:pPr>
              <w:spacing w:after="0" w:line="240" w:lineRule="auto"/>
              <w:jc w:val="center"/>
              <w:rPr>
                <w:rFonts w:ascii="Calibri" w:hAnsi="Calibri"/>
                <w:b/>
                <w:color w:val="000000"/>
              </w:rPr>
            </w:pPr>
            <w:r w:rsidRPr="00BF3885">
              <w:rPr>
                <w:rFonts w:ascii="Calibri" w:hAnsi="Calibri"/>
                <w:b/>
                <w:color w:val="000000"/>
              </w:rPr>
              <w:t>50th</w:t>
            </w:r>
          </w:p>
        </w:tc>
        <w:tc>
          <w:tcPr>
            <w:tcW w:w="617" w:type="pct"/>
            <w:shd w:val="clear" w:color="auto" w:fill="CDECFF"/>
            <w:noWrap/>
            <w:vAlign w:val="center"/>
            <w:hideMark/>
          </w:tcPr>
          <w:p w14:paraId="754DD690" w14:textId="77777777" w:rsidR="003C1955" w:rsidRPr="00BF3885" w:rsidRDefault="003C1955" w:rsidP="00EA0837">
            <w:pPr>
              <w:spacing w:after="0" w:line="240" w:lineRule="auto"/>
              <w:jc w:val="center"/>
              <w:rPr>
                <w:rFonts w:ascii="Calibri" w:hAnsi="Calibri"/>
                <w:b/>
                <w:color w:val="000000"/>
              </w:rPr>
            </w:pPr>
            <w:r w:rsidRPr="00BF3885">
              <w:rPr>
                <w:rFonts w:ascii="Calibri" w:hAnsi="Calibri"/>
                <w:b/>
                <w:color w:val="000000"/>
              </w:rPr>
              <w:t>75</w:t>
            </w:r>
            <w:r w:rsidRPr="003C1955">
              <w:rPr>
                <w:rFonts w:ascii="Calibri" w:hAnsi="Calibri"/>
                <w:b/>
                <w:color w:val="000000"/>
              </w:rPr>
              <w:t>th</w:t>
            </w:r>
          </w:p>
        </w:tc>
        <w:tc>
          <w:tcPr>
            <w:tcW w:w="597" w:type="pct"/>
            <w:shd w:val="clear" w:color="auto" w:fill="CDECFF"/>
            <w:noWrap/>
            <w:vAlign w:val="center"/>
            <w:hideMark/>
          </w:tcPr>
          <w:p w14:paraId="462D5044" w14:textId="77777777" w:rsidR="003C1955" w:rsidRPr="00BF3885" w:rsidRDefault="003C1955" w:rsidP="00EA0837">
            <w:pPr>
              <w:spacing w:after="0" w:line="240" w:lineRule="auto"/>
              <w:jc w:val="center"/>
              <w:rPr>
                <w:rFonts w:ascii="Calibri" w:hAnsi="Calibri"/>
                <w:b/>
                <w:color w:val="000000"/>
              </w:rPr>
            </w:pPr>
            <w:r w:rsidRPr="00BF3885">
              <w:rPr>
                <w:rFonts w:ascii="Calibri" w:hAnsi="Calibri"/>
                <w:b/>
                <w:color w:val="000000"/>
              </w:rPr>
              <w:t>90th</w:t>
            </w:r>
          </w:p>
        </w:tc>
        <w:tc>
          <w:tcPr>
            <w:tcW w:w="612" w:type="pct"/>
            <w:shd w:val="clear" w:color="auto" w:fill="CDECFF"/>
            <w:noWrap/>
            <w:vAlign w:val="center"/>
            <w:hideMark/>
          </w:tcPr>
          <w:p w14:paraId="536D2794" w14:textId="77777777" w:rsidR="003C1955" w:rsidRPr="00BF3885" w:rsidRDefault="003C1955" w:rsidP="00EA0837">
            <w:pPr>
              <w:spacing w:after="0" w:line="240" w:lineRule="auto"/>
              <w:jc w:val="center"/>
              <w:rPr>
                <w:rFonts w:ascii="Calibri" w:hAnsi="Calibri"/>
                <w:b/>
                <w:color w:val="000000"/>
              </w:rPr>
            </w:pPr>
            <w:r w:rsidRPr="00BF3885">
              <w:rPr>
                <w:rFonts w:ascii="Calibri" w:hAnsi="Calibri"/>
                <w:b/>
                <w:color w:val="000000"/>
              </w:rPr>
              <w:t>Max</w:t>
            </w:r>
          </w:p>
        </w:tc>
      </w:tr>
      <w:tr w:rsidR="003C1955" w:rsidRPr="00BF3885" w14:paraId="4ACE0FA5" w14:textId="77777777" w:rsidTr="00EA0837">
        <w:trPr>
          <w:trHeight w:val="460"/>
          <w:jc w:val="center"/>
        </w:trPr>
        <w:tc>
          <w:tcPr>
            <w:tcW w:w="542" w:type="pct"/>
            <w:shd w:val="clear" w:color="000000" w:fill="FFFFFF"/>
            <w:noWrap/>
            <w:vAlign w:val="center"/>
          </w:tcPr>
          <w:p w14:paraId="5BA7FBFC" w14:textId="234AEDDC" w:rsidR="003C1955" w:rsidRPr="00BF3885" w:rsidRDefault="003C1955" w:rsidP="003C1955">
            <w:pPr>
              <w:spacing w:after="0" w:line="240" w:lineRule="auto"/>
              <w:jc w:val="center"/>
              <w:rPr>
                <w:rFonts w:ascii="Calibri" w:hAnsi="Calibri"/>
                <w:color w:val="000000"/>
              </w:rPr>
            </w:pPr>
            <w:r>
              <w:rPr>
                <w:rFonts w:ascii="Calibri" w:hAnsi="Calibri"/>
                <w:color w:val="000000"/>
              </w:rPr>
              <w:t>96</w:t>
            </w:r>
            <w:r w:rsidRPr="00BF3885">
              <w:rPr>
                <w:rFonts w:ascii="Calibri" w:hAnsi="Calibri"/>
                <w:color w:val="000000"/>
              </w:rPr>
              <w:t>.</w:t>
            </w:r>
            <w:r>
              <w:rPr>
                <w:rFonts w:ascii="Calibri" w:hAnsi="Calibri"/>
                <w:color w:val="000000"/>
              </w:rPr>
              <w:t>4</w:t>
            </w:r>
            <w:r w:rsidRPr="00BF3885">
              <w:rPr>
                <w:rFonts w:ascii="Calibri" w:hAnsi="Calibri"/>
                <w:color w:val="000000"/>
              </w:rPr>
              <w:t>%</w:t>
            </w:r>
          </w:p>
        </w:tc>
        <w:tc>
          <w:tcPr>
            <w:tcW w:w="635" w:type="pct"/>
            <w:shd w:val="clear" w:color="000000" w:fill="FFFFFF"/>
            <w:noWrap/>
            <w:vAlign w:val="center"/>
          </w:tcPr>
          <w:p w14:paraId="567ADB98" w14:textId="39C7F12E" w:rsidR="003C1955" w:rsidRPr="00BF3885" w:rsidRDefault="003C1955" w:rsidP="003C1955">
            <w:pPr>
              <w:spacing w:after="0" w:line="240" w:lineRule="auto"/>
              <w:jc w:val="center"/>
              <w:rPr>
                <w:rFonts w:ascii="Calibri" w:hAnsi="Calibri"/>
                <w:color w:val="000000"/>
              </w:rPr>
            </w:pPr>
            <w:r>
              <w:rPr>
                <w:rFonts w:ascii="Calibri" w:hAnsi="Calibri"/>
                <w:color w:val="000000"/>
              </w:rPr>
              <w:t>9</w:t>
            </w:r>
            <w:r w:rsidRPr="00BF3885">
              <w:rPr>
                <w:rFonts w:ascii="Calibri" w:hAnsi="Calibri"/>
                <w:color w:val="000000"/>
              </w:rPr>
              <w:t>.</w:t>
            </w:r>
            <w:r>
              <w:rPr>
                <w:rFonts w:ascii="Calibri" w:hAnsi="Calibri"/>
                <w:color w:val="000000"/>
              </w:rPr>
              <w:t>0</w:t>
            </w:r>
            <w:r w:rsidRPr="00BF3885">
              <w:rPr>
                <w:rFonts w:ascii="Calibri" w:hAnsi="Calibri"/>
                <w:color w:val="000000"/>
              </w:rPr>
              <w:t>%</w:t>
            </w:r>
          </w:p>
        </w:tc>
        <w:tc>
          <w:tcPr>
            <w:tcW w:w="482" w:type="pct"/>
            <w:shd w:val="clear" w:color="000000" w:fill="FFFFFF"/>
            <w:vAlign w:val="center"/>
          </w:tcPr>
          <w:p w14:paraId="42474962" w14:textId="7F7E8296" w:rsidR="003C1955" w:rsidRDefault="003C1955" w:rsidP="003C1955">
            <w:pPr>
              <w:spacing w:after="0"/>
              <w:jc w:val="center"/>
              <w:rPr>
                <w:rFonts w:ascii="Calibri" w:hAnsi="Calibri"/>
                <w:color w:val="000000"/>
              </w:rPr>
            </w:pPr>
            <w:r>
              <w:rPr>
                <w:rFonts w:ascii="Calibri" w:hAnsi="Calibri"/>
                <w:color w:val="000000"/>
              </w:rPr>
              <w:t>0.0%</w:t>
            </w:r>
          </w:p>
        </w:tc>
        <w:tc>
          <w:tcPr>
            <w:tcW w:w="504" w:type="pct"/>
            <w:shd w:val="clear" w:color="000000" w:fill="FFFFFF"/>
            <w:noWrap/>
            <w:vAlign w:val="center"/>
          </w:tcPr>
          <w:p w14:paraId="43D71569" w14:textId="13242304" w:rsidR="003C1955" w:rsidRDefault="003C1955" w:rsidP="003C1955">
            <w:pPr>
              <w:spacing w:after="0"/>
              <w:jc w:val="center"/>
              <w:rPr>
                <w:rFonts w:ascii="Calibri" w:hAnsi="Calibri"/>
                <w:color w:val="000000"/>
              </w:rPr>
            </w:pPr>
            <w:r>
              <w:rPr>
                <w:rFonts w:ascii="Calibri" w:hAnsi="Calibri"/>
                <w:color w:val="000000"/>
              </w:rPr>
              <w:t>90.5%</w:t>
            </w:r>
          </w:p>
        </w:tc>
        <w:tc>
          <w:tcPr>
            <w:tcW w:w="505" w:type="pct"/>
            <w:shd w:val="clear" w:color="000000" w:fill="FFFFFF"/>
            <w:noWrap/>
            <w:vAlign w:val="center"/>
          </w:tcPr>
          <w:p w14:paraId="2D5D2AB2" w14:textId="2EDC1155" w:rsidR="003C1955" w:rsidRDefault="003C1955" w:rsidP="00945156">
            <w:pPr>
              <w:spacing w:after="0"/>
              <w:jc w:val="center"/>
              <w:rPr>
                <w:rFonts w:ascii="Calibri" w:hAnsi="Calibri"/>
                <w:color w:val="000000"/>
              </w:rPr>
            </w:pPr>
            <w:r>
              <w:rPr>
                <w:rFonts w:ascii="Calibri" w:hAnsi="Calibri"/>
                <w:color w:val="000000"/>
              </w:rPr>
              <w:t>96.</w:t>
            </w:r>
            <w:r w:rsidR="00945156">
              <w:rPr>
                <w:rFonts w:ascii="Calibri" w:hAnsi="Calibri"/>
                <w:color w:val="000000"/>
              </w:rPr>
              <w:t>8</w:t>
            </w:r>
            <w:r>
              <w:rPr>
                <w:rFonts w:ascii="Calibri" w:hAnsi="Calibri"/>
                <w:color w:val="000000"/>
              </w:rPr>
              <w:t>%</w:t>
            </w:r>
          </w:p>
        </w:tc>
        <w:tc>
          <w:tcPr>
            <w:tcW w:w="505" w:type="pct"/>
            <w:shd w:val="clear" w:color="000000" w:fill="FFFFFF"/>
            <w:noWrap/>
            <w:vAlign w:val="center"/>
          </w:tcPr>
          <w:p w14:paraId="6A3BC86D" w14:textId="2A7D38D1" w:rsidR="003C1955" w:rsidRDefault="003C1955" w:rsidP="003C1955">
            <w:pPr>
              <w:spacing w:after="0"/>
              <w:jc w:val="center"/>
              <w:rPr>
                <w:rFonts w:ascii="Calibri" w:hAnsi="Calibri"/>
                <w:color w:val="000000"/>
              </w:rPr>
            </w:pPr>
            <w:r>
              <w:rPr>
                <w:rFonts w:ascii="Calibri" w:hAnsi="Calibri"/>
                <w:color w:val="000000"/>
              </w:rPr>
              <w:t>99.4%</w:t>
            </w:r>
          </w:p>
        </w:tc>
        <w:tc>
          <w:tcPr>
            <w:tcW w:w="617" w:type="pct"/>
            <w:shd w:val="clear" w:color="000000" w:fill="FFFFFF"/>
            <w:noWrap/>
            <w:vAlign w:val="center"/>
          </w:tcPr>
          <w:p w14:paraId="1284EEAB" w14:textId="77777777" w:rsidR="003C1955" w:rsidRDefault="003C1955" w:rsidP="00EA0837">
            <w:pPr>
              <w:spacing w:after="0"/>
              <w:jc w:val="center"/>
              <w:rPr>
                <w:rFonts w:ascii="Calibri" w:hAnsi="Calibri"/>
                <w:color w:val="000000"/>
              </w:rPr>
            </w:pPr>
            <w:r>
              <w:rPr>
                <w:rFonts w:ascii="Calibri" w:hAnsi="Calibri"/>
                <w:color w:val="000000"/>
              </w:rPr>
              <w:t>100.0%</w:t>
            </w:r>
          </w:p>
        </w:tc>
        <w:tc>
          <w:tcPr>
            <w:tcW w:w="597" w:type="pct"/>
            <w:shd w:val="clear" w:color="000000" w:fill="FFFFFF"/>
            <w:noWrap/>
            <w:vAlign w:val="center"/>
          </w:tcPr>
          <w:p w14:paraId="10C4CD46" w14:textId="77777777" w:rsidR="003C1955" w:rsidRDefault="003C1955" w:rsidP="00EA0837">
            <w:pPr>
              <w:spacing w:after="0"/>
              <w:jc w:val="center"/>
              <w:rPr>
                <w:rFonts w:ascii="Calibri" w:hAnsi="Calibri"/>
                <w:color w:val="000000"/>
              </w:rPr>
            </w:pPr>
            <w:r>
              <w:rPr>
                <w:rFonts w:ascii="Calibri" w:hAnsi="Calibri"/>
                <w:color w:val="000000"/>
              </w:rPr>
              <w:t>100.0%</w:t>
            </w:r>
          </w:p>
        </w:tc>
        <w:tc>
          <w:tcPr>
            <w:tcW w:w="612" w:type="pct"/>
            <w:shd w:val="clear" w:color="000000" w:fill="FFFFFF"/>
            <w:noWrap/>
            <w:vAlign w:val="center"/>
          </w:tcPr>
          <w:p w14:paraId="69039DEA" w14:textId="77777777" w:rsidR="003C1955" w:rsidRDefault="003C1955" w:rsidP="00EA0837">
            <w:pPr>
              <w:spacing w:after="0"/>
              <w:jc w:val="center"/>
              <w:rPr>
                <w:rFonts w:ascii="Calibri" w:hAnsi="Calibri"/>
                <w:color w:val="000000"/>
              </w:rPr>
            </w:pPr>
            <w:r>
              <w:rPr>
                <w:rFonts w:ascii="Calibri" w:hAnsi="Calibri"/>
                <w:color w:val="000000"/>
              </w:rPr>
              <w:t>100.0%</w:t>
            </w:r>
          </w:p>
        </w:tc>
      </w:tr>
    </w:tbl>
    <w:p w14:paraId="5E3B0D86" w14:textId="77777777" w:rsidR="003C1955" w:rsidRDefault="003C1955" w:rsidP="003C1955">
      <w:pPr>
        <w:spacing w:after="0"/>
      </w:pPr>
    </w:p>
    <w:p w14:paraId="68CD8AD3" w14:textId="7E2E1383" w:rsidR="003C1955" w:rsidRPr="00BF3885" w:rsidRDefault="003C1955" w:rsidP="003C1955">
      <w:pPr>
        <w:spacing w:after="0"/>
      </w:pPr>
      <w:r w:rsidRPr="00BF3885">
        <w:t xml:space="preserve">Inter-quartile range (75th – 25th) = </w:t>
      </w:r>
      <w:r>
        <w:t>100</w:t>
      </w:r>
      <w:r w:rsidRPr="00BF3885">
        <w:t>.</w:t>
      </w:r>
      <w:r>
        <w:t>0 percent</w:t>
      </w:r>
      <w:r w:rsidRPr="00BF3885">
        <w:t xml:space="preserve"> – </w:t>
      </w:r>
      <w:r>
        <w:t>96</w:t>
      </w:r>
      <w:r w:rsidRPr="00BF3885">
        <w:t>.</w:t>
      </w:r>
      <w:r>
        <w:t>9 percent</w:t>
      </w:r>
      <w:r w:rsidRPr="00BF3885">
        <w:t xml:space="preserve"> = </w:t>
      </w:r>
      <w:r w:rsidRPr="003C1955">
        <w:rPr>
          <w:b/>
        </w:rPr>
        <w:t>2</w:t>
      </w:r>
      <w:r w:rsidRPr="00A9621C">
        <w:rPr>
          <w:b/>
        </w:rPr>
        <w:t>.</w:t>
      </w:r>
      <w:r>
        <w:rPr>
          <w:b/>
        </w:rPr>
        <w:t>9</w:t>
      </w:r>
      <w:r w:rsidRPr="007B3901">
        <w:rPr>
          <w:b/>
        </w:rPr>
        <w:t xml:space="preserve"> percent</w:t>
      </w:r>
      <w:r w:rsidRPr="00BF3885">
        <w:t xml:space="preserve"> </w:t>
      </w:r>
    </w:p>
    <w:p w14:paraId="30539FBD" w14:textId="211A5BE0" w:rsidR="003C1955" w:rsidRDefault="003C1955" w:rsidP="003C1955">
      <w:r w:rsidRPr="00BF3885">
        <w:t xml:space="preserve">90th – 10th </w:t>
      </w:r>
      <w:r>
        <w:t>percentile = 100</w:t>
      </w:r>
      <w:r w:rsidRPr="00BF3885">
        <w:t>.</w:t>
      </w:r>
      <w:r>
        <w:t>0 percent</w:t>
      </w:r>
      <w:r w:rsidRPr="00BF3885">
        <w:t xml:space="preserve"> –</w:t>
      </w:r>
      <w:r>
        <w:t xml:space="preserve"> 90.5 percent = </w:t>
      </w:r>
      <w:r w:rsidRPr="003C1955">
        <w:rPr>
          <w:b/>
        </w:rPr>
        <w:t>9.</w:t>
      </w:r>
      <w:r>
        <w:rPr>
          <w:b/>
        </w:rPr>
        <w:t>5</w:t>
      </w:r>
      <w:r w:rsidRPr="007B3901">
        <w:rPr>
          <w:b/>
        </w:rPr>
        <w:t xml:space="preserve"> percent</w:t>
      </w:r>
      <w:r w:rsidRPr="00BF3885">
        <w:t xml:space="preserve"> </w:t>
      </w:r>
    </w:p>
    <w:p w14:paraId="27C42408" w14:textId="202B74FC" w:rsidR="003C1955" w:rsidRDefault="003C1955" w:rsidP="003C1955">
      <w:pPr>
        <w:spacing w:after="0"/>
        <w:jc w:val="center"/>
        <w:rPr>
          <w:rFonts w:cstheme="minorHAnsi"/>
          <w:b/>
          <w:bCs/>
          <w:i/>
        </w:rPr>
      </w:pPr>
      <w:r w:rsidRPr="00771501">
        <w:rPr>
          <w:rFonts w:cstheme="minorHAnsi"/>
          <w:b/>
          <w:bCs/>
          <w:i/>
        </w:rPr>
        <w:t>Pre</w:t>
      </w:r>
      <w:r>
        <w:rPr>
          <w:rFonts w:cstheme="minorHAnsi"/>
          <w:b/>
          <w:bCs/>
          <w:i/>
        </w:rPr>
        <w:t>vention Implemented</w:t>
      </w:r>
    </w:p>
    <w:p w14:paraId="2AA71150" w14:textId="77777777" w:rsidR="003C1955" w:rsidRPr="00771501" w:rsidRDefault="003C1955" w:rsidP="003C1955">
      <w:pPr>
        <w:spacing w:after="0"/>
        <w:jc w:val="center"/>
        <w:rPr>
          <w:rFonts w:cstheme="minorHAnsi"/>
          <w:b/>
          <w:bCs/>
          <w:i/>
        </w:rPr>
      </w:pPr>
    </w:p>
    <w:tbl>
      <w:tblPr>
        <w:tblW w:w="41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1019"/>
        <w:gridCol w:w="773"/>
        <w:gridCol w:w="809"/>
        <w:gridCol w:w="810"/>
        <w:gridCol w:w="810"/>
        <w:gridCol w:w="990"/>
        <w:gridCol w:w="958"/>
        <w:gridCol w:w="982"/>
      </w:tblGrid>
      <w:tr w:rsidR="003C1955" w:rsidRPr="00BF3885" w14:paraId="6E5E46C8" w14:textId="77777777" w:rsidTr="00EA0837">
        <w:trPr>
          <w:trHeight w:val="413"/>
          <w:tblHeader/>
          <w:jc w:val="center"/>
        </w:trPr>
        <w:tc>
          <w:tcPr>
            <w:tcW w:w="542" w:type="pct"/>
            <w:shd w:val="clear" w:color="auto" w:fill="CDECFF"/>
            <w:noWrap/>
            <w:vAlign w:val="center"/>
            <w:hideMark/>
          </w:tcPr>
          <w:p w14:paraId="664FEBB3" w14:textId="77777777" w:rsidR="003C1955" w:rsidRPr="00BF3885" w:rsidRDefault="003C1955" w:rsidP="00EA0837">
            <w:pPr>
              <w:spacing w:after="0" w:line="240" w:lineRule="auto"/>
              <w:jc w:val="center"/>
              <w:rPr>
                <w:rFonts w:ascii="Calibri" w:hAnsi="Calibri"/>
                <w:b/>
                <w:color w:val="000000"/>
              </w:rPr>
            </w:pPr>
            <w:r w:rsidRPr="00BF3885">
              <w:rPr>
                <w:rFonts w:ascii="Calibri" w:hAnsi="Calibri"/>
                <w:b/>
                <w:color w:val="000000"/>
              </w:rPr>
              <w:t>Mean</w:t>
            </w:r>
          </w:p>
        </w:tc>
        <w:tc>
          <w:tcPr>
            <w:tcW w:w="635" w:type="pct"/>
            <w:shd w:val="clear" w:color="auto" w:fill="CDECFF"/>
            <w:noWrap/>
            <w:vAlign w:val="center"/>
            <w:hideMark/>
          </w:tcPr>
          <w:p w14:paraId="2312105D" w14:textId="77777777" w:rsidR="003C1955" w:rsidRPr="00BF3885" w:rsidRDefault="003C1955" w:rsidP="00EA0837">
            <w:pPr>
              <w:spacing w:after="0" w:line="240" w:lineRule="auto"/>
              <w:jc w:val="center"/>
              <w:rPr>
                <w:rFonts w:ascii="Calibri" w:hAnsi="Calibri"/>
                <w:b/>
                <w:color w:val="000000"/>
              </w:rPr>
            </w:pPr>
            <w:r w:rsidRPr="00BF3885">
              <w:rPr>
                <w:rFonts w:ascii="Calibri" w:hAnsi="Calibri"/>
                <w:b/>
                <w:color w:val="000000"/>
              </w:rPr>
              <w:t>St. Dev.</w:t>
            </w:r>
          </w:p>
        </w:tc>
        <w:tc>
          <w:tcPr>
            <w:tcW w:w="482" w:type="pct"/>
            <w:shd w:val="clear" w:color="auto" w:fill="CDECFF"/>
            <w:vAlign w:val="center"/>
          </w:tcPr>
          <w:p w14:paraId="070A8D91" w14:textId="77777777" w:rsidR="003C1955" w:rsidRPr="00BF3885" w:rsidRDefault="003C1955" w:rsidP="00EA0837">
            <w:pPr>
              <w:spacing w:after="0" w:line="240" w:lineRule="auto"/>
              <w:jc w:val="center"/>
              <w:rPr>
                <w:rFonts w:ascii="Calibri" w:hAnsi="Calibri"/>
                <w:b/>
                <w:color w:val="000000"/>
              </w:rPr>
            </w:pPr>
            <w:r w:rsidRPr="00BF3885">
              <w:rPr>
                <w:rFonts w:ascii="Calibri" w:hAnsi="Calibri"/>
                <w:b/>
                <w:color w:val="000000"/>
              </w:rPr>
              <w:t>Min</w:t>
            </w:r>
          </w:p>
        </w:tc>
        <w:tc>
          <w:tcPr>
            <w:tcW w:w="504" w:type="pct"/>
            <w:shd w:val="clear" w:color="auto" w:fill="CDECFF"/>
            <w:noWrap/>
            <w:vAlign w:val="center"/>
            <w:hideMark/>
          </w:tcPr>
          <w:p w14:paraId="3AE5959E" w14:textId="77777777" w:rsidR="003C1955" w:rsidRPr="00BF3885" w:rsidRDefault="003C1955" w:rsidP="00EA0837">
            <w:pPr>
              <w:spacing w:after="0" w:line="240" w:lineRule="auto"/>
              <w:jc w:val="center"/>
              <w:rPr>
                <w:rFonts w:ascii="Calibri" w:hAnsi="Calibri"/>
                <w:b/>
                <w:color w:val="000000"/>
              </w:rPr>
            </w:pPr>
            <w:r w:rsidRPr="00BF3885">
              <w:rPr>
                <w:rFonts w:ascii="Calibri" w:hAnsi="Calibri"/>
                <w:b/>
                <w:color w:val="000000"/>
              </w:rPr>
              <w:t>10th</w:t>
            </w:r>
          </w:p>
        </w:tc>
        <w:tc>
          <w:tcPr>
            <w:tcW w:w="505" w:type="pct"/>
            <w:shd w:val="clear" w:color="auto" w:fill="CDECFF"/>
            <w:noWrap/>
            <w:vAlign w:val="center"/>
            <w:hideMark/>
          </w:tcPr>
          <w:p w14:paraId="14A9B31B" w14:textId="77777777" w:rsidR="003C1955" w:rsidRPr="00BF3885" w:rsidRDefault="003C1955" w:rsidP="00EA0837">
            <w:pPr>
              <w:spacing w:after="0" w:line="240" w:lineRule="auto"/>
              <w:jc w:val="center"/>
              <w:rPr>
                <w:rFonts w:ascii="Calibri" w:hAnsi="Calibri"/>
                <w:b/>
                <w:color w:val="000000"/>
              </w:rPr>
            </w:pPr>
            <w:r w:rsidRPr="00BF3885">
              <w:rPr>
                <w:rFonts w:ascii="Calibri" w:hAnsi="Calibri"/>
                <w:b/>
                <w:color w:val="000000"/>
              </w:rPr>
              <w:t>25th</w:t>
            </w:r>
          </w:p>
        </w:tc>
        <w:tc>
          <w:tcPr>
            <w:tcW w:w="505" w:type="pct"/>
            <w:shd w:val="clear" w:color="auto" w:fill="CDECFF"/>
            <w:noWrap/>
            <w:vAlign w:val="center"/>
            <w:hideMark/>
          </w:tcPr>
          <w:p w14:paraId="4D48CB14" w14:textId="77777777" w:rsidR="003C1955" w:rsidRPr="00BF3885" w:rsidRDefault="003C1955" w:rsidP="00EA0837">
            <w:pPr>
              <w:spacing w:after="0" w:line="240" w:lineRule="auto"/>
              <w:jc w:val="center"/>
              <w:rPr>
                <w:rFonts w:ascii="Calibri" w:hAnsi="Calibri"/>
                <w:b/>
                <w:color w:val="000000"/>
              </w:rPr>
            </w:pPr>
            <w:r w:rsidRPr="00BF3885">
              <w:rPr>
                <w:rFonts w:ascii="Calibri" w:hAnsi="Calibri"/>
                <w:b/>
                <w:color w:val="000000"/>
              </w:rPr>
              <w:t>50th</w:t>
            </w:r>
          </w:p>
        </w:tc>
        <w:tc>
          <w:tcPr>
            <w:tcW w:w="617" w:type="pct"/>
            <w:shd w:val="clear" w:color="auto" w:fill="CDECFF"/>
            <w:noWrap/>
            <w:vAlign w:val="center"/>
            <w:hideMark/>
          </w:tcPr>
          <w:p w14:paraId="7CA3A7E9" w14:textId="77777777" w:rsidR="003C1955" w:rsidRPr="00BF3885" w:rsidRDefault="003C1955" w:rsidP="00EA0837">
            <w:pPr>
              <w:spacing w:after="0" w:line="240" w:lineRule="auto"/>
              <w:jc w:val="center"/>
              <w:rPr>
                <w:rFonts w:ascii="Calibri" w:hAnsi="Calibri"/>
                <w:b/>
                <w:color w:val="000000"/>
              </w:rPr>
            </w:pPr>
            <w:r w:rsidRPr="00BF3885">
              <w:rPr>
                <w:rFonts w:ascii="Calibri" w:hAnsi="Calibri"/>
                <w:b/>
                <w:color w:val="000000"/>
              </w:rPr>
              <w:t>75</w:t>
            </w:r>
            <w:r w:rsidRPr="003C1955">
              <w:rPr>
                <w:rFonts w:ascii="Calibri" w:hAnsi="Calibri"/>
                <w:b/>
                <w:color w:val="000000"/>
              </w:rPr>
              <w:t>th</w:t>
            </w:r>
          </w:p>
        </w:tc>
        <w:tc>
          <w:tcPr>
            <w:tcW w:w="597" w:type="pct"/>
            <w:shd w:val="clear" w:color="auto" w:fill="CDECFF"/>
            <w:noWrap/>
            <w:vAlign w:val="center"/>
            <w:hideMark/>
          </w:tcPr>
          <w:p w14:paraId="2D6D9A32" w14:textId="77777777" w:rsidR="003C1955" w:rsidRPr="00BF3885" w:rsidRDefault="003C1955" w:rsidP="00EA0837">
            <w:pPr>
              <w:spacing w:after="0" w:line="240" w:lineRule="auto"/>
              <w:jc w:val="center"/>
              <w:rPr>
                <w:rFonts w:ascii="Calibri" w:hAnsi="Calibri"/>
                <w:b/>
                <w:color w:val="000000"/>
              </w:rPr>
            </w:pPr>
            <w:r w:rsidRPr="00BF3885">
              <w:rPr>
                <w:rFonts w:ascii="Calibri" w:hAnsi="Calibri"/>
                <w:b/>
                <w:color w:val="000000"/>
              </w:rPr>
              <w:t>90th</w:t>
            </w:r>
          </w:p>
        </w:tc>
        <w:tc>
          <w:tcPr>
            <w:tcW w:w="612" w:type="pct"/>
            <w:shd w:val="clear" w:color="auto" w:fill="CDECFF"/>
            <w:noWrap/>
            <w:vAlign w:val="center"/>
            <w:hideMark/>
          </w:tcPr>
          <w:p w14:paraId="60C13014" w14:textId="77777777" w:rsidR="003C1955" w:rsidRPr="00BF3885" w:rsidRDefault="003C1955" w:rsidP="00EA0837">
            <w:pPr>
              <w:spacing w:after="0" w:line="240" w:lineRule="auto"/>
              <w:jc w:val="center"/>
              <w:rPr>
                <w:rFonts w:ascii="Calibri" w:hAnsi="Calibri"/>
                <w:b/>
                <w:color w:val="000000"/>
              </w:rPr>
            </w:pPr>
            <w:r w:rsidRPr="00BF3885">
              <w:rPr>
                <w:rFonts w:ascii="Calibri" w:hAnsi="Calibri"/>
                <w:b/>
                <w:color w:val="000000"/>
              </w:rPr>
              <w:t>Max</w:t>
            </w:r>
          </w:p>
        </w:tc>
      </w:tr>
      <w:tr w:rsidR="003C1955" w:rsidRPr="00BF3885" w14:paraId="2EE10685" w14:textId="77777777" w:rsidTr="00EA0837">
        <w:trPr>
          <w:trHeight w:val="460"/>
          <w:jc w:val="center"/>
        </w:trPr>
        <w:tc>
          <w:tcPr>
            <w:tcW w:w="542" w:type="pct"/>
            <w:shd w:val="clear" w:color="000000" w:fill="FFFFFF"/>
            <w:noWrap/>
            <w:vAlign w:val="center"/>
          </w:tcPr>
          <w:p w14:paraId="31CE467E" w14:textId="4CF83FC0" w:rsidR="003C1955" w:rsidRPr="00BF3885" w:rsidRDefault="003C1955" w:rsidP="003C1955">
            <w:pPr>
              <w:spacing w:after="0" w:line="240" w:lineRule="auto"/>
              <w:jc w:val="center"/>
              <w:rPr>
                <w:rFonts w:ascii="Calibri" w:hAnsi="Calibri"/>
                <w:color w:val="000000"/>
              </w:rPr>
            </w:pPr>
            <w:r>
              <w:rPr>
                <w:rFonts w:ascii="Calibri" w:hAnsi="Calibri"/>
                <w:color w:val="000000"/>
              </w:rPr>
              <w:t>95</w:t>
            </w:r>
            <w:r w:rsidRPr="00BF3885">
              <w:rPr>
                <w:rFonts w:ascii="Calibri" w:hAnsi="Calibri"/>
                <w:color w:val="000000"/>
              </w:rPr>
              <w:t>.</w:t>
            </w:r>
            <w:r>
              <w:rPr>
                <w:rFonts w:ascii="Calibri" w:hAnsi="Calibri"/>
                <w:color w:val="000000"/>
              </w:rPr>
              <w:t>2</w:t>
            </w:r>
            <w:r w:rsidRPr="00BF3885">
              <w:rPr>
                <w:rFonts w:ascii="Calibri" w:hAnsi="Calibri"/>
                <w:color w:val="000000"/>
              </w:rPr>
              <w:t>%</w:t>
            </w:r>
          </w:p>
        </w:tc>
        <w:tc>
          <w:tcPr>
            <w:tcW w:w="635" w:type="pct"/>
            <w:shd w:val="clear" w:color="000000" w:fill="FFFFFF"/>
            <w:noWrap/>
            <w:vAlign w:val="center"/>
          </w:tcPr>
          <w:p w14:paraId="51730F89" w14:textId="1B7110C1" w:rsidR="003C1955" w:rsidRPr="00BF3885" w:rsidRDefault="003C1955" w:rsidP="003C1955">
            <w:pPr>
              <w:spacing w:after="0" w:line="240" w:lineRule="auto"/>
              <w:jc w:val="center"/>
              <w:rPr>
                <w:rFonts w:ascii="Calibri" w:hAnsi="Calibri"/>
                <w:color w:val="000000"/>
              </w:rPr>
            </w:pPr>
            <w:r>
              <w:rPr>
                <w:rFonts w:ascii="Calibri" w:hAnsi="Calibri"/>
                <w:color w:val="000000"/>
              </w:rPr>
              <w:t>10</w:t>
            </w:r>
            <w:r w:rsidRPr="00BF3885">
              <w:rPr>
                <w:rFonts w:ascii="Calibri" w:hAnsi="Calibri"/>
                <w:color w:val="000000"/>
              </w:rPr>
              <w:t>.</w:t>
            </w:r>
            <w:r>
              <w:rPr>
                <w:rFonts w:ascii="Calibri" w:hAnsi="Calibri"/>
                <w:color w:val="000000"/>
              </w:rPr>
              <w:t>1</w:t>
            </w:r>
            <w:r w:rsidRPr="00BF3885">
              <w:rPr>
                <w:rFonts w:ascii="Calibri" w:hAnsi="Calibri"/>
                <w:color w:val="000000"/>
              </w:rPr>
              <w:t>%</w:t>
            </w:r>
          </w:p>
        </w:tc>
        <w:tc>
          <w:tcPr>
            <w:tcW w:w="482" w:type="pct"/>
            <w:shd w:val="clear" w:color="000000" w:fill="FFFFFF"/>
            <w:vAlign w:val="center"/>
          </w:tcPr>
          <w:p w14:paraId="4627EAB6" w14:textId="77777777" w:rsidR="003C1955" w:rsidRDefault="003C1955" w:rsidP="00EA0837">
            <w:pPr>
              <w:spacing w:after="0"/>
              <w:jc w:val="center"/>
              <w:rPr>
                <w:rFonts w:ascii="Calibri" w:hAnsi="Calibri"/>
                <w:color w:val="000000"/>
              </w:rPr>
            </w:pPr>
            <w:r>
              <w:rPr>
                <w:rFonts w:ascii="Calibri" w:hAnsi="Calibri"/>
                <w:color w:val="000000"/>
              </w:rPr>
              <w:t>0.0%</w:t>
            </w:r>
          </w:p>
        </w:tc>
        <w:tc>
          <w:tcPr>
            <w:tcW w:w="504" w:type="pct"/>
            <w:shd w:val="clear" w:color="000000" w:fill="FFFFFF"/>
            <w:noWrap/>
            <w:vAlign w:val="center"/>
          </w:tcPr>
          <w:p w14:paraId="04643032" w14:textId="6E5A332F" w:rsidR="003C1955" w:rsidRDefault="003C1955" w:rsidP="003C1955">
            <w:pPr>
              <w:spacing w:after="0"/>
              <w:jc w:val="center"/>
              <w:rPr>
                <w:rFonts w:ascii="Calibri" w:hAnsi="Calibri"/>
                <w:color w:val="000000"/>
              </w:rPr>
            </w:pPr>
            <w:r>
              <w:rPr>
                <w:rFonts w:ascii="Calibri" w:hAnsi="Calibri"/>
                <w:color w:val="000000"/>
              </w:rPr>
              <w:t>87.7%</w:t>
            </w:r>
          </w:p>
        </w:tc>
        <w:tc>
          <w:tcPr>
            <w:tcW w:w="505" w:type="pct"/>
            <w:shd w:val="clear" w:color="000000" w:fill="FFFFFF"/>
            <w:noWrap/>
            <w:vAlign w:val="center"/>
          </w:tcPr>
          <w:p w14:paraId="1299AD1B" w14:textId="68DE6A47" w:rsidR="003C1955" w:rsidRDefault="003C1955" w:rsidP="003C1955">
            <w:pPr>
              <w:spacing w:after="0"/>
              <w:jc w:val="center"/>
              <w:rPr>
                <w:rFonts w:ascii="Calibri" w:hAnsi="Calibri"/>
                <w:color w:val="000000"/>
              </w:rPr>
            </w:pPr>
            <w:r>
              <w:rPr>
                <w:rFonts w:ascii="Calibri" w:hAnsi="Calibri"/>
                <w:color w:val="000000"/>
              </w:rPr>
              <w:t>95.2%</w:t>
            </w:r>
          </w:p>
        </w:tc>
        <w:tc>
          <w:tcPr>
            <w:tcW w:w="505" w:type="pct"/>
            <w:shd w:val="clear" w:color="000000" w:fill="FFFFFF"/>
            <w:noWrap/>
            <w:vAlign w:val="center"/>
          </w:tcPr>
          <w:p w14:paraId="2C92AE77" w14:textId="5FFE33EB" w:rsidR="003C1955" w:rsidRDefault="003C1955" w:rsidP="003C1955">
            <w:pPr>
              <w:spacing w:after="0"/>
              <w:jc w:val="center"/>
              <w:rPr>
                <w:rFonts w:ascii="Calibri" w:hAnsi="Calibri"/>
                <w:color w:val="000000"/>
              </w:rPr>
            </w:pPr>
            <w:r>
              <w:rPr>
                <w:rFonts w:ascii="Calibri" w:hAnsi="Calibri"/>
                <w:color w:val="000000"/>
              </w:rPr>
              <w:t>98.6%</w:t>
            </w:r>
          </w:p>
        </w:tc>
        <w:tc>
          <w:tcPr>
            <w:tcW w:w="617" w:type="pct"/>
            <w:shd w:val="clear" w:color="000000" w:fill="FFFFFF"/>
            <w:noWrap/>
            <w:vAlign w:val="center"/>
          </w:tcPr>
          <w:p w14:paraId="123BD3EA" w14:textId="77777777" w:rsidR="003C1955" w:rsidRDefault="003C1955" w:rsidP="00EA0837">
            <w:pPr>
              <w:spacing w:after="0"/>
              <w:jc w:val="center"/>
              <w:rPr>
                <w:rFonts w:ascii="Calibri" w:hAnsi="Calibri"/>
                <w:color w:val="000000"/>
              </w:rPr>
            </w:pPr>
            <w:r>
              <w:rPr>
                <w:rFonts w:ascii="Calibri" w:hAnsi="Calibri"/>
                <w:color w:val="000000"/>
              </w:rPr>
              <w:t>100.0%</w:t>
            </w:r>
          </w:p>
        </w:tc>
        <w:tc>
          <w:tcPr>
            <w:tcW w:w="597" w:type="pct"/>
            <w:shd w:val="clear" w:color="000000" w:fill="FFFFFF"/>
            <w:noWrap/>
            <w:vAlign w:val="center"/>
          </w:tcPr>
          <w:p w14:paraId="1C3D72D4" w14:textId="77777777" w:rsidR="003C1955" w:rsidRDefault="003C1955" w:rsidP="00EA0837">
            <w:pPr>
              <w:spacing w:after="0"/>
              <w:jc w:val="center"/>
              <w:rPr>
                <w:rFonts w:ascii="Calibri" w:hAnsi="Calibri"/>
                <w:color w:val="000000"/>
              </w:rPr>
            </w:pPr>
            <w:r>
              <w:rPr>
                <w:rFonts w:ascii="Calibri" w:hAnsi="Calibri"/>
                <w:color w:val="000000"/>
              </w:rPr>
              <w:t>100.0%</w:t>
            </w:r>
          </w:p>
        </w:tc>
        <w:tc>
          <w:tcPr>
            <w:tcW w:w="612" w:type="pct"/>
            <w:shd w:val="clear" w:color="000000" w:fill="FFFFFF"/>
            <w:noWrap/>
            <w:vAlign w:val="center"/>
          </w:tcPr>
          <w:p w14:paraId="7C6AF90B" w14:textId="77777777" w:rsidR="003C1955" w:rsidRDefault="003C1955" w:rsidP="00EA0837">
            <w:pPr>
              <w:spacing w:after="0"/>
              <w:jc w:val="center"/>
              <w:rPr>
                <w:rFonts w:ascii="Calibri" w:hAnsi="Calibri"/>
                <w:color w:val="000000"/>
              </w:rPr>
            </w:pPr>
            <w:r>
              <w:rPr>
                <w:rFonts w:ascii="Calibri" w:hAnsi="Calibri"/>
                <w:color w:val="000000"/>
              </w:rPr>
              <w:t>100.0%</w:t>
            </w:r>
          </w:p>
        </w:tc>
      </w:tr>
    </w:tbl>
    <w:p w14:paraId="09C3E8F9" w14:textId="77777777" w:rsidR="003C1955" w:rsidRDefault="003C1955" w:rsidP="003C1955">
      <w:pPr>
        <w:spacing w:after="0"/>
      </w:pPr>
    </w:p>
    <w:p w14:paraId="3BCD44F7" w14:textId="2A12C609" w:rsidR="003C1955" w:rsidRPr="00BF3885" w:rsidRDefault="003C1955" w:rsidP="003C1955">
      <w:pPr>
        <w:spacing w:after="0"/>
      </w:pPr>
      <w:r w:rsidRPr="00BF3885">
        <w:t xml:space="preserve">Inter-quartile range (75th – 25th) = </w:t>
      </w:r>
      <w:r>
        <w:t>100</w:t>
      </w:r>
      <w:r w:rsidRPr="00BF3885">
        <w:t>.</w:t>
      </w:r>
      <w:r>
        <w:t>0 percent</w:t>
      </w:r>
      <w:r w:rsidRPr="00BF3885">
        <w:t xml:space="preserve"> – </w:t>
      </w:r>
      <w:r>
        <w:t>95</w:t>
      </w:r>
      <w:r w:rsidRPr="00BF3885">
        <w:t>.</w:t>
      </w:r>
      <w:r>
        <w:t>2 percent</w:t>
      </w:r>
      <w:r w:rsidRPr="00BF3885">
        <w:t xml:space="preserve"> = </w:t>
      </w:r>
      <w:r w:rsidR="00060827" w:rsidRPr="00060827">
        <w:rPr>
          <w:b/>
        </w:rPr>
        <w:t>4.8</w:t>
      </w:r>
      <w:r w:rsidRPr="007B3901">
        <w:rPr>
          <w:b/>
        </w:rPr>
        <w:t xml:space="preserve"> percent</w:t>
      </w:r>
      <w:r w:rsidRPr="00BF3885">
        <w:t xml:space="preserve"> </w:t>
      </w:r>
    </w:p>
    <w:p w14:paraId="4CDB8D86" w14:textId="41E16EB2" w:rsidR="003C1955" w:rsidRDefault="003C1955" w:rsidP="003C1955">
      <w:r w:rsidRPr="00BF3885">
        <w:t xml:space="preserve">90th – 10th </w:t>
      </w:r>
      <w:r>
        <w:t>percentile = 100</w:t>
      </w:r>
      <w:r w:rsidRPr="00BF3885">
        <w:t>.</w:t>
      </w:r>
      <w:r>
        <w:t>0 percent</w:t>
      </w:r>
      <w:r w:rsidRPr="00BF3885">
        <w:t xml:space="preserve"> –</w:t>
      </w:r>
      <w:r>
        <w:t xml:space="preserve"> </w:t>
      </w:r>
      <w:r w:rsidR="00060827">
        <w:t>87</w:t>
      </w:r>
      <w:r>
        <w:t>.</w:t>
      </w:r>
      <w:r w:rsidR="00060827">
        <w:t>7</w:t>
      </w:r>
      <w:r>
        <w:t xml:space="preserve"> percent = </w:t>
      </w:r>
      <w:r w:rsidR="00060827" w:rsidRPr="00060827">
        <w:rPr>
          <w:b/>
        </w:rPr>
        <w:t>12.3</w:t>
      </w:r>
      <w:r w:rsidRPr="007B3901">
        <w:rPr>
          <w:b/>
        </w:rPr>
        <w:t xml:space="preserve"> percent</w:t>
      </w:r>
      <w:r w:rsidRPr="00BF3885">
        <w:t xml:space="preserve"> </w:t>
      </w:r>
    </w:p>
    <w:p w14:paraId="2BECC51C" w14:textId="09BA3A3F" w:rsidR="004178C1" w:rsidRDefault="00D61410" w:rsidP="00D61410">
      <w:pPr>
        <w:autoSpaceDE w:val="0"/>
        <w:autoSpaceDN w:val="0"/>
        <w:adjustRightInd w:val="0"/>
        <w:spacing w:after="0" w:line="240" w:lineRule="auto"/>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r w:rsidR="00060827">
        <w:t xml:space="preserve">For </w:t>
      </w:r>
      <w:r w:rsidR="00060827" w:rsidRPr="00CE77E2">
        <w:rPr>
          <w:i/>
        </w:rPr>
        <w:t>the Pressure Ulcer Risk Assessment</w:t>
      </w:r>
      <w:r w:rsidR="00060827">
        <w:t xml:space="preserve"> measure, a</w:t>
      </w:r>
      <w:r w:rsidR="00A0653D" w:rsidRPr="00075BE3">
        <w:t>n agency at the 75th percentile still has a</w:t>
      </w:r>
      <w:r w:rsidR="00A0653D">
        <w:t xml:space="preserve"> performance rate</w:t>
      </w:r>
      <w:r w:rsidR="00A0653D" w:rsidRPr="00075BE3">
        <w:t xml:space="preserve"> that is</w:t>
      </w:r>
      <w:r w:rsidR="00060827">
        <w:t xml:space="preserve"> 3.0</w:t>
      </w:r>
      <w:r w:rsidR="00A0653D" w:rsidRPr="00075BE3">
        <w:t xml:space="preserve"> percentage points higher than an agency at the 25</w:t>
      </w:r>
      <w:r w:rsidR="00A0653D" w:rsidRPr="000B6514">
        <w:rPr>
          <w:vertAlign w:val="superscript"/>
        </w:rPr>
        <w:t>th</w:t>
      </w:r>
      <w:r w:rsidR="00A0653D">
        <w:t xml:space="preserve"> percentile, meaning the poorer quality agency performs considerably worse on the measure than the agency providing better quality care.</w:t>
      </w:r>
    </w:p>
    <w:p w14:paraId="2A5B4306" w14:textId="77777777" w:rsidR="00060827" w:rsidRDefault="00060827" w:rsidP="00D61410">
      <w:pPr>
        <w:autoSpaceDE w:val="0"/>
        <w:autoSpaceDN w:val="0"/>
        <w:adjustRightInd w:val="0"/>
        <w:spacing w:after="0" w:line="240" w:lineRule="auto"/>
      </w:pPr>
    </w:p>
    <w:p w14:paraId="242DC0F0" w14:textId="1FAEC5FB" w:rsidR="00060827" w:rsidRDefault="00060827" w:rsidP="00D61410">
      <w:pPr>
        <w:autoSpaceDE w:val="0"/>
        <w:autoSpaceDN w:val="0"/>
        <w:adjustRightInd w:val="0"/>
        <w:spacing w:after="0" w:line="240" w:lineRule="auto"/>
      </w:pPr>
      <w:r>
        <w:t xml:space="preserve">For the </w:t>
      </w:r>
      <w:r w:rsidRPr="00CE77E2">
        <w:rPr>
          <w:i/>
        </w:rPr>
        <w:t>Prevention in Plan of Care</w:t>
      </w:r>
      <w:r>
        <w:t xml:space="preserve"> measure, a</w:t>
      </w:r>
      <w:r w:rsidRPr="00075BE3">
        <w:t>n agency at the 75th percentile still has a</w:t>
      </w:r>
      <w:r>
        <w:t xml:space="preserve"> performance rate</w:t>
      </w:r>
      <w:r w:rsidRPr="00075BE3">
        <w:t xml:space="preserve"> that is</w:t>
      </w:r>
      <w:r>
        <w:t xml:space="preserve"> 2.9</w:t>
      </w:r>
      <w:r w:rsidRPr="00075BE3">
        <w:t xml:space="preserve"> percentage points higher than an agency at the 25</w:t>
      </w:r>
      <w:r w:rsidRPr="000B6514">
        <w:rPr>
          <w:vertAlign w:val="superscript"/>
        </w:rPr>
        <w:t>th</w:t>
      </w:r>
      <w:r>
        <w:t xml:space="preserve"> percentile, meaning the poorer quality agency performs considerably worse on the measure than the agency providing better quality care.</w:t>
      </w:r>
    </w:p>
    <w:p w14:paraId="0EEDE988" w14:textId="77777777" w:rsidR="00060827" w:rsidRDefault="00060827" w:rsidP="00D61410">
      <w:pPr>
        <w:autoSpaceDE w:val="0"/>
        <w:autoSpaceDN w:val="0"/>
        <w:adjustRightInd w:val="0"/>
        <w:spacing w:after="0" w:line="240" w:lineRule="auto"/>
      </w:pPr>
    </w:p>
    <w:p w14:paraId="2764E345" w14:textId="7B466796" w:rsidR="00060827" w:rsidRDefault="00060827" w:rsidP="00D61410">
      <w:pPr>
        <w:autoSpaceDE w:val="0"/>
        <w:autoSpaceDN w:val="0"/>
        <w:adjustRightInd w:val="0"/>
        <w:spacing w:after="0" w:line="240" w:lineRule="auto"/>
      </w:pPr>
      <w:r>
        <w:t xml:space="preserve">For </w:t>
      </w:r>
      <w:r w:rsidRPr="00CE77E2">
        <w:rPr>
          <w:i/>
        </w:rPr>
        <w:t>Prevention Implemented</w:t>
      </w:r>
      <w:r>
        <w:t xml:space="preserve"> measure, a</w:t>
      </w:r>
      <w:r w:rsidRPr="00075BE3">
        <w:t>n agency at the 75th percentile still has a</w:t>
      </w:r>
      <w:r>
        <w:t xml:space="preserve"> performance rate</w:t>
      </w:r>
      <w:r w:rsidRPr="00075BE3">
        <w:t xml:space="preserve"> that is</w:t>
      </w:r>
      <w:r>
        <w:t xml:space="preserve"> 4.8</w:t>
      </w:r>
      <w:r w:rsidRPr="00075BE3">
        <w:t xml:space="preserve"> percentage points higher than an agency at the 25</w:t>
      </w:r>
      <w:r w:rsidRPr="000B6514">
        <w:rPr>
          <w:vertAlign w:val="superscript"/>
        </w:rPr>
        <w:t>th</w:t>
      </w:r>
      <w:r>
        <w:t xml:space="preserve"> percentile, meaning the poorer quality agency performs considerably worse on the measure than the agency providing better quality care.</w:t>
      </w:r>
    </w:p>
    <w:p w14:paraId="35529AFD" w14:textId="77777777" w:rsidR="0086464B" w:rsidRDefault="0086464B" w:rsidP="0086464B">
      <w:pPr>
        <w:spacing w:after="0" w:line="240" w:lineRule="auto"/>
        <w:rPr>
          <w:rFonts w:cstheme="minorHAnsi"/>
          <w:b/>
          <w:bCs/>
        </w:rPr>
      </w:pPr>
      <w:r>
        <w:rPr>
          <w:rFonts w:cstheme="minorHAnsi"/>
          <w:b/>
          <w:bCs/>
        </w:rPr>
        <w:t>_______________________________________</w:t>
      </w:r>
    </w:p>
    <w:p w14:paraId="3D10B141"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446CE02E"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1FE12F30" w14:textId="77777777" w:rsidR="00567D12" w:rsidRPr="00A25024" w:rsidRDefault="00567D12" w:rsidP="00DB3627">
      <w:pPr>
        <w:autoSpaceDE w:val="0"/>
        <w:autoSpaceDN w:val="0"/>
        <w:adjustRightInd w:val="0"/>
        <w:spacing w:after="0" w:line="240" w:lineRule="auto"/>
        <w:rPr>
          <w:rFonts w:cstheme="minorHAnsi"/>
          <w:b/>
          <w:bCs/>
        </w:rPr>
      </w:pPr>
    </w:p>
    <w:p w14:paraId="1CDBFC30"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w:t>
      </w:r>
      <w:proofErr w:type="spellStart"/>
      <w:r w:rsidR="00840A41">
        <w:rPr>
          <w:rFonts w:cstheme="minorHAnsi"/>
          <w:bCs/>
          <w:i/>
        </w:rPr>
        <w:t>eMeasures</w:t>
      </w:r>
      <w:proofErr w:type="spellEnd"/>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14:paraId="3E66764F" w14:textId="77777777" w:rsidR="000F06B5" w:rsidRPr="00A25024" w:rsidRDefault="000F06B5" w:rsidP="00DB3627">
      <w:pPr>
        <w:autoSpaceDE w:val="0"/>
        <w:autoSpaceDN w:val="0"/>
        <w:adjustRightInd w:val="0"/>
        <w:spacing w:after="0" w:line="240" w:lineRule="auto"/>
        <w:rPr>
          <w:rFonts w:cstheme="minorHAnsi"/>
          <w:bCs/>
        </w:rPr>
      </w:pPr>
    </w:p>
    <w:p w14:paraId="7BD5895D" w14:textId="77777777"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 xml:space="preserve">describe the steps―do not just </w:t>
      </w:r>
      <w:r w:rsidR="008871A9" w:rsidRPr="00A25024">
        <w:rPr>
          <w:rFonts w:cstheme="minorHAnsi"/>
          <w:bCs/>
          <w:i/>
        </w:rPr>
        <w:lastRenderedPageBreak/>
        <w:t>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r w:rsidR="0032079E">
        <w:t>Not applicable; this measure uses a single data source.</w:t>
      </w:r>
    </w:p>
    <w:p w14:paraId="4A03BEBA"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B8CED9" w14:textId="77777777"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32079E">
        <w:t>Not applicable.</w:t>
      </w:r>
    </w:p>
    <w:p w14:paraId="28E4162D" w14:textId="77777777" w:rsidR="00E1508F" w:rsidRPr="00E1508F" w:rsidRDefault="00E1508F" w:rsidP="00E1508F">
      <w:pPr>
        <w:autoSpaceDE w:val="0"/>
        <w:autoSpaceDN w:val="0"/>
        <w:adjustRightInd w:val="0"/>
        <w:spacing w:after="0" w:line="240" w:lineRule="auto"/>
        <w:rPr>
          <w:rFonts w:cstheme="minorHAnsi"/>
          <w:bCs/>
        </w:rPr>
      </w:pPr>
    </w:p>
    <w:p w14:paraId="513390CB" w14:textId="77777777"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32079E">
        <w:t>Not applicable.</w:t>
      </w:r>
    </w:p>
    <w:p w14:paraId="42468A6C" w14:textId="77777777" w:rsidR="008F7E67" w:rsidRDefault="008F7E67" w:rsidP="008F7E67">
      <w:pPr>
        <w:spacing w:after="0" w:line="240" w:lineRule="auto"/>
        <w:rPr>
          <w:rFonts w:cstheme="minorHAnsi"/>
          <w:b/>
          <w:bCs/>
        </w:rPr>
      </w:pPr>
      <w:r>
        <w:rPr>
          <w:rFonts w:cstheme="minorHAnsi"/>
          <w:b/>
          <w:bCs/>
        </w:rPr>
        <w:t>_______________________________________</w:t>
      </w:r>
    </w:p>
    <w:p w14:paraId="2739206F"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559E1BF0" w14:textId="77777777" w:rsidR="008F7E67" w:rsidRDefault="008F7E67" w:rsidP="008F7E67">
      <w:pPr>
        <w:autoSpaceDE w:val="0"/>
        <w:autoSpaceDN w:val="0"/>
        <w:adjustRightInd w:val="0"/>
        <w:spacing w:after="0" w:line="240" w:lineRule="auto"/>
        <w:rPr>
          <w:rFonts w:cstheme="minorHAnsi"/>
          <w:bCs/>
        </w:rPr>
      </w:pPr>
    </w:p>
    <w:p w14:paraId="2DA2A952" w14:textId="77777777" w:rsidR="00652DC0" w:rsidRPr="00A25024" w:rsidRDefault="008F7E67" w:rsidP="00652DC0">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r>
      <w:r w:rsidR="002B6926">
        <w:rPr>
          <w:rFonts w:cstheme="minorHAnsi"/>
          <w:bCs/>
        </w:rPr>
        <w:t>There are minimal issues with missing data because the OASIS submission system rejects assessments with missing va</w:t>
      </w:r>
      <w:r w:rsidR="00CB686B">
        <w:rPr>
          <w:rFonts w:cstheme="minorHAnsi"/>
          <w:bCs/>
        </w:rPr>
        <w:t>lues.</w:t>
      </w:r>
      <w:r w:rsidR="002B6926">
        <w:rPr>
          <w:rFonts w:cstheme="minorHAnsi"/>
          <w:bCs/>
        </w:rPr>
        <w:t xml:space="preserve"> </w:t>
      </w:r>
      <w:r w:rsidR="00CB686B">
        <w:rPr>
          <w:rFonts w:cstheme="minorHAnsi"/>
          <w:bCs/>
        </w:rPr>
        <w:t>T</w:t>
      </w:r>
      <w:r w:rsidR="002B6926">
        <w:rPr>
          <w:rFonts w:cstheme="minorHAnsi"/>
          <w:bCs/>
        </w:rPr>
        <w:t xml:space="preserve">he provider must then resubmit the assessment.  </w:t>
      </w:r>
    </w:p>
    <w:p w14:paraId="54466E2D" w14:textId="77777777" w:rsidR="008F7E67" w:rsidRPr="00A25024" w:rsidRDefault="008F7E67" w:rsidP="008F7E67">
      <w:pPr>
        <w:pStyle w:val="ListParagraph"/>
        <w:autoSpaceDE w:val="0"/>
        <w:autoSpaceDN w:val="0"/>
        <w:adjustRightInd w:val="0"/>
        <w:spacing w:after="0" w:line="240" w:lineRule="auto"/>
        <w:ind w:left="0"/>
        <w:rPr>
          <w:rFonts w:cstheme="minorHAnsi"/>
          <w:bCs/>
        </w:rPr>
      </w:pPr>
    </w:p>
    <w:p w14:paraId="2CFDA7D0" w14:textId="77777777"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r w:rsidR="002B6926">
        <w:rPr>
          <w:rFonts w:cstheme="minorHAnsi"/>
          <w:bCs/>
        </w:rPr>
        <w:t xml:space="preserve">There are minimal issues with missing data because the OASIS submission system rejects </w:t>
      </w:r>
      <w:r w:rsidR="00CB686B">
        <w:rPr>
          <w:rFonts w:cstheme="minorHAnsi"/>
          <w:bCs/>
        </w:rPr>
        <w:t>assessments with missing values. T</w:t>
      </w:r>
      <w:r w:rsidR="002B6926">
        <w:rPr>
          <w:rFonts w:cstheme="minorHAnsi"/>
          <w:bCs/>
        </w:rPr>
        <w:t xml:space="preserve">he provider must then resubmit the assessment.  </w:t>
      </w:r>
    </w:p>
    <w:p w14:paraId="1A1BACE2" w14:textId="77777777" w:rsidR="008F7E67" w:rsidRPr="00E1508F" w:rsidRDefault="008F7E67" w:rsidP="008F7E67">
      <w:pPr>
        <w:autoSpaceDE w:val="0"/>
        <w:autoSpaceDN w:val="0"/>
        <w:adjustRightInd w:val="0"/>
        <w:spacing w:after="0" w:line="240" w:lineRule="auto"/>
        <w:rPr>
          <w:rFonts w:cstheme="minorHAnsi"/>
          <w:bCs/>
        </w:rPr>
      </w:pPr>
    </w:p>
    <w:p w14:paraId="32C4172B"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27B9A7E3" w14:textId="77777777" w:rsidR="00BA053B" w:rsidRPr="005560E7" w:rsidRDefault="002B6926" w:rsidP="002B6926">
      <w:pPr>
        <w:rPr>
          <w:rFonts w:cstheme="minorHAnsi"/>
          <w:bCs/>
        </w:rPr>
      </w:pPr>
      <w:r>
        <w:rPr>
          <w:rFonts w:cstheme="minorHAnsi"/>
          <w:bCs/>
        </w:rPr>
        <w:t>There are minimal issues with missing data because the OASIS submission system rejects asse</w:t>
      </w:r>
      <w:r w:rsidR="00CB686B">
        <w:rPr>
          <w:rFonts w:cstheme="minorHAnsi"/>
          <w:bCs/>
        </w:rPr>
        <w:t>ssments with missing values.  T</w:t>
      </w:r>
      <w:r>
        <w:rPr>
          <w:rFonts w:cstheme="minorHAnsi"/>
          <w:bCs/>
        </w:rPr>
        <w:t xml:space="preserve">he provider must then resubmit the assessment.  </w:t>
      </w:r>
    </w:p>
    <w:sectPr w:rsidR="00BA053B" w:rsidRPr="005560E7" w:rsidSect="002F1158">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EF8530" w15:done="0"/>
  <w15:commentEx w15:paraId="605EE394" w15:done="0"/>
  <w15:commentEx w15:paraId="4B10072E" w15:done="0"/>
  <w15:commentEx w15:paraId="186A6C16" w15:done="0"/>
  <w15:commentEx w15:paraId="17B8CF13" w15:paraIdParent="186A6C16" w15:done="0"/>
  <w15:commentEx w15:paraId="45C13972" w15:done="0"/>
  <w15:commentEx w15:paraId="051C5299" w15:paraIdParent="45C13972" w15:done="0"/>
  <w15:commentEx w15:paraId="20C59FC2" w15:done="0"/>
  <w15:commentEx w15:paraId="00080F0A" w15:paraIdParent="20C59FC2" w15:done="0"/>
  <w15:commentEx w15:paraId="588EAB0B" w15:done="0"/>
  <w15:commentEx w15:paraId="679DB0F2" w15:paraIdParent="588EAB0B" w15:done="0"/>
  <w15:commentEx w15:paraId="7444AF77" w15:done="0"/>
  <w15:commentEx w15:paraId="00CEBBB4" w15:paraIdParent="7444AF77" w15:done="0"/>
  <w15:commentEx w15:paraId="0A0C6CB5" w15:done="0"/>
  <w15:commentEx w15:paraId="39C45C70" w15:paraIdParent="0A0C6CB5" w15:done="0"/>
  <w15:commentEx w15:paraId="59033739" w15:done="0"/>
  <w15:commentEx w15:paraId="51158158" w15:done="0"/>
  <w15:commentEx w15:paraId="525E4B0D" w15:done="0"/>
  <w15:commentEx w15:paraId="262A0E92" w15:paraIdParent="525E4B0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0AA556" w14:textId="77777777" w:rsidR="009C0E7C" w:rsidRDefault="009C0E7C" w:rsidP="005C73CA">
      <w:pPr>
        <w:spacing w:after="0" w:line="240" w:lineRule="auto"/>
      </w:pPr>
      <w:r>
        <w:separator/>
      </w:r>
    </w:p>
  </w:endnote>
  <w:endnote w:type="continuationSeparator" w:id="0">
    <w:p w14:paraId="0809CDD7" w14:textId="77777777" w:rsidR="009C0E7C" w:rsidRDefault="009C0E7C"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836C0" w14:textId="77777777" w:rsidR="009C0E7C" w:rsidRDefault="009C0E7C">
    <w:pPr>
      <w:pStyle w:val="Footer"/>
    </w:pPr>
    <w:r>
      <w:t xml:space="preserve">Version </w:t>
    </w:r>
    <w:proofErr w:type="gramStart"/>
    <w:r>
      <w:t>6.5  08</w:t>
    </w:r>
    <w:proofErr w:type="gramEnd"/>
    <w:r>
      <w:t>/20/13</w:t>
    </w:r>
    <w:r>
      <w:ptab w:relativeTo="margin" w:alignment="center" w:leader="none"/>
    </w:r>
    <w:r>
      <w:ptab w:relativeTo="margin" w:alignment="right" w:leader="none"/>
    </w:r>
    <w:r>
      <w:fldChar w:fldCharType="begin"/>
    </w:r>
    <w:r>
      <w:instrText xml:space="preserve"> PAGE   \* MERGEFORMAT </w:instrText>
    </w:r>
    <w:r>
      <w:fldChar w:fldCharType="separate"/>
    </w:r>
    <w:r w:rsidR="00EA4ECD">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9A1F68" w14:textId="77777777" w:rsidR="009C0E7C" w:rsidRDefault="009C0E7C" w:rsidP="005C73CA">
      <w:pPr>
        <w:spacing w:after="0" w:line="240" w:lineRule="auto"/>
      </w:pPr>
      <w:r>
        <w:separator/>
      </w:r>
    </w:p>
  </w:footnote>
  <w:footnote w:type="continuationSeparator" w:id="0">
    <w:p w14:paraId="3B5440E5" w14:textId="77777777" w:rsidR="009C0E7C" w:rsidRDefault="009C0E7C" w:rsidP="005C73CA">
      <w:pPr>
        <w:spacing w:after="0" w:line="240" w:lineRule="auto"/>
      </w:pPr>
      <w:r>
        <w:continuationSeparator/>
      </w:r>
    </w:p>
  </w:footnote>
  <w:footnote w:id="1">
    <w:p w14:paraId="5BF460F3" w14:textId="77777777" w:rsidR="009C0E7C" w:rsidRPr="00200CF9" w:rsidRDefault="009C0E7C" w:rsidP="00A724E2">
      <w:pPr>
        <w:pStyle w:val="FootnoteText"/>
      </w:pPr>
      <w:r>
        <w:rPr>
          <w:rStyle w:val="FootnoteReference"/>
        </w:rPr>
        <w:footnoteRef/>
      </w:r>
      <w:r>
        <w:t xml:space="preserve"> </w:t>
      </w:r>
      <w:r w:rsidRPr="006A23D2">
        <w:t>For more information about re</w:t>
      </w:r>
      <w:r>
        <w:t xml:space="preserve">liability testing for </w:t>
      </w:r>
      <w:r w:rsidRPr="006A23D2">
        <w:t>performance measurement</w:t>
      </w:r>
      <w:r>
        <w:t>, as well as the methodology for constructing the reliability score reported on Table 6</w:t>
      </w:r>
      <w:r w:rsidRPr="006A23D2">
        <w:t>, see “Reliability of Provider Profiling: A Tutorial” by John Adams, RAND</w:t>
      </w:r>
      <w:r w:rsidRPr="004F4778">
        <w:t xml:space="preserve">.  </w:t>
      </w:r>
      <w:r w:rsidRPr="006A23D2">
        <w:t>http://www.rand.org/pubs/technical_reports/TR653.html</w:t>
      </w:r>
    </w:p>
  </w:footnote>
  <w:footnote w:id="2">
    <w:p w14:paraId="4938222B" w14:textId="77777777" w:rsidR="009C0E7C" w:rsidRPr="00CE4FC3" w:rsidRDefault="009C0E7C" w:rsidP="00CE4FC3">
      <w:pPr>
        <w:autoSpaceDE w:val="0"/>
        <w:autoSpaceDN w:val="0"/>
        <w:adjustRightInd w:val="0"/>
        <w:spacing w:after="0" w:line="240" w:lineRule="auto"/>
        <w:rPr>
          <w:rFonts w:cstheme="minorHAnsi"/>
          <w:bCs/>
          <w:sz w:val="20"/>
          <w:szCs w:val="20"/>
        </w:rPr>
      </w:pPr>
      <w:r>
        <w:rPr>
          <w:rStyle w:val="FootnoteReference"/>
        </w:rPr>
        <w:footnoteRef/>
      </w:r>
      <w:r>
        <w:t xml:space="preserve"> </w:t>
      </w:r>
      <w:r w:rsidRPr="00CE4FC3">
        <w:rPr>
          <w:sz w:val="20"/>
          <w:szCs w:val="20"/>
        </w:rPr>
        <w:t xml:space="preserve">Parameters of risk adjustment models for all outcome measures are documented in “Home Health Agency Quality Measures: Logistic Regression Models for Risk Adjustment”, available at </w:t>
      </w:r>
      <w:r w:rsidRPr="00CE4FC3">
        <w:rPr>
          <w:color w:val="0000FF"/>
          <w:sz w:val="20"/>
          <w:szCs w:val="20"/>
          <w:u w:val="single"/>
        </w:rPr>
        <w:t xml:space="preserve">http://www.cms.gov/Medicare/Quality-Initiatives-Patient-Assessment-Instruments/HomeHealthQualityInits/HHQIQualityMeasures.html </w:t>
      </w:r>
      <w:r w:rsidRPr="00CE4FC3">
        <w:rPr>
          <w:sz w:val="20"/>
          <w:szCs w:val="20"/>
        </w:rPr>
        <w:t xml:space="preserve">under “Downloads”.  </w:t>
      </w:r>
    </w:p>
    <w:p w14:paraId="0983A7F0" w14:textId="77777777" w:rsidR="009C0E7C" w:rsidRDefault="009C0E7C">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D32615" w14:textId="77777777" w:rsidR="009C0E7C" w:rsidRPr="00105D8B" w:rsidRDefault="009C0E7C"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BFE06F3"/>
    <w:multiLevelType w:val="hybridMultilevel"/>
    <w:tmpl w:val="5BA098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6946886"/>
    <w:multiLevelType w:val="hybridMultilevel"/>
    <w:tmpl w:val="30664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85A42FC"/>
    <w:multiLevelType w:val="hybridMultilevel"/>
    <w:tmpl w:val="DD163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D661DE5"/>
    <w:multiLevelType w:val="hybridMultilevel"/>
    <w:tmpl w:val="787A3D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10"/>
  </w:num>
  <w:num w:numId="3">
    <w:abstractNumId w:val="2"/>
  </w:num>
  <w:num w:numId="4">
    <w:abstractNumId w:val="5"/>
  </w:num>
  <w:num w:numId="5">
    <w:abstractNumId w:val="1"/>
  </w:num>
  <w:num w:numId="6">
    <w:abstractNumId w:val="0"/>
  </w:num>
  <w:num w:numId="7">
    <w:abstractNumId w:val="3"/>
  </w:num>
  <w:num w:numId="8">
    <w:abstractNumId w:val="19"/>
  </w:num>
  <w:num w:numId="9">
    <w:abstractNumId w:val="9"/>
  </w:num>
  <w:num w:numId="10">
    <w:abstractNumId w:val="26"/>
  </w:num>
  <w:num w:numId="11">
    <w:abstractNumId w:val="11"/>
  </w:num>
  <w:num w:numId="12">
    <w:abstractNumId w:val="24"/>
  </w:num>
  <w:num w:numId="13">
    <w:abstractNumId w:val="17"/>
  </w:num>
  <w:num w:numId="14">
    <w:abstractNumId w:val="17"/>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6"/>
  </w:num>
  <w:num w:numId="16">
    <w:abstractNumId w:val="8"/>
  </w:num>
  <w:num w:numId="17">
    <w:abstractNumId w:val="25"/>
  </w:num>
  <w:num w:numId="18">
    <w:abstractNumId w:val="22"/>
  </w:num>
  <w:num w:numId="19">
    <w:abstractNumId w:val="21"/>
  </w:num>
  <w:num w:numId="20">
    <w:abstractNumId w:val="15"/>
  </w:num>
  <w:num w:numId="21">
    <w:abstractNumId w:val="18"/>
  </w:num>
  <w:num w:numId="22">
    <w:abstractNumId w:val="14"/>
  </w:num>
  <w:num w:numId="23">
    <w:abstractNumId w:val="6"/>
  </w:num>
  <w:num w:numId="24">
    <w:abstractNumId w:val="13"/>
  </w:num>
  <w:num w:numId="25">
    <w:abstractNumId w:val="12"/>
  </w:num>
  <w:num w:numId="26">
    <w:abstractNumId w:val="27"/>
  </w:num>
  <w:num w:numId="27">
    <w:abstractNumId w:val="7"/>
  </w:num>
  <w:num w:numId="28">
    <w:abstractNumId w:val="23"/>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a Zaidi">
    <w15:presenceInfo w15:providerId="AD" w15:userId="S-1-5-21-744626769-310392162-1777090905-8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28BF"/>
    <w:rsid w:val="00032D9B"/>
    <w:rsid w:val="00033038"/>
    <w:rsid w:val="00033D63"/>
    <w:rsid w:val="0003436F"/>
    <w:rsid w:val="000414E8"/>
    <w:rsid w:val="00044CEF"/>
    <w:rsid w:val="0004593A"/>
    <w:rsid w:val="00050A3E"/>
    <w:rsid w:val="00052A6F"/>
    <w:rsid w:val="00053F02"/>
    <w:rsid w:val="0005612B"/>
    <w:rsid w:val="000574AB"/>
    <w:rsid w:val="00060827"/>
    <w:rsid w:val="0006147A"/>
    <w:rsid w:val="00062A94"/>
    <w:rsid w:val="000655EA"/>
    <w:rsid w:val="000736E0"/>
    <w:rsid w:val="000775F8"/>
    <w:rsid w:val="00080CF7"/>
    <w:rsid w:val="000851B2"/>
    <w:rsid w:val="000906D5"/>
    <w:rsid w:val="00092566"/>
    <w:rsid w:val="000968F8"/>
    <w:rsid w:val="00097012"/>
    <w:rsid w:val="000B032A"/>
    <w:rsid w:val="000B2DF7"/>
    <w:rsid w:val="000B3880"/>
    <w:rsid w:val="000D2970"/>
    <w:rsid w:val="000D436F"/>
    <w:rsid w:val="000D7948"/>
    <w:rsid w:val="000D7C84"/>
    <w:rsid w:val="000E1DE1"/>
    <w:rsid w:val="000E4E13"/>
    <w:rsid w:val="000E78F6"/>
    <w:rsid w:val="000F034A"/>
    <w:rsid w:val="000F06B5"/>
    <w:rsid w:val="000F39E9"/>
    <w:rsid w:val="00101730"/>
    <w:rsid w:val="00104B45"/>
    <w:rsid w:val="00105D8B"/>
    <w:rsid w:val="001074FC"/>
    <w:rsid w:val="0011259E"/>
    <w:rsid w:val="001126DC"/>
    <w:rsid w:val="0011342F"/>
    <w:rsid w:val="001202E9"/>
    <w:rsid w:val="0012454F"/>
    <w:rsid w:val="00125273"/>
    <w:rsid w:val="0012575E"/>
    <w:rsid w:val="00127C06"/>
    <w:rsid w:val="00145149"/>
    <w:rsid w:val="00145D4F"/>
    <w:rsid w:val="0014773C"/>
    <w:rsid w:val="0017696D"/>
    <w:rsid w:val="001848FC"/>
    <w:rsid w:val="001969C5"/>
    <w:rsid w:val="001A5B51"/>
    <w:rsid w:val="001A6CDD"/>
    <w:rsid w:val="001B1603"/>
    <w:rsid w:val="001C12EE"/>
    <w:rsid w:val="001C7B02"/>
    <w:rsid w:val="001E4DD4"/>
    <w:rsid w:val="001E69DC"/>
    <w:rsid w:val="001F0ABD"/>
    <w:rsid w:val="001F169D"/>
    <w:rsid w:val="001F1DA1"/>
    <w:rsid w:val="001F6F93"/>
    <w:rsid w:val="001F7A20"/>
    <w:rsid w:val="00206E5B"/>
    <w:rsid w:val="0021195A"/>
    <w:rsid w:val="00213383"/>
    <w:rsid w:val="0021458A"/>
    <w:rsid w:val="00220250"/>
    <w:rsid w:val="0022691B"/>
    <w:rsid w:val="00232163"/>
    <w:rsid w:val="002376F8"/>
    <w:rsid w:val="002408E4"/>
    <w:rsid w:val="00241591"/>
    <w:rsid w:val="00243913"/>
    <w:rsid w:val="00250B4F"/>
    <w:rsid w:val="00255604"/>
    <w:rsid w:val="0025762F"/>
    <w:rsid w:val="002578EA"/>
    <w:rsid w:val="00260C81"/>
    <w:rsid w:val="00271C55"/>
    <w:rsid w:val="0028114D"/>
    <w:rsid w:val="00287649"/>
    <w:rsid w:val="00287E84"/>
    <w:rsid w:val="0029286C"/>
    <w:rsid w:val="0029300E"/>
    <w:rsid w:val="002A104C"/>
    <w:rsid w:val="002A4250"/>
    <w:rsid w:val="002A6786"/>
    <w:rsid w:val="002B0C3A"/>
    <w:rsid w:val="002B2116"/>
    <w:rsid w:val="002B2D9B"/>
    <w:rsid w:val="002B5016"/>
    <w:rsid w:val="002B6167"/>
    <w:rsid w:val="002B6926"/>
    <w:rsid w:val="002B742C"/>
    <w:rsid w:val="002B7F4D"/>
    <w:rsid w:val="002C285C"/>
    <w:rsid w:val="002C3650"/>
    <w:rsid w:val="002C7BE4"/>
    <w:rsid w:val="002D417D"/>
    <w:rsid w:val="002D454E"/>
    <w:rsid w:val="002D5E5D"/>
    <w:rsid w:val="002E78A0"/>
    <w:rsid w:val="002F1158"/>
    <w:rsid w:val="002F2687"/>
    <w:rsid w:val="002F48E1"/>
    <w:rsid w:val="002F4F3B"/>
    <w:rsid w:val="003022C2"/>
    <w:rsid w:val="00302997"/>
    <w:rsid w:val="003059EB"/>
    <w:rsid w:val="00305A91"/>
    <w:rsid w:val="00310BD2"/>
    <w:rsid w:val="003116AC"/>
    <w:rsid w:val="00315567"/>
    <w:rsid w:val="0032079E"/>
    <w:rsid w:val="00330144"/>
    <w:rsid w:val="00336651"/>
    <w:rsid w:val="00346245"/>
    <w:rsid w:val="00356267"/>
    <w:rsid w:val="00356BAD"/>
    <w:rsid w:val="0036045F"/>
    <w:rsid w:val="003605B4"/>
    <w:rsid w:val="003627AC"/>
    <w:rsid w:val="00366914"/>
    <w:rsid w:val="00372FE3"/>
    <w:rsid w:val="003737B1"/>
    <w:rsid w:val="003755CB"/>
    <w:rsid w:val="00376DF0"/>
    <w:rsid w:val="00377CAA"/>
    <w:rsid w:val="00383F85"/>
    <w:rsid w:val="003954E9"/>
    <w:rsid w:val="003A306C"/>
    <w:rsid w:val="003A3644"/>
    <w:rsid w:val="003A7DE7"/>
    <w:rsid w:val="003B1006"/>
    <w:rsid w:val="003C1955"/>
    <w:rsid w:val="003C5F11"/>
    <w:rsid w:val="003D6401"/>
    <w:rsid w:val="003E1863"/>
    <w:rsid w:val="0041606D"/>
    <w:rsid w:val="00416962"/>
    <w:rsid w:val="004178C1"/>
    <w:rsid w:val="00420CE5"/>
    <w:rsid w:val="004348CC"/>
    <w:rsid w:val="00457236"/>
    <w:rsid w:val="004658FF"/>
    <w:rsid w:val="00465CB8"/>
    <w:rsid w:val="00474ED7"/>
    <w:rsid w:val="004756E1"/>
    <w:rsid w:val="0048008A"/>
    <w:rsid w:val="00483E94"/>
    <w:rsid w:val="00484120"/>
    <w:rsid w:val="004853A0"/>
    <w:rsid w:val="00487F4F"/>
    <w:rsid w:val="00496437"/>
    <w:rsid w:val="00496B5F"/>
    <w:rsid w:val="004A0DFA"/>
    <w:rsid w:val="004A0EAA"/>
    <w:rsid w:val="004A2E10"/>
    <w:rsid w:val="004B17FF"/>
    <w:rsid w:val="004B1BA0"/>
    <w:rsid w:val="004B20B3"/>
    <w:rsid w:val="004B6CEE"/>
    <w:rsid w:val="004C2443"/>
    <w:rsid w:val="004C498F"/>
    <w:rsid w:val="004C5D29"/>
    <w:rsid w:val="004C681A"/>
    <w:rsid w:val="004D4D8A"/>
    <w:rsid w:val="004D4E8A"/>
    <w:rsid w:val="004F5BD4"/>
    <w:rsid w:val="004F605D"/>
    <w:rsid w:val="004F68EE"/>
    <w:rsid w:val="005038D5"/>
    <w:rsid w:val="00511BA4"/>
    <w:rsid w:val="005134B1"/>
    <w:rsid w:val="005149E7"/>
    <w:rsid w:val="005221FD"/>
    <w:rsid w:val="005232D6"/>
    <w:rsid w:val="0052550B"/>
    <w:rsid w:val="00531183"/>
    <w:rsid w:val="005333CC"/>
    <w:rsid w:val="005363F1"/>
    <w:rsid w:val="00542A1B"/>
    <w:rsid w:val="0055007C"/>
    <w:rsid w:val="00554922"/>
    <w:rsid w:val="00555282"/>
    <w:rsid w:val="00555392"/>
    <w:rsid w:val="005560E7"/>
    <w:rsid w:val="005612CC"/>
    <w:rsid w:val="00563029"/>
    <w:rsid w:val="00567D12"/>
    <w:rsid w:val="00576062"/>
    <w:rsid w:val="00594A85"/>
    <w:rsid w:val="0059559F"/>
    <w:rsid w:val="005A49FF"/>
    <w:rsid w:val="005A7634"/>
    <w:rsid w:val="005C0447"/>
    <w:rsid w:val="005C739F"/>
    <w:rsid w:val="005C73CA"/>
    <w:rsid w:val="005D4768"/>
    <w:rsid w:val="005D7EB8"/>
    <w:rsid w:val="005E2CAB"/>
    <w:rsid w:val="005E429E"/>
    <w:rsid w:val="005F792B"/>
    <w:rsid w:val="00601ED4"/>
    <w:rsid w:val="006030BC"/>
    <w:rsid w:val="00612866"/>
    <w:rsid w:val="00616EB5"/>
    <w:rsid w:val="006171AF"/>
    <w:rsid w:val="00625CDE"/>
    <w:rsid w:val="006269D4"/>
    <w:rsid w:val="006327D8"/>
    <w:rsid w:val="0064070A"/>
    <w:rsid w:val="00643A01"/>
    <w:rsid w:val="006447D6"/>
    <w:rsid w:val="00652DC0"/>
    <w:rsid w:val="006574D2"/>
    <w:rsid w:val="0066200D"/>
    <w:rsid w:val="006676D4"/>
    <w:rsid w:val="00675535"/>
    <w:rsid w:val="00681359"/>
    <w:rsid w:val="00696262"/>
    <w:rsid w:val="006A32AF"/>
    <w:rsid w:val="006A73C7"/>
    <w:rsid w:val="006B10B3"/>
    <w:rsid w:val="006C3A4F"/>
    <w:rsid w:val="006C43B6"/>
    <w:rsid w:val="006C4845"/>
    <w:rsid w:val="006D086E"/>
    <w:rsid w:val="006D3A35"/>
    <w:rsid w:val="006D6BC1"/>
    <w:rsid w:val="006E2BFC"/>
    <w:rsid w:val="006E31F3"/>
    <w:rsid w:val="006E5C57"/>
    <w:rsid w:val="006F22A5"/>
    <w:rsid w:val="007007C3"/>
    <w:rsid w:val="00702C73"/>
    <w:rsid w:val="007076C8"/>
    <w:rsid w:val="00713394"/>
    <w:rsid w:val="00724677"/>
    <w:rsid w:val="00725AC2"/>
    <w:rsid w:val="00732880"/>
    <w:rsid w:val="00733E1D"/>
    <w:rsid w:val="007416B9"/>
    <w:rsid w:val="007422FD"/>
    <w:rsid w:val="00743E46"/>
    <w:rsid w:val="00746654"/>
    <w:rsid w:val="00747C45"/>
    <w:rsid w:val="00756FDB"/>
    <w:rsid w:val="007629B6"/>
    <w:rsid w:val="007665BF"/>
    <w:rsid w:val="00771501"/>
    <w:rsid w:val="00771B2A"/>
    <w:rsid w:val="007757CE"/>
    <w:rsid w:val="00775800"/>
    <w:rsid w:val="0079180E"/>
    <w:rsid w:val="00793860"/>
    <w:rsid w:val="00794902"/>
    <w:rsid w:val="00794BE7"/>
    <w:rsid w:val="007950CC"/>
    <w:rsid w:val="0079538B"/>
    <w:rsid w:val="007961B8"/>
    <w:rsid w:val="00797624"/>
    <w:rsid w:val="007A4828"/>
    <w:rsid w:val="007B093D"/>
    <w:rsid w:val="007B2069"/>
    <w:rsid w:val="007B3901"/>
    <w:rsid w:val="007B7D9B"/>
    <w:rsid w:val="007C04A1"/>
    <w:rsid w:val="007C08B7"/>
    <w:rsid w:val="007C21FA"/>
    <w:rsid w:val="007D4351"/>
    <w:rsid w:val="007D6DE7"/>
    <w:rsid w:val="007D7019"/>
    <w:rsid w:val="007E18DB"/>
    <w:rsid w:val="007E520E"/>
    <w:rsid w:val="007E6F1C"/>
    <w:rsid w:val="00804C69"/>
    <w:rsid w:val="0080711D"/>
    <w:rsid w:val="008155CD"/>
    <w:rsid w:val="00833325"/>
    <w:rsid w:val="008362ED"/>
    <w:rsid w:val="00840A41"/>
    <w:rsid w:val="00842F3C"/>
    <w:rsid w:val="008505D1"/>
    <w:rsid w:val="00854EDB"/>
    <w:rsid w:val="00855158"/>
    <w:rsid w:val="00857EE8"/>
    <w:rsid w:val="0086464B"/>
    <w:rsid w:val="008647FC"/>
    <w:rsid w:val="00864CA8"/>
    <w:rsid w:val="00865E2D"/>
    <w:rsid w:val="00867D63"/>
    <w:rsid w:val="00870E6C"/>
    <w:rsid w:val="00884486"/>
    <w:rsid w:val="00885D72"/>
    <w:rsid w:val="008871A9"/>
    <w:rsid w:val="0089153E"/>
    <w:rsid w:val="008916BA"/>
    <w:rsid w:val="00892176"/>
    <w:rsid w:val="00897FFA"/>
    <w:rsid w:val="008A1DB7"/>
    <w:rsid w:val="008A403A"/>
    <w:rsid w:val="008A4C13"/>
    <w:rsid w:val="008B604D"/>
    <w:rsid w:val="008B687B"/>
    <w:rsid w:val="008C54A9"/>
    <w:rsid w:val="008E30A2"/>
    <w:rsid w:val="008E67C3"/>
    <w:rsid w:val="008F589F"/>
    <w:rsid w:val="008F76A9"/>
    <w:rsid w:val="008F7E67"/>
    <w:rsid w:val="00900DBF"/>
    <w:rsid w:val="009048B9"/>
    <w:rsid w:val="00904E91"/>
    <w:rsid w:val="00911B72"/>
    <w:rsid w:val="00915886"/>
    <w:rsid w:val="009214DC"/>
    <w:rsid w:val="00927027"/>
    <w:rsid w:val="009344BA"/>
    <w:rsid w:val="00941A17"/>
    <w:rsid w:val="00943CDE"/>
    <w:rsid w:val="00945156"/>
    <w:rsid w:val="00947F78"/>
    <w:rsid w:val="00953234"/>
    <w:rsid w:val="00961EAF"/>
    <w:rsid w:val="0096278F"/>
    <w:rsid w:val="0096768B"/>
    <w:rsid w:val="009726E1"/>
    <w:rsid w:val="00977591"/>
    <w:rsid w:val="00980E75"/>
    <w:rsid w:val="00991FF5"/>
    <w:rsid w:val="009943BC"/>
    <w:rsid w:val="00994BE0"/>
    <w:rsid w:val="00997FDE"/>
    <w:rsid w:val="009A25B1"/>
    <w:rsid w:val="009A4608"/>
    <w:rsid w:val="009A6A57"/>
    <w:rsid w:val="009A70BF"/>
    <w:rsid w:val="009B1A15"/>
    <w:rsid w:val="009C0852"/>
    <w:rsid w:val="009C0E7C"/>
    <w:rsid w:val="009C13CA"/>
    <w:rsid w:val="009C32C6"/>
    <w:rsid w:val="009C665F"/>
    <w:rsid w:val="009D7E38"/>
    <w:rsid w:val="009E095B"/>
    <w:rsid w:val="009E1846"/>
    <w:rsid w:val="009E3056"/>
    <w:rsid w:val="009E78FF"/>
    <w:rsid w:val="009F5366"/>
    <w:rsid w:val="009F656D"/>
    <w:rsid w:val="00A01494"/>
    <w:rsid w:val="00A0653D"/>
    <w:rsid w:val="00A22FA9"/>
    <w:rsid w:val="00A23CE2"/>
    <w:rsid w:val="00A25024"/>
    <w:rsid w:val="00A27B3E"/>
    <w:rsid w:val="00A35F8F"/>
    <w:rsid w:val="00A41377"/>
    <w:rsid w:val="00A419E1"/>
    <w:rsid w:val="00A4263D"/>
    <w:rsid w:val="00A509B8"/>
    <w:rsid w:val="00A52AB9"/>
    <w:rsid w:val="00A6210B"/>
    <w:rsid w:val="00A724E2"/>
    <w:rsid w:val="00A7323A"/>
    <w:rsid w:val="00A82695"/>
    <w:rsid w:val="00A831B4"/>
    <w:rsid w:val="00A851A6"/>
    <w:rsid w:val="00A91C0F"/>
    <w:rsid w:val="00A93E0E"/>
    <w:rsid w:val="00A9552B"/>
    <w:rsid w:val="00A9621C"/>
    <w:rsid w:val="00A97798"/>
    <w:rsid w:val="00AA5213"/>
    <w:rsid w:val="00AA65A6"/>
    <w:rsid w:val="00AB7032"/>
    <w:rsid w:val="00AC1D8E"/>
    <w:rsid w:val="00AC48FA"/>
    <w:rsid w:val="00AD0240"/>
    <w:rsid w:val="00AD4137"/>
    <w:rsid w:val="00B037BA"/>
    <w:rsid w:val="00B10111"/>
    <w:rsid w:val="00B20139"/>
    <w:rsid w:val="00B218DA"/>
    <w:rsid w:val="00B22FF1"/>
    <w:rsid w:val="00B247FA"/>
    <w:rsid w:val="00B342FA"/>
    <w:rsid w:val="00B41855"/>
    <w:rsid w:val="00B476BA"/>
    <w:rsid w:val="00B53E8B"/>
    <w:rsid w:val="00B774D2"/>
    <w:rsid w:val="00B8015A"/>
    <w:rsid w:val="00B82A57"/>
    <w:rsid w:val="00B90D49"/>
    <w:rsid w:val="00B953DE"/>
    <w:rsid w:val="00BA053B"/>
    <w:rsid w:val="00BA2341"/>
    <w:rsid w:val="00BA2BF6"/>
    <w:rsid w:val="00BB0231"/>
    <w:rsid w:val="00BB35AE"/>
    <w:rsid w:val="00BC03A1"/>
    <w:rsid w:val="00BC0D25"/>
    <w:rsid w:val="00BC2AC2"/>
    <w:rsid w:val="00BD2505"/>
    <w:rsid w:val="00BE592D"/>
    <w:rsid w:val="00BF1948"/>
    <w:rsid w:val="00BF3885"/>
    <w:rsid w:val="00BF52B0"/>
    <w:rsid w:val="00BF5697"/>
    <w:rsid w:val="00C14CCC"/>
    <w:rsid w:val="00C22C1C"/>
    <w:rsid w:val="00C33F2E"/>
    <w:rsid w:val="00C34936"/>
    <w:rsid w:val="00C34C14"/>
    <w:rsid w:val="00C355B9"/>
    <w:rsid w:val="00C401C4"/>
    <w:rsid w:val="00C41680"/>
    <w:rsid w:val="00C55FB3"/>
    <w:rsid w:val="00C60A25"/>
    <w:rsid w:val="00C61AC5"/>
    <w:rsid w:val="00C61B72"/>
    <w:rsid w:val="00C73E8F"/>
    <w:rsid w:val="00C765C5"/>
    <w:rsid w:val="00C82479"/>
    <w:rsid w:val="00C867F0"/>
    <w:rsid w:val="00CA06D8"/>
    <w:rsid w:val="00CA345A"/>
    <w:rsid w:val="00CB49FF"/>
    <w:rsid w:val="00CB686B"/>
    <w:rsid w:val="00CC02CF"/>
    <w:rsid w:val="00CC086A"/>
    <w:rsid w:val="00CD0F66"/>
    <w:rsid w:val="00CD364B"/>
    <w:rsid w:val="00CD4C6E"/>
    <w:rsid w:val="00CD5379"/>
    <w:rsid w:val="00CE23B8"/>
    <w:rsid w:val="00CE4FC3"/>
    <w:rsid w:val="00CE50D7"/>
    <w:rsid w:val="00CE77E2"/>
    <w:rsid w:val="00D00344"/>
    <w:rsid w:val="00D107C7"/>
    <w:rsid w:val="00D1754D"/>
    <w:rsid w:val="00D2223F"/>
    <w:rsid w:val="00D274A4"/>
    <w:rsid w:val="00D277AF"/>
    <w:rsid w:val="00D31163"/>
    <w:rsid w:val="00D315E3"/>
    <w:rsid w:val="00D320B1"/>
    <w:rsid w:val="00D33AFD"/>
    <w:rsid w:val="00D35804"/>
    <w:rsid w:val="00D36489"/>
    <w:rsid w:val="00D37D23"/>
    <w:rsid w:val="00D42195"/>
    <w:rsid w:val="00D430B6"/>
    <w:rsid w:val="00D50704"/>
    <w:rsid w:val="00D50A74"/>
    <w:rsid w:val="00D5760A"/>
    <w:rsid w:val="00D61410"/>
    <w:rsid w:val="00D8181D"/>
    <w:rsid w:val="00D968D8"/>
    <w:rsid w:val="00DA5084"/>
    <w:rsid w:val="00DA563D"/>
    <w:rsid w:val="00DA7277"/>
    <w:rsid w:val="00DB26C6"/>
    <w:rsid w:val="00DB3627"/>
    <w:rsid w:val="00DB4724"/>
    <w:rsid w:val="00DC0D8E"/>
    <w:rsid w:val="00DC4746"/>
    <w:rsid w:val="00DC493A"/>
    <w:rsid w:val="00DE7149"/>
    <w:rsid w:val="00DF0297"/>
    <w:rsid w:val="00DF2415"/>
    <w:rsid w:val="00E0314C"/>
    <w:rsid w:val="00E1508F"/>
    <w:rsid w:val="00E24109"/>
    <w:rsid w:val="00E27240"/>
    <w:rsid w:val="00E27EDD"/>
    <w:rsid w:val="00E30584"/>
    <w:rsid w:val="00E310B9"/>
    <w:rsid w:val="00E357E3"/>
    <w:rsid w:val="00E37E1B"/>
    <w:rsid w:val="00E4126B"/>
    <w:rsid w:val="00E562C0"/>
    <w:rsid w:val="00E61F36"/>
    <w:rsid w:val="00E672D6"/>
    <w:rsid w:val="00E76024"/>
    <w:rsid w:val="00E84A19"/>
    <w:rsid w:val="00E856A2"/>
    <w:rsid w:val="00E86292"/>
    <w:rsid w:val="00E92C9F"/>
    <w:rsid w:val="00E96884"/>
    <w:rsid w:val="00EA0837"/>
    <w:rsid w:val="00EA2720"/>
    <w:rsid w:val="00EA4AB3"/>
    <w:rsid w:val="00EA4ECD"/>
    <w:rsid w:val="00EA5435"/>
    <w:rsid w:val="00EA5F47"/>
    <w:rsid w:val="00EB30BF"/>
    <w:rsid w:val="00EC6EFD"/>
    <w:rsid w:val="00EC79DE"/>
    <w:rsid w:val="00ED4ACE"/>
    <w:rsid w:val="00EE4D35"/>
    <w:rsid w:val="00EF0B4B"/>
    <w:rsid w:val="00EF2DA7"/>
    <w:rsid w:val="00F00DAB"/>
    <w:rsid w:val="00F109B1"/>
    <w:rsid w:val="00F119CD"/>
    <w:rsid w:val="00F31FDE"/>
    <w:rsid w:val="00F379EC"/>
    <w:rsid w:val="00F435AA"/>
    <w:rsid w:val="00F55258"/>
    <w:rsid w:val="00F5738A"/>
    <w:rsid w:val="00F612D4"/>
    <w:rsid w:val="00F67500"/>
    <w:rsid w:val="00F77F1D"/>
    <w:rsid w:val="00F87CCB"/>
    <w:rsid w:val="00F90894"/>
    <w:rsid w:val="00F90ED6"/>
    <w:rsid w:val="00FA14FF"/>
    <w:rsid w:val="00FA48C7"/>
    <w:rsid w:val="00FB73C1"/>
    <w:rsid w:val="00FF2BAC"/>
    <w:rsid w:val="00FF2E83"/>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341BF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rsid w:val="00145149"/>
    <w:rPr>
      <w:rFonts w:cs="Times New Roman"/>
      <w:vertAlign w:val="superscript"/>
    </w:rPr>
  </w:style>
  <w:style w:type="character" w:customStyle="1" w:styleId="Style2Char">
    <w:name w:val="Style2 Char"/>
    <w:basedOn w:val="DefaultParagraphFont"/>
    <w:rsid w:val="0032079E"/>
    <w:rPr>
      <w:rFonts w:cs="Times New Roman"/>
      <w:color w:val="000000" w:themeColor="text1"/>
      <w:sz w:val="20"/>
      <w:szCs w:val="20"/>
    </w:rPr>
  </w:style>
  <w:style w:type="table" w:customStyle="1" w:styleId="TableGrid1">
    <w:name w:val="Table Grid1"/>
    <w:basedOn w:val="TableNormal"/>
    <w:next w:val="TableGrid"/>
    <w:uiPriority w:val="59"/>
    <w:rsid w:val="0032079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Char">
    <w:name w:val="Style3 Char"/>
    <w:basedOn w:val="DefaultParagraphFont"/>
    <w:rsid w:val="0032079E"/>
    <w:rPr>
      <w:rFonts w:eastAsia="Times New Roman" w:cs="Times New Roman"/>
      <w:b/>
      <w:color w:val="000000"/>
      <w:sz w:val="20"/>
      <w:szCs w:val="20"/>
    </w:rPr>
  </w:style>
  <w:style w:type="paragraph" w:styleId="Caption">
    <w:name w:val="caption"/>
    <w:basedOn w:val="Normal"/>
    <w:next w:val="Normal"/>
    <w:qFormat/>
    <w:rsid w:val="0032079E"/>
    <w:pPr>
      <w:spacing w:before="40" w:after="20" w:line="240" w:lineRule="auto"/>
      <w:ind w:left="432"/>
      <w:jc w:val="center"/>
    </w:pPr>
    <w:rPr>
      <w:rFonts w:ascii="Arial" w:eastAsia="Times New Roman" w:hAnsi="Arial" w:cs="Times New Roman"/>
      <w:b/>
      <w:bCs/>
      <w:color w:val="FFFFFF"/>
      <w:sz w:val="20"/>
      <w:szCs w:val="20"/>
    </w:rPr>
  </w:style>
  <w:style w:type="table" w:customStyle="1" w:styleId="TableGrid2">
    <w:name w:val="Table Grid2"/>
    <w:basedOn w:val="TableNormal"/>
    <w:next w:val="TableGrid"/>
    <w:uiPriority w:val="59"/>
    <w:rsid w:val="0032079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125">
    <w:name w:val="Body 1.25"/>
    <w:basedOn w:val="BodyText"/>
    <w:link w:val="Body125Char"/>
    <w:uiPriority w:val="6"/>
    <w:qFormat/>
    <w:rsid w:val="00A724E2"/>
    <w:pPr>
      <w:spacing w:before="120" w:line="300" w:lineRule="auto"/>
      <w:ind w:firstLine="720"/>
    </w:pPr>
    <w:rPr>
      <w:rFonts w:ascii="Times New Roman" w:eastAsia="Calibri" w:hAnsi="Times New Roman" w:cs="Times New Roman"/>
      <w:color w:val="000000"/>
      <w:sz w:val="24"/>
      <w:szCs w:val="24"/>
    </w:rPr>
  </w:style>
  <w:style w:type="character" w:customStyle="1" w:styleId="Body125Char">
    <w:name w:val="Body 1.25 Char"/>
    <w:link w:val="Body125"/>
    <w:uiPriority w:val="6"/>
    <w:rsid w:val="00A724E2"/>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A724E2"/>
    <w:pPr>
      <w:spacing w:after="120"/>
    </w:pPr>
  </w:style>
  <w:style w:type="character" w:customStyle="1" w:styleId="BodyTextChar">
    <w:name w:val="Body Text Char"/>
    <w:basedOn w:val="DefaultParagraphFont"/>
    <w:link w:val="BodyText"/>
    <w:uiPriority w:val="99"/>
    <w:semiHidden/>
    <w:rsid w:val="00A724E2"/>
  </w:style>
  <w:style w:type="paragraph" w:customStyle="1" w:styleId="tt">
    <w:name w:val="tt"/>
    <w:aliases w:val="table text,Table Text"/>
    <w:basedOn w:val="Normal"/>
    <w:link w:val="ttChar"/>
    <w:uiPriority w:val="17"/>
    <w:qFormat/>
    <w:rsid w:val="00A724E2"/>
    <w:pPr>
      <w:spacing w:before="60" w:after="60" w:line="240" w:lineRule="auto"/>
      <w:ind w:left="432"/>
    </w:pPr>
    <w:rPr>
      <w:rFonts w:ascii="Arial Narrow" w:eastAsia="Times New Roman" w:hAnsi="Arial Narrow" w:cs="Times New Roman"/>
      <w:sz w:val="18"/>
      <w:szCs w:val="20"/>
    </w:rPr>
  </w:style>
  <w:style w:type="character" w:customStyle="1" w:styleId="ttChar">
    <w:name w:val="tt Char"/>
    <w:aliases w:val="table text Char,Table Text Char"/>
    <w:link w:val="tt"/>
    <w:uiPriority w:val="17"/>
    <w:locked/>
    <w:rsid w:val="00A724E2"/>
    <w:rPr>
      <w:rFonts w:ascii="Arial Narrow" w:eastAsia="Times New Roman" w:hAnsi="Arial Narrow" w:cs="Times New Roman"/>
      <w:sz w:val="18"/>
      <w:szCs w:val="20"/>
    </w:rPr>
  </w:style>
  <w:style w:type="paragraph" w:customStyle="1" w:styleId="Default">
    <w:name w:val="Default"/>
    <w:rsid w:val="00555392"/>
    <w:pPr>
      <w:autoSpaceDE w:val="0"/>
      <w:autoSpaceDN w:val="0"/>
      <w:adjustRightInd w:val="0"/>
      <w:spacing w:after="0" w:line="240" w:lineRule="auto"/>
    </w:pPr>
    <w:rPr>
      <w:rFonts w:ascii="Arial" w:hAnsi="Arial" w:cs="Arial"/>
      <w:color w:val="000000"/>
      <w:sz w:val="24"/>
      <w:szCs w:val="24"/>
    </w:rPr>
  </w:style>
  <w:style w:type="paragraph" w:customStyle="1" w:styleId="CharCharCharChar">
    <w:name w:val="Char Char Char Char"/>
    <w:basedOn w:val="Normal"/>
    <w:semiHidden/>
    <w:rsid w:val="00A23CE2"/>
    <w:pPr>
      <w:widowControl w:val="0"/>
      <w:spacing w:after="160" w:line="240" w:lineRule="exact"/>
    </w:pPr>
    <w:rPr>
      <w:rFonts w:ascii="Tahoma" w:eastAsia="Times New Roman" w:hAnsi="Tahoma"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rsid w:val="00145149"/>
    <w:rPr>
      <w:rFonts w:cs="Times New Roman"/>
      <w:vertAlign w:val="superscript"/>
    </w:rPr>
  </w:style>
  <w:style w:type="character" w:customStyle="1" w:styleId="Style2Char">
    <w:name w:val="Style2 Char"/>
    <w:basedOn w:val="DefaultParagraphFont"/>
    <w:rsid w:val="0032079E"/>
    <w:rPr>
      <w:rFonts w:cs="Times New Roman"/>
      <w:color w:val="000000" w:themeColor="text1"/>
      <w:sz w:val="20"/>
      <w:szCs w:val="20"/>
    </w:rPr>
  </w:style>
  <w:style w:type="table" w:customStyle="1" w:styleId="TableGrid1">
    <w:name w:val="Table Grid1"/>
    <w:basedOn w:val="TableNormal"/>
    <w:next w:val="TableGrid"/>
    <w:uiPriority w:val="59"/>
    <w:rsid w:val="0032079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Char">
    <w:name w:val="Style3 Char"/>
    <w:basedOn w:val="DefaultParagraphFont"/>
    <w:rsid w:val="0032079E"/>
    <w:rPr>
      <w:rFonts w:eastAsia="Times New Roman" w:cs="Times New Roman"/>
      <w:b/>
      <w:color w:val="000000"/>
      <w:sz w:val="20"/>
      <w:szCs w:val="20"/>
    </w:rPr>
  </w:style>
  <w:style w:type="paragraph" w:styleId="Caption">
    <w:name w:val="caption"/>
    <w:basedOn w:val="Normal"/>
    <w:next w:val="Normal"/>
    <w:qFormat/>
    <w:rsid w:val="0032079E"/>
    <w:pPr>
      <w:spacing w:before="40" w:after="20" w:line="240" w:lineRule="auto"/>
      <w:ind w:left="432"/>
      <w:jc w:val="center"/>
    </w:pPr>
    <w:rPr>
      <w:rFonts w:ascii="Arial" w:eastAsia="Times New Roman" w:hAnsi="Arial" w:cs="Times New Roman"/>
      <w:b/>
      <w:bCs/>
      <w:color w:val="FFFFFF"/>
      <w:sz w:val="20"/>
      <w:szCs w:val="20"/>
    </w:rPr>
  </w:style>
  <w:style w:type="table" w:customStyle="1" w:styleId="TableGrid2">
    <w:name w:val="Table Grid2"/>
    <w:basedOn w:val="TableNormal"/>
    <w:next w:val="TableGrid"/>
    <w:uiPriority w:val="59"/>
    <w:rsid w:val="0032079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125">
    <w:name w:val="Body 1.25"/>
    <w:basedOn w:val="BodyText"/>
    <w:link w:val="Body125Char"/>
    <w:uiPriority w:val="6"/>
    <w:qFormat/>
    <w:rsid w:val="00A724E2"/>
    <w:pPr>
      <w:spacing w:before="120" w:line="300" w:lineRule="auto"/>
      <w:ind w:firstLine="720"/>
    </w:pPr>
    <w:rPr>
      <w:rFonts w:ascii="Times New Roman" w:eastAsia="Calibri" w:hAnsi="Times New Roman" w:cs="Times New Roman"/>
      <w:color w:val="000000"/>
      <w:sz w:val="24"/>
      <w:szCs w:val="24"/>
    </w:rPr>
  </w:style>
  <w:style w:type="character" w:customStyle="1" w:styleId="Body125Char">
    <w:name w:val="Body 1.25 Char"/>
    <w:link w:val="Body125"/>
    <w:uiPriority w:val="6"/>
    <w:rsid w:val="00A724E2"/>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A724E2"/>
    <w:pPr>
      <w:spacing w:after="120"/>
    </w:pPr>
  </w:style>
  <w:style w:type="character" w:customStyle="1" w:styleId="BodyTextChar">
    <w:name w:val="Body Text Char"/>
    <w:basedOn w:val="DefaultParagraphFont"/>
    <w:link w:val="BodyText"/>
    <w:uiPriority w:val="99"/>
    <w:semiHidden/>
    <w:rsid w:val="00A724E2"/>
  </w:style>
  <w:style w:type="paragraph" w:customStyle="1" w:styleId="tt">
    <w:name w:val="tt"/>
    <w:aliases w:val="table text,Table Text"/>
    <w:basedOn w:val="Normal"/>
    <w:link w:val="ttChar"/>
    <w:uiPriority w:val="17"/>
    <w:qFormat/>
    <w:rsid w:val="00A724E2"/>
    <w:pPr>
      <w:spacing w:before="60" w:after="60" w:line="240" w:lineRule="auto"/>
      <w:ind w:left="432"/>
    </w:pPr>
    <w:rPr>
      <w:rFonts w:ascii="Arial Narrow" w:eastAsia="Times New Roman" w:hAnsi="Arial Narrow" w:cs="Times New Roman"/>
      <w:sz w:val="18"/>
      <w:szCs w:val="20"/>
    </w:rPr>
  </w:style>
  <w:style w:type="character" w:customStyle="1" w:styleId="ttChar">
    <w:name w:val="tt Char"/>
    <w:aliases w:val="table text Char,Table Text Char"/>
    <w:link w:val="tt"/>
    <w:uiPriority w:val="17"/>
    <w:locked/>
    <w:rsid w:val="00A724E2"/>
    <w:rPr>
      <w:rFonts w:ascii="Arial Narrow" w:eastAsia="Times New Roman" w:hAnsi="Arial Narrow" w:cs="Times New Roman"/>
      <w:sz w:val="18"/>
      <w:szCs w:val="20"/>
    </w:rPr>
  </w:style>
  <w:style w:type="paragraph" w:customStyle="1" w:styleId="Default">
    <w:name w:val="Default"/>
    <w:rsid w:val="00555392"/>
    <w:pPr>
      <w:autoSpaceDE w:val="0"/>
      <w:autoSpaceDN w:val="0"/>
      <w:adjustRightInd w:val="0"/>
      <w:spacing w:after="0" w:line="240" w:lineRule="auto"/>
    </w:pPr>
    <w:rPr>
      <w:rFonts w:ascii="Arial" w:hAnsi="Arial" w:cs="Arial"/>
      <w:color w:val="000000"/>
      <w:sz w:val="24"/>
      <w:szCs w:val="24"/>
    </w:rPr>
  </w:style>
  <w:style w:type="paragraph" w:customStyle="1" w:styleId="CharCharCharChar">
    <w:name w:val="Char Char Char Char"/>
    <w:basedOn w:val="Normal"/>
    <w:semiHidden/>
    <w:rsid w:val="00A23CE2"/>
    <w:pPr>
      <w:widowControl w:val="0"/>
      <w:spacing w:after="160" w:line="240" w:lineRule="exact"/>
    </w:pPr>
    <w:rPr>
      <w:rFonts w:ascii="Tahoma" w:eastAsia="Times New Roman" w:hAnsi="Tahoma"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29649">
      <w:bodyDiv w:val="1"/>
      <w:marLeft w:val="0"/>
      <w:marRight w:val="0"/>
      <w:marTop w:val="0"/>
      <w:marBottom w:val="0"/>
      <w:divBdr>
        <w:top w:val="none" w:sz="0" w:space="0" w:color="auto"/>
        <w:left w:val="none" w:sz="0" w:space="0" w:color="auto"/>
        <w:bottom w:val="none" w:sz="0" w:space="0" w:color="auto"/>
        <w:right w:val="none" w:sz="0" w:space="0" w:color="auto"/>
      </w:divBdr>
    </w:div>
    <w:div w:id="120196656">
      <w:bodyDiv w:val="1"/>
      <w:marLeft w:val="0"/>
      <w:marRight w:val="0"/>
      <w:marTop w:val="0"/>
      <w:marBottom w:val="0"/>
      <w:divBdr>
        <w:top w:val="none" w:sz="0" w:space="0" w:color="auto"/>
        <w:left w:val="none" w:sz="0" w:space="0" w:color="auto"/>
        <w:bottom w:val="none" w:sz="0" w:space="0" w:color="auto"/>
        <w:right w:val="none" w:sz="0" w:space="0" w:color="auto"/>
      </w:divBdr>
    </w:div>
    <w:div w:id="138503801">
      <w:bodyDiv w:val="1"/>
      <w:marLeft w:val="0"/>
      <w:marRight w:val="0"/>
      <w:marTop w:val="0"/>
      <w:marBottom w:val="0"/>
      <w:divBdr>
        <w:top w:val="none" w:sz="0" w:space="0" w:color="auto"/>
        <w:left w:val="none" w:sz="0" w:space="0" w:color="auto"/>
        <w:bottom w:val="none" w:sz="0" w:space="0" w:color="auto"/>
        <w:right w:val="none" w:sz="0" w:space="0" w:color="auto"/>
      </w:divBdr>
    </w:div>
    <w:div w:id="160853696">
      <w:bodyDiv w:val="1"/>
      <w:marLeft w:val="0"/>
      <w:marRight w:val="0"/>
      <w:marTop w:val="0"/>
      <w:marBottom w:val="0"/>
      <w:divBdr>
        <w:top w:val="none" w:sz="0" w:space="0" w:color="auto"/>
        <w:left w:val="none" w:sz="0" w:space="0" w:color="auto"/>
        <w:bottom w:val="none" w:sz="0" w:space="0" w:color="auto"/>
        <w:right w:val="none" w:sz="0" w:space="0" w:color="auto"/>
      </w:divBdr>
    </w:div>
    <w:div w:id="302084087">
      <w:bodyDiv w:val="1"/>
      <w:marLeft w:val="0"/>
      <w:marRight w:val="0"/>
      <w:marTop w:val="0"/>
      <w:marBottom w:val="0"/>
      <w:divBdr>
        <w:top w:val="none" w:sz="0" w:space="0" w:color="auto"/>
        <w:left w:val="none" w:sz="0" w:space="0" w:color="auto"/>
        <w:bottom w:val="none" w:sz="0" w:space="0" w:color="auto"/>
        <w:right w:val="none" w:sz="0" w:space="0" w:color="auto"/>
      </w:divBdr>
    </w:div>
    <w:div w:id="348800639">
      <w:bodyDiv w:val="1"/>
      <w:marLeft w:val="0"/>
      <w:marRight w:val="0"/>
      <w:marTop w:val="0"/>
      <w:marBottom w:val="0"/>
      <w:divBdr>
        <w:top w:val="none" w:sz="0" w:space="0" w:color="auto"/>
        <w:left w:val="none" w:sz="0" w:space="0" w:color="auto"/>
        <w:bottom w:val="none" w:sz="0" w:space="0" w:color="auto"/>
        <w:right w:val="none" w:sz="0" w:space="0" w:color="auto"/>
      </w:divBdr>
    </w:div>
    <w:div w:id="392436905">
      <w:bodyDiv w:val="1"/>
      <w:marLeft w:val="0"/>
      <w:marRight w:val="0"/>
      <w:marTop w:val="0"/>
      <w:marBottom w:val="0"/>
      <w:divBdr>
        <w:top w:val="none" w:sz="0" w:space="0" w:color="auto"/>
        <w:left w:val="none" w:sz="0" w:space="0" w:color="auto"/>
        <w:bottom w:val="none" w:sz="0" w:space="0" w:color="auto"/>
        <w:right w:val="none" w:sz="0" w:space="0" w:color="auto"/>
      </w:divBdr>
    </w:div>
    <w:div w:id="438988043">
      <w:bodyDiv w:val="1"/>
      <w:marLeft w:val="0"/>
      <w:marRight w:val="0"/>
      <w:marTop w:val="0"/>
      <w:marBottom w:val="0"/>
      <w:divBdr>
        <w:top w:val="none" w:sz="0" w:space="0" w:color="auto"/>
        <w:left w:val="none" w:sz="0" w:space="0" w:color="auto"/>
        <w:bottom w:val="none" w:sz="0" w:space="0" w:color="auto"/>
        <w:right w:val="none" w:sz="0" w:space="0" w:color="auto"/>
      </w:divBdr>
    </w:div>
    <w:div w:id="454251589">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34275869">
      <w:bodyDiv w:val="1"/>
      <w:marLeft w:val="0"/>
      <w:marRight w:val="0"/>
      <w:marTop w:val="0"/>
      <w:marBottom w:val="0"/>
      <w:divBdr>
        <w:top w:val="none" w:sz="0" w:space="0" w:color="auto"/>
        <w:left w:val="none" w:sz="0" w:space="0" w:color="auto"/>
        <w:bottom w:val="none" w:sz="0" w:space="0" w:color="auto"/>
        <w:right w:val="none" w:sz="0" w:space="0" w:color="auto"/>
      </w:divBdr>
    </w:div>
    <w:div w:id="551815233">
      <w:bodyDiv w:val="1"/>
      <w:marLeft w:val="0"/>
      <w:marRight w:val="0"/>
      <w:marTop w:val="0"/>
      <w:marBottom w:val="0"/>
      <w:divBdr>
        <w:top w:val="none" w:sz="0" w:space="0" w:color="auto"/>
        <w:left w:val="none" w:sz="0" w:space="0" w:color="auto"/>
        <w:bottom w:val="none" w:sz="0" w:space="0" w:color="auto"/>
        <w:right w:val="none" w:sz="0" w:space="0" w:color="auto"/>
      </w:divBdr>
    </w:div>
    <w:div w:id="567157748">
      <w:bodyDiv w:val="1"/>
      <w:marLeft w:val="0"/>
      <w:marRight w:val="0"/>
      <w:marTop w:val="0"/>
      <w:marBottom w:val="0"/>
      <w:divBdr>
        <w:top w:val="none" w:sz="0" w:space="0" w:color="auto"/>
        <w:left w:val="none" w:sz="0" w:space="0" w:color="auto"/>
        <w:bottom w:val="none" w:sz="0" w:space="0" w:color="auto"/>
        <w:right w:val="none" w:sz="0" w:space="0" w:color="auto"/>
      </w:divBdr>
    </w:div>
    <w:div w:id="584807733">
      <w:bodyDiv w:val="1"/>
      <w:marLeft w:val="0"/>
      <w:marRight w:val="0"/>
      <w:marTop w:val="0"/>
      <w:marBottom w:val="0"/>
      <w:divBdr>
        <w:top w:val="none" w:sz="0" w:space="0" w:color="auto"/>
        <w:left w:val="none" w:sz="0" w:space="0" w:color="auto"/>
        <w:bottom w:val="none" w:sz="0" w:space="0" w:color="auto"/>
        <w:right w:val="none" w:sz="0" w:space="0" w:color="auto"/>
      </w:divBdr>
    </w:div>
    <w:div w:id="622270487">
      <w:bodyDiv w:val="1"/>
      <w:marLeft w:val="0"/>
      <w:marRight w:val="0"/>
      <w:marTop w:val="0"/>
      <w:marBottom w:val="0"/>
      <w:divBdr>
        <w:top w:val="none" w:sz="0" w:space="0" w:color="auto"/>
        <w:left w:val="none" w:sz="0" w:space="0" w:color="auto"/>
        <w:bottom w:val="none" w:sz="0" w:space="0" w:color="auto"/>
        <w:right w:val="none" w:sz="0" w:space="0" w:color="auto"/>
      </w:divBdr>
    </w:div>
    <w:div w:id="637154081">
      <w:bodyDiv w:val="1"/>
      <w:marLeft w:val="0"/>
      <w:marRight w:val="0"/>
      <w:marTop w:val="0"/>
      <w:marBottom w:val="0"/>
      <w:divBdr>
        <w:top w:val="none" w:sz="0" w:space="0" w:color="auto"/>
        <w:left w:val="none" w:sz="0" w:space="0" w:color="auto"/>
        <w:bottom w:val="none" w:sz="0" w:space="0" w:color="auto"/>
        <w:right w:val="none" w:sz="0" w:space="0" w:color="auto"/>
      </w:divBdr>
    </w:div>
    <w:div w:id="644314229">
      <w:bodyDiv w:val="1"/>
      <w:marLeft w:val="0"/>
      <w:marRight w:val="0"/>
      <w:marTop w:val="0"/>
      <w:marBottom w:val="0"/>
      <w:divBdr>
        <w:top w:val="none" w:sz="0" w:space="0" w:color="auto"/>
        <w:left w:val="none" w:sz="0" w:space="0" w:color="auto"/>
        <w:bottom w:val="none" w:sz="0" w:space="0" w:color="auto"/>
        <w:right w:val="none" w:sz="0" w:space="0" w:color="auto"/>
      </w:divBdr>
    </w:div>
    <w:div w:id="652375375">
      <w:bodyDiv w:val="1"/>
      <w:marLeft w:val="0"/>
      <w:marRight w:val="0"/>
      <w:marTop w:val="0"/>
      <w:marBottom w:val="0"/>
      <w:divBdr>
        <w:top w:val="none" w:sz="0" w:space="0" w:color="auto"/>
        <w:left w:val="none" w:sz="0" w:space="0" w:color="auto"/>
        <w:bottom w:val="none" w:sz="0" w:space="0" w:color="auto"/>
        <w:right w:val="none" w:sz="0" w:space="0" w:color="auto"/>
      </w:divBdr>
    </w:div>
    <w:div w:id="728456595">
      <w:bodyDiv w:val="1"/>
      <w:marLeft w:val="0"/>
      <w:marRight w:val="0"/>
      <w:marTop w:val="0"/>
      <w:marBottom w:val="0"/>
      <w:divBdr>
        <w:top w:val="none" w:sz="0" w:space="0" w:color="auto"/>
        <w:left w:val="none" w:sz="0" w:space="0" w:color="auto"/>
        <w:bottom w:val="none" w:sz="0" w:space="0" w:color="auto"/>
        <w:right w:val="none" w:sz="0" w:space="0" w:color="auto"/>
      </w:divBdr>
    </w:div>
    <w:div w:id="781606906">
      <w:bodyDiv w:val="1"/>
      <w:marLeft w:val="0"/>
      <w:marRight w:val="0"/>
      <w:marTop w:val="0"/>
      <w:marBottom w:val="0"/>
      <w:divBdr>
        <w:top w:val="none" w:sz="0" w:space="0" w:color="auto"/>
        <w:left w:val="none" w:sz="0" w:space="0" w:color="auto"/>
        <w:bottom w:val="none" w:sz="0" w:space="0" w:color="auto"/>
        <w:right w:val="none" w:sz="0" w:space="0" w:color="auto"/>
      </w:divBdr>
    </w:div>
    <w:div w:id="782379322">
      <w:bodyDiv w:val="1"/>
      <w:marLeft w:val="0"/>
      <w:marRight w:val="0"/>
      <w:marTop w:val="0"/>
      <w:marBottom w:val="0"/>
      <w:divBdr>
        <w:top w:val="none" w:sz="0" w:space="0" w:color="auto"/>
        <w:left w:val="none" w:sz="0" w:space="0" w:color="auto"/>
        <w:bottom w:val="none" w:sz="0" w:space="0" w:color="auto"/>
        <w:right w:val="none" w:sz="0" w:space="0" w:color="auto"/>
      </w:divBdr>
    </w:div>
    <w:div w:id="858852915">
      <w:bodyDiv w:val="1"/>
      <w:marLeft w:val="0"/>
      <w:marRight w:val="0"/>
      <w:marTop w:val="0"/>
      <w:marBottom w:val="0"/>
      <w:divBdr>
        <w:top w:val="none" w:sz="0" w:space="0" w:color="auto"/>
        <w:left w:val="none" w:sz="0" w:space="0" w:color="auto"/>
        <w:bottom w:val="none" w:sz="0" w:space="0" w:color="auto"/>
        <w:right w:val="none" w:sz="0" w:space="0" w:color="auto"/>
      </w:divBdr>
    </w:div>
    <w:div w:id="863321226">
      <w:bodyDiv w:val="1"/>
      <w:marLeft w:val="0"/>
      <w:marRight w:val="0"/>
      <w:marTop w:val="0"/>
      <w:marBottom w:val="0"/>
      <w:divBdr>
        <w:top w:val="none" w:sz="0" w:space="0" w:color="auto"/>
        <w:left w:val="none" w:sz="0" w:space="0" w:color="auto"/>
        <w:bottom w:val="none" w:sz="0" w:space="0" w:color="auto"/>
        <w:right w:val="none" w:sz="0" w:space="0" w:color="auto"/>
      </w:divBdr>
    </w:div>
    <w:div w:id="866676366">
      <w:bodyDiv w:val="1"/>
      <w:marLeft w:val="0"/>
      <w:marRight w:val="0"/>
      <w:marTop w:val="0"/>
      <w:marBottom w:val="0"/>
      <w:divBdr>
        <w:top w:val="none" w:sz="0" w:space="0" w:color="auto"/>
        <w:left w:val="none" w:sz="0" w:space="0" w:color="auto"/>
        <w:bottom w:val="none" w:sz="0" w:space="0" w:color="auto"/>
        <w:right w:val="none" w:sz="0" w:space="0" w:color="auto"/>
      </w:divBdr>
    </w:div>
    <w:div w:id="876284734">
      <w:bodyDiv w:val="1"/>
      <w:marLeft w:val="0"/>
      <w:marRight w:val="0"/>
      <w:marTop w:val="0"/>
      <w:marBottom w:val="0"/>
      <w:divBdr>
        <w:top w:val="none" w:sz="0" w:space="0" w:color="auto"/>
        <w:left w:val="none" w:sz="0" w:space="0" w:color="auto"/>
        <w:bottom w:val="none" w:sz="0" w:space="0" w:color="auto"/>
        <w:right w:val="none" w:sz="0" w:space="0" w:color="auto"/>
      </w:divBdr>
    </w:div>
    <w:div w:id="930087411">
      <w:bodyDiv w:val="1"/>
      <w:marLeft w:val="0"/>
      <w:marRight w:val="0"/>
      <w:marTop w:val="0"/>
      <w:marBottom w:val="0"/>
      <w:divBdr>
        <w:top w:val="none" w:sz="0" w:space="0" w:color="auto"/>
        <w:left w:val="none" w:sz="0" w:space="0" w:color="auto"/>
        <w:bottom w:val="none" w:sz="0" w:space="0" w:color="auto"/>
        <w:right w:val="none" w:sz="0" w:space="0" w:color="auto"/>
      </w:divBdr>
    </w:div>
    <w:div w:id="1096366365">
      <w:bodyDiv w:val="1"/>
      <w:marLeft w:val="0"/>
      <w:marRight w:val="0"/>
      <w:marTop w:val="0"/>
      <w:marBottom w:val="0"/>
      <w:divBdr>
        <w:top w:val="none" w:sz="0" w:space="0" w:color="auto"/>
        <w:left w:val="none" w:sz="0" w:space="0" w:color="auto"/>
        <w:bottom w:val="none" w:sz="0" w:space="0" w:color="auto"/>
        <w:right w:val="none" w:sz="0" w:space="0" w:color="auto"/>
      </w:divBdr>
    </w:div>
    <w:div w:id="1197964272">
      <w:bodyDiv w:val="1"/>
      <w:marLeft w:val="0"/>
      <w:marRight w:val="0"/>
      <w:marTop w:val="0"/>
      <w:marBottom w:val="0"/>
      <w:divBdr>
        <w:top w:val="none" w:sz="0" w:space="0" w:color="auto"/>
        <w:left w:val="none" w:sz="0" w:space="0" w:color="auto"/>
        <w:bottom w:val="none" w:sz="0" w:space="0" w:color="auto"/>
        <w:right w:val="none" w:sz="0" w:space="0" w:color="auto"/>
      </w:divBdr>
    </w:div>
    <w:div w:id="1203134729">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53326597">
      <w:bodyDiv w:val="1"/>
      <w:marLeft w:val="0"/>
      <w:marRight w:val="0"/>
      <w:marTop w:val="0"/>
      <w:marBottom w:val="0"/>
      <w:divBdr>
        <w:top w:val="none" w:sz="0" w:space="0" w:color="auto"/>
        <w:left w:val="none" w:sz="0" w:space="0" w:color="auto"/>
        <w:bottom w:val="none" w:sz="0" w:space="0" w:color="auto"/>
        <w:right w:val="none" w:sz="0" w:space="0" w:color="auto"/>
      </w:divBdr>
    </w:div>
    <w:div w:id="1457793144">
      <w:bodyDiv w:val="1"/>
      <w:marLeft w:val="0"/>
      <w:marRight w:val="0"/>
      <w:marTop w:val="0"/>
      <w:marBottom w:val="0"/>
      <w:divBdr>
        <w:top w:val="none" w:sz="0" w:space="0" w:color="auto"/>
        <w:left w:val="none" w:sz="0" w:space="0" w:color="auto"/>
        <w:bottom w:val="none" w:sz="0" w:space="0" w:color="auto"/>
        <w:right w:val="none" w:sz="0" w:space="0" w:color="auto"/>
      </w:divBdr>
    </w:div>
    <w:div w:id="1516766253">
      <w:bodyDiv w:val="1"/>
      <w:marLeft w:val="0"/>
      <w:marRight w:val="0"/>
      <w:marTop w:val="0"/>
      <w:marBottom w:val="0"/>
      <w:divBdr>
        <w:top w:val="none" w:sz="0" w:space="0" w:color="auto"/>
        <w:left w:val="none" w:sz="0" w:space="0" w:color="auto"/>
        <w:bottom w:val="none" w:sz="0" w:space="0" w:color="auto"/>
        <w:right w:val="none" w:sz="0" w:space="0" w:color="auto"/>
      </w:divBdr>
    </w:div>
    <w:div w:id="1526291871">
      <w:bodyDiv w:val="1"/>
      <w:marLeft w:val="0"/>
      <w:marRight w:val="0"/>
      <w:marTop w:val="0"/>
      <w:marBottom w:val="0"/>
      <w:divBdr>
        <w:top w:val="none" w:sz="0" w:space="0" w:color="auto"/>
        <w:left w:val="none" w:sz="0" w:space="0" w:color="auto"/>
        <w:bottom w:val="none" w:sz="0" w:space="0" w:color="auto"/>
        <w:right w:val="none" w:sz="0" w:space="0" w:color="auto"/>
      </w:divBdr>
    </w:div>
    <w:div w:id="1568612792">
      <w:bodyDiv w:val="1"/>
      <w:marLeft w:val="0"/>
      <w:marRight w:val="0"/>
      <w:marTop w:val="0"/>
      <w:marBottom w:val="0"/>
      <w:divBdr>
        <w:top w:val="none" w:sz="0" w:space="0" w:color="auto"/>
        <w:left w:val="none" w:sz="0" w:space="0" w:color="auto"/>
        <w:bottom w:val="none" w:sz="0" w:space="0" w:color="auto"/>
        <w:right w:val="none" w:sz="0" w:space="0" w:color="auto"/>
      </w:divBdr>
    </w:div>
    <w:div w:id="1718816607">
      <w:bodyDiv w:val="1"/>
      <w:marLeft w:val="0"/>
      <w:marRight w:val="0"/>
      <w:marTop w:val="0"/>
      <w:marBottom w:val="0"/>
      <w:divBdr>
        <w:top w:val="none" w:sz="0" w:space="0" w:color="auto"/>
        <w:left w:val="none" w:sz="0" w:space="0" w:color="auto"/>
        <w:bottom w:val="none" w:sz="0" w:space="0" w:color="auto"/>
        <w:right w:val="none" w:sz="0" w:space="0" w:color="auto"/>
      </w:divBdr>
    </w:div>
    <w:div w:id="1743329736">
      <w:bodyDiv w:val="1"/>
      <w:marLeft w:val="0"/>
      <w:marRight w:val="0"/>
      <w:marTop w:val="0"/>
      <w:marBottom w:val="0"/>
      <w:divBdr>
        <w:top w:val="none" w:sz="0" w:space="0" w:color="auto"/>
        <w:left w:val="none" w:sz="0" w:space="0" w:color="auto"/>
        <w:bottom w:val="none" w:sz="0" w:space="0" w:color="auto"/>
        <w:right w:val="none" w:sz="0" w:space="0" w:color="auto"/>
      </w:divBdr>
    </w:div>
    <w:div w:id="1790126288">
      <w:bodyDiv w:val="1"/>
      <w:marLeft w:val="0"/>
      <w:marRight w:val="0"/>
      <w:marTop w:val="0"/>
      <w:marBottom w:val="0"/>
      <w:divBdr>
        <w:top w:val="none" w:sz="0" w:space="0" w:color="auto"/>
        <w:left w:val="none" w:sz="0" w:space="0" w:color="auto"/>
        <w:bottom w:val="none" w:sz="0" w:space="0" w:color="auto"/>
        <w:right w:val="none" w:sz="0" w:space="0" w:color="auto"/>
      </w:divBdr>
    </w:div>
    <w:div w:id="1873301742">
      <w:bodyDiv w:val="1"/>
      <w:marLeft w:val="0"/>
      <w:marRight w:val="0"/>
      <w:marTop w:val="0"/>
      <w:marBottom w:val="0"/>
      <w:divBdr>
        <w:top w:val="none" w:sz="0" w:space="0" w:color="auto"/>
        <w:left w:val="none" w:sz="0" w:space="0" w:color="auto"/>
        <w:bottom w:val="none" w:sz="0" w:space="0" w:color="auto"/>
        <w:right w:val="none" w:sz="0" w:space="0" w:color="auto"/>
      </w:divBdr>
    </w:div>
    <w:div w:id="1885212967">
      <w:bodyDiv w:val="1"/>
      <w:marLeft w:val="0"/>
      <w:marRight w:val="0"/>
      <w:marTop w:val="0"/>
      <w:marBottom w:val="0"/>
      <w:divBdr>
        <w:top w:val="none" w:sz="0" w:space="0" w:color="auto"/>
        <w:left w:val="none" w:sz="0" w:space="0" w:color="auto"/>
        <w:bottom w:val="none" w:sz="0" w:space="0" w:color="auto"/>
        <w:right w:val="none" w:sz="0" w:space="0" w:color="auto"/>
      </w:divBdr>
    </w:div>
    <w:div w:id="2044405410">
      <w:bodyDiv w:val="1"/>
      <w:marLeft w:val="0"/>
      <w:marRight w:val="0"/>
      <w:marTop w:val="0"/>
      <w:marBottom w:val="0"/>
      <w:divBdr>
        <w:top w:val="none" w:sz="0" w:space="0" w:color="auto"/>
        <w:left w:val="none" w:sz="0" w:space="0" w:color="auto"/>
        <w:bottom w:val="none" w:sz="0" w:space="0" w:color="auto"/>
        <w:right w:val="none" w:sz="0" w:space="0" w:color="auto"/>
      </w:divBdr>
    </w:div>
    <w:div w:id="2073691150">
      <w:bodyDiv w:val="1"/>
      <w:marLeft w:val="0"/>
      <w:marRight w:val="0"/>
      <w:marTop w:val="0"/>
      <w:marBottom w:val="0"/>
      <w:divBdr>
        <w:top w:val="none" w:sz="0" w:space="0" w:color="auto"/>
        <w:left w:val="none" w:sz="0" w:space="0" w:color="auto"/>
        <w:bottom w:val="none" w:sz="0" w:space="0" w:color="auto"/>
        <w:right w:val="none" w:sz="0" w:space="0" w:color="auto"/>
      </w:divBdr>
    </w:div>
    <w:div w:id="212815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90AF4"/>
    <w:rsid w:val="00223FA3"/>
    <w:rsid w:val="002A288F"/>
    <w:rsid w:val="002B11C1"/>
    <w:rsid w:val="002F052A"/>
    <w:rsid w:val="00333825"/>
    <w:rsid w:val="00350176"/>
    <w:rsid w:val="003840F0"/>
    <w:rsid w:val="00437537"/>
    <w:rsid w:val="00454857"/>
    <w:rsid w:val="004D6A22"/>
    <w:rsid w:val="0053654E"/>
    <w:rsid w:val="005920A7"/>
    <w:rsid w:val="00632A7E"/>
    <w:rsid w:val="00632AB6"/>
    <w:rsid w:val="0066524B"/>
    <w:rsid w:val="00730B33"/>
    <w:rsid w:val="00772B2A"/>
    <w:rsid w:val="007C672A"/>
    <w:rsid w:val="007D4368"/>
    <w:rsid w:val="00802379"/>
    <w:rsid w:val="00805EE8"/>
    <w:rsid w:val="00822666"/>
    <w:rsid w:val="00823ECC"/>
    <w:rsid w:val="00866C97"/>
    <w:rsid w:val="009017AE"/>
    <w:rsid w:val="009B0D54"/>
    <w:rsid w:val="009C542D"/>
    <w:rsid w:val="00A95183"/>
    <w:rsid w:val="00AB4AF7"/>
    <w:rsid w:val="00AD7C4F"/>
    <w:rsid w:val="00B445F5"/>
    <w:rsid w:val="00BD40CB"/>
    <w:rsid w:val="00C267F8"/>
    <w:rsid w:val="00C362A2"/>
    <w:rsid w:val="00C90121"/>
    <w:rsid w:val="00CA344F"/>
    <w:rsid w:val="00D15145"/>
    <w:rsid w:val="00D1676E"/>
    <w:rsid w:val="00D23754"/>
    <w:rsid w:val="00D315AA"/>
    <w:rsid w:val="00DC0246"/>
    <w:rsid w:val="00E6518A"/>
    <w:rsid w:val="00F249B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D6A22"/>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DB2C1D095E464466A93CAF29160E6AF2">
    <w:name w:val="DB2C1D095E464466A93CAF29160E6AF2"/>
    <w:rsid w:val="004D6A22"/>
  </w:style>
  <w:style w:type="paragraph" w:customStyle="1" w:styleId="A10993A28A6442B0A28DE8E3607067EF">
    <w:name w:val="A10993A28A6442B0A28DE8E3607067EF"/>
    <w:rsid w:val="004D6A22"/>
  </w:style>
  <w:style w:type="paragraph" w:customStyle="1" w:styleId="543B3C2D8EBB48B590C767FE424CE62C">
    <w:name w:val="543B3C2D8EBB48B590C767FE424CE62C"/>
    <w:rsid w:val="004D6A22"/>
  </w:style>
  <w:style w:type="paragraph" w:customStyle="1" w:styleId="D6E49554DE7441B295408B6C1D167CD1">
    <w:name w:val="D6E49554DE7441B295408B6C1D167CD1"/>
    <w:rsid w:val="004D6A22"/>
  </w:style>
  <w:style w:type="paragraph" w:customStyle="1" w:styleId="353DB79511C74621ABF3EA997D4F1014">
    <w:name w:val="353DB79511C74621ABF3EA997D4F1014"/>
    <w:rsid w:val="004D6A22"/>
  </w:style>
  <w:style w:type="paragraph" w:customStyle="1" w:styleId="79C951C1E3A445F282DF09C2AA9DA3AE">
    <w:name w:val="79C951C1E3A445F282DF09C2AA9DA3AE"/>
    <w:rsid w:val="004D6A22"/>
  </w:style>
  <w:style w:type="paragraph" w:customStyle="1" w:styleId="1C8F8C40A4F74D82A27FCCFC8B1DF5B0">
    <w:name w:val="1C8F8C40A4F74D82A27FCCFC8B1DF5B0"/>
    <w:rsid w:val="004D6A2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D6A22"/>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DB2C1D095E464466A93CAF29160E6AF2">
    <w:name w:val="DB2C1D095E464466A93CAF29160E6AF2"/>
    <w:rsid w:val="004D6A22"/>
  </w:style>
  <w:style w:type="paragraph" w:customStyle="1" w:styleId="A10993A28A6442B0A28DE8E3607067EF">
    <w:name w:val="A10993A28A6442B0A28DE8E3607067EF"/>
    <w:rsid w:val="004D6A22"/>
  </w:style>
  <w:style w:type="paragraph" w:customStyle="1" w:styleId="543B3C2D8EBB48B590C767FE424CE62C">
    <w:name w:val="543B3C2D8EBB48B590C767FE424CE62C"/>
    <w:rsid w:val="004D6A22"/>
  </w:style>
  <w:style w:type="paragraph" w:customStyle="1" w:styleId="D6E49554DE7441B295408B6C1D167CD1">
    <w:name w:val="D6E49554DE7441B295408B6C1D167CD1"/>
    <w:rsid w:val="004D6A22"/>
  </w:style>
  <w:style w:type="paragraph" w:customStyle="1" w:styleId="353DB79511C74621ABF3EA997D4F1014">
    <w:name w:val="353DB79511C74621ABF3EA997D4F1014"/>
    <w:rsid w:val="004D6A22"/>
  </w:style>
  <w:style w:type="paragraph" w:customStyle="1" w:styleId="79C951C1E3A445F282DF09C2AA9DA3AE">
    <w:name w:val="79C951C1E3A445F282DF09C2AA9DA3AE"/>
    <w:rsid w:val="004D6A22"/>
  </w:style>
  <w:style w:type="paragraph" w:customStyle="1" w:styleId="1C8F8C40A4F74D82A27FCCFC8B1DF5B0">
    <w:name w:val="1C8F8C40A4F74D82A27FCCFC8B1DF5B0"/>
    <w:rsid w:val="004D6A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9F6AC-007B-4240-B8D8-1CD553F9D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18</Pages>
  <Words>6971</Words>
  <Characters>39739</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46617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Anisha Illa</cp:lastModifiedBy>
  <cp:revision>6</cp:revision>
  <dcterms:created xsi:type="dcterms:W3CDTF">2015-04-07T00:51:00Z</dcterms:created>
  <dcterms:modified xsi:type="dcterms:W3CDTF">2015-04-07T18:54:00Z</dcterms:modified>
</cp:coreProperties>
</file>