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CA465" w14:textId="065B28C6" w:rsidR="006E7FF0" w:rsidRPr="009E7CFA" w:rsidRDefault="001F75B6" w:rsidP="006E7FF0">
      <w:pPr>
        <w:keepNext/>
        <w:pageBreakBefore/>
        <w:pBdr>
          <w:bottom w:val="single" w:sz="4" w:space="1" w:color="auto"/>
        </w:pBdr>
        <w:suppressAutoHyphens/>
        <w:spacing w:before="240" w:after="120" w:line="240" w:lineRule="auto"/>
        <w:contextualSpacing/>
        <w:outlineLvl w:val="0"/>
        <w:rPr>
          <w:rFonts w:ascii="Times New Roman" w:eastAsia="Calibri" w:hAnsi="Times New Roman" w:cs="Times New Roman"/>
          <w:b/>
          <w:caps/>
          <w:color w:val="0071B1"/>
          <w:kern w:val="32"/>
          <w:sz w:val="30"/>
          <w:szCs w:val="30"/>
          <w:u w:color="000000"/>
        </w:rPr>
      </w:pPr>
      <w:bookmarkStart w:id="0" w:name="_Toc68194480"/>
      <w:r>
        <w:rPr>
          <w:rFonts w:ascii="Times New Roman" w:eastAsia="Calibri" w:hAnsi="Times New Roman" w:cs="Times New Roman"/>
          <w:b/>
          <w:caps/>
          <w:color w:val="0071B1"/>
          <w:kern w:val="32"/>
          <w:sz w:val="30"/>
          <w:szCs w:val="30"/>
          <w:u w:color="000000"/>
        </w:rPr>
        <w:t>NQF 067</w:t>
      </w:r>
      <w:r w:rsidR="00F21F66">
        <w:rPr>
          <w:rFonts w:ascii="Times New Roman" w:eastAsia="Calibri" w:hAnsi="Times New Roman" w:cs="Times New Roman"/>
          <w:b/>
          <w:caps/>
          <w:color w:val="0071B1"/>
          <w:kern w:val="32"/>
          <w:sz w:val="30"/>
          <w:szCs w:val="30"/>
          <w:u w:color="000000"/>
        </w:rPr>
        <w:t>4</w:t>
      </w:r>
      <w:r>
        <w:rPr>
          <w:rFonts w:ascii="Times New Roman" w:eastAsia="Calibri" w:hAnsi="Times New Roman" w:cs="Times New Roman"/>
          <w:b/>
          <w:caps/>
          <w:color w:val="0071B1"/>
          <w:kern w:val="32"/>
          <w:sz w:val="30"/>
          <w:szCs w:val="30"/>
          <w:u w:color="000000"/>
        </w:rPr>
        <w:t xml:space="preserve"> Measure Submission Appendix</w:t>
      </w:r>
      <w:bookmarkStart w:id="1" w:name="_GoBack"/>
      <w:bookmarkEnd w:id="0"/>
      <w:bookmarkEnd w:id="1"/>
    </w:p>
    <w:p w14:paraId="429FDC02" w14:textId="2ED0D853" w:rsidR="00BF5F91" w:rsidRDefault="00BF5F91" w:rsidP="00BF5F91">
      <w:pPr>
        <w:spacing w:after="0"/>
        <w:rPr>
          <w:rFonts w:ascii="Times New Roman" w:hAnsi="Times New Roman" w:cs="Times New Roman"/>
        </w:rPr>
      </w:pPr>
    </w:p>
    <w:sdt>
      <w:sdtPr>
        <w:rPr>
          <w:rFonts w:asciiTheme="minorHAnsi" w:eastAsia="SimSun" w:hAnsiTheme="minorHAnsi" w:cstheme="minorBidi"/>
          <w:color w:val="auto"/>
          <w:sz w:val="22"/>
          <w:szCs w:val="22"/>
        </w:rPr>
        <w:id w:val="149332044"/>
        <w:docPartObj>
          <w:docPartGallery w:val="Table of Contents"/>
          <w:docPartUnique/>
        </w:docPartObj>
      </w:sdtPr>
      <w:sdtEndPr>
        <w:rPr>
          <w:b/>
          <w:bCs/>
          <w:noProof/>
        </w:rPr>
      </w:sdtEndPr>
      <w:sdtContent>
        <w:p w14:paraId="230FCDBA" w14:textId="2CF740DE" w:rsidR="00714F19" w:rsidRPr="004A2F98" w:rsidRDefault="00714F19">
          <w:pPr>
            <w:pStyle w:val="TOCHeading"/>
            <w:rPr>
              <w:rFonts w:ascii="Times New Roman" w:hAnsi="Times New Roman" w:cs="Times New Roman"/>
              <w:sz w:val="24"/>
              <w:szCs w:val="24"/>
            </w:rPr>
          </w:pPr>
          <w:r w:rsidRPr="004A2F98">
            <w:rPr>
              <w:rFonts w:ascii="Times New Roman" w:hAnsi="Times New Roman" w:cs="Times New Roman"/>
              <w:sz w:val="24"/>
              <w:szCs w:val="24"/>
            </w:rPr>
            <w:t>Table of Contents</w:t>
          </w:r>
        </w:p>
        <w:p w14:paraId="52A67BCB" w14:textId="322A1B90" w:rsidR="00192EF8" w:rsidRPr="00617E8C" w:rsidRDefault="00714F19">
          <w:pPr>
            <w:pStyle w:val="TOC1"/>
            <w:tabs>
              <w:tab w:val="right" w:leader="dot" w:pos="9350"/>
            </w:tabs>
            <w:rPr>
              <w:rFonts w:ascii="Times New Roman" w:eastAsiaTheme="minorEastAsia" w:hAnsi="Times New Roman" w:cs="Times New Roman"/>
              <w:noProof/>
            </w:rPr>
          </w:pPr>
          <w:r>
            <w:fldChar w:fldCharType="begin"/>
          </w:r>
          <w:r>
            <w:instrText xml:space="preserve"> TOC \o "1-3" \h \z \u </w:instrText>
          </w:r>
          <w:r>
            <w:fldChar w:fldCharType="separate"/>
          </w:r>
          <w:hyperlink w:anchor="_Toc68194481" w:history="1">
            <w:r w:rsidR="00192EF8" w:rsidRPr="00192EF8">
              <w:rPr>
                <w:rStyle w:val="Hyperlink"/>
                <w:rFonts w:ascii="Times New Roman" w:hAnsi="Times New Roman" w:cs="Times New Roman"/>
                <w:noProof/>
              </w:rPr>
              <w:t>Appendix A: Calculation of Four-Quarter Measure</w:t>
            </w:r>
            <w:r w:rsidR="00192EF8" w:rsidRPr="00617E8C">
              <w:rPr>
                <w:rFonts w:ascii="Times New Roman" w:hAnsi="Times New Roman" w:cs="Times New Roman"/>
                <w:noProof/>
                <w:webHidden/>
              </w:rPr>
              <w:tab/>
            </w:r>
            <w:r w:rsidR="00192EF8" w:rsidRPr="00617E8C">
              <w:rPr>
                <w:rFonts w:ascii="Times New Roman" w:hAnsi="Times New Roman" w:cs="Times New Roman"/>
                <w:noProof/>
                <w:webHidden/>
              </w:rPr>
              <w:fldChar w:fldCharType="begin"/>
            </w:r>
            <w:r w:rsidR="00192EF8" w:rsidRPr="00617E8C">
              <w:rPr>
                <w:rFonts w:ascii="Times New Roman" w:hAnsi="Times New Roman" w:cs="Times New Roman"/>
                <w:noProof/>
                <w:webHidden/>
              </w:rPr>
              <w:instrText xml:space="preserve"> PAGEREF _Toc68194481 \h </w:instrText>
            </w:r>
            <w:r w:rsidR="00192EF8" w:rsidRPr="00617E8C">
              <w:rPr>
                <w:rFonts w:ascii="Times New Roman" w:hAnsi="Times New Roman" w:cs="Times New Roman"/>
                <w:noProof/>
                <w:webHidden/>
              </w:rPr>
            </w:r>
            <w:r w:rsidR="00192EF8" w:rsidRPr="00617E8C">
              <w:rPr>
                <w:rFonts w:ascii="Times New Roman" w:hAnsi="Times New Roman" w:cs="Times New Roman"/>
                <w:noProof/>
                <w:webHidden/>
              </w:rPr>
              <w:fldChar w:fldCharType="separate"/>
            </w:r>
            <w:r w:rsidR="00192EF8" w:rsidRPr="00617E8C">
              <w:rPr>
                <w:rFonts w:ascii="Times New Roman" w:hAnsi="Times New Roman" w:cs="Times New Roman"/>
                <w:noProof/>
                <w:webHidden/>
              </w:rPr>
              <w:t>2</w:t>
            </w:r>
            <w:r w:rsidR="00192EF8" w:rsidRPr="00617E8C">
              <w:rPr>
                <w:rFonts w:ascii="Times New Roman" w:hAnsi="Times New Roman" w:cs="Times New Roman"/>
                <w:noProof/>
                <w:webHidden/>
              </w:rPr>
              <w:fldChar w:fldCharType="end"/>
            </w:r>
          </w:hyperlink>
        </w:p>
        <w:p w14:paraId="57E7FC60" w14:textId="09F38D48" w:rsidR="00192EF8" w:rsidRDefault="00192EF8">
          <w:pPr>
            <w:pStyle w:val="TOC1"/>
            <w:tabs>
              <w:tab w:val="right" w:leader="dot" w:pos="9350"/>
            </w:tabs>
            <w:rPr>
              <w:rFonts w:eastAsiaTheme="minorEastAsia"/>
              <w:noProof/>
            </w:rPr>
          </w:pPr>
          <w:hyperlink w:anchor="_Toc68194482" w:history="1">
            <w:r w:rsidRPr="00192EF8">
              <w:rPr>
                <w:rStyle w:val="Hyperlink"/>
                <w:rFonts w:ascii="Times New Roman" w:hAnsi="Times New Roman" w:cs="Times New Roman"/>
                <w:noProof/>
              </w:rPr>
              <w:t>Appendix B: Tables</w:t>
            </w:r>
            <w:r w:rsidRPr="00617E8C">
              <w:rPr>
                <w:rFonts w:ascii="Times New Roman" w:hAnsi="Times New Roman" w:cs="Times New Roman"/>
                <w:noProof/>
                <w:webHidden/>
              </w:rPr>
              <w:tab/>
            </w:r>
            <w:r w:rsidRPr="00617E8C">
              <w:rPr>
                <w:rFonts w:ascii="Times New Roman" w:hAnsi="Times New Roman" w:cs="Times New Roman"/>
                <w:noProof/>
                <w:webHidden/>
              </w:rPr>
              <w:fldChar w:fldCharType="begin"/>
            </w:r>
            <w:r w:rsidRPr="00617E8C">
              <w:rPr>
                <w:rFonts w:ascii="Times New Roman" w:hAnsi="Times New Roman" w:cs="Times New Roman"/>
                <w:noProof/>
                <w:webHidden/>
              </w:rPr>
              <w:instrText xml:space="preserve"> PAGEREF _Toc68194482 \h </w:instrText>
            </w:r>
            <w:r w:rsidRPr="00617E8C">
              <w:rPr>
                <w:rFonts w:ascii="Times New Roman" w:hAnsi="Times New Roman" w:cs="Times New Roman"/>
                <w:noProof/>
                <w:webHidden/>
              </w:rPr>
            </w:r>
            <w:r w:rsidRPr="00617E8C">
              <w:rPr>
                <w:rFonts w:ascii="Times New Roman" w:hAnsi="Times New Roman" w:cs="Times New Roman"/>
                <w:noProof/>
                <w:webHidden/>
              </w:rPr>
              <w:fldChar w:fldCharType="separate"/>
            </w:r>
            <w:r w:rsidRPr="00617E8C">
              <w:rPr>
                <w:rFonts w:ascii="Times New Roman" w:hAnsi="Times New Roman" w:cs="Times New Roman"/>
                <w:noProof/>
                <w:webHidden/>
              </w:rPr>
              <w:t>3</w:t>
            </w:r>
            <w:r w:rsidRPr="00617E8C">
              <w:rPr>
                <w:rFonts w:ascii="Times New Roman" w:hAnsi="Times New Roman" w:cs="Times New Roman"/>
                <w:noProof/>
                <w:webHidden/>
              </w:rPr>
              <w:fldChar w:fldCharType="end"/>
            </w:r>
          </w:hyperlink>
        </w:p>
        <w:p w14:paraId="30541590" w14:textId="3A8F77E4" w:rsidR="00714F19" w:rsidRDefault="00714F19">
          <w:r>
            <w:rPr>
              <w:b/>
              <w:bCs/>
              <w:noProof/>
            </w:rPr>
            <w:fldChar w:fldCharType="end"/>
          </w:r>
        </w:p>
      </w:sdtContent>
    </w:sdt>
    <w:p w14:paraId="0D137A97" w14:textId="77777777" w:rsidR="00714F19" w:rsidRDefault="00714F19">
      <w:pPr>
        <w:rPr>
          <w:rFonts w:ascii="Times New Roman" w:eastAsia="Times New Roman" w:hAnsi="Times New Roman" w:cs="Times New Roman"/>
          <w:b/>
          <w:sz w:val="24"/>
          <w:szCs w:val="24"/>
        </w:rPr>
      </w:pPr>
      <w:r>
        <w:rPr>
          <w:b/>
        </w:rPr>
        <w:br w:type="page"/>
      </w:r>
    </w:p>
    <w:p w14:paraId="0C1E7CAA" w14:textId="26D0F784" w:rsidR="00192EF8" w:rsidRPr="00617E8C" w:rsidRDefault="00DF5C7E" w:rsidP="00617E8C">
      <w:pPr>
        <w:pStyle w:val="Heading1"/>
        <w:rPr>
          <w:color w:val="auto"/>
        </w:rPr>
      </w:pPr>
      <w:bookmarkStart w:id="2" w:name="_Toc68194481"/>
      <w:r w:rsidRPr="00617E8C">
        <w:rPr>
          <w:rFonts w:ascii="Times New Roman" w:hAnsi="Times New Roman" w:cs="Times New Roman"/>
          <w:color w:val="auto"/>
        </w:rPr>
        <w:lastRenderedPageBreak/>
        <w:t xml:space="preserve">Appendix A: </w:t>
      </w:r>
      <w:r w:rsidR="00192EF8" w:rsidRPr="00617E8C">
        <w:rPr>
          <w:rFonts w:ascii="Times New Roman" w:hAnsi="Times New Roman" w:cs="Times New Roman"/>
          <w:color w:val="auto"/>
        </w:rPr>
        <w:t>Calculation of Four-Quarter Measure</w:t>
      </w:r>
      <w:bookmarkEnd w:id="2"/>
    </w:p>
    <w:p w14:paraId="109D2176" w14:textId="5F94C92D" w:rsidR="00DF5C7E" w:rsidRPr="00192EF8" w:rsidRDefault="00C626B7" w:rsidP="008B21E3">
      <w:pPr>
        <w:pStyle w:val="BulletList125"/>
        <w:rPr>
          <w:b/>
          <w:sz w:val="22"/>
          <w:szCs w:val="22"/>
        </w:rPr>
      </w:pPr>
      <w:r w:rsidRPr="00192EF8">
        <w:rPr>
          <w:sz w:val="22"/>
          <w:szCs w:val="22"/>
        </w:rPr>
        <w:t>NQF #0674, Percent of Residents Experiencing One or More Falls with Major Injury (Long Stay) is publicly reported by individual quarters and through a four-quarter weighted average score. To enhance measurement stability and reliability beyond a one-quarter measure, a four-quarter average version of the measure is publicly reported as part of the Five-Star Quality Rating System through Care Compare and Provider Data Catalog. CMS calculates ratings for the QM domain using the four most recent quarters for which data are available. The time period specifications were selected to increase the number of assessments available for calculating the QM rating. This increases the stability and reliability of estimates. The adjusted four-quarter QM values used in the five-star algorithm are computed as follows:</w:t>
      </w:r>
    </w:p>
    <w:p w14:paraId="3454C723" w14:textId="3F1CC5C0" w:rsidR="00C626B7" w:rsidRPr="00192EF8" w:rsidRDefault="00C626B7" w:rsidP="008B21E3">
      <w:pPr>
        <w:pStyle w:val="BulletList125"/>
        <w:rPr>
          <w:b/>
          <w:sz w:val="22"/>
          <w:szCs w:val="22"/>
        </w:rPr>
      </w:pPr>
      <w:r w:rsidRPr="00192EF8">
        <w:rPr>
          <w:noProof/>
          <w:sz w:val="22"/>
          <w:szCs w:val="22"/>
        </w:rPr>
        <w:drawing>
          <wp:inline distT="0" distB="0" distL="0" distR="0" wp14:anchorId="5AFA2925" wp14:editId="4A095FDC">
            <wp:extent cx="5934075" cy="371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4075" cy="371475"/>
                    </a:xfrm>
                    <a:prstGeom prst="rect">
                      <a:avLst/>
                    </a:prstGeom>
                  </pic:spPr>
                </pic:pic>
              </a:graphicData>
            </a:graphic>
          </wp:inline>
        </w:drawing>
      </w:r>
    </w:p>
    <w:p w14:paraId="4DDB1DC8" w14:textId="075F664A" w:rsidR="00C626B7" w:rsidRPr="00192EF8" w:rsidRDefault="00C626B7" w:rsidP="008B21E3">
      <w:pPr>
        <w:pStyle w:val="BulletList125"/>
        <w:rPr>
          <w:sz w:val="22"/>
          <w:szCs w:val="22"/>
        </w:rPr>
      </w:pPr>
      <w:r w:rsidRPr="00192EF8">
        <w:rPr>
          <w:sz w:val="22"/>
          <w:szCs w:val="22"/>
        </w:rPr>
        <w:t>Where QM</w:t>
      </w:r>
      <w:r w:rsidRPr="00192EF8">
        <w:rPr>
          <w:sz w:val="22"/>
          <w:szCs w:val="22"/>
        </w:rPr>
        <w:softHyphen/>
      </w:r>
      <w:r w:rsidRPr="00192EF8">
        <w:rPr>
          <w:sz w:val="22"/>
          <w:szCs w:val="22"/>
        </w:rPr>
        <w:softHyphen/>
      </w:r>
      <w:r w:rsidRPr="00192EF8">
        <w:rPr>
          <w:sz w:val="22"/>
          <w:szCs w:val="22"/>
          <w:vertAlign w:val="subscript"/>
        </w:rPr>
        <w:t>Q1</w:t>
      </w:r>
      <w:r w:rsidRPr="00192EF8">
        <w:rPr>
          <w:sz w:val="22"/>
          <w:szCs w:val="22"/>
        </w:rPr>
        <w:t>, QM</w:t>
      </w:r>
      <w:r w:rsidRPr="00192EF8">
        <w:rPr>
          <w:sz w:val="22"/>
          <w:szCs w:val="22"/>
          <w:vertAlign w:val="subscript"/>
        </w:rPr>
        <w:t>Q2</w:t>
      </w:r>
      <w:r w:rsidRPr="00192EF8">
        <w:rPr>
          <w:sz w:val="22"/>
          <w:szCs w:val="22"/>
        </w:rPr>
        <w:t>, QM</w:t>
      </w:r>
      <w:r w:rsidRPr="00192EF8">
        <w:rPr>
          <w:sz w:val="22"/>
          <w:szCs w:val="22"/>
          <w:vertAlign w:val="subscript"/>
        </w:rPr>
        <w:t>Q3</w:t>
      </w:r>
      <w:r w:rsidRPr="00192EF8">
        <w:rPr>
          <w:sz w:val="22"/>
          <w:szCs w:val="22"/>
        </w:rPr>
        <w:t>, and QM</w:t>
      </w:r>
      <w:r w:rsidRPr="00192EF8">
        <w:rPr>
          <w:sz w:val="22"/>
          <w:szCs w:val="22"/>
          <w:vertAlign w:val="subscript"/>
        </w:rPr>
        <w:t>Q4</w:t>
      </w:r>
      <w:r w:rsidRPr="00192EF8">
        <w:rPr>
          <w:sz w:val="22"/>
          <w:szCs w:val="22"/>
        </w:rPr>
        <w:t xml:space="preserve"> correspond to the QM values for the four quarters and D</w:t>
      </w:r>
      <w:r w:rsidRPr="00192EF8">
        <w:rPr>
          <w:sz w:val="22"/>
          <w:szCs w:val="22"/>
          <w:vertAlign w:val="subscript"/>
        </w:rPr>
        <w:t>Q1</w:t>
      </w:r>
      <w:r w:rsidRPr="00192EF8">
        <w:rPr>
          <w:sz w:val="22"/>
          <w:szCs w:val="22"/>
        </w:rPr>
        <w:t>, D</w:t>
      </w:r>
      <w:r w:rsidRPr="00192EF8">
        <w:rPr>
          <w:sz w:val="22"/>
          <w:szCs w:val="22"/>
          <w:vertAlign w:val="subscript"/>
        </w:rPr>
        <w:t>Q2</w:t>
      </w:r>
      <w:r w:rsidRPr="00192EF8">
        <w:rPr>
          <w:sz w:val="22"/>
          <w:szCs w:val="22"/>
        </w:rPr>
        <w:t>, D</w:t>
      </w:r>
      <w:r w:rsidRPr="00192EF8">
        <w:rPr>
          <w:sz w:val="22"/>
          <w:szCs w:val="22"/>
          <w:vertAlign w:val="subscript"/>
        </w:rPr>
        <w:t xml:space="preserve">Q3 </w:t>
      </w:r>
      <w:r w:rsidRPr="00192EF8">
        <w:rPr>
          <w:sz w:val="22"/>
          <w:szCs w:val="22"/>
        </w:rPr>
        <w:t>and D</w:t>
      </w:r>
      <w:r w:rsidRPr="00192EF8">
        <w:rPr>
          <w:sz w:val="22"/>
          <w:szCs w:val="22"/>
          <w:vertAlign w:val="subscript"/>
        </w:rPr>
        <w:t>Q4</w:t>
      </w:r>
      <w:r w:rsidRPr="00192EF8">
        <w:rPr>
          <w:sz w:val="22"/>
          <w:szCs w:val="22"/>
        </w:rPr>
        <w:t xml:space="preserve"> are the denominators (number of eligible residents) for the four quarters.</w:t>
      </w:r>
    </w:p>
    <w:p w14:paraId="61EA74AF" w14:textId="6DE439A7" w:rsidR="00C626B7" w:rsidRDefault="00C626B7" w:rsidP="008B21E3">
      <w:pPr>
        <w:pStyle w:val="BulletList125"/>
        <w:rPr>
          <w:b/>
        </w:rPr>
      </w:pPr>
    </w:p>
    <w:p w14:paraId="6784B2E0" w14:textId="7843341A" w:rsidR="00192EF8" w:rsidRDefault="00192EF8">
      <w:pPr>
        <w:rPr>
          <w:rFonts w:ascii="Times New Roman" w:eastAsia="Times New Roman" w:hAnsi="Times New Roman" w:cs="Times New Roman"/>
          <w:b/>
          <w:sz w:val="24"/>
          <w:szCs w:val="24"/>
        </w:rPr>
      </w:pPr>
      <w:r>
        <w:rPr>
          <w:b/>
        </w:rPr>
        <w:br w:type="page"/>
      </w:r>
    </w:p>
    <w:p w14:paraId="4532CD65" w14:textId="0887EBEB" w:rsidR="00192EF8" w:rsidRPr="00617E8C" w:rsidRDefault="00192EF8" w:rsidP="00617E8C">
      <w:pPr>
        <w:pStyle w:val="Heading1"/>
        <w:rPr>
          <w:b w:val="0"/>
        </w:rPr>
      </w:pPr>
      <w:bookmarkStart w:id="3" w:name="_Toc68194482"/>
      <w:r w:rsidRPr="00617E8C">
        <w:rPr>
          <w:rFonts w:ascii="Times New Roman" w:hAnsi="Times New Roman" w:cs="Times New Roman"/>
          <w:color w:val="auto"/>
        </w:rPr>
        <w:lastRenderedPageBreak/>
        <w:t>Appendix B: Tables</w:t>
      </w:r>
      <w:bookmarkEnd w:id="3"/>
    </w:p>
    <w:p w14:paraId="5DD193B0" w14:textId="10988EEF" w:rsidR="00DF5C7E" w:rsidRPr="00DF5C7E" w:rsidRDefault="00DF5C7E" w:rsidP="00DF5C7E">
      <w:pPr>
        <w:pStyle w:val="Caption"/>
        <w:keepNext/>
        <w:jc w:val="center"/>
        <w:rPr>
          <w:rFonts w:ascii="Times New Roman" w:hAnsi="Times New Roman" w:cs="Times New Roman"/>
          <w:i w:val="0"/>
          <w:color w:val="auto"/>
          <w:sz w:val="22"/>
          <w:szCs w:val="22"/>
        </w:rPr>
      </w:pPr>
      <w:r w:rsidRPr="00DF5C7E">
        <w:rPr>
          <w:rFonts w:ascii="Times New Roman" w:hAnsi="Times New Roman" w:cs="Times New Roman"/>
          <w:i w:val="0"/>
          <w:color w:val="auto"/>
          <w:sz w:val="22"/>
          <w:szCs w:val="22"/>
        </w:rPr>
        <w:t xml:space="preserve">Table </w:t>
      </w:r>
      <w:r w:rsidR="00192EF8">
        <w:rPr>
          <w:rFonts w:ascii="Times New Roman" w:hAnsi="Times New Roman" w:cs="Times New Roman"/>
          <w:i w:val="0"/>
          <w:color w:val="auto"/>
          <w:sz w:val="22"/>
          <w:szCs w:val="22"/>
        </w:rPr>
        <w:t>B</w:t>
      </w:r>
      <w:r w:rsidR="00192EF8" w:rsidRPr="00DF5C7E">
        <w:rPr>
          <w:rFonts w:ascii="Times New Roman" w:hAnsi="Times New Roman" w:cs="Times New Roman"/>
          <w:i w:val="0"/>
          <w:color w:val="auto"/>
          <w:sz w:val="22"/>
          <w:szCs w:val="22"/>
        </w:rPr>
        <w:fldChar w:fldCharType="begin"/>
      </w:r>
      <w:r w:rsidR="00192EF8" w:rsidRPr="00DF5C7E">
        <w:rPr>
          <w:rFonts w:ascii="Times New Roman" w:hAnsi="Times New Roman" w:cs="Times New Roman"/>
          <w:i w:val="0"/>
          <w:color w:val="auto"/>
          <w:sz w:val="22"/>
          <w:szCs w:val="22"/>
        </w:rPr>
        <w:instrText xml:space="preserve"> SEQ Table \* ARABIC </w:instrText>
      </w:r>
      <w:r w:rsidR="00192EF8" w:rsidRPr="00DF5C7E">
        <w:rPr>
          <w:rFonts w:ascii="Times New Roman" w:hAnsi="Times New Roman" w:cs="Times New Roman"/>
          <w:i w:val="0"/>
          <w:color w:val="auto"/>
          <w:sz w:val="22"/>
          <w:szCs w:val="22"/>
        </w:rPr>
        <w:fldChar w:fldCharType="separate"/>
      </w:r>
      <w:r w:rsidR="00192EF8">
        <w:rPr>
          <w:rFonts w:ascii="Times New Roman" w:hAnsi="Times New Roman" w:cs="Times New Roman"/>
          <w:i w:val="0"/>
          <w:noProof/>
          <w:color w:val="auto"/>
          <w:sz w:val="22"/>
          <w:szCs w:val="22"/>
        </w:rPr>
        <w:t>1</w:t>
      </w:r>
      <w:r w:rsidR="00192EF8" w:rsidRPr="00DF5C7E">
        <w:rPr>
          <w:rFonts w:ascii="Times New Roman" w:hAnsi="Times New Roman" w:cs="Times New Roman"/>
          <w:i w:val="0"/>
          <w:color w:val="auto"/>
          <w:sz w:val="22"/>
          <w:szCs w:val="22"/>
        </w:rPr>
        <w:fldChar w:fldCharType="end"/>
      </w:r>
      <w:r w:rsidRPr="00DF5C7E">
        <w:rPr>
          <w:rFonts w:ascii="Times New Roman" w:hAnsi="Times New Roman" w:cs="Times New Roman"/>
          <w:i w:val="0"/>
          <w:color w:val="auto"/>
          <w:sz w:val="22"/>
          <w:szCs w:val="22"/>
        </w:rPr>
        <w:t xml:space="preserve">: </w:t>
      </w:r>
      <w:r>
        <w:rPr>
          <w:rFonts w:ascii="Times New Roman" w:hAnsi="Times New Roman" w:cs="Times New Roman"/>
          <w:i w:val="0"/>
          <w:color w:val="auto"/>
          <w:sz w:val="22"/>
          <w:szCs w:val="22"/>
        </w:rPr>
        <w:t xml:space="preserve">NQF 0674 </w:t>
      </w:r>
      <w:r w:rsidR="00FC3AD2">
        <w:rPr>
          <w:rFonts w:ascii="Times New Roman" w:hAnsi="Times New Roman" w:cs="Times New Roman"/>
          <w:i w:val="0"/>
          <w:color w:val="auto"/>
          <w:sz w:val="22"/>
          <w:szCs w:val="22"/>
        </w:rPr>
        <w:t>Signal-to-</w:t>
      </w:r>
      <w:r w:rsidRPr="00DF5C7E">
        <w:rPr>
          <w:rFonts w:ascii="Times New Roman" w:hAnsi="Times New Roman" w:cs="Times New Roman"/>
          <w:i w:val="0"/>
          <w:color w:val="auto"/>
          <w:sz w:val="22"/>
          <w:szCs w:val="22"/>
        </w:rPr>
        <w:t>Noise Distribution</w:t>
      </w:r>
    </w:p>
    <w:tbl>
      <w:tblPr>
        <w:tblStyle w:val="TableGrid1"/>
        <w:tblW w:w="0" w:type="auto"/>
        <w:tblLook w:val="04A0" w:firstRow="1" w:lastRow="0" w:firstColumn="1" w:lastColumn="0" w:noHBand="0" w:noVBand="1"/>
      </w:tblPr>
      <w:tblGrid>
        <w:gridCol w:w="1029"/>
        <w:gridCol w:w="998"/>
        <w:gridCol w:w="982"/>
        <w:gridCol w:w="1071"/>
        <w:gridCol w:w="1071"/>
        <w:gridCol w:w="1071"/>
        <w:gridCol w:w="1071"/>
        <w:gridCol w:w="1071"/>
        <w:gridCol w:w="986"/>
      </w:tblGrid>
      <w:tr w:rsidR="00814A45" w:rsidRPr="00DF5C7E" w14:paraId="2718E60C" w14:textId="77777777" w:rsidTr="00DF5C7E">
        <w:tc>
          <w:tcPr>
            <w:tcW w:w="1038" w:type="dxa"/>
            <w:shd w:val="clear" w:color="auto" w:fill="DDEBF7"/>
          </w:tcPr>
          <w:p w14:paraId="7E1F6596" w14:textId="77777777"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Measure Version</w:t>
            </w:r>
          </w:p>
        </w:tc>
        <w:tc>
          <w:tcPr>
            <w:tcW w:w="1039" w:type="dxa"/>
            <w:shd w:val="clear" w:color="auto" w:fill="DDEBF7"/>
          </w:tcPr>
          <w:p w14:paraId="1589366A" w14:textId="7F2AB144" w:rsidR="00DF5C7E" w:rsidRPr="00DF5C7E" w:rsidRDefault="00DF5C7E" w:rsidP="00814A45">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Mean</w:t>
            </w:r>
          </w:p>
        </w:tc>
        <w:tc>
          <w:tcPr>
            <w:tcW w:w="1039" w:type="dxa"/>
            <w:shd w:val="clear" w:color="auto" w:fill="DDEBF7"/>
          </w:tcPr>
          <w:p w14:paraId="4BF92AFE" w14:textId="77777777"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Min</w:t>
            </w:r>
          </w:p>
        </w:tc>
        <w:tc>
          <w:tcPr>
            <w:tcW w:w="1039" w:type="dxa"/>
            <w:shd w:val="clear" w:color="auto" w:fill="DDEBF7"/>
          </w:tcPr>
          <w:p w14:paraId="30F32BBD" w14:textId="07621392"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10</w:t>
            </w:r>
            <w:r w:rsidR="00814A45" w:rsidRPr="00814A45">
              <w:rPr>
                <w:rFonts w:ascii="Times New Roman" w:hAnsi="Times New Roman" w:cs="Times New Roman"/>
                <w:b/>
                <w:sz w:val="20"/>
                <w:szCs w:val="20"/>
                <w:vertAlign w:val="superscript"/>
                <w:lang w:eastAsia="ja-JP"/>
              </w:rPr>
              <w:t>th</w:t>
            </w:r>
            <w:r w:rsidR="00814A45">
              <w:rPr>
                <w:rFonts w:ascii="Times New Roman" w:hAnsi="Times New Roman" w:cs="Times New Roman"/>
                <w:b/>
                <w:sz w:val="20"/>
                <w:szCs w:val="20"/>
                <w:lang w:eastAsia="ja-JP"/>
              </w:rPr>
              <w:t xml:space="preserve"> Percentile</w:t>
            </w:r>
          </w:p>
        </w:tc>
        <w:tc>
          <w:tcPr>
            <w:tcW w:w="1039" w:type="dxa"/>
            <w:shd w:val="clear" w:color="auto" w:fill="DDEBF7"/>
          </w:tcPr>
          <w:p w14:paraId="7BE1C6DA" w14:textId="4A561EB5"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25</w:t>
            </w:r>
            <w:r w:rsidR="00814A45" w:rsidRPr="00814A45">
              <w:rPr>
                <w:rFonts w:ascii="Times New Roman" w:hAnsi="Times New Roman" w:cs="Times New Roman"/>
                <w:b/>
                <w:sz w:val="20"/>
                <w:szCs w:val="20"/>
                <w:vertAlign w:val="superscript"/>
                <w:lang w:eastAsia="ja-JP"/>
              </w:rPr>
              <w:t>th</w:t>
            </w:r>
            <w:r w:rsidR="00814A45">
              <w:rPr>
                <w:rFonts w:ascii="Times New Roman" w:hAnsi="Times New Roman" w:cs="Times New Roman"/>
                <w:b/>
                <w:sz w:val="20"/>
                <w:szCs w:val="20"/>
                <w:lang w:eastAsia="ja-JP"/>
              </w:rPr>
              <w:t xml:space="preserve"> Percentile</w:t>
            </w:r>
          </w:p>
        </w:tc>
        <w:tc>
          <w:tcPr>
            <w:tcW w:w="1039" w:type="dxa"/>
            <w:shd w:val="clear" w:color="auto" w:fill="DDEBF7"/>
          </w:tcPr>
          <w:p w14:paraId="1F968731" w14:textId="38EF8BC2"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50</w:t>
            </w:r>
            <w:r w:rsidR="00814A45" w:rsidRPr="00814A45">
              <w:rPr>
                <w:rFonts w:ascii="Times New Roman" w:hAnsi="Times New Roman" w:cs="Times New Roman"/>
                <w:b/>
                <w:sz w:val="20"/>
                <w:szCs w:val="20"/>
                <w:vertAlign w:val="superscript"/>
                <w:lang w:eastAsia="ja-JP"/>
              </w:rPr>
              <w:t>th</w:t>
            </w:r>
            <w:r w:rsidR="00814A45">
              <w:rPr>
                <w:rFonts w:ascii="Times New Roman" w:hAnsi="Times New Roman" w:cs="Times New Roman"/>
                <w:b/>
                <w:sz w:val="20"/>
                <w:szCs w:val="20"/>
                <w:lang w:eastAsia="ja-JP"/>
              </w:rPr>
              <w:t xml:space="preserve"> Percentile</w:t>
            </w:r>
          </w:p>
        </w:tc>
        <w:tc>
          <w:tcPr>
            <w:tcW w:w="1039" w:type="dxa"/>
            <w:shd w:val="clear" w:color="auto" w:fill="DDEBF7"/>
          </w:tcPr>
          <w:p w14:paraId="6CCD2F26" w14:textId="1E2A7F71"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75</w:t>
            </w:r>
            <w:r w:rsidR="00814A45" w:rsidRPr="00814A45">
              <w:rPr>
                <w:rFonts w:ascii="Times New Roman" w:hAnsi="Times New Roman" w:cs="Times New Roman"/>
                <w:b/>
                <w:sz w:val="20"/>
                <w:szCs w:val="20"/>
                <w:vertAlign w:val="superscript"/>
                <w:lang w:eastAsia="ja-JP"/>
              </w:rPr>
              <w:t>th</w:t>
            </w:r>
            <w:r w:rsidR="00814A45">
              <w:rPr>
                <w:rFonts w:ascii="Times New Roman" w:hAnsi="Times New Roman" w:cs="Times New Roman"/>
                <w:b/>
                <w:sz w:val="20"/>
                <w:szCs w:val="20"/>
                <w:lang w:eastAsia="ja-JP"/>
              </w:rPr>
              <w:t xml:space="preserve"> Percentile</w:t>
            </w:r>
          </w:p>
        </w:tc>
        <w:tc>
          <w:tcPr>
            <w:tcW w:w="1039" w:type="dxa"/>
            <w:shd w:val="clear" w:color="auto" w:fill="DDEBF7"/>
          </w:tcPr>
          <w:p w14:paraId="1696C888" w14:textId="37028762"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90</w:t>
            </w:r>
            <w:r w:rsidR="00814A45" w:rsidRPr="00814A45">
              <w:rPr>
                <w:rFonts w:ascii="Times New Roman" w:hAnsi="Times New Roman" w:cs="Times New Roman"/>
                <w:b/>
                <w:sz w:val="20"/>
                <w:szCs w:val="20"/>
                <w:vertAlign w:val="superscript"/>
                <w:lang w:eastAsia="ja-JP"/>
              </w:rPr>
              <w:t>th</w:t>
            </w:r>
            <w:r w:rsidR="00814A45">
              <w:rPr>
                <w:rFonts w:ascii="Times New Roman" w:hAnsi="Times New Roman" w:cs="Times New Roman"/>
                <w:b/>
                <w:sz w:val="20"/>
                <w:szCs w:val="20"/>
                <w:lang w:eastAsia="ja-JP"/>
              </w:rPr>
              <w:t xml:space="preserve"> Percentile</w:t>
            </w:r>
          </w:p>
        </w:tc>
        <w:tc>
          <w:tcPr>
            <w:tcW w:w="1039" w:type="dxa"/>
            <w:shd w:val="clear" w:color="auto" w:fill="DDEBF7"/>
          </w:tcPr>
          <w:p w14:paraId="3197C979" w14:textId="77777777" w:rsidR="00DF5C7E" w:rsidRPr="00DF5C7E" w:rsidRDefault="00DF5C7E" w:rsidP="00DF5C7E">
            <w:pPr>
              <w:spacing w:line="276" w:lineRule="auto"/>
              <w:jc w:val="center"/>
              <w:rPr>
                <w:rFonts w:ascii="Times New Roman" w:hAnsi="Times New Roman" w:cs="Times New Roman"/>
                <w:b/>
                <w:sz w:val="20"/>
                <w:szCs w:val="20"/>
                <w:lang w:eastAsia="ja-JP"/>
              </w:rPr>
            </w:pPr>
            <w:r w:rsidRPr="00DF5C7E">
              <w:rPr>
                <w:rFonts w:ascii="Times New Roman" w:hAnsi="Times New Roman" w:cs="Times New Roman"/>
                <w:b/>
                <w:sz w:val="20"/>
                <w:szCs w:val="20"/>
                <w:lang w:eastAsia="ja-JP"/>
              </w:rPr>
              <w:t>Max</w:t>
            </w:r>
          </w:p>
        </w:tc>
      </w:tr>
      <w:tr w:rsidR="00814A45" w:rsidRPr="00DF5C7E" w14:paraId="60D3A9AF" w14:textId="77777777" w:rsidTr="00B3492E">
        <w:tc>
          <w:tcPr>
            <w:tcW w:w="1038" w:type="dxa"/>
          </w:tcPr>
          <w:p w14:paraId="013E31F4" w14:textId="77777777" w:rsidR="00DF5C7E" w:rsidRPr="00DF5C7E" w:rsidRDefault="00DF5C7E" w:rsidP="00DF5C7E">
            <w:pPr>
              <w:spacing w:line="276" w:lineRule="auto"/>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1Q</w:t>
            </w:r>
          </w:p>
        </w:tc>
        <w:tc>
          <w:tcPr>
            <w:tcW w:w="1039" w:type="dxa"/>
          </w:tcPr>
          <w:p w14:paraId="4A0F1E14"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0.45</w:t>
            </w:r>
          </w:p>
        </w:tc>
        <w:tc>
          <w:tcPr>
            <w:tcW w:w="1039" w:type="dxa"/>
          </w:tcPr>
          <w:p w14:paraId="4101C733"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0.02</w:t>
            </w:r>
          </w:p>
        </w:tc>
        <w:tc>
          <w:tcPr>
            <w:tcW w:w="1039" w:type="dxa"/>
          </w:tcPr>
          <w:p w14:paraId="7C43BDF9"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0.12</w:t>
            </w:r>
          </w:p>
        </w:tc>
        <w:tc>
          <w:tcPr>
            <w:tcW w:w="1039" w:type="dxa"/>
          </w:tcPr>
          <w:p w14:paraId="4DDC007A"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0.23</w:t>
            </w:r>
          </w:p>
        </w:tc>
        <w:tc>
          <w:tcPr>
            <w:tcW w:w="1039" w:type="dxa"/>
          </w:tcPr>
          <w:p w14:paraId="0C0B2E73"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0.36</w:t>
            </w:r>
          </w:p>
        </w:tc>
        <w:tc>
          <w:tcPr>
            <w:tcW w:w="1039" w:type="dxa"/>
          </w:tcPr>
          <w:p w14:paraId="2401BB5C"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0.60</w:t>
            </w:r>
          </w:p>
        </w:tc>
        <w:tc>
          <w:tcPr>
            <w:tcW w:w="1039" w:type="dxa"/>
          </w:tcPr>
          <w:p w14:paraId="717D7A22"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1.00</w:t>
            </w:r>
          </w:p>
        </w:tc>
        <w:tc>
          <w:tcPr>
            <w:tcW w:w="1039" w:type="dxa"/>
          </w:tcPr>
          <w:p w14:paraId="75C34FA7"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1.00</w:t>
            </w:r>
          </w:p>
        </w:tc>
      </w:tr>
      <w:tr w:rsidR="00814A45" w:rsidRPr="00DF5C7E" w14:paraId="62D9E773" w14:textId="77777777" w:rsidTr="00B3492E">
        <w:tc>
          <w:tcPr>
            <w:tcW w:w="1038" w:type="dxa"/>
          </w:tcPr>
          <w:p w14:paraId="33218DB2" w14:textId="77777777" w:rsidR="00DF5C7E" w:rsidRPr="00DF5C7E" w:rsidRDefault="00DF5C7E" w:rsidP="00DF5C7E">
            <w:pPr>
              <w:spacing w:line="276" w:lineRule="auto"/>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4Q</w:t>
            </w:r>
          </w:p>
        </w:tc>
        <w:tc>
          <w:tcPr>
            <w:tcW w:w="1039" w:type="dxa"/>
          </w:tcPr>
          <w:p w14:paraId="2945A774"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0.77</w:t>
            </w:r>
          </w:p>
        </w:tc>
        <w:tc>
          <w:tcPr>
            <w:tcW w:w="1039" w:type="dxa"/>
          </w:tcPr>
          <w:p w14:paraId="7035D30C"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0.05</w:t>
            </w:r>
          </w:p>
        </w:tc>
        <w:tc>
          <w:tcPr>
            <w:tcW w:w="1039" w:type="dxa"/>
          </w:tcPr>
          <w:p w14:paraId="5BEE5F41"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0.51</w:t>
            </w:r>
          </w:p>
        </w:tc>
        <w:tc>
          <w:tcPr>
            <w:tcW w:w="1039" w:type="dxa"/>
          </w:tcPr>
          <w:p w14:paraId="62C93008"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0.68</w:t>
            </w:r>
          </w:p>
        </w:tc>
        <w:tc>
          <w:tcPr>
            <w:tcW w:w="1039" w:type="dxa"/>
          </w:tcPr>
          <w:p w14:paraId="5B448091"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0.80</w:t>
            </w:r>
          </w:p>
        </w:tc>
        <w:tc>
          <w:tcPr>
            <w:tcW w:w="1039" w:type="dxa"/>
          </w:tcPr>
          <w:p w14:paraId="6E051676"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0.89</w:t>
            </w:r>
          </w:p>
        </w:tc>
        <w:tc>
          <w:tcPr>
            <w:tcW w:w="1039" w:type="dxa"/>
          </w:tcPr>
          <w:p w14:paraId="543B9A43"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0.95</w:t>
            </w:r>
          </w:p>
        </w:tc>
        <w:tc>
          <w:tcPr>
            <w:tcW w:w="1039" w:type="dxa"/>
          </w:tcPr>
          <w:p w14:paraId="0D99DDAD" w14:textId="77777777" w:rsidR="00DF5C7E" w:rsidRPr="00DF5C7E" w:rsidRDefault="00DF5C7E" w:rsidP="00DF5C7E">
            <w:pPr>
              <w:spacing w:line="276" w:lineRule="auto"/>
              <w:jc w:val="center"/>
              <w:rPr>
                <w:rFonts w:ascii="Times New Roman" w:hAnsi="Times New Roman" w:cs="Times New Roman"/>
                <w:color w:val="000000"/>
                <w:sz w:val="20"/>
                <w:szCs w:val="20"/>
                <w:lang w:eastAsia="ja-JP"/>
              </w:rPr>
            </w:pPr>
            <w:r w:rsidRPr="00DF5C7E">
              <w:rPr>
                <w:rFonts w:ascii="Times New Roman" w:hAnsi="Times New Roman" w:cs="Times New Roman"/>
                <w:color w:val="000000"/>
                <w:sz w:val="20"/>
                <w:szCs w:val="20"/>
                <w:lang w:eastAsia="ja-JP"/>
              </w:rPr>
              <w:t>1.00</w:t>
            </w:r>
          </w:p>
        </w:tc>
      </w:tr>
    </w:tbl>
    <w:p w14:paraId="1EB1801C" w14:textId="77777777" w:rsidR="00DF5C7E" w:rsidRDefault="00DF5C7E">
      <w:pPr>
        <w:rPr>
          <w:rFonts w:ascii="Times New Roman" w:hAnsi="Times New Roman" w:cs="Times New Roman"/>
        </w:rPr>
      </w:pPr>
    </w:p>
    <w:p w14:paraId="1435C757" w14:textId="77777777" w:rsidR="00FC3AD2" w:rsidRDefault="00DF5C7E">
      <w:pPr>
        <w:rPr>
          <w:rFonts w:ascii="Times New Roman" w:hAnsi="Times New Roman" w:cs="Times New Roman"/>
          <w:sz w:val="18"/>
          <w:szCs w:val="18"/>
        </w:rPr>
      </w:pPr>
      <w:r>
        <w:rPr>
          <w:rFonts w:ascii="Times New Roman" w:hAnsi="Times New Roman" w:cs="Times New Roman"/>
          <w:sz w:val="18"/>
          <w:szCs w:val="18"/>
        </w:rPr>
        <w:t xml:space="preserve">NOTE: </w:t>
      </w:r>
      <w:r w:rsidR="00814A45">
        <w:rPr>
          <w:rFonts w:ascii="Times New Roman" w:hAnsi="Times New Roman" w:cs="Times New Roman"/>
          <w:sz w:val="18"/>
          <w:szCs w:val="18"/>
        </w:rPr>
        <w:t>The distribution of signal-to-noise reliability scores for the 1Q version of 0674 was established using 2019Q2 data. The distribution of signal-to-noise reliability scores for the 4Q version of 0674 was established using 2018Q3-2019Q2 data.</w:t>
      </w:r>
    </w:p>
    <w:p w14:paraId="64721630" w14:textId="77777777" w:rsidR="00FC3AD2" w:rsidRPr="00FC3AD2" w:rsidRDefault="00FC3AD2">
      <w:pPr>
        <w:rPr>
          <w:rFonts w:ascii="Times New Roman" w:hAnsi="Times New Roman" w:cs="Times New Roman"/>
        </w:rPr>
      </w:pPr>
    </w:p>
    <w:p w14:paraId="2C795540" w14:textId="1CAC51B2" w:rsidR="00FC3AD2" w:rsidRPr="00FC3AD2" w:rsidRDefault="00FC3AD2" w:rsidP="00FC3AD2">
      <w:pPr>
        <w:rPr>
          <w:rFonts w:ascii="Times New Roman" w:hAnsi="Times New Roman" w:cs="Times New Roman"/>
        </w:rPr>
      </w:pPr>
      <w:r>
        <w:rPr>
          <w:rFonts w:ascii="Times New Roman" w:hAnsi="Times New Roman" w:cs="Times New Roman"/>
        </w:rPr>
        <w:t xml:space="preserve">Table </w:t>
      </w:r>
      <w:r w:rsidR="00192EF8">
        <w:rPr>
          <w:rFonts w:ascii="Times New Roman" w:hAnsi="Times New Roman" w:cs="Times New Roman"/>
        </w:rPr>
        <w:t xml:space="preserve">B1 </w:t>
      </w:r>
      <w:r>
        <w:rPr>
          <w:rFonts w:ascii="Times New Roman" w:hAnsi="Times New Roman" w:cs="Times New Roman"/>
        </w:rPr>
        <w:t xml:space="preserve">summarizes the signal-to-noise distributions calculated during the testing of NQF 0674. </w:t>
      </w:r>
      <w:r w:rsidRPr="00FC3AD2">
        <w:rPr>
          <w:rFonts w:ascii="Times New Roman" w:hAnsi="Times New Roman" w:cs="Times New Roman"/>
        </w:rPr>
        <w:t>In the original testing</w:t>
      </w:r>
      <w:r>
        <w:rPr>
          <w:rFonts w:ascii="Times New Roman" w:hAnsi="Times New Roman" w:cs="Times New Roman"/>
        </w:rPr>
        <w:t xml:space="preserve"> of this measure that was submitted with the NQF Testing Form</w:t>
      </w:r>
      <w:r w:rsidRPr="00FC3AD2">
        <w:rPr>
          <w:rFonts w:ascii="Times New Roman" w:hAnsi="Times New Roman" w:cs="Times New Roman"/>
        </w:rPr>
        <w:t xml:space="preserve">, Acumen established the distribution of signal-to-noise reliability scores using one quarter of data (2019Q2) and observed that the average signal-to-noise reliability score was 0.45 and the median score was 0.36. Acumen updated this analysis using four quarters of data (2018Q3 – 2019Q2) and observed that the average signal-to-noise reliability score was 0.77 and the median score was 0.80. These observations suggest that the four-quarter version of 0674 is very reliable in separating provider characteristics from variability within the provider. </w:t>
      </w:r>
    </w:p>
    <w:p w14:paraId="1F47AC66" w14:textId="7B00B023" w:rsidR="00DF5C7E" w:rsidRDefault="00DF5C7E">
      <w:pPr>
        <w:rPr>
          <w:rFonts w:ascii="Times New Roman" w:hAnsi="Times New Roman" w:cs="Times New Roman"/>
        </w:rPr>
      </w:pPr>
      <w:r>
        <w:rPr>
          <w:rFonts w:ascii="Times New Roman" w:hAnsi="Times New Roman" w:cs="Times New Roman"/>
        </w:rPr>
        <w:br w:type="page"/>
      </w:r>
    </w:p>
    <w:p w14:paraId="32C8713F" w14:textId="39D135A8" w:rsidR="00814A45" w:rsidRPr="00814A45" w:rsidRDefault="00814A45" w:rsidP="00814A45">
      <w:pPr>
        <w:pStyle w:val="Caption"/>
        <w:keepNext/>
        <w:jc w:val="center"/>
        <w:rPr>
          <w:rFonts w:ascii="Times New Roman" w:hAnsi="Times New Roman" w:cs="Times New Roman"/>
          <w:i w:val="0"/>
          <w:color w:val="auto"/>
          <w:sz w:val="22"/>
          <w:szCs w:val="22"/>
        </w:rPr>
      </w:pPr>
      <w:r w:rsidRPr="00814A45">
        <w:rPr>
          <w:rFonts w:ascii="Times New Roman" w:hAnsi="Times New Roman" w:cs="Times New Roman"/>
          <w:i w:val="0"/>
          <w:color w:val="auto"/>
          <w:sz w:val="22"/>
          <w:szCs w:val="22"/>
        </w:rPr>
        <w:t xml:space="preserve">Table </w:t>
      </w:r>
      <w:r w:rsidR="00192EF8">
        <w:rPr>
          <w:rFonts w:ascii="Times New Roman" w:hAnsi="Times New Roman" w:cs="Times New Roman"/>
          <w:i w:val="0"/>
          <w:color w:val="auto"/>
          <w:sz w:val="22"/>
          <w:szCs w:val="22"/>
        </w:rPr>
        <w:t>B</w:t>
      </w:r>
      <w:r w:rsidR="00192EF8" w:rsidRPr="00814A45">
        <w:rPr>
          <w:rFonts w:ascii="Times New Roman" w:hAnsi="Times New Roman" w:cs="Times New Roman"/>
          <w:i w:val="0"/>
          <w:color w:val="auto"/>
          <w:sz w:val="22"/>
          <w:szCs w:val="22"/>
        </w:rPr>
        <w:fldChar w:fldCharType="begin"/>
      </w:r>
      <w:r w:rsidR="00192EF8" w:rsidRPr="00814A45">
        <w:rPr>
          <w:rFonts w:ascii="Times New Roman" w:hAnsi="Times New Roman" w:cs="Times New Roman"/>
          <w:i w:val="0"/>
          <w:color w:val="auto"/>
          <w:sz w:val="22"/>
          <w:szCs w:val="22"/>
        </w:rPr>
        <w:instrText xml:space="preserve"> SEQ Table \* ARABIC </w:instrText>
      </w:r>
      <w:r w:rsidR="00192EF8" w:rsidRPr="00814A45">
        <w:rPr>
          <w:rFonts w:ascii="Times New Roman" w:hAnsi="Times New Roman" w:cs="Times New Roman"/>
          <w:i w:val="0"/>
          <w:color w:val="auto"/>
          <w:sz w:val="22"/>
          <w:szCs w:val="22"/>
        </w:rPr>
        <w:fldChar w:fldCharType="separate"/>
      </w:r>
      <w:r w:rsidR="00192EF8" w:rsidRPr="00814A45">
        <w:rPr>
          <w:rFonts w:ascii="Times New Roman" w:hAnsi="Times New Roman" w:cs="Times New Roman"/>
          <w:i w:val="0"/>
          <w:noProof/>
          <w:color w:val="auto"/>
          <w:sz w:val="22"/>
          <w:szCs w:val="22"/>
        </w:rPr>
        <w:t>2</w:t>
      </w:r>
      <w:r w:rsidR="00192EF8" w:rsidRPr="00814A45">
        <w:rPr>
          <w:rFonts w:ascii="Times New Roman" w:hAnsi="Times New Roman" w:cs="Times New Roman"/>
          <w:i w:val="0"/>
          <w:color w:val="auto"/>
          <w:sz w:val="22"/>
          <w:szCs w:val="22"/>
        </w:rPr>
        <w:fldChar w:fldCharType="end"/>
      </w:r>
      <w:r w:rsidRPr="00814A45">
        <w:rPr>
          <w:rFonts w:ascii="Times New Roman" w:hAnsi="Times New Roman" w:cs="Times New Roman"/>
          <w:i w:val="0"/>
          <w:color w:val="auto"/>
          <w:sz w:val="22"/>
          <w:szCs w:val="22"/>
        </w:rPr>
        <w:t xml:space="preserve">: </w:t>
      </w:r>
      <w:r w:rsidR="00FC3AD2">
        <w:rPr>
          <w:rFonts w:ascii="Times New Roman" w:hAnsi="Times New Roman" w:cs="Times New Roman"/>
          <w:i w:val="0"/>
          <w:color w:val="auto"/>
          <w:sz w:val="22"/>
          <w:szCs w:val="22"/>
        </w:rPr>
        <w:t>NQF 0674 Split-</w:t>
      </w:r>
      <w:r>
        <w:rPr>
          <w:rFonts w:ascii="Times New Roman" w:hAnsi="Times New Roman" w:cs="Times New Roman"/>
          <w:i w:val="0"/>
          <w:color w:val="auto"/>
          <w:sz w:val="22"/>
          <w:szCs w:val="22"/>
        </w:rPr>
        <w:t>Half Reliability</w:t>
      </w:r>
    </w:p>
    <w:tbl>
      <w:tblPr>
        <w:tblW w:w="8005" w:type="dxa"/>
        <w:jc w:val="center"/>
        <w:tblLook w:val="04A0" w:firstRow="1" w:lastRow="0" w:firstColumn="1" w:lastColumn="0" w:noHBand="0" w:noVBand="1"/>
      </w:tblPr>
      <w:tblGrid>
        <w:gridCol w:w="1705"/>
        <w:gridCol w:w="3906"/>
        <w:gridCol w:w="1458"/>
        <w:gridCol w:w="936"/>
      </w:tblGrid>
      <w:tr w:rsidR="00814A45" w:rsidRPr="00DF5C7E" w14:paraId="624B27DF" w14:textId="77777777" w:rsidTr="00C71A9B">
        <w:trPr>
          <w:trHeight w:val="510"/>
          <w:jc w:val="center"/>
        </w:trPr>
        <w:tc>
          <w:tcPr>
            <w:tcW w:w="1705" w:type="dxa"/>
            <w:tcBorders>
              <w:top w:val="single" w:sz="4" w:space="0" w:color="auto"/>
              <w:left w:val="single" w:sz="4" w:space="0" w:color="auto"/>
              <w:bottom w:val="single" w:sz="4" w:space="0" w:color="auto"/>
              <w:right w:val="single" w:sz="4" w:space="0" w:color="000000"/>
            </w:tcBorders>
            <w:shd w:val="clear" w:color="auto" w:fill="DDEBF7"/>
            <w:vAlign w:val="center"/>
          </w:tcPr>
          <w:p w14:paraId="62600E41" w14:textId="499C246C" w:rsidR="00814A45" w:rsidRPr="00DF5C7E" w:rsidRDefault="00814A45" w:rsidP="00DF5C7E">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Measure Version</w:t>
            </w:r>
          </w:p>
        </w:tc>
        <w:tc>
          <w:tcPr>
            <w:tcW w:w="3906" w:type="dxa"/>
            <w:tcBorders>
              <w:top w:val="single" w:sz="4" w:space="0" w:color="auto"/>
              <w:left w:val="single" w:sz="4" w:space="0" w:color="auto"/>
              <w:bottom w:val="single" w:sz="4" w:space="0" w:color="auto"/>
              <w:right w:val="single" w:sz="4" w:space="0" w:color="000000"/>
            </w:tcBorders>
            <w:shd w:val="clear" w:color="auto" w:fill="DDEBF7"/>
            <w:noWrap/>
            <w:vAlign w:val="center"/>
            <w:hideMark/>
          </w:tcPr>
          <w:p w14:paraId="6E1EF983" w14:textId="13DEB8B1" w:rsidR="00814A45" w:rsidRPr="00DF5C7E" w:rsidRDefault="00814A45" w:rsidP="00DF5C7E">
            <w:pPr>
              <w:spacing w:after="0" w:line="240" w:lineRule="auto"/>
              <w:rPr>
                <w:rFonts w:ascii="Times New Roman" w:eastAsia="Times New Roman" w:hAnsi="Times New Roman" w:cs="Times New Roman"/>
                <w:b/>
                <w:bCs/>
                <w:sz w:val="20"/>
                <w:szCs w:val="20"/>
              </w:rPr>
            </w:pPr>
            <w:r w:rsidRPr="00DF5C7E">
              <w:rPr>
                <w:rFonts w:ascii="Times New Roman" w:eastAsia="Times New Roman" w:hAnsi="Times New Roman" w:cs="Times New Roman"/>
                <w:b/>
                <w:bCs/>
                <w:sz w:val="20"/>
                <w:szCs w:val="20"/>
              </w:rPr>
              <w:t>Correlation Tests</w:t>
            </w:r>
          </w:p>
        </w:tc>
        <w:tc>
          <w:tcPr>
            <w:tcW w:w="1458"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5570735" w14:textId="77777777" w:rsidR="00814A45" w:rsidRPr="00DF5C7E" w:rsidRDefault="00814A45" w:rsidP="00DF5C7E">
            <w:pPr>
              <w:spacing w:after="0" w:line="240" w:lineRule="auto"/>
              <w:rPr>
                <w:rFonts w:ascii="Times New Roman" w:eastAsia="Times New Roman" w:hAnsi="Times New Roman" w:cs="Times New Roman"/>
                <w:b/>
                <w:bCs/>
                <w:color w:val="000000"/>
                <w:sz w:val="20"/>
                <w:szCs w:val="20"/>
              </w:rPr>
            </w:pPr>
            <w:r w:rsidRPr="00DF5C7E">
              <w:rPr>
                <w:rFonts w:ascii="Times New Roman" w:eastAsia="Times New Roman" w:hAnsi="Times New Roman" w:cs="Times New Roman"/>
                <w:b/>
                <w:bCs/>
                <w:color w:val="000000"/>
                <w:sz w:val="20"/>
                <w:szCs w:val="20"/>
              </w:rPr>
              <w:t>Correlation Coefficient</w:t>
            </w:r>
          </w:p>
        </w:tc>
        <w:tc>
          <w:tcPr>
            <w:tcW w:w="936" w:type="dxa"/>
            <w:tcBorders>
              <w:top w:val="single" w:sz="4" w:space="0" w:color="auto"/>
              <w:left w:val="nil"/>
              <w:bottom w:val="single" w:sz="4" w:space="0" w:color="auto"/>
              <w:right w:val="single" w:sz="4" w:space="0" w:color="auto"/>
            </w:tcBorders>
            <w:shd w:val="clear" w:color="000000" w:fill="DDEBF7"/>
            <w:vAlign w:val="center"/>
            <w:hideMark/>
          </w:tcPr>
          <w:p w14:paraId="66BC5664" w14:textId="77777777" w:rsidR="00814A45" w:rsidRPr="00DF5C7E" w:rsidRDefault="00814A45" w:rsidP="00DF5C7E">
            <w:pPr>
              <w:spacing w:after="0" w:line="240" w:lineRule="auto"/>
              <w:rPr>
                <w:rFonts w:ascii="Times New Roman" w:eastAsia="Times New Roman" w:hAnsi="Times New Roman" w:cs="Times New Roman"/>
                <w:b/>
                <w:bCs/>
                <w:color w:val="000000"/>
                <w:sz w:val="20"/>
                <w:szCs w:val="20"/>
              </w:rPr>
            </w:pPr>
            <w:r w:rsidRPr="00DF5C7E">
              <w:rPr>
                <w:rFonts w:ascii="Times New Roman" w:eastAsia="Times New Roman" w:hAnsi="Times New Roman" w:cs="Times New Roman"/>
                <w:b/>
                <w:bCs/>
                <w:color w:val="000000"/>
                <w:sz w:val="20"/>
                <w:szCs w:val="20"/>
              </w:rPr>
              <w:t>p-value</w:t>
            </w:r>
          </w:p>
        </w:tc>
      </w:tr>
      <w:tr w:rsidR="00C71A9B" w:rsidRPr="00DF5C7E" w14:paraId="06DA54DA" w14:textId="77777777" w:rsidTr="00C71A9B">
        <w:trPr>
          <w:trHeight w:val="300"/>
          <w:jc w:val="center"/>
        </w:trPr>
        <w:tc>
          <w:tcPr>
            <w:tcW w:w="1705" w:type="dxa"/>
            <w:vMerge w:val="restart"/>
            <w:tcBorders>
              <w:top w:val="single" w:sz="4" w:space="0" w:color="auto"/>
              <w:left w:val="single" w:sz="4" w:space="0" w:color="auto"/>
              <w:right w:val="single" w:sz="4" w:space="0" w:color="000000"/>
            </w:tcBorders>
            <w:vAlign w:val="center"/>
          </w:tcPr>
          <w:p w14:paraId="67EDFC42" w14:textId="34C85E34" w:rsidR="00C71A9B" w:rsidRPr="00DF5C7E" w:rsidRDefault="00C71A9B" w:rsidP="00DF5C7E">
            <w:pPr>
              <w:spacing w:after="0" w:line="240" w:lineRule="auto"/>
              <w:ind w:firstLineChars="100" w:firstLine="20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1Q</w:t>
            </w:r>
          </w:p>
        </w:tc>
        <w:tc>
          <w:tcPr>
            <w:tcW w:w="3906" w:type="dxa"/>
            <w:tcBorders>
              <w:top w:val="single" w:sz="4" w:space="0" w:color="auto"/>
              <w:left w:val="single" w:sz="4" w:space="0" w:color="auto"/>
              <w:right w:val="single" w:sz="4" w:space="0" w:color="000000"/>
            </w:tcBorders>
            <w:shd w:val="clear" w:color="auto" w:fill="auto"/>
            <w:noWrap/>
            <w:vAlign w:val="bottom"/>
            <w:hideMark/>
          </w:tcPr>
          <w:p w14:paraId="78458547" w14:textId="1A0FB70C" w:rsidR="00C71A9B" w:rsidRPr="00DF5C7E" w:rsidRDefault="00C71A9B" w:rsidP="00DF5C7E">
            <w:pPr>
              <w:spacing w:after="0" w:line="240" w:lineRule="auto"/>
              <w:ind w:firstLineChars="100" w:firstLine="200"/>
              <w:rPr>
                <w:rFonts w:ascii="Times New Roman" w:eastAsia="Times New Roman" w:hAnsi="Times New Roman" w:cs="Times New Roman"/>
                <w:bCs/>
                <w:sz w:val="20"/>
                <w:szCs w:val="20"/>
              </w:rPr>
            </w:pPr>
            <w:r w:rsidRPr="00DF5C7E">
              <w:rPr>
                <w:rFonts w:ascii="Times New Roman" w:eastAsia="Times New Roman" w:hAnsi="Times New Roman" w:cs="Times New Roman"/>
                <w:bCs/>
                <w:sz w:val="20"/>
                <w:szCs w:val="20"/>
              </w:rPr>
              <w:t>Pearson Product-Moment Correlation</w:t>
            </w:r>
          </w:p>
        </w:tc>
        <w:tc>
          <w:tcPr>
            <w:tcW w:w="1458" w:type="dxa"/>
            <w:tcBorders>
              <w:top w:val="nil"/>
              <w:left w:val="single" w:sz="4" w:space="0" w:color="auto"/>
              <w:right w:val="single" w:sz="4" w:space="0" w:color="auto"/>
            </w:tcBorders>
            <w:shd w:val="clear" w:color="auto" w:fill="auto"/>
            <w:noWrap/>
            <w:vAlign w:val="center"/>
            <w:hideMark/>
          </w:tcPr>
          <w:p w14:paraId="1E16EAE2" w14:textId="5A00DDF7" w:rsidR="00C71A9B" w:rsidRPr="00DF5C7E" w:rsidRDefault="00C71A9B" w:rsidP="00DF5C7E">
            <w:pPr>
              <w:spacing w:after="0" w:line="240" w:lineRule="auto"/>
              <w:rPr>
                <w:rFonts w:ascii="Times New Roman" w:eastAsia="Times New Roman" w:hAnsi="Times New Roman" w:cs="Times New Roman"/>
                <w:color w:val="000000"/>
                <w:sz w:val="20"/>
                <w:szCs w:val="20"/>
              </w:rPr>
            </w:pPr>
            <w:r w:rsidRPr="00DF5C7E">
              <w:rPr>
                <w:rFonts w:ascii="Times New Roman" w:eastAsia="Times New Roman" w:hAnsi="Times New Roman" w:cs="Times New Roman"/>
                <w:color w:val="000000"/>
                <w:sz w:val="20"/>
                <w:szCs w:val="20"/>
              </w:rPr>
              <w:t>0.18</w:t>
            </w:r>
          </w:p>
        </w:tc>
        <w:tc>
          <w:tcPr>
            <w:tcW w:w="936" w:type="dxa"/>
            <w:tcBorders>
              <w:top w:val="nil"/>
              <w:left w:val="nil"/>
              <w:right w:val="single" w:sz="4" w:space="0" w:color="auto"/>
            </w:tcBorders>
            <w:shd w:val="clear" w:color="auto" w:fill="auto"/>
            <w:noWrap/>
            <w:vAlign w:val="center"/>
            <w:hideMark/>
          </w:tcPr>
          <w:p w14:paraId="703D9DC4" w14:textId="77777777" w:rsidR="00C71A9B" w:rsidRPr="00DF5C7E" w:rsidRDefault="00C71A9B" w:rsidP="00DF5C7E">
            <w:pPr>
              <w:spacing w:after="0" w:line="240" w:lineRule="auto"/>
              <w:rPr>
                <w:rFonts w:ascii="Times New Roman" w:eastAsia="Times New Roman" w:hAnsi="Times New Roman" w:cs="Times New Roman"/>
                <w:color w:val="000000"/>
                <w:sz w:val="20"/>
                <w:szCs w:val="20"/>
              </w:rPr>
            </w:pPr>
            <w:r w:rsidRPr="00DF5C7E">
              <w:rPr>
                <w:rFonts w:ascii="Times New Roman" w:eastAsia="Times New Roman" w:hAnsi="Times New Roman" w:cs="Times New Roman"/>
                <w:color w:val="000000"/>
                <w:sz w:val="20"/>
                <w:szCs w:val="20"/>
              </w:rPr>
              <w:t>&lt;0.01</w:t>
            </w:r>
          </w:p>
        </w:tc>
      </w:tr>
      <w:tr w:rsidR="00C71A9B" w:rsidRPr="00DF5C7E" w14:paraId="5E427C50" w14:textId="77777777" w:rsidTr="00C71A9B">
        <w:trPr>
          <w:trHeight w:val="300"/>
          <w:jc w:val="center"/>
        </w:trPr>
        <w:tc>
          <w:tcPr>
            <w:tcW w:w="1705" w:type="dxa"/>
            <w:vMerge/>
            <w:tcBorders>
              <w:left w:val="single" w:sz="4" w:space="0" w:color="auto"/>
              <w:right w:val="single" w:sz="4" w:space="0" w:color="000000"/>
            </w:tcBorders>
          </w:tcPr>
          <w:p w14:paraId="24C258D2" w14:textId="7E76F600" w:rsidR="00C71A9B" w:rsidRPr="00DF5C7E" w:rsidRDefault="00C71A9B" w:rsidP="00DF5C7E">
            <w:pPr>
              <w:spacing w:after="0" w:line="240" w:lineRule="auto"/>
              <w:ind w:firstLineChars="100" w:firstLine="200"/>
              <w:rPr>
                <w:rFonts w:ascii="Times New Roman" w:eastAsia="Times New Roman" w:hAnsi="Times New Roman" w:cs="Times New Roman"/>
                <w:bCs/>
                <w:sz w:val="20"/>
                <w:szCs w:val="20"/>
              </w:rPr>
            </w:pPr>
          </w:p>
        </w:tc>
        <w:tc>
          <w:tcPr>
            <w:tcW w:w="3906" w:type="dxa"/>
            <w:tcBorders>
              <w:top w:val="nil"/>
              <w:left w:val="single" w:sz="4" w:space="0" w:color="auto"/>
              <w:right w:val="single" w:sz="4" w:space="0" w:color="000000"/>
            </w:tcBorders>
            <w:shd w:val="clear" w:color="auto" w:fill="auto"/>
            <w:noWrap/>
            <w:vAlign w:val="bottom"/>
            <w:hideMark/>
          </w:tcPr>
          <w:p w14:paraId="00F5F15C" w14:textId="2FF352F5" w:rsidR="00C71A9B" w:rsidRPr="00DF5C7E" w:rsidRDefault="00C71A9B" w:rsidP="00DF5C7E">
            <w:pPr>
              <w:spacing w:after="0" w:line="240" w:lineRule="auto"/>
              <w:ind w:firstLineChars="100" w:firstLine="200"/>
              <w:rPr>
                <w:rFonts w:ascii="Times New Roman" w:eastAsia="Times New Roman" w:hAnsi="Times New Roman" w:cs="Times New Roman"/>
                <w:bCs/>
                <w:sz w:val="20"/>
                <w:szCs w:val="20"/>
              </w:rPr>
            </w:pPr>
            <w:r w:rsidRPr="00DF5C7E">
              <w:rPr>
                <w:rFonts w:ascii="Times New Roman" w:eastAsia="Times New Roman" w:hAnsi="Times New Roman" w:cs="Times New Roman"/>
                <w:bCs/>
                <w:sz w:val="20"/>
                <w:szCs w:val="20"/>
              </w:rPr>
              <w:t>Spearman Rank Correlation</w:t>
            </w:r>
          </w:p>
        </w:tc>
        <w:tc>
          <w:tcPr>
            <w:tcW w:w="1458" w:type="dxa"/>
            <w:tcBorders>
              <w:top w:val="nil"/>
              <w:left w:val="nil"/>
              <w:right w:val="single" w:sz="4" w:space="0" w:color="auto"/>
            </w:tcBorders>
            <w:shd w:val="clear" w:color="auto" w:fill="auto"/>
            <w:noWrap/>
            <w:vAlign w:val="center"/>
            <w:hideMark/>
          </w:tcPr>
          <w:p w14:paraId="763918CE" w14:textId="29942502" w:rsidR="00C71A9B" w:rsidRPr="00DF5C7E" w:rsidRDefault="00C71A9B" w:rsidP="00DF5C7E">
            <w:pPr>
              <w:spacing w:after="0" w:line="240" w:lineRule="auto"/>
              <w:rPr>
                <w:rFonts w:ascii="Times New Roman" w:eastAsia="Times New Roman" w:hAnsi="Times New Roman" w:cs="Times New Roman"/>
                <w:color w:val="000000"/>
                <w:sz w:val="20"/>
                <w:szCs w:val="20"/>
              </w:rPr>
            </w:pPr>
            <w:r w:rsidRPr="00DF5C7E">
              <w:rPr>
                <w:rFonts w:ascii="Times New Roman" w:eastAsia="Times New Roman" w:hAnsi="Times New Roman" w:cs="Times New Roman"/>
                <w:color w:val="000000"/>
                <w:sz w:val="20"/>
                <w:szCs w:val="20"/>
              </w:rPr>
              <w:t>0.18</w:t>
            </w:r>
          </w:p>
        </w:tc>
        <w:tc>
          <w:tcPr>
            <w:tcW w:w="936" w:type="dxa"/>
            <w:tcBorders>
              <w:top w:val="nil"/>
              <w:left w:val="nil"/>
              <w:right w:val="single" w:sz="4" w:space="0" w:color="auto"/>
            </w:tcBorders>
            <w:shd w:val="clear" w:color="auto" w:fill="auto"/>
            <w:noWrap/>
            <w:vAlign w:val="center"/>
            <w:hideMark/>
          </w:tcPr>
          <w:p w14:paraId="0779947F" w14:textId="77777777" w:rsidR="00C71A9B" w:rsidRPr="00DF5C7E" w:rsidRDefault="00C71A9B" w:rsidP="00DF5C7E">
            <w:pPr>
              <w:spacing w:after="0" w:line="240" w:lineRule="auto"/>
              <w:rPr>
                <w:rFonts w:ascii="Times New Roman" w:eastAsia="Times New Roman" w:hAnsi="Times New Roman" w:cs="Times New Roman"/>
                <w:color w:val="000000"/>
                <w:sz w:val="20"/>
                <w:szCs w:val="20"/>
              </w:rPr>
            </w:pPr>
            <w:r w:rsidRPr="00DF5C7E">
              <w:rPr>
                <w:rFonts w:ascii="Times New Roman" w:eastAsia="Times New Roman" w:hAnsi="Times New Roman" w:cs="Times New Roman"/>
                <w:color w:val="000000"/>
                <w:sz w:val="20"/>
                <w:szCs w:val="20"/>
              </w:rPr>
              <w:t>&lt;0.01</w:t>
            </w:r>
          </w:p>
        </w:tc>
      </w:tr>
      <w:tr w:rsidR="00C71A9B" w:rsidRPr="00DF5C7E" w14:paraId="7469D55F" w14:textId="77777777" w:rsidTr="00C71A9B">
        <w:trPr>
          <w:trHeight w:val="300"/>
          <w:jc w:val="center"/>
        </w:trPr>
        <w:tc>
          <w:tcPr>
            <w:tcW w:w="1705" w:type="dxa"/>
            <w:vMerge/>
            <w:tcBorders>
              <w:left w:val="single" w:sz="4" w:space="0" w:color="auto"/>
              <w:bottom w:val="single" w:sz="4" w:space="0" w:color="auto"/>
              <w:right w:val="single" w:sz="4" w:space="0" w:color="000000"/>
            </w:tcBorders>
          </w:tcPr>
          <w:p w14:paraId="68CFD2DA" w14:textId="77777777" w:rsidR="00C71A9B" w:rsidRPr="00DF5C7E" w:rsidRDefault="00C71A9B" w:rsidP="00DF5C7E">
            <w:pPr>
              <w:spacing w:after="0" w:line="240" w:lineRule="auto"/>
              <w:ind w:firstLineChars="100" w:firstLine="200"/>
              <w:rPr>
                <w:rFonts w:ascii="Times New Roman" w:eastAsia="Times New Roman" w:hAnsi="Times New Roman" w:cs="Times New Roman"/>
                <w:bCs/>
                <w:sz w:val="20"/>
                <w:szCs w:val="20"/>
              </w:rPr>
            </w:pPr>
          </w:p>
        </w:tc>
        <w:tc>
          <w:tcPr>
            <w:tcW w:w="3906" w:type="dxa"/>
            <w:tcBorders>
              <w:left w:val="single" w:sz="4" w:space="0" w:color="auto"/>
              <w:bottom w:val="single" w:sz="4" w:space="0" w:color="auto"/>
              <w:right w:val="single" w:sz="4" w:space="0" w:color="000000"/>
            </w:tcBorders>
            <w:shd w:val="clear" w:color="auto" w:fill="auto"/>
            <w:noWrap/>
            <w:vAlign w:val="bottom"/>
          </w:tcPr>
          <w:p w14:paraId="07D8F4F4" w14:textId="2E22FC29" w:rsidR="00C71A9B" w:rsidRPr="00DF5C7E" w:rsidRDefault="00C71A9B" w:rsidP="00975F08">
            <w:pPr>
              <w:spacing w:after="0" w:line="240" w:lineRule="auto"/>
              <w:ind w:firstLineChars="100" w:firstLine="20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ICC</w:t>
            </w:r>
            <w:r w:rsidR="00975F08">
              <w:rPr>
                <w:rFonts w:ascii="Times New Roman" w:eastAsia="Times New Roman" w:hAnsi="Times New Roman" w:cs="Times New Roman"/>
                <w:bCs/>
                <w:sz w:val="20"/>
                <w:szCs w:val="20"/>
              </w:rPr>
              <w:t>(2,1)</w:t>
            </w:r>
          </w:p>
        </w:tc>
        <w:tc>
          <w:tcPr>
            <w:tcW w:w="1458" w:type="dxa"/>
            <w:tcBorders>
              <w:left w:val="nil"/>
              <w:bottom w:val="single" w:sz="4" w:space="0" w:color="auto"/>
              <w:right w:val="single" w:sz="4" w:space="0" w:color="auto"/>
            </w:tcBorders>
            <w:shd w:val="clear" w:color="auto" w:fill="auto"/>
            <w:noWrap/>
            <w:vAlign w:val="center"/>
          </w:tcPr>
          <w:p w14:paraId="2939DC81" w14:textId="400A5436" w:rsidR="00C71A9B" w:rsidRPr="00DF5C7E" w:rsidRDefault="00696D44" w:rsidP="00DF5C7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0.19</w:t>
            </w:r>
          </w:p>
        </w:tc>
        <w:tc>
          <w:tcPr>
            <w:tcW w:w="936" w:type="dxa"/>
            <w:tcBorders>
              <w:left w:val="nil"/>
              <w:bottom w:val="single" w:sz="4" w:space="0" w:color="auto"/>
              <w:right w:val="single" w:sz="4" w:space="0" w:color="auto"/>
            </w:tcBorders>
            <w:shd w:val="clear" w:color="auto" w:fill="auto"/>
            <w:noWrap/>
            <w:vAlign w:val="center"/>
          </w:tcPr>
          <w:p w14:paraId="2BCD0C9E" w14:textId="66B3798E" w:rsidR="00C71A9B" w:rsidRPr="00DF5C7E" w:rsidRDefault="00C71A9B" w:rsidP="00DF5C7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&lt;0.01</w:t>
            </w:r>
          </w:p>
        </w:tc>
      </w:tr>
      <w:tr w:rsidR="00814A45" w:rsidRPr="00DF5C7E" w14:paraId="190F8CEA" w14:textId="77777777" w:rsidTr="00814A45">
        <w:trPr>
          <w:trHeight w:val="300"/>
          <w:jc w:val="center"/>
        </w:trPr>
        <w:tc>
          <w:tcPr>
            <w:tcW w:w="1705" w:type="dxa"/>
            <w:vMerge w:val="restart"/>
            <w:tcBorders>
              <w:top w:val="single" w:sz="4" w:space="0" w:color="auto"/>
              <w:left w:val="single" w:sz="4" w:space="0" w:color="auto"/>
              <w:right w:val="single" w:sz="4" w:space="0" w:color="000000"/>
            </w:tcBorders>
            <w:vAlign w:val="center"/>
          </w:tcPr>
          <w:p w14:paraId="0D3A2D6C" w14:textId="6236CA79" w:rsidR="00814A45" w:rsidRPr="00DF5C7E" w:rsidRDefault="00814A45" w:rsidP="00DF5C7E">
            <w:pPr>
              <w:spacing w:after="0" w:line="240" w:lineRule="auto"/>
              <w:ind w:firstLineChars="100" w:firstLine="20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4Q</w:t>
            </w:r>
          </w:p>
        </w:tc>
        <w:tc>
          <w:tcPr>
            <w:tcW w:w="3906" w:type="dxa"/>
            <w:tcBorders>
              <w:top w:val="single" w:sz="4" w:space="0" w:color="auto"/>
              <w:left w:val="single" w:sz="4" w:space="0" w:color="auto"/>
              <w:bottom w:val="nil"/>
              <w:right w:val="single" w:sz="4" w:space="0" w:color="000000"/>
            </w:tcBorders>
            <w:shd w:val="clear" w:color="auto" w:fill="auto"/>
            <w:noWrap/>
            <w:vAlign w:val="bottom"/>
          </w:tcPr>
          <w:p w14:paraId="00A1548B" w14:textId="437B82AA" w:rsidR="00814A45" w:rsidRPr="00DF5C7E" w:rsidRDefault="00814A45" w:rsidP="00DF5C7E">
            <w:pPr>
              <w:spacing w:after="0" w:line="240" w:lineRule="auto"/>
              <w:ind w:firstLineChars="100" w:firstLine="200"/>
              <w:rPr>
                <w:rFonts w:ascii="Times New Roman" w:eastAsia="Times New Roman" w:hAnsi="Times New Roman" w:cs="Times New Roman"/>
                <w:bCs/>
                <w:sz w:val="20"/>
                <w:szCs w:val="20"/>
              </w:rPr>
            </w:pPr>
            <w:r w:rsidRPr="00DF5C7E">
              <w:rPr>
                <w:rFonts w:ascii="Times New Roman" w:eastAsia="Times New Roman" w:hAnsi="Times New Roman" w:cs="Times New Roman"/>
                <w:bCs/>
                <w:sz w:val="20"/>
                <w:szCs w:val="20"/>
              </w:rPr>
              <w:t>Pearson Product-Moment Correlation</w:t>
            </w:r>
          </w:p>
        </w:tc>
        <w:tc>
          <w:tcPr>
            <w:tcW w:w="1458" w:type="dxa"/>
            <w:tcBorders>
              <w:top w:val="single" w:sz="4" w:space="0" w:color="auto"/>
              <w:left w:val="nil"/>
              <w:bottom w:val="nil"/>
              <w:right w:val="single" w:sz="4" w:space="0" w:color="auto"/>
            </w:tcBorders>
            <w:shd w:val="clear" w:color="auto" w:fill="auto"/>
            <w:noWrap/>
            <w:vAlign w:val="center"/>
          </w:tcPr>
          <w:p w14:paraId="4834FC29" w14:textId="42CCFB20" w:rsidR="00814A45" w:rsidRPr="00DF5C7E" w:rsidRDefault="00814A45" w:rsidP="00696D4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w:t>
            </w:r>
            <w:r w:rsidR="00696D44">
              <w:rPr>
                <w:rFonts w:ascii="Times New Roman" w:eastAsia="Times New Roman" w:hAnsi="Times New Roman" w:cs="Times New Roman"/>
                <w:color w:val="000000"/>
                <w:sz w:val="20"/>
                <w:szCs w:val="20"/>
              </w:rPr>
              <w:t>3</w:t>
            </w:r>
          </w:p>
        </w:tc>
        <w:tc>
          <w:tcPr>
            <w:tcW w:w="936" w:type="dxa"/>
            <w:tcBorders>
              <w:top w:val="single" w:sz="4" w:space="0" w:color="auto"/>
              <w:left w:val="nil"/>
              <w:bottom w:val="nil"/>
              <w:right w:val="single" w:sz="4" w:space="0" w:color="auto"/>
            </w:tcBorders>
            <w:shd w:val="clear" w:color="auto" w:fill="auto"/>
            <w:noWrap/>
            <w:vAlign w:val="center"/>
          </w:tcPr>
          <w:p w14:paraId="33BA9C6B" w14:textId="44949528" w:rsidR="00814A45" w:rsidRPr="00DF5C7E" w:rsidRDefault="00814A45" w:rsidP="00DF5C7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&lt;0.01</w:t>
            </w:r>
          </w:p>
        </w:tc>
      </w:tr>
      <w:tr w:rsidR="00814A45" w:rsidRPr="00DF5C7E" w14:paraId="78018021" w14:textId="77777777" w:rsidTr="00416D2F">
        <w:trPr>
          <w:trHeight w:val="300"/>
          <w:jc w:val="center"/>
        </w:trPr>
        <w:tc>
          <w:tcPr>
            <w:tcW w:w="1705" w:type="dxa"/>
            <w:vMerge/>
            <w:tcBorders>
              <w:left w:val="single" w:sz="4" w:space="0" w:color="auto"/>
              <w:right w:val="single" w:sz="4" w:space="0" w:color="000000"/>
            </w:tcBorders>
          </w:tcPr>
          <w:p w14:paraId="2996AA15" w14:textId="3ADA4285" w:rsidR="00814A45" w:rsidRPr="00DF5C7E" w:rsidRDefault="00814A45" w:rsidP="00DF5C7E">
            <w:pPr>
              <w:spacing w:after="0" w:line="240" w:lineRule="auto"/>
              <w:ind w:firstLineChars="100" w:firstLine="200"/>
              <w:rPr>
                <w:rFonts w:ascii="Times New Roman" w:eastAsia="Times New Roman" w:hAnsi="Times New Roman" w:cs="Times New Roman"/>
                <w:bCs/>
                <w:sz w:val="20"/>
                <w:szCs w:val="20"/>
              </w:rPr>
            </w:pPr>
          </w:p>
        </w:tc>
        <w:tc>
          <w:tcPr>
            <w:tcW w:w="3906" w:type="dxa"/>
            <w:tcBorders>
              <w:top w:val="nil"/>
              <w:left w:val="single" w:sz="4" w:space="0" w:color="auto"/>
              <w:bottom w:val="nil"/>
              <w:right w:val="single" w:sz="4" w:space="0" w:color="000000"/>
            </w:tcBorders>
            <w:shd w:val="clear" w:color="auto" w:fill="auto"/>
            <w:noWrap/>
            <w:vAlign w:val="bottom"/>
          </w:tcPr>
          <w:p w14:paraId="408905E3" w14:textId="3EE19145" w:rsidR="00814A45" w:rsidRPr="00DF5C7E" w:rsidRDefault="00814A45" w:rsidP="00DF5C7E">
            <w:pPr>
              <w:spacing w:after="0" w:line="240" w:lineRule="auto"/>
              <w:ind w:firstLineChars="100" w:firstLine="200"/>
              <w:rPr>
                <w:rFonts w:ascii="Times New Roman" w:eastAsia="Times New Roman" w:hAnsi="Times New Roman" w:cs="Times New Roman"/>
                <w:bCs/>
                <w:sz w:val="20"/>
                <w:szCs w:val="20"/>
              </w:rPr>
            </w:pPr>
            <w:r w:rsidRPr="00DF5C7E">
              <w:rPr>
                <w:rFonts w:ascii="Times New Roman" w:eastAsia="Times New Roman" w:hAnsi="Times New Roman" w:cs="Times New Roman"/>
                <w:bCs/>
                <w:sz w:val="20"/>
                <w:szCs w:val="20"/>
              </w:rPr>
              <w:t>Spearman Rank Correlation</w:t>
            </w:r>
          </w:p>
        </w:tc>
        <w:tc>
          <w:tcPr>
            <w:tcW w:w="1458" w:type="dxa"/>
            <w:tcBorders>
              <w:top w:val="nil"/>
              <w:left w:val="nil"/>
              <w:bottom w:val="nil"/>
              <w:right w:val="single" w:sz="4" w:space="0" w:color="auto"/>
            </w:tcBorders>
            <w:shd w:val="clear" w:color="auto" w:fill="auto"/>
            <w:noWrap/>
            <w:vAlign w:val="center"/>
          </w:tcPr>
          <w:p w14:paraId="63B3AFFA" w14:textId="79A5DAED" w:rsidR="00814A45" w:rsidRPr="00DF5C7E" w:rsidRDefault="00814A45" w:rsidP="00402CDD">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w:t>
            </w:r>
            <w:r w:rsidR="00402CDD">
              <w:rPr>
                <w:rFonts w:ascii="Times New Roman" w:eastAsia="Times New Roman" w:hAnsi="Times New Roman" w:cs="Times New Roman"/>
                <w:color w:val="000000"/>
                <w:sz w:val="20"/>
                <w:szCs w:val="20"/>
              </w:rPr>
              <w:t>6</w:t>
            </w:r>
          </w:p>
        </w:tc>
        <w:tc>
          <w:tcPr>
            <w:tcW w:w="936" w:type="dxa"/>
            <w:tcBorders>
              <w:top w:val="nil"/>
              <w:left w:val="nil"/>
              <w:bottom w:val="nil"/>
              <w:right w:val="single" w:sz="4" w:space="0" w:color="auto"/>
            </w:tcBorders>
            <w:shd w:val="clear" w:color="auto" w:fill="auto"/>
            <w:noWrap/>
            <w:vAlign w:val="center"/>
          </w:tcPr>
          <w:p w14:paraId="7F72F3D7" w14:textId="5CA12CDB" w:rsidR="00814A45" w:rsidRPr="00DF5C7E" w:rsidRDefault="00814A45" w:rsidP="00DF5C7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&lt;0.01</w:t>
            </w:r>
          </w:p>
        </w:tc>
      </w:tr>
      <w:tr w:rsidR="00814A45" w:rsidRPr="00DF5C7E" w14:paraId="076A0E0F" w14:textId="77777777" w:rsidTr="00416D2F">
        <w:trPr>
          <w:trHeight w:val="300"/>
          <w:jc w:val="center"/>
        </w:trPr>
        <w:tc>
          <w:tcPr>
            <w:tcW w:w="1705" w:type="dxa"/>
            <w:vMerge/>
            <w:tcBorders>
              <w:left w:val="single" w:sz="4" w:space="0" w:color="auto"/>
              <w:bottom w:val="single" w:sz="4" w:space="0" w:color="auto"/>
              <w:right w:val="single" w:sz="4" w:space="0" w:color="000000"/>
            </w:tcBorders>
          </w:tcPr>
          <w:p w14:paraId="03A5232C" w14:textId="77777777" w:rsidR="00814A45" w:rsidRPr="00DF5C7E" w:rsidRDefault="00814A45" w:rsidP="00DF5C7E">
            <w:pPr>
              <w:spacing w:after="0" w:line="240" w:lineRule="auto"/>
              <w:ind w:firstLineChars="100" w:firstLine="200"/>
              <w:rPr>
                <w:rFonts w:ascii="Times New Roman" w:eastAsia="Times New Roman" w:hAnsi="Times New Roman" w:cs="Times New Roman"/>
                <w:bCs/>
                <w:sz w:val="20"/>
                <w:szCs w:val="20"/>
              </w:rPr>
            </w:pPr>
          </w:p>
        </w:tc>
        <w:tc>
          <w:tcPr>
            <w:tcW w:w="3906" w:type="dxa"/>
            <w:tcBorders>
              <w:top w:val="nil"/>
              <w:left w:val="single" w:sz="4" w:space="0" w:color="auto"/>
              <w:bottom w:val="single" w:sz="4" w:space="0" w:color="auto"/>
              <w:right w:val="single" w:sz="4" w:space="0" w:color="000000"/>
            </w:tcBorders>
            <w:shd w:val="clear" w:color="auto" w:fill="auto"/>
            <w:noWrap/>
            <w:vAlign w:val="bottom"/>
          </w:tcPr>
          <w:p w14:paraId="66BAD7EF" w14:textId="13DFFB86" w:rsidR="00814A45" w:rsidRPr="00DF5C7E" w:rsidRDefault="00814A45" w:rsidP="00975F08">
            <w:pPr>
              <w:spacing w:after="0" w:line="240" w:lineRule="auto"/>
              <w:ind w:firstLineChars="100" w:firstLine="20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ICC</w:t>
            </w:r>
            <w:r w:rsidR="00975F08">
              <w:rPr>
                <w:rFonts w:ascii="Times New Roman" w:eastAsia="Times New Roman" w:hAnsi="Times New Roman" w:cs="Times New Roman"/>
                <w:bCs/>
                <w:sz w:val="20"/>
                <w:szCs w:val="20"/>
              </w:rPr>
              <w:t>(2,1)</w:t>
            </w:r>
          </w:p>
        </w:tc>
        <w:tc>
          <w:tcPr>
            <w:tcW w:w="1458" w:type="dxa"/>
            <w:tcBorders>
              <w:top w:val="nil"/>
              <w:left w:val="nil"/>
              <w:bottom w:val="single" w:sz="4" w:space="0" w:color="auto"/>
              <w:right w:val="single" w:sz="4" w:space="0" w:color="auto"/>
            </w:tcBorders>
            <w:shd w:val="clear" w:color="auto" w:fill="auto"/>
            <w:noWrap/>
            <w:vAlign w:val="center"/>
          </w:tcPr>
          <w:p w14:paraId="28FAE356" w14:textId="43A40EC5" w:rsidR="00814A45" w:rsidRPr="00DF5C7E" w:rsidRDefault="00814A45" w:rsidP="00696D4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w:t>
            </w:r>
            <w:r w:rsidR="00696D44">
              <w:rPr>
                <w:rFonts w:ascii="Times New Roman" w:eastAsia="Times New Roman" w:hAnsi="Times New Roman" w:cs="Times New Roman"/>
                <w:color w:val="000000"/>
                <w:sz w:val="20"/>
                <w:szCs w:val="20"/>
              </w:rPr>
              <w:t>3</w:t>
            </w:r>
          </w:p>
        </w:tc>
        <w:tc>
          <w:tcPr>
            <w:tcW w:w="936" w:type="dxa"/>
            <w:tcBorders>
              <w:top w:val="nil"/>
              <w:left w:val="nil"/>
              <w:bottom w:val="single" w:sz="4" w:space="0" w:color="auto"/>
              <w:right w:val="single" w:sz="4" w:space="0" w:color="auto"/>
            </w:tcBorders>
            <w:shd w:val="clear" w:color="auto" w:fill="auto"/>
            <w:noWrap/>
            <w:vAlign w:val="center"/>
          </w:tcPr>
          <w:p w14:paraId="3BF02938" w14:textId="5D262A58" w:rsidR="00814A45" w:rsidRPr="00DF5C7E" w:rsidRDefault="00814A45" w:rsidP="00DF5C7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&lt;0.01</w:t>
            </w:r>
          </w:p>
        </w:tc>
      </w:tr>
    </w:tbl>
    <w:p w14:paraId="0449D38C" w14:textId="57E51D80" w:rsidR="00DF5C7E" w:rsidRDefault="00DF5C7E" w:rsidP="00DF5C7E">
      <w:pPr>
        <w:rPr>
          <w:rFonts w:ascii="Times New Roman" w:hAnsi="Times New Roman" w:cs="Times New Roman"/>
        </w:rPr>
      </w:pPr>
    </w:p>
    <w:p w14:paraId="36450E02" w14:textId="6F9B03ED" w:rsidR="00814A45" w:rsidRDefault="00814A45" w:rsidP="00DF5C7E">
      <w:pPr>
        <w:rPr>
          <w:rFonts w:ascii="Times New Roman" w:hAnsi="Times New Roman" w:cs="Times New Roman"/>
          <w:sz w:val="18"/>
          <w:szCs w:val="18"/>
        </w:rPr>
      </w:pPr>
      <w:r>
        <w:rPr>
          <w:rFonts w:ascii="Times New Roman" w:hAnsi="Times New Roman" w:cs="Times New Roman"/>
          <w:sz w:val="18"/>
          <w:szCs w:val="18"/>
        </w:rPr>
        <w:t>NOTE: The</w:t>
      </w:r>
      <w:r w:rsidR="00402CDD">
        <w:rPr>
          <w:rFonts w:ascii="Times New Roman" w:hAnsi="Times New Roman" w:cs="Times New Roman"/>
          <w:sz w:val="18"/>
          <w:szCs w:val="18"/>
        </w:rPr>
        <w:t xml:space="preserve"> split-half correlation</w:t>
      </w:r>
      <w:r>
        <w:rPr>
          <w:rFonts w:ascii="Times New Roman" w:hAnsi="Times New Roman" w:cs="Times New Roman"/>
          <w:sz w:val="18"/>
          <w:szCs w:val="18"/>
        </w:rPr>
        <w:t xml:space="preserve"> </w:t>
      </w:r>
      <w:r w:rsidR="00402CDD">
        <w:rPr>
          <w:rFonts w:ascii="Times New Roman" w:hAnsi="Times New Roman" w:cs="Times New Roman"/>
          <w:sz w:val="18"/>
          <w:szCs w:val="18"/>
        </w:rPr>
        <w:t xml:space="preserve">testing </w:t>
      </w:r>
      <w:r>
        <w:rPr>
          <w:rFonts w:ascii="Times New Roman" w:hAnsi="Times New Roman" w:cs="Times New Roman"/>
          <w:sz w:val="18"/>
          <w:szCs w:val="18"/>
        </w:rPr>
        <w:t xml:space="preserve">for the 1Q version of 0674 was </w:t>
      </w:r>
      <w:r w:rsidR="00402CDD">
        <w:rPr>
          <w:rFonts w:ascii="Times New Roman" w:hAnsi="Times New Roman" w:cs="Times New Roman"/>
          <w:sz w:val="18"/>
          <w:szCs w:val="18"/>
        </w:rPr>
        <w:t>conducted</w:t>
      </w:r>
      <w:r>
        <w:rPr>
          <w:rFonts w:ascii="Times New Roman" w:hAnsi="Times New Roman" w:cs="Times New Roman"/>
          <w:sz w:val="18"/>
          <w:szCs w:val="18"/>
        </w:rPr>
        <w:t xml:space="preserve"> using </w:t>
      </w:r>
      <w:r w:rsidR="00402CDD">
        <w:rPr>
          <w:rFonts w:ascii="Times New Roman" w:hAnsi="Times New Roman" w:cs="Times New Roman"/>
          <w:sz w:val="18"/>
          <w:szCs w:val="18"/>
        </w:rPr>
        <w:t>two quarters of data (</w:t>
      </w:r>
      <w:r>
        <w:rPr>
          <w:rFonts w:ascii="Times New Roman" w:hAnsi="Times New Roman" w:cs="Times New Roman"/>
          <w:sz w:val="18"/>
          <w:szCs w:val="18"/>
        </w:rPr>
        <w:t>2019Q</w:t>
      </w:r>
      <w:r w:rsidR="00402CDD">
        <w:rPr>
          <w:rFonts w:ascii="Times New Roman" w:hAnsi="Times New Roman" w:cs="Times New Roman"/>
          <w:sz w:val="18"/>
          <w:szCs w:val="18"/>
        </w:rPr>
        <w:t>1-2019Q</w:t>
      </w:r>
      <w:r>
        <w:rPr>
          <w:rFonts w:ascii="Times New Roman" w:hAnsi="Times New Roman" w:cs="Times New Roman"/>
          <w:sz w:val="18"/>
          <w:szCs w:val="18"/>
        </w:rPr>
        <w:t>2</w:t>
      </w:r>
      <w:r w:rsidR="00402CDD">
        <w:rPr>
          <w:rFonts w:ascii="Times New Roman" w:hAnsi="Times New Roman" w:cs="Times New Roman"/>
          <w:sz w:val="18"/>
          <w:szCs w:val="18"/>
        </w:rPr>
        <w:t>).</w:t>
      </w:r>
      <w:r>
        <w:rPr>
          <w:rFonts w:ascii="Times New Roman" w:hAnsi="Times New Roman" w:cs="Times New Roman"/>
          <w:sz w:val="18"/>
          <w:szCs w:val="18"/>
        </w:rPr>
        <w:t xml:space="preserve"> The </w:t>
      </w:r>
      <w:r w:rsidR="00402CDD">
        <w:rPr>
          <w:rFonts w:ascii="Times New Roman" w:hAnsi="Times New Roman" w:cs="Times New Roman"/>
          <w:sz w:val="18"/>
          <w:szCs w:val="18"/>
        </w:rPr>
        <w:t xml:space="preserve">split-half correlation </w:t>
      </w:r>
      <w:r>
        <w:rPr>
          <w:rFonts w:ascii="Times New Roman" w:hAnsi="Times New Roman" w:cs="Times New Roman"/>
          <w:sz w:val="18"/>
          <w:szCs w:val="18"/>
        </w:rPr>
        <w:t xml:space="preserve">for the 4Q version of 0674 was </w:t>
      </w:r>
      <w:r w:rsidR="00402CDD">
        <w:rPr>
          <w:rFonts w:ascii="Times New Roman" w:hAnsi="Times New Roman" w:cs="Times New Roman"/>
          <w:sz w:val="18"/>
          <w:szCs w:val="18"/>
        </w:rPr>
        <w:t>conducted</w:t>
      </w:r>
      <w:r>
        <w:rPr>
          <w:rFonts w:ascii="Times New Roman" w:hAnsi="Times New Roman" w:cs="Times New Roman"/>
          <w:sz w:val="18"/>
          <w:szCs w:val="18"/>
        </w:rPr>
        <w:t xml:space="preserve"> using</w:t>
      </w:r>
      <w:r w:rsidR="00402CDD">
        <w:rPr>
          <w:rFonts w:ascii="Times New Roman" w:hAnsi="Times New Roman" w:cs="Times New Roman"/>
          <w:sz w:val="18"/>
          <w:szCs w:val="18"/>
        </w:rPr>
        <w:t xml:space="preserve"> eight quarters of data</w:t>
      </w:r>
      <w:r>
        <w:rPr>
          <w:rFonts w:ascii="Times New Roman" w:hAnsi="Times New Roman" w:cs="Times New Roman"/>
          <w:sz w:val="18"/>
          <w:szCs w:val="18"/>
        </w:rPr>
        <w:t xml:space="preserve"> </w:t>
      </w:r>
      <w:r w:rsidR="00402CDD">
        <w:rPr>
          <w:rFonts w:ascii="Times New Roman" w:hAnsi="Times New Roman" w:cs="Times New Roman"/>
          <w:sz w:val="18"/>
          <w:szCs w:val="18"/>
        </w:rPr>
        <w:t>(</w:t>
      </w:r>
      <w:r>
        <w:rPr>
          <w:rFonts w:ascii="Times New Roman" w:hAnsi="Times New Roman" w:cs="Times New Roman"/>
          <w:sz w:val="18"/>
          <w:szCs w:val="18"/>
        </w:rPr>
        <w:t>201</w:t>
      </w:r>
      <w:r w:rsidR="00402CDD">
        <w:rPr>
          <w:rFonts w:ascii="Times New Roman" w:hAnsi="Times New Roman" w:cs="Times New Roman"/>
          <w:sz w:val="18"/>
          <w:szCs w:val="18"/>
        </w:rPr>
        <w:t>7</w:t>
      </w:r>
      <w:r>
        <w:rPr>
          <w:rFonts w:ascii="Times New Roman" w:hAnsi="Times New Roman" w:cs="Times New Roman"/>
          <w:sz w:val="18"/>
          <w:szCs w:val="18"/>
        </w:rPr>
        <w:t>Q3-2019Q2</w:t>
      </w:r>
      <w:r w:rsidR="00402CDD">
        <w:rPr>
          <w:rFonts w:ascii="Times New Roman" w:hAnsi="Times New Roman" w:cs="Times New Roman"/>
          <w:sz w:val="18"/>
          <w:szCs w:val="18"/>
        </w:rPr>
        <w:t>)</w:t>
      </w:r>
      <w:r>
        <w:rPr>
          <w:rFonts w:ascii="Times New Roman" w:hAnsi="Times New Roman" w:cs="Times New Roman"/>
          <w:sz w:val="18"/>
          <w:szCs w:val="18"/>
        </w:rPr>
        <w:t>.</w:t>
      </w:r>
    </w:p>
    <w:p w14:paraId="28F28306" w14:textId="3B686649" w:rsidR="00FC3AD2" w:rsidRDefault="00FC3AD2" w:rsidP="00DF5C7E">
      <w:pPr>
        <w:rPr>
          <w:rFonts w:ascii="Times New Roman" w:hAnsi="Times New Roman" w:cs="Times New Roman"/>
          <w:sz w:val="18"/>
          <w:szCs w:val="18"/>
        </w:rPr>
      </w:pPr>
    </w:p>
    <w:p w14:paraId="63FB8788" w14:textId="584FDDE2" w:rsidR="00FC3AD2" w:rsidRPr="00FC3AD2" w:rsidRDefault="00FC3AD2" w:rsidP="00FC3AD2">
      <w:pPr>
        <w:rPr>
          <w:rFonts w:ascii="Times New Roman" w:hAnsi="Times New Roman" w:cs="Times New Roman"/>
        </w:rPr>
      </w:pPr>
      <w:r>
        <w:rPr>
          <w:rFonts w:ascii="Times New Roman" w:hAnsi="Times New Roman" w:cs="Times New Roman"/>
        </w:rPr>
        <w:t xml:space="preserve">Table </w:t>
      </w:r>
      <w:r w:rsidR="00192EF8">
        <w:rPr>
          <w:rFonts w:ascii="Times New Roman" w:hAnsi="Times New Roman" w:cs="Times New Roman"/>
        </w:rPr>
        <w:t xml:space="preserve">B2 </w:t>
      </w:r>
      <w:r>
        <w:rPr>
          <w:rFonts w:ascii="Times New Roman" w:hAnsi="Times New Roman" w:cs="Times New Roman"/>
        </w:rPr>
        <w:t xml:space="preserve">summarizes the split-half reliability testing for NQF 0674. </w:t>
      </w:r>
      <w:r w:rsidRPr="00FC3AD2">
        <w:rPr>
          <w:rFonts w:ascii="Times New Roman" w:hAnsi="Times New Roman" w:cs="Times New Roman"/>
        </w:rPr>
        <w:t>In the original testing</w:t>
      </w:r>
      <w:r>
        <w:rPr>
          <w:rFonts w:ascii="Times New Roman" w:hAnsi="Times New Roman" w:cs="Times New Roman"/>
        </w:rPr>
        <w:t xml:space="preserve"> of this measure that was submitted with the NQF Testing Form</w:t>
      </w:r>
      <w:r w:rsidRPr="00FC3AD2">
        <w:rPr>
          <w:rFonts w:ascii="Times New Roman" w:hAnsi="Times New Roman" w:cs="Times New Roman"/>
        </w:rPr>
        <w:t xml:space="preserve">, Acumen calculated the split-half correlation testing using two quarters of data (2019Q1 – 2019Q2) and observed a Pearson correlation of 0.18. Acumen updated this analysis using eight quarters of data (2017Q3 – 2019Q2), resulting in a split-half test sample of facilities with 40+ stays (20+ in each half). Acumen found that utilizing this methodology increases the split-half Pearson correlation from 0.18 to 0.626. </w:t>
      </w:r>
    </w:p>
    <w:p w14:paraId="438B60EB" w14:textId="63A75D1B" w:rsidR="00FC3AD2" w:rsidRPr="00FC3AD2" w:rsidRDefault="00FC3AD2" w:rsidP="00FC3AD2">
      <w:pPr>
        <w:rPr>
          <w:rFonts w:ascii="Times New Roman" w:hAnsi="Times New Roman" w:cs="Times New Roman"/>
        </w:rPr>
      </w:pPr>
      <w:r>
        <w:rPr>
          <w:rFonts w:ascii="Times New Roman" w:hAnsi="Times New Roman" w:cs="Times New Roman"/>
        </w:rPr>
        <w:t xml:space="preserve">Acumen also tested the </w:t>
      </w:r>
      <w:proofErr w:type="spellStart"/>
      <w:r w:rsidR="00975F08">
        <w:rPr>
          <w:rFonts w:ascii="Times New Roman" w:hAnsi="Times New Roman" w:cs="Times New Roman"/>
        </w:rPr>
        <w:t>intraclass</w:t>
      </w:r>
      <w:proofErr w:type="spellEnd"/>
      <w:r w:rsidR="00975F08" w:rsidRPr="00FC3AD2">
        <w:rPr>
          <w:rFonts w:ascii="Times New Roman" w:hAnsi="Times New Roman" w:cs="Times New Roman"/>
        </w:rPr>
        <w:t xml:space="preserve"> </w:t>
      </w:r>
      <w:r w:rsidRPr="00FC3AD2">
        <w:rPr>
          <w:rFonts w:ascii="Times New Roman" w:hAnsi="Times New Roman" w:cs="Times New Roman"/>
        </w:rPr>
        <w:t>correlations</w:t>
      </w:r>
      <w:r w:rsidR="00975F08">
        <w:rPr>
          <w:rFonts w:ascii="Times New Roman" w:hAnsi="Times New Roman" w:cs="Times New Roman"/>
        </w:rPr>
        <w:t xml:space="preserve"> (ICCs)</w:t>
      </w:r>
      <w:r w:rsidRPr="00FC3AD2">
        <w:rPr>
          <w:rFonts w:ascii="Times New Roman" w:hAnsi="Times New Roman" w:cs="Times New Roman"/>
        </w:rPr>
        <w:t xml:space="preserve"> </w:t>
      </w:r>
      <w:r>
        <w:rPr>
          <w:rFonts w:ascii="Times New Roman" w:hAnsi="Times New Roman" w:cs="Times New Roman"/>
        </w:rPr>
        <w:t>for the split-half analysis</w:t>
      </w:r>
      <w:r w:rsidRPr="00FC3AD2">
        <w:rPr>
          <w:rFonts w:ascii="Times New Roman" w:hAnsi="Times New Roman" w:cs="Times New Roman"/>
        </w:rPr>
        <w:t>. Acumen first calculated the split-half ICC</w:t>
      </w:r>
      <w:r w:rsidR="00975F08">
        <w:rPr>
          <w:rFonts w:ascii="Times New Roman" w:hAnsi="Times New Roman" w:cs="Times New Roman"/>
        </w:rPr>
        <w:t xml:space="preserve"> </w:t>
      </w:r>
      <w:r w:rsidRPr="00FC3AD2">
        <w:rPr>
          <w:rFonts w:ascii="Times New Roman" w:hAnsi="Times New Roman" w:cs="Times New Roman"/>
        </w:rPr>
        <w:t>using two quarters of data (2019Q1 – 2019Q2) and observed it to be 0.19. Using eight quarters of data (2017Q3 – 2019Q2) Acumen then calculated the split-half ICC</w:t>
      </w:r>
      <w:r w:rsidR="00975F08">
        <w:rPr>
          <w:rFonts w:ascii="Times New Roman" w:hAnsi="Times New Roman" w:cs="Times New Roman"/>
        </w:rPr>
        <w:t xml:space="preserve"> </w:t>
      </w:r>
      <w:r w:rsidRPr="00FC3AD2">
        <w:rPr>
          <w:rFonts w:ascii="Times New Roman" w:hAnsi="Times New Roman" w:cs="Times New Roman"/>
        </w:rPr>
        <w:t>to be 0.6</w:t>
      </w:r>
      <w:r>
        <w:rPr>
          <w:rFonts w:ascii="Times New Roman" w:hAnsi="Times New Roman" w:cs="Times New Roman"/>
        </w:rPr>
        <w:t>3</w:t>
      </w:r>
      <w:r w:rsidRPr="00FC3AD2">
        <w:rPr>
          <w:rFonts w:ascii="Times New Roman" w:hAnsi="Times New Roman" w:cs="Times New Roman"/>
        </w:rPr>
        <w:t>, indicating there is considerable evidence of internal reliability for the four-quarter version of the falls with major injury measure.</w:t>
      </w:r>
    </w:p>
    <w:p w14:paraId="2F28E4DF" w14:textId="77777777" w:rsidR="00FC3AD2" w:rsidRPr="00FC3AD2" w:rsidRDefault="00FC3AD2" w:rsidP="00DF5C7E">
      <w:pPr>
        <w:rPr>
          <w:rFonts w:ascii="Times New Roman" w:hAnsi="Times New Roman" w:cs="Times New Roman"/>
        </w:rPr>
      </w:pPr>
    </w:p>
    <w:sectPr w:rsidR="00FC3AD2" w:rsidRPr="00FC3AD2" w:rsidSect="004A2F98">
      <w:headerReference w:type="default" r:id="rId9"/>
      <w:footerReference w:type="default" r:id="rId10"/>
      <w:pgSz w:w="12240" w:h="15840" w:code="1"/>
      <w:pgMar w:top="1440" w:right="1440" w:bottom="1440" w:left="1440" w:header="144" w:footer="3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62B60" w14:textId="77777777" w:rsidR="001B6EC5" w:rsidRDefault="001B6EC5" w:rsidP="006E7FF0">
      <w:pPr>
        <w:spacing w:after="0" w:line="240" w:lineRule="auto"/>
      </w:pPr>
      <w:r>
        <w:separator/>
      </w:r>
    </w:p>
  </w:endnote>
  <w:endnote w:type="continuationSeparator" w:id="0">
    <w:p w14:paraId="4C2C55D5" w14:textId="77777777" w:rsidR="001B6EC5" w:rsidRDefault="001B6EC5" w:rsidP="006E7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7DA5" w14:textId="099EDD9F" w:rsidR="005013DA" w:rsidRPr="005C4A96" w:rsidRDefault="005013DA" w:rsidP="00A61101">
    <w:pPr>
      <w:pStyle w:val="FootnoteBody"/>
      <w:tabs>
        <w:tab w:val="left" w:pos="720"/>
        <w:tab w:val="left" w:pos="1440"/>
        <w:tab w:val="left" w:pos="2160"/>
        <w:tab w:val="left" w:pos="3600"/>
        <w:tab w:val="left" w:pos="4320"/>
        <w:tab w:val="left" w:pos="5040"/>
        <w:tab w:val="left" w:pos="5760"/>
        <w:tab w:val="left" w:pos="6480"/>
        <w:tab w:val="left" w:pos="7200"/>
        <w:tab w:val="left" w:pos="7920"/>
      </w:tabs>
      <w:jc w:val="right"/>
      <w:rPr>
        <w:szCs w:val="20"/>
      </w:rPr>
    </w:pPr>
    <w:r w:rsidRPr="006E7FF0">
      <w:rPr>
        <w:rFonts w:ascii="Arial" w:hAnsi="Arial"/>
        <w:b/>
        <w:iCs/>
        <w:noProof/>
        <w:color w:val="0071B1"/>
        <w:szCs w:val="20"/>
      </w:rPr>
      <mc:AlternateContent>
        <mc:Choice Requires="wps">
          <w:drawing>
            <wp:anchor distT="0" distB="0" distL="114300" distR="114300" simplePos="0" relativeHeight="251659264" behindDoc="0" locked="0" layoutInCell="1" allowOverlap="1" wp14:anchorId="6AE8C686" wp14:editId="7F14E9ED">
              <wp:simplePos x="0" y="0"/>
              <wp:positionH relativeFrom="column">
                <wp:posOffset>0</wp:posOffset>
              </wp:positionH>
              <wp:positionV relativeFrom="paragraph">
                <wp:posOffset>-109412</wp:posOffset>
              </wp:positionV>
              <wp:extent cx="5926024" cy="0"/>
              <wp:effectExtent l="0" t="0" r="17780" b="19050"/>
              <wp:wrapNone/>
              <wp:docPr id="2" name="Straight Connector 2"/>
              <wp:cNvGraphicFramePr/>
              <a:graphic xmlns:a="http://schemas.openxmlformats.org/drawingml/2006/main">
                <a:graphicData uri="http://schemas.microsoft.com/office/word/2010/wordprocessingShape">
                  <wps:wsp>
                    <wps:cNvCnPr/>
                    <wps:spPr>
                      <a:xfrm>
                        <a:off x="0" y="0"/>
                        <a:ext cx="5926024"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4F5EFA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6pt" to="466.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" strokecolor="#7f7f7f [1612]" strokeweight=".5pt">
              <v:stroke joinstyle="miter"/>
            </v:line>
          </w:pict>
        </mc:Fallback>
      </mc:AlternateContent>
    </w:r>
    <w:r w:rsidRPr="006E7FF0">
      <w:rPr>
        <w:rStyle w:val="AppHeading2Char"/>
        <w:color w:val="0071B1"/>
        <w:sz w:val="20"/>
        <w:szCs w:val="20"/>
      </w:rPr>
      <w:t>Acumen, LLC</w:t>
    </w:r>
    <w:r w:rsidRPr="006E7FF0">
      <w:rPr>
        <w:rStyle w:val="AppHeading2Char"/>
        <w:color w:val="0071B1"/>
        <w:sz w:val="20"/>
        <w:szCs w:val="20"/>
      </w:rPr>
      <w:ptab w:relativeTo="margin" w:alignment="center" w:leader="none"/>
    </w:r>
    <w:r>
      <w:rPr>
        <w:rStyle w:val="AppHeading2Char"/>
        <w:color w:val="0071B1"/>
      </w:rPr>
      <w:tab/>
    </w:r>
    <w:r w:rsidR="00A61101">
      <w:rPr>
        <w:rStyle w:val="AppHeading2Char"/>
        <w:color w:val="0071B1"/>
      </w:rPr>
      <w:t xml:space="preserve">                 </w:t>
    </w:r>
    <w:r>
      <w:rPr>
        <w:rStyle w:val="AppHeading2Char"/>
        <w:color w:val="0071B1"/>
      </w:rPr>
      <w:t xml:space="preserve">     </w:t>
    </w:r>
    <w:r>
      <w:rPr>
        <w:szCs w:val="20"/>
      </w:rPr>
      <w:t xml:space="preserve">   </w:t>
    </w:r>
    <w:r w:rsidR="001F75B6">
      <w:rPr>
        <w:szCs w:val="20"/>
      </w:rPr>
      <w:t>067</w:t>
    </w:r>
    <w:r w:rsidR="00F21F66">
      <w:rPr>
        <w:szCs w:val="20"/>
      </w:rPr>
      <w:t>4</w:t>
    </w:r>
    <w:r w:rsidR="001F75B6">
      <w:rPr>
        <w:szCs w:val="20"/>
      </w:rPr>
      <w:t xml:space="preserve"> Appendix</w:t>
    </w:r>
    <w:r w:rsidRPr="0098120E">
      <w:rPr>
        <w:szCs w:val="20"/>
      </w:rPr>
      <w:t xml:space="preserve"> </w:t>
    </w:r>
    <w:r w:rsidRPr="0098120E">
      <w:rPr>
        <w:rStyle w:val="Body10Char"/>
        <w:sz w:val="20"/>
        <w:szCs w:val="20"/>
      </w:rPr>
      <w:t>|</w:t>
    </w:r>
    <w:r w:rsidRPr="0098120E">
      <w:rPr>
        <w:szCs w:val="20"/>
      </w:rPr>
      <w:t xml:space="preserve"> </w:t>
    </w:r>
    <w:r w:rsidR="00A61101">
      <w:rPr>
        <w:szCs w:val="20"/>
      </w:rPr>
      <w:t>0</w:t>
    </w:r>
    <w:r w:rsidR="001F75B6">
      <w:rPr>
        <w:szCs w:val="20"/>
      </w:rPr>
      <w:t>4</w:t>
    </w:r>
    <w:r w:rsidR="00A61101">
      <w:rPr>
        <w:szCs w:val="20"/>
      </w:rPr>
      <w:t>/</w:t>
    </w:r>
    <w:r w:rsidR="001F75B6">
      <w:rPr>
        <w:szCs w:val="20"/>
      </w:rPr>
      <w:t>02</w:t>
    </w:r>
    <w:r w:rsidRPr="0098120E">
      <w:rPr>
        <w:szCs w:val="20"/>
      </w:rPr>
      <w:t>/2</w:t>
    </w:r>
    <w:r>
      <w:t>021</w:t>
    </w:r>
    <w:r w:rsidRPr="00E10529">
      <w:rPr>
        <w:rStyle w:val="AppHeading2Char"/>
        <w:color w:val="0071B1"/>
      </w:rPr>
      <w:ptab w:relativeTo="margin" w:alignment="right" w:leader="none"/>
    </w:r>
    <w:r w:rsidRPr="00EE1667">
      <w:fldChar w:fldCharType="begin"/>
    </w:r>
    <w:r w:rsidRPr="00EE1667">
      <w:instrText xml:space="preserve"> PAGE   \* MERGEFORMAT </w:instrText>
    </w:r>
    <w:r w:rsidRPr="00EE1667">
      <w:fldChar w:fldCharType="separate"/>
    </w:r>
    <w:r w:rsidR="00617E8C">
      <w:rPr>
        <w:noProof/>
      </w:rPr>
      <w:t>1</w:t>
    </w:r>
    <w:r w:rsidRPr="00EE1667">
      <w:fldChar w:fldCharType="end"/>
    </w:r>
  </w:p>
  <w:p w14:paraId="113EE8A1" w14:textId="77777777" w:rsidR="005013DA" w:rsidRDefault="005013DA">
    <w:pPr>
      <w:pStyle w:val="Footer"/>
    </w:pPr>
  </w:p>
  <w:p w14:paraId="356F191E" w14:textId="77777777" w:rsidR="005013DA" w:rsidRDefault="00501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608D4" w14:textId="77777777" w:rsidR="001B6EC5" w:rsidRDefault="001B6EC5" w:rsidP="006E7FF0">
      <w:pPr>
        <w:spacing w:after="0" w:line="240" w:lineRule="auto"/>
      </w:pPr>
      <w:r>
        <w:separator/>
      </w:r>
    </w:p>
  </w:footnote>
  <w:footnote w:type="continuationSeparator" w:id="0">
    <w:p w14:paraId="5B3C0385" w14:textId="77777777" w:rsidR="001B6EC5" w:rsidRDefault="001B6EC5" w:rsidP="006E7F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CE72C" w14:textId="78D6E33D" w:rsidR="005013DA" w:rsidRDefault="005013DA" w:rsidP="006E7FF0">
    <w:pPr>
      <w:pStyle w:val="Header"/>
      <w:jc w:val="right"/>
    </w:pPr>
  </w:p>
  <w:p w14:paraId="35AD6A76" w14:textId="77777777" w:rsidR="005013DA" w:rsidRDefault="00501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01AE7"/>
    <w:multiLevelType w:val="hybridMultilevel"/>
    <w:tmpl w:val="85FA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374B1"/>
    <w:multiLevelType w:val="hybridMultilevel"/>
    <w:tmpl w:val="E7FC4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D43A0"/>
    <w:multiLevelType w:val="hybridMultilevel"/>
    <w:tmpl w:val="16C6F188"/>
    <w:lvl w:ilvl="0" w:tplc="0409000F">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C255F74"/>
    <w:multiLevelType w:val="hybridMultilevel"/>
    <w:tmpl w:val="497EC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C1096"/>
    <w:multiLevelType w:val="hybridMultilevel"/>
    <w:tmpl w:val="0AEEB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C5ACA"/>
    <w:multiLevelType w:val="multilevel"/>
    <w:tmpl w:val="F3FA72F8"/>
    <w:lvl w:ilvl="0">
      <w:start w:val="1"/>
      <w:numFmt w:val="bullet"/>
      <w:pStyle w:val="BulletList"/>
      <w:lvlText w:val=""/>
      <w:lvlJc w:val="left"/>
      <w:pPr>
        <w:ind w:left="1267" w:hanging="360"/>
      </w:pPr>
      <w:rPr>
        <w:rFonts w:ascii="Symbol" w:hAnsi="Symbol" w:hint="default"/>
      </w:rPr>
    </w:lvl>
    <w:lvl w:ilvl="1">
      <w:start w:val="1"/>
      <w:numFmt w:val="bullet"/>
      <w:lvlText w:val="o"/>
      <w:lvlJc w:val="left"/>
      <w:pPr>
        <w:ind w:left="1627" w:hanging="360"/>
      </w:pPr>
      <w:rPr>
        <w:rFonts w:ascii="Courier New" w:hAnsi="Courier New" w:hint="default"/>
      </w:rPr>
    </w:lvl>
    <w:lvl w:ilvl="2">
      <w:start w:val="1"/>
      <w:numFmt w:val="bullet"/>
      <w:lvlText w:val=""/>
      <w:lvlJc w:val="left"/>
      <w:pPr>
        <w:ind w:left="1987" w:hanging="360"/>
      </w:pPr>
      <w:rPr>
        <w:rFonts w:ascii="Wingdings" w:hAnsi="Wingdings" w:hint="default"/>
      </w:rPr>
    </w:lvl>
    <w:lvl w:ilvl="3">
      <w:start w:val="1"/>
      <w:numFmt w:val="bullet"/>
      <w:lvlText w:val=""/>
      <w:lvlJc w:val="left"/>
      <w:pPr>
        <w:ind w:left="2347" w:hanging="360"/>
      </w:pPr>
      <w:rPr>
        <w:rFonts w:ascii="Wingdings" w:hAnsi="Wingdings" w:hint="default"/>
      </w:rPr>
    </w:lvl>
    <w:lvl w:ilvl="4">
      <w:start w:val="1"/>
      <w:numFmt w:val="bullet"/>
      <w:lvlText w:val=""/>
      <w:lvlJc w:val="left"/>
      <w:pPr>
        <w:ind w:left="2707" w:hanging="360"/>
      </w:pPr>
      <w:rPr>
        <w:rFonts w:ascii="Symbol" w:hAnsi="Symbol" w:hint="default"/>
      </w:rPr>
    </w:lvl>
    <w:lvl w:ilvl="5">
      <w:start w:val="1"/>
      <w:numFmt w:val="bullet"/>
      <w:lvlText w:val=""/>
      <w:lvlJc w:val="left"/>
      <w:pPr>
        <w:ind w:left="3067" w:hanging="360"/>
      </w:pPr>
      <w:rPr>
        <w:rFonts w:ascii="Wingdings" w:hAnsi="Wingdings" w:hint="default"/>
      </w:rPr>
    </w:lvl>
    <w:lvl w:ilvl="6">
      <w:start w:val="1"/>
      <w:numFmt w:val="bullet"/>
      <w:lvlText w:val=""/>
      <w:lvlJc w:val="left"/>
      <w:pPr>
        <w:ind w:left="3427" w:hanging="360"/>
      </w:pPr>
      <w:rPr>
        <w:rFonts w:ascii="Symbol" w:hAnsi="Symbol" w:hint="default"/>
      </w:rPr>
    </w:lvl>
    <w:lvl w:ilvl="7">
      <w:start w:val="1"/>
      <w:numFmt w:val="bullet"/>
      <w:lvlText w:val="o"/>
      <w:lvlJc w:val="left"/>
      <w:pPr>
        <w:ind w:left="3787" w:hanging="360"/>
      </w:pPr>
      <w:rPr>
        <w:rFonts w:ascii="Courier New" w:hAnsi="Courier New" w:cs="Courier New" w:hint="default"/>
      </w:rPr>
    </w:lvl>
    <w:lvl w:ilvl="8">
      <w:start w:val="1"/>
      <w:numFmt w:val="bullet"/>
      <w:lvlText w:val=""/>
      <w:lvlJc w:val="left"/>
      <w:pPr>
        <w:ind w:left="4147" w:hanging="360"/>
      </w:pPr>
      <w:rPr>
        <w:rFonts w:ascii="Wingdings" w:hAnsi="Wingdings" w:hint="default"/>
      </w:rPr>
    </w:lvl>
  </w:abstractNum>
  <w:abstractNum w:abstractNumId="6" w15:restartNumberingAfterBreak="0">
    <w:nsid w:val="20CD0AE9"/>
    <w:multiLevelType w:val="hybridMultilevel"/>
    <w:tmpl w:val="B98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A27BD"/>
    <w:multiLevelType w:val="hybridMultilevel"/>
    <w:tmpl w:val="EDB60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7794E"/>
    <w:multiLevelType w:val="hybridMultilevel"/>
    <w:tmpl w:val="DB0CD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D4F47"/>
    <w:multiLevelType w:val="hybridMultilevel"/>
    <w:tmpl w:val="22A0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EB45D2"/>
    <w:multiLevelType w:val="hybridMultilevel"/>
    <w:tmpl w:val="A664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96761"/>
    <w:multiLevelType w:val="hybridMultilevel"/>
    <w:tmpl w:val="70BA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81983"/>
    <w:multiLevelType w:val="hybridMultilevel"/>
    <w:tmpl w:val="EA9635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AF0BBB"/>
    <w:multiLevelType w:val="hybridMultilevel"/>
    <w:tmpl w:val="51A49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9F1B48"/>
    <w:multiLevelType w:val="hybridMultilevel"/>
    <w:tmpl w:val="606E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color w:val="auto"/>
      </w:rPr>
    </w:lvl>
    <w:lvl w:ilvl="3" w:tplc="C8F4AB4C">
      <w:start w:val="1"/>
      <w:numFmt w:val="bullet"/>
      <w:lvlText w:val=""/>
      <w:lvlJc w:val="left"/>
      <w:pPr>
        <w:ind w:left="2880" w:hanging="360"/>
      </w:pPr>
      <w:rPr>
        <w:rFonts w:ascii="Symbol" w:hAnsi="Symbol"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F">
      <w:start w:val="1"/>
      <w:numFmt w:val="decimal"/>
      <w:lvlText w:val="%7."/>
      <w:lvlJc w:val="left"/>
      <w:pPr>
        <w:ind w:left="2160" w:hanging="360"/>
      </w:pPr>
      <w:rPr>
        <w:rFonts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D86A83"/>
    <w:multiLevelType w:val="hybridMultilevel"/>
    <w:tmpl w:val="D192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923EA"/>
    <w:multiLevelType w:val="hybridMultilevel"/>
    <w:tmpl w:val="50CE6F94"/>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BBA1690"/>
    <w:multiLevelType w:val="hybridMultilevel"/>
    <w:tmpl w:val="3E440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32223"/>
    <w:multiLevelType w:val="hybridMultilevel"/>
    <w:tmpl w:val="AB4E4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94422C"/>
    <w:multiLevelType w:val="hybridMultilevel"/>
    <w:tmpl w:val="685E7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B7139"/>
    <w:multiLevelType w:val="hybridMultilevel"/>
    <w:tmpl w:val="39B2D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4"/>
  </w:num>
  <w:num w:numId="4">
    <w:abstractNumId w:val="6"/>
  </w:num>
  <w:num w:numId="5">
    <w:abstractNumId w:val="17"/>
  </w:num>
  <w:num w:numId="6">
    <w:abstractNumId w:val="18"/>
  </w:num>
  <w:num w:numId="7">
    <w:abstractNumId w:val="15"/>
  </w:num>
  <w:num w:numId="8">
    <w:abstractNumId w:val="10"/>
  </w:num>
  <w:num w:numId="9">
    <w:abstractNumId w:val="11"/>
  </w:num>
  <w:num w:numId="10">
    <w:abstractNumId w:val="3"/>
  </w:num>
  <w:num w:numId="11">
    <w:abstractNumId w:val="13"/>
  </w:num>
  <w:num w:numId="12">
    <w:abstractNumId w:val="9"/>
  </w:num>
  <w:num w:numId="13">
    <w:abstractNumId w:val="20"/>
  </w:num>
  <w:num w:numId="14">
    <w:abstractNumId w:val="14"/>
  </w:num>
  <w:num w:numId="15">
    <w:abstractNumId w:val="0"/>
  </w:num>
  <w:num w:numId="16">
    <w:abstractNumId w:val="7"/>
  </w:num>
  <w:num w:numId="17">
    <w:abstractNumId w:val="19"/>
  </w:num>
  <w:num w:numId="18">
    <w:abstractNumId w:val="1"/>
  </w:num>
  <w:num w:numId="19">
    <w:abstractNumId w:val="2"/>
  </w:num>
  <w:num w:numId="20">
    <w:abstractNumId w:val="12"/>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F0"/>
    <w:rsid w:val="000014B0"/>
    <w:rsid w:val="00001B32"/>
    <w:rsid w:val="00005856"/>
    <w:rsid w:val="00006141"/>
    <w:rsid w:val="00007B95"/>
    <w:rsid w:val="000123C0"/>
    <w:rsid w:val="000130E8"/>
    <w:rsid w:val="00014810"/>
    <w:rsid w:val="0001567B"/>
    <w:rsid w:val="00016982"/>
    <w:rsid w:val="00016C6A"/>
    <w:rsid w:val="0002040A"/>
    <w:rsid w:val="00020E28"/>
    <w:rsid w:val="00021A18"/>
    <w:rsid w:val="00022567"/>
    <w:rsid w:val="0002273B"/>
    <w:rsid w:val="00023DA3"/>
    <w:rsid w:val="00026247"/>
    <w:rsid w:val="0003076A"/>
    <w:rsid w:val="00030D41"/>
    <w:rsid w:val="00032875"/>
    <w:rsid w:val="0003386E"/>
    <w:rsid w:val="000345F0"/>
    <w:rsid w:val="00035E32"/>
    <w:rsid w:val="00036EDC"/>
    <w:rsid w:val="00041939"/>
    <w:rsid w:val="000422A0"/>
    <w:rsid w:val="00043563"/>
    <w:rsid w:val="00043CB6"/>
    <w:rsid w:val="00044E73"/>
    <w:rsid w:val="00046CC6"/>
    <w:rsid w:val="00051603"/>
    <w:rsid w:val="00053E94"/>
    <w:rsid w:val="00054477"/>
    <w:rsid w:val="000558DC"/>
    <w:rsid w:val="00055CD1"/>
    <w:rsid w:val="00057FFB"/>
    <w:rsid w:val="000602E8"/>
    <w:rsid w:val="0006536C"/>
    <w:rsid w:val="000709ED"/>
    <w:rsid w:val="00083846"/>
    <w:rsid w:val="000926C3"/>
    <w:rsid w:val="00092784"/>
    <w:rsid w:val="00094DC2"/>
    <w:rsid w:val="00095F01"/>
    <w:rsid w:val="0009702D"/>
    <w:rsid w:val="000A0197"/>
    <w:rsid w:val="000A05E1"/>
    <w:rsid w:val="000A5E42"/>
    <w:rsid w:val="000B4513"/>
    <w:rsid w:val="000B480C"/>
    <w:rsid w:val="000B6358"/>
    <w:rsid w:val="000C0A34"/>
    <w:rsid w:val="000C1514"/>
    <w:rsid w:val="000C32D8"/>
    <w:rsid w:val="000C3E7E"/>
    <w:rsid w:val="000C40DC"/>
    <w:rsid w:val="000C496F"/>
    <w:rsid w:val="000C591D"/>
    <w:rsid w:val="000D1819"/>
    <w:rsid w:val="000D3065"/>
    <w:rsid w:val="000D4A3A"/>
    <w:rsid w:val="000D4C45"/>
    <w:rsid w:val="000D5359"/>
    <w:rsid w:val="000D77EB"/>
    <w:rsid w:val="000E2E3F"/>
    <w:rsid w:val="000E4876"/>
    <w:rsid w:val="000E5FDF"/>
    <w:rsid w:val="000E766A"/>
    <w:rsid w:val="000E7AE0"/>
    <w:rsid w:val="001002CC"/>
    <w:rsid w:val="00101531"/>
    <w:rsid w:val="00101E1D"/>
    <w:rsid w:val="00104F27"/>
    <w:rsid w:val="0010555E"/>
    <w:rsid w:val="001056CF"/>
    <w:rsid w:val="001079AE"/>
    <w:rsid w:val="0011059F"/>
    <w:rsid w:val="0011309A"/>
    <w:rsid w:val="00115E61"/>
    <w:rsid w:val="0011665E"/>
    <w:rsid w:val="0011759F"/>
    <w:rsid w:val="00117E9E"/>
    <w:rsid w:val="00120DAE"/>
    <w:rsid w:val="001233FD"/>
    <w:rsid w:val="00123C10"/>
    <w:rsid w:val="00124953"/>
    <w:rsid w:val="00126085"/>
    <w:rsid w:val="001307E6"/>
    <w:rsid w:val="001376FC"/>
    <w:rsid w:val="00137F0A"/>
    <w:rsid w:val="00142676"/>
    <w:rsid w:val="00143570"/>
    <w:rsid w:val="00143EF9"/>
    <w:rsid w:val="00144F03"/>
    <w:rsid w:val="00145426"/>
    <w:rsid w:val="001457E7"/>
    <w:rsid w:val="00150D0D"/>
    <w:rsid w:val="00152C79"/>
    <w:rsid w:val="00153843"/>
    <w:rsid w:val="00154DBB"/>
    <w:rsid w:val="001552E2"/>
    <w:rsid w:val="00155FC9"/>
    <w:rsid w:val="001569F5"/>
    <w:rsid w:val="0016029A"/>
    <w:rsid w:val="001619E3"/>
    <w:rsid w:val="00162726"/>
    <w:rsid w:val="00164A68"/>
    <w:rsid w:val="00167F32"/>
    <w:rsid w:val="0017120A"/>
    <w:rsid w:val="0017165C"/>
    <w:rsid w:val="0017193B"/>
    <w:rsid w:val="00173FEE"/>
    <w:rsid w:val="00175282"/>
    <w:rsid w:val="0018044F"/>
    <w:rsid w:val="001812C2"/>
    <w:rsid w:val="00182F47"/>
    <w:rsid w:val="00184D1F"/>
    <w:rsid w:val="0018764B"/>
    <w:rsid w:val="00192EF8"/>
    <w:rsid w:val="00193F60"/>
    <w:rsid w:val="001959A9"/>
    <w:rsid w:val="001A3ED3"/>
    <w:rsid w:val="001A5020"/>
    <w:rsid w:val="001A51AA"/>
    <w:rsid w:val="001A6347"/>
    <w:rsid w:val="001B15E5"/>
    <w:rsid w:val="001B25DC"/>
    <w:rsid w:val="001B27C2"/>
    <w:rsid w:val="001B525A"/>
    <w:rsid w:val="001B6EC5"/>
    <w:rsid w:val="001B705F"/>
    <w:rsid w:val="001C0A05"/>
    <w:rsid w:val="001C138E"/>
    <w:rsid w:val="001C2009"/>
    <w:rsid w:val="001C3BEB"/>
    <w:rsid w:val="001D2235"/>
    <w:rsid w:val="001D2CA6"/>
    <w:rsid w:val="001D5007"/>
    <w:rsid w:val="001D5B94"/>
    <w:rsid w:val="001E1F2D"/>
    <w:rsid w:val="001E6998"/>
    <w:rsid w:val="001E7328"/>
    <w:rsid w:val="001F1E73"/>
    <w:rsid w:val="001F281C"/>
    <w:rsid w:val="001F284A"/>
    <w:rsid w:val="001F2964"/>
    <w:rsid w:val="001F3274"/>
    <w:rsid w:val="001F3846"/>
    <w:rsid w:val="001F4D30"/>
    <w:rsid w:val="001F6392"/>
    <w:rsid w:val="001F7429"/>
    <w:rsid w:val="001F75B6"/>
    <w:rsid w:val="00200D24"/>
    <w:rsid w:val="00201751"/>
    <w:rsid w:val="00202E19"/>
    <w:rsid w:val="00203CE9"/>
    <w:rsid w:val="0020413A"/>
    <w:rsid w:val="00215E0B"/>
    <w:rsid w:val="0022287C"/>
    <w:rsid w:val="00223781"/>
    <w:rsid w:val="00224607"/>
    <w:rsid w:val="002306BD"/>
    <w:rsid w:val="00231260"/>
    <w:rsid w:val="00233F7C"/>
    <w:rsid w:val="002340E3"/>
    <w:rsid w:val="002340EA"/>
    <w:rsid w:val="00235C8B"/>
    <w:rsid w:val="00236B13"/>
    <w:rsid w:val="002412DF"/>
    <w:rsid w:val="00242F38"/>
    <w:rsid w:val="0024318D"/>
    <w:rsid w:val="00245006"/>
    <w:rsid w:val="00245E4C"/>
    <w:rsid w:val="00247B47"/>
    <w:rsid w:val="002504F6"/>
    <w:rsid w:val="00251ED3"/>
    <w:rsid w:val="00252875"/>
    <w:rsid w:val="00253F47"/>
    <w:rsid w:val="00254683"/>
    <w:rsid w:val="00254893"/>
    <w:rsid w:val="00254D56"/>
    <w:rsid w:val="00256A94"/>
    <w:rsid w:val="00263876"/>
    <w:rsid w:val="00264D8D"/>
    <w:rsid w:val="002673C2"/>
    <w:rsid w:val="00271EFB"/>
    <w:rsid w:val="002758CE"/>
    <w:rsid w:val="00275C08"/>
    <w:rsid w:val="002767A8"/>
    <w:rsid w:val="00277D8F"/>
    <w:rsid w:val="00277E7D"/>
    <w:rsid w:val="0028176C"/>
    <w:rsid w:val="002819C0"/>
    <w:rsid w:val="00283DF1"/>
    <w:rsid w:val="00285098"/>
    <w:rsid w:val="002864B7"/>
    <w:rsid w:val="00287337"/>
    <w:rsid w:val="002876C3"/>
    <w:rsid w:val="00290012"/>
    <w:rsid w:val="00292A62"/>
    <w:rsid w:val="002936A8"/>
    <w:rsid w:val="00294F78"/>
    <w:rsid w:val="00297545"/>
    <w:rsid w:val="002A23CC"/>
    <w:rsid w:val="002A3AB4"/>
    <w:rsid w:val="002A54D7"/>
    <w:rsid w:val="002A7919"/>
    <w:rsid w:val="002B08EE"/>
    <w:rsid w:val="002B3DAC"/>
    <w:rsid w:val="002B7C4B"/>
    <w:rsid w:val="002C1D96"/>
    <w:rsid w:val="002C2233"/>
    <w:rsid w:val="002C32A9"/>
    <w:rsid w:val="002C4503"/>
    <w:rsid w:val="002C61C7"/>
    <w:rsid w:val="002D5899"/>
    <w:rsid w:val="002D5C6A"/>
    <w:rsid w:val="002D6783"/>
    <w:rsid w:val="002D6792"/>
    <w:rsid w:val="002D69DF"/>
    <w:rsid w:val="002E12FF"/>
    <w:rsid w:val="002E1579"/>
    <w:rsid w:val="002E1A13"/>
    <w:rsid w:val="002E2BC9"/>
    <w:rsid w:val="002E5451"/>
    <w:rsid w:val="002E6288"/>
    <w:rsid w:val="002E7516"/>
    <w:rsid w:val="002E7963"/>
    <w:rsid w:val="002F2C39"/>
    <w:rsid w:val="002F2E60"/>
    <w:rsid w:val="002F3596"/>
    <w:rsid w:val="002F4696"/>
    <w:rsid w:val="002F5AC4"/>
    <w:rsid w:val="003055FD"/>
    <w:rsid w:val="00306BCC"/>
    <w:rsid w:val="0030715C"/>
    <w:rsid w:val="003113F6"/>
    <w:rsid w:val="003129A8"/>
    <w:rsid w:val="00313D48"/>
    <w:rsid w:val="00313E66"/>
    <w:rsid w:val="00325EAB"/>
    <w:rsid w:val="0032679E"/>
    <w:rsid w:val="00330289"/>
    <w:rsid w:val="00331479"/>
    <w:rsid w:val="00333122"/>
    <w:rsid w:val="00334693"/>
    <w:rsid w:val="0033477A"/>
    <w:rsid w:val="00336B29"/>
    <w:rsid w:val="00340473"/>
    <w:rsid w:val="00341AC5"/>
    <w:rsid w:val="00341F10"/>
    <w:rsid w:val="00344D49"/>
    <w:rsid w:val="003455F8"/>
    <w:rsid w:val="003479BC"/>
    <w:rsid w:val="0035033A"/>
    <w:rsid w:val="00352BB3"/>
    <w:rsid w:val="00352E2B"/>
    <w:rsid w:val="00354432"/>
    <w:rsid w:val="00354CF4"/>
    <w:rsid w:val="003560A5"/>
    <w:rsid w:val="00360CA9"/>
    <w:rsid w:val="003641E7"/>
    <w:rsid w:val="00365A7F"/>
    <w:rsid w:val="003673DD"/>
    <w:rsid w:val="00372DF9"/>
    <w:rsid w:val="00373DDF"/>
    <w:rsid w:val="00380A6A"/>
    <w:rsid w:val="00381A3E"/>
    <w:rsid w:val="0038652D"/>
    <w:rsid w:val="00387BC6"/>
    <w:rsid w:val="00390FAB"/>
    <w:rsid w:val="003918B4"/>
    <w:rsid w:val="00391E4B"/>
    <w:rsid w:val="003944B8"/>
    <w:rsid w:val="00397293"/>
    <w:rsid w:val="00397DDB"/>
    <w:rsid w:val="003A18F7"/>
    <w:rsid w:val="003A1CD5"/>
    <w:rsid w:val="003A4018"/>
    <w:rsid w:val="003B1C7E"/>
    <w:rsid w:val="003B4AA3"/>
    <w:rsid w:val="003B5B70"/>
    <w:rsid w:val="003B68EB"/>
    <w:rsid w:val="003B7372"/>
    <w:rsid w:val="003C0727"/>
    <w:rsid w:val="003C1D2E"/>
    <w:rsid w:val="003C6AAA"/>
    <w:rsid w:val="003D1A20"/>
    <w:rsid w:val="003D34CC"/>
    <w:rsid w:val="003D4B07"/>
    <w:rsid w:val="003D6898"/>
    <w:rsid w:val="003D6DBF"/>
    <w:rsid w:val="003E57ED"/>
    <w:rsid w:val="003E6ECB"/>
    <w:rsid w:val="003E7AD7"/>
    <w:rsid w:val="003F1822"/>
    <w:rsid w:val="003F1B3C"/>
    <w:rsid w:val="003F2CCC"/>
    <w:rsid w:val="003F33AE"/>
    <w:rsid w:val="003F4AB0"/>
    <w:rsid w:val="003F5275"/>
    <w:rsid w:val="00400339"/>
    <w:rsid w:val="00400B55"/>
    <w:rsid w:val="0040148A"/>
    <w:rsid w:val="00402771"/>
    <w:rsid w:val="00402CDD"/>
    <w:rsid w:val="00403976"/>
    <w:rsid w:val="004045CC"/>
    <w:rsid w:val="00406ACB"/>
    <w:rsid w:val="00410064"/>
    <w:rsid w:val="00412F61"/>
    <w:rsid w:val="004131FE"/>
    <w:rsid w:val="0041334A"/>
    <w:rsid w:val="00415767"/>
    <w:rsid w:val="00416C28"/>
    <w:rsid w:val="00417010"/>
    <w:rsid w:val="00417234"/>
    <w:rsid w:val="0042213C"/>
    <w:rsid w:val="00423B45"/>
    <w:rsid w:val="00423D9D"/>
    <w:rsid w:val="00424B32"/>
    <w:rsid w:val="00426457"/>
    <w:rsid w:val="00433E97"/>
    <w:rsid w:val="00435C28"/>
    <w:rsid w:val="0044282A"/>
    <w:rsid w:val="004456FA"/>
    <w:rsid w:val="00445FEA"/>
    <w:rsid w:val="004512AD"/>
    <w:rsid w:val="00452D48"/>
    <w:rsid w:val="00453D82"/>
    <w:rsid w:val="00454F37"/>
    <w:rsid w:val="00455918"/>
    <w:rsid w:val="00456E76"/>
    <w:rsid w:val="004648AB"/>
    <w:rsid w:val="00464E2E"/>
    <w:rsid w:val="00466EB3"/>
    <w:rsid w:val="0046736F"/>
    <w:rsid w:val="00470AC2"/>
    <w:rsid w:val="004713BE"/>
    <w:rsid w:val="00471A4F"/>
    <w:rsid w:val="00477A91"/>
    <w:rsid w:val="00477C66"/>
    <w:rsid w:val="00477D69"/>
    <w:rsid w:val="00477DD2"/>
    <w:rsid w:val="00480AA7"/>
    <w:rsid w:val="00481DC2"/>
    <w:rsid w:val="0048215E"/>
    <w:rsid w:val="004837A0"/>
    <w:rsid w:val="004864AC"/>
    <w:rsid w:val="00486751"/>
    <w:rsid w:val="0048678E"/>
    <w:rsid w:val="00491D7D"/>
    <w:rsid w:val="00492AD8"/>
    <w:rsid w:val="004931B6"/>
    <w:rsid w:val="00494E14"/>
    <w:rsid w:val="00497BAB"/>
    <w:rsid w:val="00497DA8"/>
    <w:rsid w:val="004A0AAD"/>
    <w:rsid w:val="004A2F98"/>
    <w:rsid w:val="004A4B18"/>
    <w:rsid w:val="004A662D"/>
    <w:rsid w:val="004A7974"/>
    <w:rsid w:val="004B346E"/>
    <w:rsid w:val="004C016A"/>
    <w:rsid w:val="004C0BF5"/>
    <w:rsid w:val="004C18DA"/>
    <w:rsid w:val="004C7365"/>
    <w:rsid w:val="004D2C04"/>
    <w:rsid w:val="004D6334"/>
    <w:rsid w:val="004D798A"/>
    <w:rsid w:val="004E08E1"/>
    <w:rsid w:val="004E25B1"/>
    <w:rsid w:val="004E42FE"/>
    <w:rsid w:val="004F1655"/>
    <w:rsid w:val="004F18C6"/>
    <w:rsid w:val="004F1A1B"/>
    <w:rsid w:val="004F1FF5"/>
    <w:rsid w:val="004F236B"/>
    <w:rsid w:val="004F2898"/>
    <w:rsid w:val="004F2F11"/>
    <w:rsid w:val="004F4C6D"/>
    <w:rsid w:val="004F65BD"/>
    <w:rsid w:val="004F6764"/>
    <w:rsid w:val="004F6D46"/>
    <w:rsid w:val="004F76EC"/>
    <w:rsid w:val="004F79CE"/>
    <w:rsid w:val="005013DA"/>
    <w:rsid w:val="00501F96"/>
    <w:rsid w:val="00502071"/>
    <w:rsid w:val="005028D1"/>
    <w:rsid w:val="00502DF2"/>
    <w:rsid w:val="00505A36"/>
    <w:rsid w:val="00506C9C"/>
    <w:rsid w:val="00507BD4"/>
    <w:rsid w:val="005142F4"/>
    <w:rsid w:val="00514F53"/>
    <w:rsid w:val="0051546C"/>
    <w:rsid w:val="00517451"/>
    <w:rsid w:val="00517784"/>
    <w:rsid w:val="00520847"/>
    <w:rsid w:val="00520F79"/>
    <w:rsid w:val="00522255"/>
    <w:rsid w:val="0052451C"/>
    <w:rsid w:val="00524819"/>
    <w:rsid w:val="00525306"/>
    <w:rsid w:val="0052540B"/>
    <w:rsid w:val="00525B9B"/>
    <w:rsid w:val="00526C5E"/>
    <w:rsid w:val="005271D2"/>
    <w:rsid w:val="00533E7E"/>
    <w:rsid w:val="005344AC"/>
    <w:rsid w:val="00541704"/>
    <w:rsid w:val="00543FAA"/>
    <w:rsid w:val="005447BE"/>
    <w:rsid w:val="005467BC"/>
    <w:rsid w:val="00546865"/>
    <w:rsid w:val="005501B5"/>
    <w:rsid w:val="00550563"/>
    <w:rsid w:val="00553988"/>
    <w:rsid w:val="00553F0B"/>
    <w:rsid w:val="005571AB"/>
    <w:rsid w:val="00561C39"/>
    <w:rsid w:val="00562531"/>
    <w:rsid w:val="00563A29"/>
    <w:rsid w:val="00565759"/>
    <w:rsid w:val="00567136"/>
    <w:rsid w:val="00571742"/>
    <w:rsid w:val="0057185C"/>
    <w:rsid w:val="005731BA"/>
    <w:rsid w:val="0057532F"/>
    <w:rsid w:val="00576AFF"/>
    <w:rsid w:val="00577800"/>
    <w:rsid w:val="00577A18"/>
    <w:rsid w:val="00580B13"/>
    <w:rsid w:val="0058179A"/>
    <w:rsid w:val="005824C3"/>
    <w:rsid w:val="005858F2"/>
    <w:rsid w:val="00586983"/>
    <w:rsid w:val="00590284"/>
    <w:rsid w:val="005904D0"/>
    <w:rsid w:val="00593EA8"/>
    <w:rsid w:val="00594820"/>
    <w:rsid w:val="00595A0C"/>
    <w:rsid w:val="005A04FF"/>
    <w:rsid w:val="005A288B"/>
    <w:rsid w:val="005A4795"/>
    <w:rsid w:val="005B018F"/>
    <w:rsid w:val="005B76B4"/>
    <w:rsid w:val="005B7B37"/>
    <w:rsid w:val="005C4A96"/>
    <w:rsid w:val="005C570E"/>
    <w:rsid w:val="005C7784"/>
    <w:rsid w:val="005D12F0"/>
    <w:rsid w:val="005E797C"/>
    <w:rsid w:val="005F5424"/>
    <w:rsid w:val="005F6396"/>
    <w:rsid w:val="00606E70"/>
    <w:rsid w:val="00607F20"/>
    <w:rsid w:val="00611D03"/>
    <w:rsid w:val="00616803"/>
    <w:rsid w:val="00617CDD"/>
    <w:rsid w:val="00617E8C"/>
    <w:rsid w:val="006226A7"/>
    <w:rsid w:val="006230EE"/>
    <w:rsid w:val="00624B56"/>
    <w:rsid w:val="00624DE3"/>
    <w:rsid w:val="0062587A"/>
    <w:rsid w:val="00627A72"/>
    <w:rsid w:val="0063216A"/>
    <w:rsid w:val="00633827"/>
    <w:rsid w:val="00643905"/>
    <w:rsid w:val="00645AD6"/>
    <w:rsid w:val="00646172"/>
    <w:rsid w:val="00650A5E"/>
    <w:rsid w:val="00651363"/>
    <w:rsid w:val="00652F2E"/>
    <w:rsid w:val="006535B7"/>
    <w:rsid w:val="00654022"/>
    <w:rsid w:val="00654B77"/>
    <w:rsid w:val="00660185"/>
    <w:rsid w:val="00660498"/>
    <w:rsid w:val="00665D2F"/>
    <w:rsid w:val="00665E43"/>
    <w:rsid w:val="00666217"/>
    <w:rsid w:val="00666AD1"/>
    <w:rsid w:val="00666E9D"/>
    <w:rsid w:val="0066702F"/>
    <w:rsid w:val="006702BF"/>
    <w:rsid w:val="00670500"/>
    <w:rsid w:val="00674058"/>
    <w:rsid w:val="00675004"/>
    <w:rsid w:val="00683F12"/>
    <w:rsid w:val="006873F8"/>
    <w:rsid w:val="0068763F"/>
    <w:rsid w:val="00690379"/>
    <w:rsid w:val="00690E8E"/>
    <w:rsid w:val="006937B9"/>
    <w:rsid w:val="00694AA3"/>
    <w:rsid w:val="0069570D"/>
    <w:rsid w:val="00695D94"/>
    <w:rsid w:val="00696D44"/>
    <w:rsid w:val="00696E60"/>
    <w:rsid w:val="006973C2"/>
    <w:rsid w:val="00697739"/>
    <w:rsid w:val="006977D2"/>
    <w:rsid w:val="006A0D00"/>
    <w:rsid w:val="006A2574"/>
    <w:rsid w:val="006A275A"/>
    <w:rsid w:val="006A3625"/>
    <w:rsid w:val="006A7ED5"/>
    <w:rsid w:val="006B09EA"/>
    <w:rsid w:val="006B164B"/>
    <w:rsid w:val="006B4AA5"/>
    <w:rsid w:val="006B7117"/>
    <w:rsid w:val="006C24DD"/>
    <w:rsid w:val="006C489C"/>
    <w:rsid w:val="006C776E"/>
    <w:rsid w:val="006E25C7"/>
    <w:rsid w:val="006E2FA7"/>
    <w:rsid w:val="006E2FDE"/>
    <w:rsid w:val="006E61B7"/>
    <w:rsid w:val="006E71D6"/>
    <w:rsid w:val="006E7FF0"/>
    <w:rsid w:val="006F1775"/>
    <w:rsid w:val="006F286F"/>
    <w:rsid w:val="006F2A24"/>
    <w:rsid w:val="006F39D8"/>
    <w:rsid w:val="006F3F5D"/>
    <w:rsid w:val="006F4705"/>
    <w:rsid w:val="006F647A"/>
    <w:rsid w:val="006F6FB0"/>
    <w:rsid w:val="00701A00"/>
    <w:rsid w:val="00705CCD"/>
    <w:rsid w:val="00706AA1"/>
    <w:rsid w:val="00707030"/>
    <w:rsid w:val="007116D5"/>
    <w:rsid w:val="00713270"/>
    <w:rsid w:val="00713652"/>
    <w:rsid w:val="00713944"/>
    <w:rsid w:val="007142D2"/>
    <w:rsid w:val="00714F19"/>
    <w:rsid w:val="00714F8E"/>
    <w:rsid w:val="007151A7"/>
    <w:rsid w:val="00717E58"/>
    <w:rsid w:val="00723D4A"/>
    <w:rsid w:val="00725B60"/>
    <w:rsid w:val="007313E4"/>
    <w:rsid w:val="0073177A"/>
    <w:rsid w:val="00737885"/>
    <w:rsid w:val="00742D05"/>
    <w:rsid w:val="00744251"/>
    <w:rsid w:val="00744B0A"/>
    <w:rsid w:val="00744DD7"/>
    <w:rsid w:val="00745904"/>
    <w:rsid w:val="007502FB"/>
    <w:rsid w:val="00750F4D"/>
    <w:rsid w:val="00751841"/>
    <w:rsid w:val="007533FA"/>
    <w:rsid w:val="0075405F"/>
    <w:rsid w:val="007570EF"/>
    <w:rsid w:val="00764550"/>
    <w:rsid w:val="007649CD"/>
    <w:rsid w:val="00766C9D"/>
    <w:rsid w:val="0076751A"/>
    <w:rsid w:val="00773CE9"/>
    <w:rsid w:val="0077589C"/>
    <w:rsid w:val="00776118"/>
    <w:rsid w:val="00780472"/>
    <w:rsid w:val="00781966"/>
    <w:rsid w:val="00783B03"/>
    <w:rsid w:val="007872CA"/>
    <w:rsid w:val="00792120"/>
    <w:rsid w:val="00793D8C"/>
    <w:rsid w:val="00796885"/>
    <w:rsid w:val="007975BE"/>
    <w:rsid w:val="007A084E"/>
    <w:rsid w:val="007A1F2E"/>
    <w:rsid w:val="007A2BA1"/>
    <w:rsid w:val="007A31D7"/>
    <w:rsid w:val="007B0FB4"/>
    <w:rsid w:val="007B1E23"/>
    <w:rsid w:val="007B550D"/>
    <w:rsid w:val="007C2E38"/>
    <w:rsid w:val="007C305B"/>
    <w:rsid w:val="007C38EF"/>
    <w:rsid w:val="007C4008"/>
    <w:rsid w:val="007C51A6"/>
    <w:rsid w:val="007C5F08"/>
    <w:rsid w:val="007C6B39"/>
    <w:rsid w:val="007D08BC"/>
    <w:rsid w:val="007D163B"/>
    <w:rsid w:val="007D1EAF"/>
    <w:rsid w:val="007D2AF2"/>
    <w:rsid w:val="007D54E0"/>
    <w:rsid w:val="007D622C"/>
    <w:rsid w:val="007D67E8"/>
    <w:rsid w:val="007D7663"/>
    <w:rsid w:val="007D7734"/>
    <w:rsid w:val="007E2951"/>
    <w:rsid w:val="007E36AB"/>
    <w:rsid w:val="007E4224"/>
    <w:rsid w:val="007E6A38"/>
    <w:rsid w:val="007F12F7"/>
    <w:rsid w:val="007F24EA"/>
    <w:rsid w:val="007F3C04"/>
    <w:rsid w:val="007F474B"/>
    <w:rsid w:val="007F64BB"/>
    <w:rsid w:val="00800069"/>
    <w:rsid w:val="0080313A"/>
    <w:rsid w:val="00803A14"/>
    <w:rsid w:val="00810915"/>
    <w:rsid w:val="0081208D"/>
    <w:rsid w:val="00813A20"/>
    <w:rsid w:val="00814A45"/>
    <w:rsid w:val="00814E89"/>
    <w:rsid w:val="008204FC"/>
    <w:rsid w:val="00821126"/>
    <w:rsid w:val="00821F84"/>
    <w:rsid w:val="00822B7A"/>
    <w:rsid w:val="0082795A"/>
    <w:rsid w:val="00827A71"/>
    <w:rsid w:val="008312C5"/>
    <w:rsid w:val="00832804"/>
    <w:rsid w:val="00835BCD"/>
    <w:rsid w:val="00842482"/>
    <w:rsid w:val="00842F3C"/>
    <w:rsid w:val="00846629"/>
    <w:rsid w:val="0084739A"/>
    <w:rsid w:val="00847603"/>
    <w:rsid w:val="00850640"/>
    <w:rsid w:val="00851792"/>
    <w:rsid w:val="008542D4"/>
    <w:rsid w:val="00854B9B"/>
    <w:rsid w:val="00856085"/>
    <w:rsid w:val="0086075F"/>
    <w:rsid w:val="00860A35"/>
    <w:rsid w:val="00861CDD"/>
    <w:rsid w:val="008620E0"/>
    <w:rsid w:val="00863BD8"/>
    <w:rsid w:val="00864A6A"/>
    <w:rsid w:val="00864B6E"/>
    <w:rsid w:val="00875BCB"/>
    <w:rsid w:val="00877503"/>
    <w:rsid w:val="00883451"/>
    <w:rsid w:val="00885D55"/>
    <w:rsid w:val="00887D0A"/>
    <w:rsid w:val="00890D84"/>
    <w:rsid w:val="00891EC9"/>
    <w:rsid w:val="00892794"/>
    <w:rsid w:val="0089461A"/>
    <w:rsid w:val="00894642"/>
    <w:rsid w:val="0089607D"/>
    <w:rsid w:val="00896ADB"/>
    <w:rsid w:val="00897226"/>
    <w:rsid w:val="008A13E7"/>
    <w:rsid w:val="008A2886"/>
    <w:rsid w:val="008A2CE6"/>
    <w:rsid w:val="008A2D77"/>
    <w:rsid w:val="008A378E"/>
    <w:rsid w:val="008A38F9"/>
    <w:rsid w:val="008A73E9"/>
    <w:rsid w:val="008A76D7"/>
    <w:rsid w:val="008B0714"/>
    <w:rsid w:val="008B1E6C"/>
    <w:rsid w:val="008B1FA7"/>
    <w:rsid w:val="008B21E3"/>
    <w:rsid w:val="008B7E48"/>
    <w:rsid w:val="008C190C"/>
    <w:rsid w:val="008C235A"/>
    <w:rsid w:val="008C2F21"/>
    <w:rsid w:val="008C56AA"/>
    <w:rsid w:val="008D1E21"/>
    <w:rsid w:val="008D42E2"/>
    <w:rsid w:val="008D4984"/>
    <w:rsid w:val="008D5207"/>
    <w:rsid w:val="008D6988"/>
    <w:rsid w:val="008D796F"/>
    <w:rsid w:val="008E1889"/>
    <w:rsid w:val="008E29CB"/>
    <w:rsid w:val="008E36CF"/>
    <w:rsid w:val="008E3C10"/>
    <w:rsid w:val="008E62D5"/>
    <w:rsid w:val="008E70ED"/>
    <w:rsid w:val="008E78A0"/>
    <w:rsid w:val="008F1616"/>
    <w:rsid w:val="008F5029"/>
    <w:rsid w:val="008F6421"/>
    <w:rsid w:val="008F748E"/>
    <w:rsid w:val="00900188"/>
    <w:rsid w:val="00901383"/>
    <w:rsid w:val="00901C6A"/>
    <w:rsid w:val="00901CFD"/>
    <w:rsid w:val="00901E3F"/>
    <w:rsid w:val="009032B9"/>
    <w:rsid w:val="0090614B"/>
    <w:rsid w:val="00906F6E"/>
    <w:rsid w:val="0090735A"/>
    <w:rsid w:val="0091028D"/>
    <w:rsid w:val="009102A6"/>
    <w:rsid w:val="00912EA2"/>
    <w:rsid w:val="00914F84"/>
    <w:rsid w:val="009154EF"/>
    <w:rsid w:val="009163A7"/>
    <w:rsid w:val="009169D8"/>
    <w:rsid w:val="0092319D"/>
    <w:rsid w:val="00924580"/>
    <w:rsid w:val="00925807"/>
    <w:rsid w:val="00925C8B"/>
    <w:rsid w:val="0092646F"/>
    <w:rsid w:val="009308A5"/>
    <w:rsid w:val="00930C63"/>
    <w:rsid w:val="00932FC6"/>
    <w:rsid w:val="009354E8"/>
    <w:rsid w:val="0093659C"/>
    <w:rsid w:val="009406D2"/>
    <w:rsid w:val="00947ACE"/>
    <w:rsid w:val="00950983"/>
    <w:rsid w:val="00950E7F"/>
    <w:rsid w:val="009513E5"/>
    <w:rsid w:val="00953EED"/>
    <w:rsid w:val="00955A50"/>
    <w:rsid w:val="00955A85"/>
    <w:rsid w:val="00956838"/>
    <w:rsid w:val="00960390"/>
    <w:rsid w:val="00961A4E"/>
    <w:rsid w:val="009625F1"/>
    <w:rsid w:val="00967B9F"/>
    <w:rsid w:val="00970150"/>
    <w:rsid w:val="00970751"/>
    <w:rsid w:val="00971610"/>
    <w:rsid w:val="0097377D"/>
    <w:rsid w:val="00975F08"/>
    <w:rsid w:val="00976F5B"/>
    <w:rsid w:val="00982677"/>
    <w:rsid w:val="00984643"/>
    <w:rsid w:val="009848D6"/>
    <w:rsid w:val="0098505E"/>
    <w:rsid w:val="00986D60"/>
    <w:rsid w:val="009872B0"/>
    <w:rsid w:val="009918B7"/>
    <w:rsid w:val="00995319"/>
    <w:rsid w:val="00996A60"/>
    <w:rsid w:val="009A02C2"/>
    <w:rsid w:val="009A1035"/>
    <w:rsid w:val="009A3865"/>
    <w:rsid w:val="009A50C8"/>
    <w:rsid w:val="009A783A"/>
    <w:rsid w:val="009B5580"/>
    <w:rsid w:val="009B65BA"/>
    <w:rsid w:val="009B718E"/>
    <w:rsid w:val="009C00DC"/>
    <w:rsid w:val="009C28E9"/>
    <w:rsid w:val="009C4DEA"/>
    <w:rsid w:val="009C6BEF"/>
    <w:rsid w:val="009C790C"/>
    <w:rsid w:val="009C7C66"/>
    <w:rsid w:val="009D14DC"/>
    <w:rsid w:val="009D1D0F"/>
    <w:rsid w:val="009D399A"/>
    <w:rsid w:val="009D464E"/>
    <w:rsid w:val="009D6C15"/>
    <w:rsid w:val="009D6CDF"/>
    <w:rsid w:val="009D743A"/>
    <w:rsid w:val="009E5DF4"/>
    <w:rsid w:val="009E5EA4"/>
    <w:rsid w:val="009E6AC0"/>
    <w:rsid w:val="009E78E1"/>
    <w:rsid w:val="009E7CFA"/>
    <w:rsid w:val="009F126B"/>
    <w:rsid w:val="009F54D0"/>
    <w:rsid w:val="009F58F3"/>
    <w:rsid w:val="00A02454"/>
    <w:rsid w:val="00A031E1"/>
    <w:rsid w:val="00A03378"/>
    <w:rsid w:val="00A11825"/>
    <w:rsid w:val="00A12F70"/>
    <w:rsid w:val="00A136B2"/>
    <w:rsid w:val="00A14D39"/>
    <w:rsid w:val="00A16E76"/>
    <w:rsid w:val="00A16FB9"/>
    <w:rsid w:val="00A17EC0"/>
    <w:rsid w:val="00A20285"/>
    <w:rsid w:val="00A207AF"/>
    <w:rsid w:val="00A20EFE"/>
    <w:rsid w:val="00A22C54"/>
    <w:rsid w:val="00A230C5"/>
    <w:rsid w:val="00A24DC2"/>
    <w:rsid w:val="00A2649C"/>
    <w:rsid w:val="00A265C5"/>
    <w:rsid w:val="00A267B1"/>
    <w:rsid w:val="00A269F9"/>
    <w:rsid w:val="00A35FD1"/>
    <w:rsid w:val="00A411F6"/>
    <w:rsid w:val="00A414B9"/>
    <w:rsid w:val="00A4263C"/>
    <w:rsid w:val="00A44F72"/>
    <w:rsid w:val="00A45D63"/>
    <w:rsid w:val="00A47C79"/>
    <w:rsid w:val="00A522CD"/>
    <w:rsid w:val="00A53217"/>
    <w:rsid w:val="00A577C9"/>
    <w:rsid w:val="00A61101"/>
    <w:rsid w:val="00A62825"/>
    <w:rsid w:val="00A6291C"/>
    <w:rsid w:val="00A642E4"/>
    <w:rsid w:val="00A660D3"/>
    <w:rsid w:val="00A66B2A"/>
    <w:rsid w:val="00A676A2"/>
    <w:rsid w:val="00A67897"/>
    <w:rsid w:val="00A707AC"/>
    <w:rsid w:val="00A72448"/>
    <w:rsid w:val="00A75109"/>
    <w:rsid w:val="00A7534B"/>
    <w:rsid w:val="00A807BA"/>
    <w:rsid w:val="00A821AC"/>
    <w:rsid w:val="00A83979"/>
    <w:rsid w:val="00A8448A"/>
    <w:rsid w:val="00A84A38"/>
    <w:rsid w:val="00A84A5D"/>
    <w:rsid w:val="00A90BD2"/>
    <w:rsid w:val="00A91A1F"/>
    <w:rsid w:val="00A973DC"/>
    <w:rsid w:val="00A97EED"/>
    <w:rsid w:val="00AA0D85"/>
    <w:rsid w:val="00AA1503"/>
    <w:rsid w:val="00AA15E5"/>
    <w:rsid w:val="00AA4729"/>
    <w:rsid w:val="00AA4A61"/>
    <w:rsid w:val="00AA56F3"/>
    <w:rsid w:val="00AA5EA2"/>
    <w:rsid w:val="00AB02FC"/>
    <w:rsid w:val="00AB171D"/>
    <w:rsid w:val="00AB2950"/>
    <w:rsid w:val="00AB4395"/>
    <w:rsid w:val="00AB67A4"/>
    <w:rsid w:val="00AC1EC6"/>
    <w:rsid w:val="00AC697D"/>
    <w:rsid w:val="00AD0DE5"/>
    <w:rsid w:val="00AD0F9C"/>
    <w:rsid w:val="00AD2B06"/>
    <w:rsid w:val="00AD3A67"/>
    <w:rsid w:val="00AD3BF9"/>
    <w:rsid w:val="00AD7682"/>
    <w:rsid w:val="00AE549A"/>
    <w:rsid w:val="00AE5622"/>
    <w:rsid w:val="00AE6E89"/>
    <w:rsid w:val="00AF0CF8"/>
    <w:rsid w:val="00AF3B97"/>
    <w:rsid w:val="00AF48AE"/>
    <w:rsid w:val="00AF61BD"/>
    <w:rsid w:val="00AF7EB9"/>
    <w:rsid w:val="00B04AC5"/>
    <w:rsid w:val="00B100BD"/>
    <w:rsid w:val="00B10B8D"/>
    <w:rsid w:val="00B10DE0"/>
    <w:rsid w:val="00B2317A"/>
    <w:rsid w:val="00B23379"/>
    <w:rsid w:val="00B23D92"/>
    <w:rsid w:val="00B25144"/>
    <w:rsid w:val="00B31280"/>
    <w:rsid w:val="00B31B30"/>
    <w:rsid w:val="00B31FB2"/>
    <w:rsid w:val="00B354AC"/>
    <w:rsid w:val="00B37845"/>
    <w:rsid w:val="00B37899"/>
    <w:rsid w:val="00B423D4"/>
    <w:rsid w:val="00B46227"/>
    <w:rsid w:val="00B47597"/>
    <w:rsid w:val="00B52801"/>
    <w:rsid w:val="00B550BB"/>
    <w:rsid w:val="00B560D0"/>
    <w:rsid w:val="00B61240"/>
    <w:rsid w:val="00B61243"/>
    <w:rsid w:val="00B612F8"/>
    <w:rsid w:val="00B62514"/>
    <w:rsid w:val="00B630DD"/>
    <w:rsid w:val="00B63B71"/>
    <w:rsid w:val="00B73836"/>
    <w:rsid w:val="00B747F6"/>
    <w:rsid w:val="00B77466"/>
    <w:rsid w:val="00B808D9"/>
    <w:rsid w:val="00B8287F"/>
    <w:rsid w:val="00B8495B"/>
    <w:rsid w:val="00B8631F"/>
    <w:rsid w:val="00B87DA0"/>
    <w:rsid w:val="00B9211D"/>
    <w:rsid w:val="00B92DFE"/>
    <w:rsid w:val="00B941B0"/>
    <w:rsid w:val="00B9587F"/>
    <w:rsid w:val="00B95941"/>
    <w:rsid w:val="00B965DE"/>
    <w:rsid w:val="00B977FB"/>
    <w:rsid w:val="00BA2052"/>
    <w:rsid w:val="00BA36DE"/>
    <w:rsid w:val="00BA43D8"/>
    <w:rsid w:val="00BA575E"/>
    <w:rsid w:val="00BB0712"/>
    <w:rsid w:val="00BB0E5E"/>
    <w:rsid w:val="00BB11FB"/>
    <w:rsid w:val="00BB25F6"/>
    <w:rsid w:val="00BB5A96"/>
    <w:rsid w:val="00BB6DA4"/>
    <w:rsid w:val="00BB767C"/>
    <w:rsid w:val="00BC3AB3"/>
    <w:rsid w:val="00BC7586"/>
    <w:rsid w:val="00BC7FE7"/>
    <w:rsid w:val="00BD0934"/>
    <w:rsid w:val="00BD6340"/>
    <w:rsid w:val="00BD6976"/>
    <w:rsid w:val="00BE0120"/>
    <w:rsid w:val="00BE3EE8"/>
    <w:rsid w:val="00BE7836"/>
    <w:rsid w:val="00BF1FF6"/>
    <w:rsid w:val="00BF31FB"/>
    <w:rsid w:val="00BF3E4F"/>
    <w:rsid w:val="00BF4985"/>
    <w:rsid w:val="00BF4AEE"/>
    <w:rsid w:val="00BF4DA7"/>
    <w:rsid w:val="00BF5F91"/>
    <w:rsid w:val="00BF6719"/>
    <w:rsid w:val="00C0068B"/>
    <w:rsid w:val="00C028C3"/>
    <w:rsid w:val="00C036E3"/>
    <w:rsid w:val="00C0429F"/>
    <w:rsid w:val="00C047DC"/>
    <w:rsid w:val="00C04ADD"/>
    <w:rsid w:val="00C0575E"/>
    <w:rsid w:val="00C07B01"/>
    <w:rsid w:val="00C10281"/>
    <w:rsid w:val="00C121CA"/>
    <w:rsid w:val="00C13660"/>
    <w:rsid w:val="00C13998"/>
    <w:rsid w:val="00C13A3B"/>
    <w:rsid w:val="00C169A7"/>
    <w:rsid w:val="00C16BC4"/>
    <w:rsid w:val="00C17220"/>
    <w:rsid w:val="00C20C47"/>
    <w:rsid w:val="00C21132"/>
    <w:rsid w:val="00C21B22"/>
    <w:rsid w:val="00C230B7"/>
    <w:rsid w:val="00C231F2"/>
    <w:rsid w:val="00C2372C"/>
    <w:rsid w:val="00C261B3"/>
    <w:rsid w:val="00C27111"/>
    <w:rsid w:val="00C277A7"/>
    <w:rsid w:val="00C309C4"/>
    <w:rsid w:val="00C30D19"/>
    <w:rsid w:val="00C30EEB"/>
    <w:rsid w:val="00C32296"/>
    <w:rsid w:val="00C32EA8"/>
    <w:rsid w:val="00C34E00"/>
    <w:rsid w:val="00C41326"/>
    <w:rsid w:val="00C43E03"/>
    <w:rsid w:val="00C4474C"/>
    <w:rsid w:val="00C46AC4"/>
    <w:rsid w:val="00C46B5D"/>
    <w:rsid w:val="00C47E1C"/>
    <w:rsid w:val="00C50123"/>
    <w:rsid w:val="00C506C7"/>
    <w:rsid w:val="00C511CD"/>
    <w:rsid w:val="00C52AEE"/>
    <w:rsid w:val="00C55417"/>
    <w:rsid w:val="00C625E0"/>
    <w:rsid w:val="00C626B7"/>
    <w:rsid w:val="00C64AF9"/>
    <w:rsid w:val="00C64C15"/>
    <w:rsid w:val="00C67500"/>
    <w:rsid w:val="00C70DD6"/>
    <w:rsid w:val="00C70F42"/>
    <w:rsid w:val="00C71A9B"/>
    <w:rsid w:val="00C724B4"/>
    <w:rsid w:val="00C749B2"/>
    <w:rsid w:val="00C77C49"/>
    <w:rsid w:val="00C81178"/>
    <w:rsid w:val="00C834E8"/>
    <w:rsid w:val="00C8633B"/>
    <w:rsid w:val="00C86423"/>
    <w:rsid w:val="00C86EB7"/>
    <w:rsid w:val="00C90DB1"/>
    <w:rsid w:val="00C935B9"/>
    <w:rsid w:val="00C942F4"/>
    <w:rsid w:val="00C94AE7"/>
    <w:rsid w:val="00C97C39"/>
    <w:rsid w:val="00CA1545"/>
    <w:rsid w:val="00CA4629"/>
    <w:rsid w:val="00CA4D68"/>
    <w:rsid w:val="00CA55C7"/>
    <w:rsid w:val="00CA58E4"/>
    <w:rsid w:val="00CB0D4A"/>
    <w:rsid w:val="00CB4945"/>
    <w:rsid w:val="00CB5D03"/>
    <w:rsid w:val="00CB7642"/>
    <w:rsid w:val="00CB7D64"/>
    <w:rsid w:val="00CC25D2"/>
    <w:rsid w:val="00CC6E24"/>
    <w:rsid w:val="00CD1537"/>
    <w:rsid w:val="00CD1768"/>
    <w:rsid w:val="00CD229C"/>
    <w:rsid w:val="00CD40C8"/>
    <w:rsid w:val="00CD5991"/>
    <w:rsid w:val="00CD69E1"/>
    <w:rsid w:val="00CE0763"/>
    <w:rsid w:val="00CE259B"/>
    <w:rsid w:val="00CE2E7B"/>
    <w:rsid w:val="00CE319E"/>
    <w:rsid w:val="00CE3581"/>
    <w:rsid w:val="00CE43C2"/>
    <w:rsid w:val="00CE4FAB"/>
    <w:rsid w:val="00CE5A68"/>
    <w:rsid w:val="00CE7256"/>
    <w:rsid w:val="00CE7B5C"/>
    <w:rsid w:val="00CF0305"/>
    <w:rsid w:val="00CF2BB7"/>
    <w:rsid w:val="00CF4612"/>
    <w:rsid w:val="00CF4E9D"/>
    <w:rsid w:val="00CF4EEC"/>
    <w:rsid w:val="00CF63FD"/>
    <w:rsid w:val="00D01821"/>
    <w:rsid w:val="00D02FB2"/>
    <w:rsid w:val="00D03024"/>
    <w:rsid w:val="00D04317"/>
    <w:rsid w:val="00D06C19"/>
    <w:rsid w:val="00D07279"/>
    <w:rsid w:val="00D10D1E"/>
    <w:rsid w:val="00D12E81"/>
    <w:rsid w:val="00D15576"/>
    <w:rsid w:val="00D15BEC"/>
    <w:rsid w:val="00D211ED"/>
    <w:rsid w:val="00D21537"/>
    <w:rsid w:val="00D23DEC"/>
    <w:rsid w:val="00D25C0A"/>
    <w:rsid w:val="00D323E5"/>
    <w:rsid w:val="00D3738A"/>
    <w:rsid w:val="00D37505"/>
    <w:rsid w:val="00D37898"/>
    <w:rsid w:val="00D4037D"/>
    <w:rsid w:val="00D40FD0"/>
    <w:rsid w:val="00D41271"/>
    <w:rsid w:val="00D42EC4"/>
    <w:rsid w:val="00D44D9D"/>
    <w:rsid w:val="00D45275"/>
    <w:rsid w:val="00D46458"/>
    <w:rsid w:val="00D47E21"/>
    <w:rsid w:val="00D51494"/>
    <w:rsid w:val="00D52695"/>
    <w:rsid w:val="00D53A7F"/>
    <w:rsid w:val="00D55625"/>
    <w:rsid w:val="00D604CC"/>
    <w:rsid w:val="00D613D6"/>
    <w:rsid w:val="00D61F20"/>
    <w:rsid w:val="00D62A94"/>
    <w:rsid w:val="00D62B56"/>
    <w:rsid w:val="00D62C38"/>
    <w:rsid w:val="00D631B8"/>
    <w:rsid w:val="00D64F18"/>
    <w:rsid w:val="00D65165"/>
    <w:rsid w:val="00D66BC4"/>
    <w:rsid w:val="00D71EFC"/>
    <w:rsid w:val="00D723B5"/>
    <w:rsid w:val="00D7254E"/>
    <w:rsid w:val="00D73300"/>
    <w:rsid w:val="00D7405F"/>
    <w:rsid w:val="00D754D2"/>
    <w:rsid w:val="00D76F74"/>
    <w:rsid w:val="00D8102F"/>
    <w:rsid w:val="00D82EC8"/>
    <w:rsid w:val="00D852B7"/>
    <w:rsid w:val="00D8577D"/>
    <w:rsid w:val="00D85D84"/>
    <w:rsid w:val="00D86314"/>
    <w:rsid w:val="00D87C34"/>
    <w:rsid w:val="00D95537"/>
    <w:rsid w:val="00DA0120"/>
    <w:rsid w:val="00DA04C3"/>
    <w:rsid w:val="00DA0A12"/>
    <w:rsid w:val="00DA142B"/>
    <w:rsid w:val="00DA1B67"/>
    <w:rsid w:val="00DA1C9C"/>
    <w:rsid w:val="00DA2028"/>
    <w:rsid w:val="00DA2110"/>
    <w:rsid w:val="00DA27C2"/>
    <w:rsid w:val="00DA2F86"/>
    <w:rsid w:val="00DA33DE"/>
    <w:rsid w:val="00DA469B"/>
    <w:rsid w:val="00DA5A69"/>
    <w:rsid w:val="00DB1D41"/>
    <w:rsid w:val="00DB1E40"/>
    <w:rsid w:val="00DB1E72"/>
    <w:rsid w:val="00DB2D41"/>
    <w:rsid w:val="00DB3371"/>
    <w:rsid w:val="00DB3C68"/>
    <w:rsid w:val="00DB4AD9"/>
    <w:rsid w:val="00DB5221"/>
    <w:rsid w:val="00DB6638"/>
    <w:rsid w:val="00DC1951"/>
    <w:rsid w:val="00DC3288"/>
    <w:rsid w:val="00DC3982"/>
    <w:rsid w:val="00DC47F6"/>
    <w:rsid w:val="00DC54BD"/>
    <w:rsid w:val="00DC6174"/>
    <w:rsid w:val="00DD0C08"/>
    <w:rsid w:val="00DD1EDE"/>
    <w:rsid w:val="00DD54BF"/>
    <w:rsid w:val="00DD59A3"/>
    <w:rsid w:val="00DD622F"/>
    <w:rsid w:val="00DD63D7"/>
    <w:rsid w:val="00DD66B0"/>
    <w:rsid w:val="00DD71C3"/>
    <w:rsid w:val="00DE048E"/>
    <w:rsid w:val="00DE2418"/>
    <w:rsid w:val="00DE2798"/>
    <w:rsid w:val="00DE3318"/>
    <w:rsid w:val="00DE6B47"/>
    <w:rsid w:val="00DE7569"/>
    <w:rsid w:val="00DF1644"/>
    <w:rsid w:val="00DF1860"/>
    <w:rsid w:val="00DF2542"/>
    <w:rsid w:val="00DF26D2"/>
    <w:rsid w:val="00DF5C7E"/>
    <w:rsid w:val="00DF6949"/>
    <w:rsid w:val="00E035B4"/>
    <w:rsid w:val="00E0405B"/>
    <w:rsid w:val="00E05785"/>
    <w:rsid w:val="00E205BC"/>
    <w:rsid w:val="00E205EE"/>
    <w:rsid w:val="00E23DBB"/>
    <w:rsid w:val="00E25A7C"/>
    <w:rsid w:val="00E26374"/>
    <w:rsid w:val="00E26827"/>
    <w:rsid w:val="00E30E58"/>
    <w:rsid w:val="00E354C1"/>
    <w:rsid w:val="00E43466"/>
    <w:rsid w:val="00E51806"/>
    <w:rsid w:val="00E53FE9"/>
    <w:rsid w:val="00E544D3"/>
    <w:rsid w:val="00E54DE0"/>
    <w:rsid w:val="00E55DBE"/>
    <w:rsid w:val="00E61FCE"/>
    <w:rsid w:val="00E63E9F"/>
    <w:rsid w:val="00E678BF"/>
    <w:rsid w:val="00E73221"/>
    <w:rsid w:val="00E76085"/>
    <w:rsid w:val="00E76931"/>
    <w:rsid w:val="00E774A6"/>
    <w:rsid w:val="00E81606"/>
    <w:rsid w:val="00E81EBE"/>
    <w:rsid w:val="00E836BF"/>
    <w:rsid w:val="00E84741"/>
    <w:rsid w:val="00E864C3"/>
    <w:rsid w:val="00E87B84"/>
    <w:rsid w:val="00E958F6"/>
    <w:rsid w:val="00E963BD"/>
    <w:rsid w:val="00EA38D7"/>
    <w:rsid w:val="00EA4333"/>
    <w:rsid w:val="00EA452E"/>
    <w:rsid w:val="00EA47C1"/>
    <w:rsid w:val="00EA6527"/>
    <w:rsid w:val="00EA6B32"/>
    <w:rsid w:val="00EB17FA"/>
    <w:rsid w:val="00EB3A3F"/>
    <w:rsid w:val="00EB3FEE"/>
    <w:rsid w:val="00EB67DD"/>
    <w:rsid w:val="00EC006D"/>
    <w:rsid w:val="00EC2EE1"/>
    <w:rsid w:val="00EC5DAF"/>
    <w:rsid w:val="00EC64A5"/>
    <w:rsid w:val="00ED509B"/>
    <w:rsid w:val="00ED56AE"/>
    <w:rsid w:val="00ED6B07"/>
    <w:rsid w:val="00EE096C"/>
    <w:rsid w:val="00EE155F"/>
    <w:rsid w:val="00EE1691"/>
    <w:rsid w:val="00EE226B"/>
    <w:rsid w:val="00EE4E96"/>
    <w:rsid w:val="00EE632A"/>
    <w:rsid w:val="00EE71B8"/>
    <w:rsid w:val="00EE735B"/>
    <w:rsid w:val="00EF1E33"/>
    <w:rsid w:val="00EF2344"/>
    <w:rsid w:val="00EF23CE"/>
    <w:rsid w:val="00EF3930"/>
    <w:rsid w:val="00EF6FC2"/>
    <w:rsid w:val="00F00579"/>
    <w:rsid w:val="00F01C0A"/>
    <w:rsid w:val="00F052A3"/>
    <w:rsid w:val="00F054D4"/>
    <w:rsid w:val="00F13DCA"/>
    <w:rsid w:val="00F201A2"/>
    <w:rsid w:val="00F21288"/>
    <w:rsid w:val="00F21848"/>
    <w:rsid w:val="00F21F66"/>
    <w:rsid w:val="00F222B2"/>
    <w:rsid w:val="00F24056"/>
    <w:rsid w:val="00F247AF"/>
    <w:rsid w:val="00F26581"/>
    <w:rsid w:val="00F27D31"/>
    <w:rsid w:val="00F36C4A"/>
    <w:rsid w:val="00F40A6C"/>
    <w:rsid w:val="00F424AF"/>
    <w:rsid w:val="00F42DA2"/>
    <w:rsid w:val="00F43286"/>
    <w:rsid w:val="00F44B06"/>
    <w:rsid w:val="00F45FE3"/>
    <w:rsid w:val="00F4675E"/>
    <w:rsid w:val="00F46DBC"/>
    <w:rsid w:val="00F47BC8"/>
    <w:rsid w:val="00F50925"/>
    <w:rsid w:val="00F50D2D"/>
    <w:rsid w:val="00F52C83"/>
    <w:rsid w:val="00F57484"/>
    <w:rsid w:val="00F576EE"/>
    <w:rsid w:val="00F5782E"/>
    <w:rsid w:val="00F60F31"/>
    <w:rsid w:val="00F63EE9"/>
    <w:rsid w:val="00F64CCE"/>
    <w:rsid w:val="00F65684"/>
    <w:rsid w:val="00F66830"/>
    <w:rsid w:val="00F7212B"/>
    <w:rsid w:val="00F73943"/>
    <w:rsid w:val="00F769D9"/>
    <w:rsid w:val="00F83807"/>
    <w:rsid w:val="00F83883"/>
    <w:rsid w:val="00F90B9A"/>
    <w:rsid w:val="00F92445"/>
    <w:rsid w:val="00F93C09"/>
    <w:rsid w:val="00F94405"/>
    <w:rsid w:val="00F958C7"/>
    <w:rsid w:val="00F965D2"/>
    <w:rsid w:val="00F97455"/>
    <w:rsid w:val="00FA1EAA"/>
    <w:rsid w:val="00FA4276"/>
    <w:rsid w:val="00FA601E"/>
    <w:rsid w:val="00FA7174"/>
    <w:rsid w:val="00FB27E8"/>
    <w:rsid w:val="00FB6EEA"/>
    <w:rsid w:val="00FC3AD2"/>
    <w:rsid w:val="00FC53DB"/>
    <w:rsid w:val="00FC5780"/>
    <w:rsid w:val="00FC6B89"/>
    <w:rsid w:val="00FC6B8B"/>
    <w:rsid w:val="00FC748B"/>
    <w:rsid w:val="00FC7C33"/>
    <w:rsid w:val="00FD3422"/>
    <w:rsid w:val="00FD5829"/>
    <w:rsid w:val="00FD7E98"/>
    <w:rsid w:val="00FD7EBA"/>
    <w:rsid w:val="00FE46F9"/>
    <w:rsid w:val="00FE4E1C"/>
    <w:rsid w:val="00FF0452"/>
    <w:rsid w:val="00FF15E1"/>
    <w:rsid w:val="00FF1BA1"/>
    <w:rsid w:val="00FF3B7F"/>
    <w:rsid w:val="00FF4657"/>
    <w:rsid w:val="00FF5CC7"/>
    <w:rsid w:val="00FF6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F80AC8C"/>
  <w15:chartTrackingRefBased/>
  <w15:docId w15:val="{CF279190-CAAC-4741-BE84-7E618F701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41939"/>
    <w:pPr>
      <w:spacing w:before="240" w:after="240" w:line="240" w:lineRule="auto"/>
      <w:contextualSpacing/>
      <w:outlineLvl w:val="0"/>
    </w:pPr>
    <w:rPr>
      <w:rFonts w:ascii="Arial" w:eastAsia="Times New Roman" w:hAnsi="Arial" w:cs="Arial"/>
      <w:b/>
      <w:iCs/>
      <w:color w:val="0071B1"/>
      <w:sz w:val="24"/>
      <w:szCs w:val="24"/>
    </w:rPr>
  </w:style>
  <w:style w:type="paragraph" w:styleId="Heading2">
    <w:name w:val="heading 2"/>
    <w:basedOn w:val="Normal"/>
    <w:next w:val="Normal"/>
    <w:link w:val="Heading2Char"/>
    <w:uiPriority w:val="9"/>
    <w:semiHidden/>
    <w:unhideWhenUsed/>
    <w:qFormat/>
    <w:rsid w:val="001716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8">
    <w:name w:val="heading 8"/>
    <w:basedOn w:val="Normal"/>
    <w:next w:val="Normal"/>
    <w:link w:val="Heading8Char"/>
    <w:uiPriority w:val="9"/>
    <w:semiHidden/>
    <w:unhideWhenUsed/>
    <w:qFormat/>
    <w:rsid w:val="006E7FF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7FF0"/>
    <w:pPr>
      <w:spacing w:after="0" w:line="240" w:lineRule="auto"/>
    </w:pPr>
    <w:rPr>
      <w:rFonts w:ascii="Times New Roman" w:eastAsia="Times New Roman" w:hAnsi="Times New Roman" w:cs="Times New Roman"/>
      <w:sz w:val="20"/>
      <w:szCs w:val="20"/>
    </w:rPr>
    <w:tblPr/>
    <w:tcPr>
      <w:vAlign w:val="center"/>
    </w:tcPr>
  </w:style>
  <w:style w:type="paragraph" w:styleId="Header">
    <w:name w:val="header"/>
    <w:basedOn w:val="Normal"/>
    <w:link w:val="HeaderChar"/>
    <w:uiPriority w:val="99"/>
    <w:unhideWhenUsed/>
    <w:rsid w:val="006E7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7FF0"/>
  </w:style>
  <w:style w:type="paragraph" w:styleId="Footer">
    <w:name w:val="footer"/>
    <w:basedOn w:val="Normal"/>
    <w:link w:val="FooterChar"/>
    <w:uiPriority w:val="99"/>
    <w:unhideWhenUsed/>
    <w:rsid w:val="006E7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FF0"/>
  </w:style>
  <w:style w:type="paragraph" w:customStyle="1" w:styleId="Body10">
    <w:name w:val="Body 1.0"/>
    <w:basedOn w:val="Normal"/>
    <w:link w:val="Body10Char"/>
    <w:uiPriority w:val="1"/>
    <w:rsid w:val="006E7FF0"/>
    <w:pPr>
      <w:spacing w:after="120" w:line="240" w:lineRule="auto"/>
      <w:ind w:firstLine="720"/>
    </w:pPr>
    <w:rPr>
      <w:rFonts w:ascii="Times New Roman" w:eastAsia="Times New Roman" w:hAnsi="Times New Roman" w:cs="Times New Roman"/>
      <w:sz w:val="24"/>
      <w:szCs w:val="24"/>
    </w:rPr>
  </w:style>
  <w:style w:type="character" w:customStyle="1" w:styleId="Body10Char">
    <w:name w:val="Body 1.0 Char"/>
    <w:basedOn w:val="DefaultParagraphFont"/>
    <w:link w:val="Body10"/>
    <w:uiPriority w:val="1"/>
    <w:rsid w:val="006E7FF0"/>
    <w:rPr>
      <w:rFonts w:ascii="Times New Roman" w:eastAsia="Times New Roman" w:hAnsi="Times New Roman" w:cs="Times New Roman"/>
      <w:sz w:val="24"/>
      <w:szCs w:val="24"/>
    </w:rPr>
  </w:style>
  <w:style w:type="paragraph" w:customStyle="1" w:styleId="FootnoteBody">
    <w:name w:val="Footnote Body"/>
    <w:basedOn w:val="Normal"/>
    <w:uiPriority w:val="3"/>
    <w:qFormat/>
    <w:rsid w:val="006E7FF0"/>
    <w:pPr>
      <w:spacing w:after="0" w:line="240" w:lineRule="auto"/>
    </w:pPr>
    <w:rPr>
      <w:rFonts w:ascii="Times New Roman" w:eastAsia="Times New Roman" w:hAnsi="Times New Roman" w:cs="Times New Roman"/>
      <w:sz w:val="20"/>
      <w:szCs w:val="24"/>
    </w:rPr>
  </w:style>
  <w:style w:type="paragraph" w:customStyle="1" w:styleId="AppHeading2">
    <w:name w:val="App Heading 2"/>
    <w:basedOn w:val="Heading8"/>
    <w:link w:val="AppHeading2Char"/>
    <w:semiHidden/>
    <w:qFormat/>
    <w:rsid w:val="006E7FF0"/>
    <w:pPr>
      <w:keepNext w:val="0"/>
      <w:keepLines w:val="0"/>
      <w:spacing w:before="0" w:after="120" w:line="300" w:lineRule="auto"/>
    </w:pPr>
    <w:rPr>
      <w:rFonts w:ascii="Arial" w:eastAsia="Times New Roman" w:hAnsi="Arial" w:cs="Times New Roman"/>
      <w:b/>
      <w:iCs/>
      <w:color w:val="5F709A"/>
      <w:sz w:val="24"/>
      <w:szCs w:val="24"/>
    </w:rPr>
  </w:style>
  <w:style w:type="character" w:customStyle="1" w:styleId="AppHeading2Char">
    <w:name w:val="App Heading 2 Char"/>
    <w:basedOn w:val="DefaultParagraphFont"/>
    <w:link w:val="AppHeading2"/>
    <w:semiHidden/>
    <w:rsid w:val="006E7FF0"/>
    <w:rPr>
      <w:rFonts w:ascii="Arial" w:eastAsia="Times New Roman" w:hAnsi="Arial" w:cs="Times New Roman"/>
      <w:b/>
      <w:iCs/>
      <w:color w:val="5F709A"/>
      <w:sz w:val="24"/>
      <w:szCs w:val="24"/>
    </w:rPr>
  </w:style>
  <w:style w:type="character" w:customStyle="1" w:styleId="Heading8Char">
    <w:name w:val="Heading 8 Char"/>
    <w:basedOn w:val="DefaultParagraphFont"/>
    <w:link w:val="Heading8"/>
    <w:uiPriority w:val="9"/>
    <w:semiHidden/>
    <w:rsid w:val="006E7FF0"/>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qFormat/>
    <w:rsid w:val="009B718E"/>
    <w:pPr>
      <w:ind w:left="720"/>
      <w:contextualSpacing/>
    </w:pPr>
  </w:style>
  <w:style w:type="character" w:styleId="CommentReference">
    <w:name w:val="annotation reference"/>
    <w:basedOn w:val="DefaultParagraphFont"/>
    <w:uiPriority w:val="99"/>
    <w:semiHidden/>
    <w:unhideWhenUsed/>
    <w:rsid w:val="00AF48AE"/>
    <w:rPr>
      <w:sz w:val="16"/>
      <w:szCs w:val="16"/>
    </w:rPr>
  </w:style>
  <w:style w:type="paragraph" w:styleId="CommentText">
    <w:name w:val="annotation text"/>
    <w:basedOn w:val="Normal"/>
    <w:link w:val="CommentTextChar"/>
    <w:uiPriority w:val="99"/>
    <w:semiHidden/>
    <w:unhideWhenUsed/>
    <w:rsid w:val="00AF48AE"/>
    <w:pPr>
      <w:spacing w:line="240" w:lineRule="auto"/>
    </w:pPr>
    <w:rPr>
      <w:sz w:val="20"/>
      <w:szCs w:val="20"/>
    </w:rPr>
  </w:style>
  <w:style w:type="character" w:customStyle="1" w:styleId="CommentTextChar">
    <w:name w:val="Comment Text Char"/>
    <w:basedOn w:val="DefaultParagraphFont"/>
    <w:link w:val="CommentText"/>
    <w:uiPriority w:val="99"/>
    <w:semiHidden/>
    <w:rsid w:val="00AF48AE"/>
    <w:rPr>
      <w:sz w:val="20"/>
      <w:szCs w:val="20"/>
    </w:rPr>
  </w:style>
  <w:style w:type="paragraph" w:styleId="CommentSubject">
    <w:name w:val="annotation subject"/>
    <w:basedOn w:val="CommentText"/>
    <w:next w:val="CommentText"/>
    <w:link w:val="CommentSubjectChar"/>
    <w:uiPriority w:val="99"/>
    <w:semiHidden/>
    <w:unhideWhenUsed/>
    <w:rsid w:val="00AF48AE"/>
    <w:rPr>
      <w:b/>
      <w:bCs/>
    </w:rPr>
  </w:style>
  <w:style w:type="character" w:customStyle="1" w:styleId="CommentSubjectChar">
    <w:name w:val="Comment Subject Char"/>
    <w:basedOn w:val="CommentTextChar"/>
    <w:link w:val="CommentSubject"/>
    <w:uiPriority w:val="99"/>
    <w:semiHidden/>
    <w:rsid w:val="00AF48AE"/>
    <w:rPr>
      <w:b/>
      <w:bCs/>
      <w:sz w:val="20"/>
      <w:szCs w:val="20"/>
    </w:rPr>
  </w:style>
  <w:style w:type="paragraph" w:styleId="BalloonText">
    <w:name w:val="Balloon Text"/>
    <w:basedOn w:val="Normal"/>
    <w:link w:val="BalloonTextChar"/>
    <w:uiPriority w:val="99"/>
    <w:semiHidden/>
    <w:unhideWhenUsed/>
    <w:rsid w:val="00AF4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8AE"/>
    <w:rPr>
      <w:rFonts w:ascii="Segoe UI" w:hAnsi="Segoe UI" w:cs="Segoe UI"/>
      <w:sz w:val="18"/>
      <w:szCs w:val="18"/>
    </w:rPr>
  </w:style>
  <w:style w:type="character" w:customStyle="1" w:styleId="Heading1Char">
    <w:name w:val="Heading 1 Char"/>
    <w:basedOn w:val="DefaultParagraphFont"/>
    <w:link w:val="Heading1"/>
    <w:uiPriority w:val="9"/>
    <w:rsid w:val="00041939"/>
    <w:rPr>
      <w:rFonts w:ascii="Arial" w:eastAsia="Times New Roman" w:hAnsi="Arial" w:cs="Arial"/>
      <w:b/>
      <w:iCs/>
      <w:color w:val="0071B1"/>
      <w:sz w:val="24"/>
      <w:szCs w:val="24"/>
    </w:rPr>
  </w:style>
  <w:style w:type="paragraph" w:styleId="Revision">
    <w:name w:val="Revision"/>
    <w:hidden/>
    <w:uiPriority w:val="99"/>
    <w:semiHidden/>
    <w:rsid w:val="00D73300"/>
    <w:pPr>
      <w:spacing w:after="0" w:line="240" w:lineRule="auto"/>
    </w:pPr>
  </w:style>
  <w:style w:type="character" w:styleId="Hyperlink">
    <w:name w:val="Hyperlink"/>
    <w:basedOn w:val="DefaultParagraphFont"/>
    <w:uiPriority w:val="99"/>
    <w:unhideWhenUsed/>
    <w:rsid w:val="00697739"/>
    <w:rPr>
      <w:color w:val="0000FF"/>
      <w:u w:val="single"/>
    </w:rPr>
  </w:style>
  <w:style w:type="paragraph" w:customStyle="1" w:styleId="BodySingle">
    <w:name w:val="Body Single"/>
    <w:basedOn w:val="Normal"/>
    <w:link w:val="BodySingleChar"/>
    <w:uiPriority w:val="1"/>
    <w:qFormat/>
    <w:rsid w:val="0017165C"/>
    <w:pPr>
      <w:spacing w:after="120" w:line="240" w:lineRule="auto"/>
      <w:ind w:firstLine="720"/>
    </w:pPr>
    <w:rPr>
      <w:rFonts w:ascii="Times New Roman" w:eastAsia="Times New Roman" w:hAnsi="Times New Roman" w:cs="Times New Roman"/>
      <w:sz w:val="24"/>
      <w:szCs w:val="24"/>
    </w:rPr>
  </w:style>
  <w:style w:type="character" w:customStyle="1" w:styleId="BodySingleChar">
    <w:name w:val="Body Single Char"/>
    <w:basedOn w:val="DefaultParagraphFont"/>
    <w:link w:val="BodySingle"/>
    <w:uiPriority w:val="1"/>
    <w:rsid w:val="0017165C"/>
    <w:rPr>
      <w:rFonts w:ascii="Times New Roman" w:eastAsia="Times New Roman" w:hAnsi="Times New Roman" w:cs="Times New Roman"/>
      <w:sz w:val="24"/>
      <w:szCs w:val="24"/>
    </w:rPr>
  </w:style>
  <w:style w:type="paragraph" w:customStyle="1" w:styleId="CallNotesHeading1">
    <w:name w:val="Call Notes Heading 1"/>
    <w:basedOn w:val="Heading2"/>
    <w:next w:val="BodySingle"/>
    <w:link w:val="CallNotesHeading1Char"/>
    <w:qFormat/>
    <w:rsid w:val="0017165C"/>
    <w:pPr>
      <w:keepNext w:val="0"/>
      <w:keepLines w:val="0"/>
      <w:spacing w:before="0" w:after="120" w:line="240" w:lineRule="auto"/>
      <w:contextualSpacing/>
    </w:pPr>
    <w:rPr>
      <w:rFonts w:ascii="Arial" w:eastAsia="Times New Roman" w:hAnsi="Arial" w:cs="Arial"/>
      <w:b/>
      <w:iCs/>
      <w:color w:val="0071B1"/>
      <w:sz w:val="24"/>
      <w:szCs w:val="24"/>
    </w:rPr>
  </w:style>
  <w:style w:type="character" w:customStyle="1" w:styleId="CallNotesHeading1Char">
    <w:name w:val="Call Notes Heading 1 Char"/>
    <w:basedOn w:val="DefaultParagraphFont"/>
    <w:link w:val="CallNotesHeading1"/>
    <w:rsid w:val="0017165C"/>
    <w:rPr>
      <w:rFonts w:ascii="Arial" w:eastAsia="Times New Roman" w:hAnsi="Arial" w:cs="Arial"/>
      <w:b/>
      <w:iCs/>
      <w:color w:val="0071B1"/>
      <w:sz w:val="24"/>
      <w:szCs w:val="24"/>
    </w:rPr>
  </w:style>
  <w:style w:type="character" w:customStyle="1" w:styleId="Heading2Char">
    <w:name w:val="Heading 2 Char"/>
    <w:basedOn w:val="DefaultParagraphFont"/>
    <w:link w:val="Heading2"/>
    <w:uiPriority w:val="9"/>
    <w:semiHidden/>
    <w:rsid w:val="0017165C"/>
    <w:rPr>
      <w:rFonts w:asciiTheme="majorHAnsi" w:eastAsiaTheme="majorEastAsia" w:hAnsiTheme="majorHAnsi" w:cstheme="majorBidi"/>
      <w:color w:val="2E74B5" w:themeColor="accent1" w:themeShade="BF"/>
      <w:sz w:val="26"/>
      <w:szCs w:val="26"/>
    </w:rPr>
  </w:style>
  <w:style w:type="paragraph" w:customStyle="1" w:styleId="BulletList125">
    <w:name w:val="Bullet List 1.25"/>
    <w:basedOn w:val="Normal"/>
    <w:link w:val="BulletList125Char"/>
    <w:uiPriority w:val="2"/>
    <w:qFormat/>
    <w:rsid w:val="007C305B"/>
    <w:pPr>
      <w:spacing w:after="120" w:line="240" w:lineRule="auto"/>
      <w:contextualSpacing/>
    </w:pPr>
    <w:rPr>
      <w:rFonts w:ascii="Times New Roman" w:eastAsia="Times New Roman" w:hAnsi="Times New Roman" w:cs="Times New Roman"/>
      <w:sz w:val="24"/>
      <w:szCs w:val="24"/>
    </w:rPr>
  </w:style>
  <w:style w:type="character" w:customStyle="1" w:styleId="BulletList125Char">
    <w:name w:val="Bullet List 1.25 Char"/>
    <w:basedOn w:val="DefaultParagraphFont"/>
    <w:link w:val="BulletList125"/>
    <w:uiPriority w:val="2"/>
    <w:rsid w:val="007C305B"/>
    <w:rPr>
      <w:rFonts w:ascii="Times New Roman" w:eastAsia="Times New Roman" w:hAnsi="Times New Roman" w:cs="Times New Roman"/>
      <w:sz w:val="24"/>
      <w:szCs w:val="24"/>
    </w:rPr>
  </w:style>
  <w:style w:type="paragraph" w:customStyle="1" w:styleId="BodyLeftSingle">
    <w:name w:val="Body Left Single"/>
    <w:basedOn w:val="Normal"/>
    <w:link w:val="BodyLeftSingleChar"/>
    <w:uiPriority w:val="1"/>
    <w:qFormat/>
    <w:rsid w:val="00803A14"/>
    <w:pPr>
      <w:spacing w:after="120" w:line="240" w:lineRule="auto"/>
    </w:pPr>
    <w:rPr>
      <w:rFonts w:ascii="Times New Roman" w:eastAsia="Times New Roman" w:hAnsi="Times New Roman" w:cs="Times New Roman"/>
      <w:sz w:val="24"/>
      <w:szCs w:val="24"/>
    </w:rPr>
  </w:style>
  <w:style w:type="character" w:customStyle="1" w:styleId="BodyLeftSingleChar">
    <w:name w:val="Body Left Single Char"/>
    <w:basedOn w:val="DefaultParagraphFont"/>
    <w:link w:val="BodyLeftSingle"/>
    <w:uiPriority w:val="1"/>
    <w:rsid w:val="00803A14"/>
    <w:rPr>
      <w:rFonts w:ascii="Times New Roman" w:eastAsia="Times New Roman" w:hAnsi="Times New Roman" w:cs="Times New Roman"/>
      <w:sz w:val="24"/>
      <w:szCs w:val="24"/>
    </w:rPr>
  </w:style>
  <w:style w:type="paragraph" w:customStyle="1" w:styleId="BulletList">
    <w:name w:val="Bullet List"/>
    <w:basedOn w:val="Normal"/>
    <w:uiPriority w:val="10"/>
    <w:rsid w:val="00803A14"/>
    <w:pPr>
      <w:numPr>
        <w:numId w:val="2"/>
      </w:numPr>
      <w:spacing w:before="120" w:after="120" w:line="240" w:lineRule="auto"/>
    </w:pPr>
    <w:rPr>
      <w:rFonts w:ascii="Times New Roman" w:hAnsi="Times New Roman" w:cs="Times New Roman"/>
      <w:sz w:val="24"/>
      <w:szCs w:val="24"/>
    </w:rPr>
  </w:style>
  <w:style w:type="table" w:styleId="GridTable1Light">
    <w:name w:val="Grid Table 1 Light"/>
    <w:basedOn w:val="TableNormal"/>
    <w:uiPriority w:val="46"/>
    <w:rsid w:val="009E7CF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AA56F3"/>
    <w:rPr>
      <w:color w:val="954F72" w:themeColor="followedHyperlink"/>
      <w:u w:val="single"/>
    </w:rPr>
  </w:style>
  <w:style w:type="table" w:customStyle="1" w:styleId="AcumenStyle">
    <w:name w:val="Acumen Style"/>
    <w:basedOn w:val="TableGrid"/>
    <w:uiPriority w:val="99"/>
    <w:qFormat/>
    <w:rsid w:val="007C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F5C7E"/>
    <w:pPr>
      <w:spacing w:after="0" w:line="240" w:lineRule="auto"/>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F5C7E"/>
    <w:pPr>
      <w:spacing w:after="200" w:line="240" w:lineRule="auto"/>
    </w:pPr>
    <w:rPr>
      <w:i/>
      <w:iCs/>
      <w:color w:val="44546A" w:themeColor="text2"/>
      <w:sz w:val="18"/>
      <w:szCs w:val="18"/>
    </w:rPr>
  </w:style>
  <w:style w:type="paragraph" w:styleId="TOCHeading">
    <w:name w:val="TOC Heading"/>
    <w:basedOn w:val="Heading1"/>
    <w:next w:val="Normal"/>
    <w:uiPriority w:val="39"/>
    <w:unhideWhenUsed/>
    <w:qFormat/>
    <w:rsid w:val="00714F19"/>
    <w:pPr>
      <w:keepNext/>
      <w:keepLines/>
      <w:spacing w:after="0" w:line="259" w:lineRule="auto"/>
      <w:contextualSpacing w:val="0"/>
      <w:outlineLvl w:val="9"/>
    </w:pPr>
    <w:rPr>
      <w:rFonts w:asciiTheme="majorHAnsi" w:eastAsiaTheme="majorEastAsia" w:hAnsiTheme="majorHAnsi" w:cstheme="majorBidi"/>
      <w:b w:val="0"/>
      <w:iCs w:val="0"/>
      <w:color w:val="2E74B5" w:themeColor="accent1" w:themeShade="BF"/>
      <w:sz w:val="32"/>
      <w:szCs w:val="32"/>
    </w:rPr>
  </w:style>
  <w:style w:type="paragraph" w:styleId="TOC1">
    <w:name w:val="toc 1"/>
    <w:basedOn w:val="Normal"/>
    <w:next w:val="Normal"/>
    <w:autoRedefine/>
    <w:uiPriority w:val="39"/>
    <w:unhideWhenUsed/>
    <w:rsid w:val="00714F1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18394">
      <w:bodyDiv w:val="1"/>
      <w:marLeft w:val="0"/>
      <w:marRight w:val="0"/>
      <w:marTop w:val="0"/>
      <w:marBottom w:val="0"/>
      <w:divBdr>
        <w:top w:val="none" w:sz="0" w:space="0" w:color="auto"/>
        <w:left w:val="none" w:sz="0" w:space="0" w:color="auto"/>
        <w:bottom w:val="none" w:sz="0" w:space="0" w:color="auto"/>
        <w:right w:val="none" w:sz="0" w:space="0" w:color="auto"/>
      </w:divBdr>
    </w:div>
    <w:div w:id="495609042">
      <w:bodyDiv w:val="1"/>
      <w:marLeft w:val="0"/>
      <w:marRight w:val="0"/>
      <w:marTop w:val="0"/>
      <w:marBottom w:val="0"/>
      <w:divBdr>
        <w:top w:val="none" w:sz="0" w:space="0" w:color="auto"/>
        <w:left w:val="none" w:sz="0" w:space="0" w:color="auto"/>
        <w:bottom w:val="none" w:sz="0" w:space="0" w:color="auto"/>
        <w:right w:val="none" w:sz="0" w:space="0" w:color="auto"/>
      </w:divBdr>
    </w:div>
    <w:div w:id="564072107">
      <w:bodyDiv w:val="1"/>
      <w:marLeft w:val="0"/>
      <w:marRight w:val="0"/>
      <w:marTop w:val="0"/>
      <w:marBottom w:val="0"/>
      <w:divBdr>
        <w:top w:val="none" w:sz="0" w:space="0" w:color="auto"/>
        <w:left w:val="none" w:sz="0" w:space="0" w:color="auto"/>
        <w:bottom w:val="none" w:sz="0" w:space="0" w:color="auto"/>
        <w:right w:val="none" w:sz="0" w:space="0" w:color="auto"/>
      </w:divBdr>
    </w:div>
    <w:div w:id="955671289">
      <w:bodyDiv w:val="1"/>
      <w:marLeft w:val="0"/>
      <w:marRight w:val="0"/>
      <w:marTop w:val="0"/>
      <w:marBottom w:val="0"/>
      <w:divBdr>
        <w:top w:val="none" w:sz="0" w:space="0" w:color="auto"/>
        <w:left w:val="none" w:sz="0" w:space="0" w:color="auto"/>
        <w:bottom w:val="none" w:sz="0" w:space="0" w:color="auto"/>
        <w:right w:val="none" w:sz="0" w:space="0" w:color="auto"/>
      </w:divBdr>
    </w:div>
    <w:div w:id="967974658">
      <w:bodyDiv w:val="1"/>
      <w:marLeft w:val="0"/>
      <w:marRight w:val="0"/>
      <w:marTop w:val="0"/>
      <w:marBottom w:val="0"/>
      <w:divBdr>
        <w:top w:val="none" w:sz="0" w:space="0" w:color="auto"/>
        <w:left w:val="none" w:sz="0" w:space="0" w:color="auto"/>
        <w:bottom w:val="none" w:sz="0" w:space="0" w:color="auto"/>
        <w:right w:val="none" w:sz="0" w:space="0" w:color="auto"/>
      </w:divBdr>
    </w:div>
    <w:div w:id="1267690109">
      <w:bodyDiv w:val="1"/>
      <w:marLeft w:val="0"/>
      <w:marRight w:val="0"/>
      <w:marTop w:val="0"/>
      <w:marBottom w:val="0"/>
      <w:divBdr>
        <w:top w:val="none" w:sz="0" w:space="0" w:color="auto"/>
        <w:left w:val="none" w:sz="0" w:space="0" w:color="auto"/>
        <w:bottom w:val="none" w:sz="0" w:space="0" w:color="auto"/>
        <w:right w:val="none" w:sz="0" w:space="0" w:color="auto"/>
      </w:divBdr>
    </w:div>
    <w:div w:id="1771585167">
      <w:bodyDiv w:val="1"/>
      <w:marLeft w:val="0"/>
      <w:marRight w:val="0"/>
      <w:marTop w:val="0"/>
      <w:marBottom w:val="0"/>
      <w:divBdr>
        <w:top w:val="none" w:sz="0" w:space="0" w:color="auto"/>
        <w:left w:val="none" w:sz="0" w:space="0" w:color="auto"/>
        <w:bottom w:val="none" w:sz="0" w:space="0" w:color="auto"/>
        <w:right w:val="none" w:sz="0" w:space="0" w:color="auto"/>
      </w:divBdr>
    </w:div>
    <w:div w:id="1797790863">
      <w:bodyDiv w:val="1"/>
      <w:marLeft w:val="0"/>
      <w:marRight w:val="0"/>
      <w:marTop w:val="0"/>
      <w:marBottom w:val="0"/>
      <w:divBdr>
        <w:top w:val="none" w:sz="0" w:space="0" w:color="auto"/>
        <w:left w:val="none" w:sz="0" w:space="0" w:color="auto"/>
        <w:bottom w:val="none" w:sz="0" w:space="0" w:color="auto"/>
        <w:right w:val="none" w:sz="0" w:space="0" w:color="auto"/>
      </w:divBdr>
    </w:div>
    <w:div w:id="2004310294">
      <w:bodyDiv w:val="1"/>
      <w:marLeft w:val="0"/>
      <w:marRight w:val="0"/>
      <w:marTop w:val="0"/>
      <w:marBottom w:val="0"/>
      <w:divBdr>
        <w:top w:val="none" w:sz="0" w:space="0" w:color="auto"/>
        <w:left w:val="none" w:sz="0" w:space="0" w:color="auto"/>
        <w:bottom w:val="none" w:sz="0" w:space="0" w:color="auto"/>
        <w:right w:val="none" w:sz="0" w:space="0" w:color="auto"/>
      </w:divBdr>
    </w:div>
    <w:div w:id="202219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4EE79-C0E9-4112-BE5D-568EFBC4C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Layla Taha</dc:creator>
  <cp:keywords/>
  <dc:description/>
  <cp:lastModifiedBy>Layla Taha</cp:lastModifiedBy>
  <cp:revision>3</cp:revision>
  <dcterms:created xsi:type="dcterms:W3CDTF">2021-04-01T23:14:00Z</dcterms:created>
  <dcterms:modified xsi:type="dcterms:W3CDTF">2021-04-01T23:15:00Z</dcterms:modified>
</cp:coreProperties>
</file>