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32F59614"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color w:val="0006FE"/>
          </w:rPr>
          <w:id w:val="1103681744"/>
          <w:placeholder>
            <w:docPart w:val="AB1B0578B87C4E9EA043F449B0E6989F"/>
          </w:placeholder>
        </w:sdtPr>
        <w:sdtEndPr>
          <w:rPr>
            <w:rStyle w:val="DefaultParagraphFont"/>
            <w:rFonts w:cstheme="minorHAnsi"/>
            <w:b/>
            <w:noProof/>
          </w:rPr>
        </w:sdtEndPr>
        <w:sdtContent>
          <w:r w:rsidR="00FB7B9C">
            <w:rPr>
              <w:rStyle w:val="Style1"/>
              <w:color w:val="0006FE"/>
            </w:rPr>
            <w:t>06</w:t>
          </w:r>
          <w:r w:rsidR="00FB7B9C" w:rsidRPr="002F6FDA">
            <w:rPr>
              <w:rStyle w:val="Style1"/>
            </w:rPr>
            <w:t>79</w:t>
          </w:r>
        </w:sdtContent>
      </w:sdt>
    </w:p>
    <w:p w14:paraId="55B8DA2F" w14:textId="20EB7D94" w:rsidR="00496AF8" w:rsidRPr="003B1CC5" w:rsidRDefault="00496AF8" w:rsidP="002E2177">
      <w:pPr>
        <w:ind w:left="0" w:firstLine="0"/>
        <w:rPr>
          <w:noProof/>
        </w:rPr>
      </w:pPr>
      <w:r w:rsidRPr="003B1CC5">
        <w:rPr>
          <w:b/>
          <w:noProof/>
        </w:rPr>
        <w:t>Measure Title</w:t>
      </w:r>
      <w:r w:rsidRPr="003B1CC5">
        <w:rPr>
          <w:noProof/>
        </w:rPr>
        <w:t>:</w:t>
      </w:r>
      <w:r w:rsidR="00A76BE5">
        <w:rPr>
          <w:noProof/>
        </w:rPr>
        <w:t xml:space="preserve"> </w:t>
      </w:r>
      <w:sdt>
        <w:sdtPr>
          <w:rPr>
            <w:rStyle w:val="Style1"/>
            <w:color w:val="0006FE"/>
          </w:rPr>
          <w:id w:val="-882640736"/>
          <w:placeholder>
            <w:docPart w:val="61E91D4220034A64A72268AE9C6EBC95"/>
          </w:placeholder>
        </w:sdtPr>
        <w:sdtEndPr>
          <w:rPr>
            <w:rStyle w:val="DefaultParagraphFont"/>
            <w:noProof/>
          </w:rPr>
        </w:sdtEndPr>
        <w:sdtContent>
          <w:sdt>
            <w:sdtPr>
              <w:rPr>
                <w:rStyle w:val="Style1"/>
                <w:rFonts w:eastAsiaTheme="minorEastAsia"/>
                <w:color w:val="0006FE"/>
              </w:rPr>
              <w:id w:val="-291436900"/>
              <w:placeholder>
                <w:docPart w:val="3F645D24C06F45C992FC6EAF5AF7F3FD"/>
              </w:placeholder>
            </w:sdtPr>
            <w:sdtEndPr>
              <w:rPr>
                <w:rStyle w:val="DefaultParagraphFont"/>
                <w:rFonts w:ascii="Calibri" w:eastAsiaTheme="minorHAnsi" w:hAnsi="Calibri"/>
                <w:sz w:val="20"/>
                <w:szCs w:val="20"/>
              </w:rPr>
            </w:sdtEndPr>
            <w:sdtContent>
              <w:r w:rsidR="0004431B">
                <w:rPr>
                  <w:rStyle w:val="Style1"/>
                  <w:rFonts w:eastAsiaTheme="minorEastAsia"/>
                  <w:color w:val="0006FE"/>
                </w:rPr>
                <w:t>Percentage of Long-Stay High-Risk Residents with Pressure Ulcers</w:t>
              </w:r>
            </w:sdtContent>
          </w:sdt>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9AE9784" w14:textId="284C7110" w:rsidR="00FB4D30" w:rsidRPr="004E1764" w:rsidRDefault="00FB4D30" w:rsidP="00FB4D30">
      <w:pPr>
        <w:ind w:left="0" w:firstLine="0"/>
        <w:rPr>
          <w:rStyle w:val="Style2"/>
          <w:color w:val="7030A0"/>
        </w:rPr>
      </w:pPr>
      <w:r w:rsidRPr="003B1CC5">
        <w:rPr>
          <w:b/>
          <w:noProof/>
        </w:rPr>
        <w:t>Date of Submission</w:t>
      </w:r>
      <w:r w:rsidRPr="003B1CC5">
        <w:rPr>
          <w:noProof/>
        </w:rPr>
        <w:t>:</w:t>
      </w:r>
      <w:r>
        <w:rPr>
          <w:noProof/>
        </w:rPr>
        <w:t xml:space="preserve"> </w:t>
      </w:r>
      <w:sdt>
        <w:sdtPr>
          <w:rPr>
            <w:rStyle w:val="Style2"/>
          </w:rPr>
          <w:id w:val="-1689821638"/>
          <w:placeholder>
            <w:docPart w:val="6E5C0CF3363D41C693D3075993D83BDB"/>
          </w:placeholder>
          <w:date w:fullDate="2021-04-02T00:00:00Z">
            <w:dateFormat w:val="M/d/yyyy"/>
            <w:lid w:val="en-US"/>
            <w:storeMappedDataAs w:val="dateTime"/>
            <w:calendar w:val="gregorian"/>
          </w:date>
        </w:sdtPr>
        <w:sdtEndPr>
          <w:rPr>
            <w:rStyle w:val="DefaultParagraphFont"/>
            <w:noProof/>
            <w:color w:val="auto"/>
            <w:u w:val="none"/>
          </w:rPr>
        </w:sdtEndPr>
        <w:sdtContent>
          <w:r w:rsidR="0004431B">
            <w:rPr>
              <w:rStyle w:val="Style2"/>
            </w:rPr>
            <w:t>4/2/2021</w:t>
          </w:r>
        </w:sdtContent>
      </w:sdt>
    </w:p>
    <w:p w14:paraId="55B8DA32" w14:textId="77777777" w:rsidR="00176E60" w:rsidRPr="0038014E" w:rsidRDefault="00176E60" w:rsidP="002E2177">
      <w:pPr>
        <w:ind w:left="0" w:firstLine="0"/>
        <w:rPr>
          <w:rStyle w:val="Style2"/>
          <w:color w:val="7030A0"/>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2B5113">
            <w:pPr>
              <w:pStyle w:val="CommentText"/>
              <w:numPr>
                <w:ilvl w:val="0"/>
                <w:numId w:val="1"/>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2B5113">
            <w:pPr>
              <w:pStyle w:val="CommentText"/>
              <w:numPr>
                <w:ilvl w:val="0"/>
                <w:numId w:val="1"/>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6F04D9BC" w:rsidR="00024526" w:rsidRPr="003B1CC5" w:rsidRDefault="00024526" w:rsidP="002B5113">
            <w:pPr>
              <w:pStyle w:val="CommentText"/>
              <w:numPr>
                <w:ilvl w:val="0"/>
                <w:numId w:val="1"/>
              </w:numPr>
              <w:rPr>
                <w:i/>
                <w:sz w:val="22"/>
                <w:szCs w:val="22"/>
              </w:rPr>
            </w:pPr>
            <w:r w:rsidRPr="003B1CC5">
              <w:rPr>
                <w:i/>
                <w:sz w:val="22"/>
                <w:szCs w:val="22"/>
              </w:rPr>
              <w:t>For composite performance measures:</w:t>
            </w:r>
            <w:r w:rsidR="00A76BE5">
              <w:rPr>
                <w:i/>
                <w:sz w:val="22"/>
                <w:szCs w:val="22"/>
              </w:rPr>
              <w:t xml:space="preserve"> </w:t>
            </w:r>
          </w:p>
          <w:p w14:paraId="55B8DA37" w14:textId="77777777" w:rsidR="00024526" w:rsidRPr="003B1CC5" w:rsidRDefault="00024526" w:rsidP="002B5113">
            <w:pPr>
              <w:pStyle w:val="CommentText"/>
              <w:numPr>
                <w:ilvl w:val="1"/>
                <w:numId w:val="1"/>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2B5113">
            <w:pPr>
              <w:pStyle w:val="CommentText"/>
              <w:numPr>
                <w:ilvl w:val="1"/>
                <w:numId w:val="1"/>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3B8F1E06" w:rsidR="002F20A7" w:rsidRPr="003B1CC5" w:rsidRDefault="008B652E" w:rsidP="002B5113">
            <w:pPr>
              <w:pStyle w:val="ListParagraph"/>
              <w:numPr>
                <w:ilvl w:val="0"/>
                <w:numId w:val="1"/>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w:t>
            </w:r>
            <w:r w:rsidR="00A76BE5">
              <w:t xml:space="preserve"> </w:t>
            </w:r>
            <w:r w:rsidRPr="003B1CC5">
              <w:t xml:space="preserve">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2B5113">
            <w:pPr>
              <w:pStyle w:val="ListParagraph"/>
              <w:numPr>
                <w:ilvl w:val="0"/>
                <w:numId w:val="1"/>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2B5113">
            <w:pPr>
              <w:pStyle w:val="ListParagraph"/>
              <w:numPr>
                <w:ilvl w:val="0"/>
                <w:numId w:val="1"/>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46FFCBC6"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1a. Evidence to Support the Measure Focus</w:t>
            </w:r>
            <w:r w:rsidR="00A76BE5">
              <w:rPr>
                <w:rFonts w:asciiTheme="minorHAnsi" w:hAnsiTheme="minorHAnsi"/>
                <w:sz w:val="20"/>
                <w:szCs w:val="20"/>
              </w:rPr>
              <w:t xml:space="preserve">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1F33CFBA" w:rsidR="008659ED" w:rsidRPr="0061327A" w:rsidRDefault="00B35C5F" w:rsidP="002B5113">
            <w:pPr>
              <w:numPr>
                <w:ilvl w:val="0"/>
                <w:numId w:val="2"/>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AC669C">
              <w:rPr>
                <w:rFonts w:eastAsia="Calibri" w:cs="Calibri"/>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8014E">
              <w:rPr>
                <w:rFonts w:eastAsia="Calibri" w:cs="Calibri"/>
                <w:color w:val="7030A0"/>
                <w:sz w:val="20"/>
                <w:szCs w:val="20"/>
              </w:rPr>
              <w:t xml:space="preserve"> </w:t>
            </w:r>
            <w:r w:rsidRPr="00B35C5F">
              <w:rPr>
                <w:rFonts w:eastAsia="Calibri" w:cs="Calibri"/>
                <w:sz w:val="20"/>
                <w:szCs w:val="20"/>
              </w:rPr>
              <w:t>Empirical data demonstrate a relationship between the outcome and at least one healthcare structure, process, intervention, or service.</w:t>
            </w:r>
            <w:r w:rsidR="00A76BE5">
              <w:rPr>
                <w:rFonts w:eastAsia="Calibri" w:cs="Calibri"/>
                <w:sz w:val="20"/>
                <w:szCs w:val="20"/>
              </w:rPr>
              <w:t xml:space="preserve"> </w:t>
            </w:r>
            <w:r w:rsidRPr="00B35C5F">
              <w:rPr>
                <w:rFonts w:eastAsia="Calibri" w:cs="Calibri"/>
                <w:sz w:val="20"/>
                <w:szCs w:val="20"/>
              </w:rPr>
              <w:t>If not available, wide variation in performance can be used as evidence, assuming the data are from a robust number of providers and results are not subject to systematic bias.</w:t>
            </w:r>
            <w:r w:rsidR="00A76BE5">
              <w:rPr>
                <w:rFonts w:eastAsia="Calibri" w:cs="Calibri"/>
                <w:sz w:val="20"/>
                <w:szCs w:val="20"/>
              </w:rPr>
              <w:t xml:space="preserve"> </w:t>
            </w:r>
          </w:p>
          <w:p w14:paraId="55B8DA43" w14:textId="77777777" w:rsidR="008659ED" w:rsidRPr="003B1CC5" w:rsidRDefault="008659ED" w:rsidP="002B5113">
            <w:pPr>
              <w:numPr>
                <w:ilvl w:val="0"/>
                <w:numId w:val="2"/>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2B5113">
            <w:pPr>
              <w:numPr>
                <w:ilvl w:val="0"/>
                <w:numId w:val="2"/>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31B96E07" w:rsidR="008659ED" w:rsidRPr="003B1CC5" w:rsidRDefault="008659ED" w:rsidP="002B5113">
            <w:pPr>
              <w:numPr>
                <w:ilvl w:val="0"/>
                <w:numId w:val="3"/>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00A76BE5">
              <w:rPr>
                <w:rFonts w:eastAsia="Calibri" w:cs="Calibri"/>
                <w:b/>
                <w:sz w:val="20"/>
                <w:szCs w:val="20"/>
                <w:vertAlign w:val="superscript"/>
              </w:rPr>
              <w:t xml:space="preserve"> </w:t>
            </w:r>
            <w:r w:rsidRPr="003B1CC5">
              <w:rPr>
                <w:rFonts w:eastAsia="Calibri" w:cs="Calibri"/>
                <w:bCs/>
                <w:sz w:val="20"/>
                <w:szCs w:val="20"/>
              </w:rPr>
              <w:t>that the measured structure leads to a desired health outcome.</w:t>
            </w:r>
          </w:p>
          <w:p w14:paraId="56E2DE06" w14:textId="27691AAB" w:rsidR="00B35C5F" w:rsidRPr="00EE6069" w:rsidRDefault="008659ED" w:rsidP="002B5113">
            <w:pPr>
              <w:pStyle w:val="ListParagraph"/>
              <w:numPr>
                <w:ilvl w:val="0"/>
                <w:numId w:val="3"/>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2B5113">
            <w:pPr>
              <w:pStyle w:val="ListParagraph"/>
              <w:numPr>
                <w:ilvl w:val="0"/>
                <w:numId w:val="3"/>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2B5113">
            <w:pPr>
              <w:numPr>
                <w:ilvl w:val="0"/>
                <w:numId w:val="3"/>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2600F6BC"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Grading of Recommendations, Assessment, Development and Evaluation</w:t>
            </w:r>
            <w:r w:rsidRPr="00096FE1">
              <w:rPr>
                <w:rFonts w:eastAsia="Calibri" w:cs="Calibri"/>
                <w:color w:val="0006FE"/>
                <w:sz w:val="20"/>
                <w:szCs w:val="20"/>
              </w:rPr>
              <w:t xml:space="preserve"> </w:t>
            </w:r>
            <w:hyperlink r:id="rId12" w:history="1">
              <w:r w:rsidRPr="00096FE1">
                <w:rPr>
                  <w:rFonts w:eastAsia="Calibri" w:cs="Calibri"/>
                  <w:color w:val="0006FE"/>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proofErr w:type="gramStart"/>
            <w:r w:rsidRPr="003B1CC5">
              <w:rPr>
                <w:rFonts w:eastAsia="Calibri" w:cs="Calibri"/>
                <w:sz w:val="20"/>
                <w:szCs w:val="20"/>
              </w:rPr>
              <w:lastRenderedPageBreak/>
              <w:t>step</w:t>
            </w:r>
            <w:proofErr w:type="gramEnd"/>
            <w:r w:rsidRPr="003B1CC5">
              <w:rPr>
                <w:rFonts w:eastAsia="Calibri" w:cs="Calibri"/>
                <w:sz w:val="20"/>
                <w:szCs w:val="20"/>
              </w:rPr>
              <w:t xml:space="preserve">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096FE1">
                <w:rPr>
                  <w:rFonts w:eastAsia="Calibri" w:cs="Calibri"/>
                  <w:color w:val="0006FE"/>
                  <w:sz w:val="20"/>
                  <w:szCs w:val="20"/>
                  <w:u w:val="single"/>
                </w:rPr>
                <w:t>Measurement Framework: Evaluating Efficiency Across Episodes of Care</w:t>
              </w:r>
            </w:hyperlink>
            <w:r w:rsidRPr="00096FE1">
              <w:rPr>
                <w:rFonts w:eastAsia="Calibri" w:cs="Calibri"/>
                <w:color w:val="0006FE"/>
                <w:sz w:val="20"/>
                <w:szCs w:val="20"/>
              </w:rPr>
              <w:t xml:space="preserve">; </w:t>
            </w:r>
            <w:hyperlink r:id="rId14" w:history="1">
              <w:r w:rsidRPr="00096FE1">
                <w:rPr>
                  <w:rFonts w:eastAsia="Calibri" w:cs="Calibri"/>
                  <w:color w:val="0006FE"/>
                  <w:sz w:val="20"/>
                  <w:szCs w:val="20"/>
                  <w:u w:val="single"/>
                </w:rPr>
                <w:t>AQA Principles of Efficiency Measures</w:t>
              </w:r>
            </w:hyperlink>
            <w:r w:rsidRPr="003B1CC5">
              <w:rPr>
                <w:rFonts w:eastAsia="Calibri" w:cs="Calibri"/>
                <w:sz w:val="20"/>
                <w:szCs w:val="20"/>
              </w:rPr>
              <w:t>).</w:t>
            </w:r>
          </w:p>
        </w:tc>
      </w:tr>
    </w:tbl>
    <w:p w14:paraId="55B8DA4E" w14:textId="77777777" w:rsidR="00F81FE3" w:rsidRPr="0038014E" w:rsidRDefault="00F81FE3" w:rsidP="002E2177">
      <w:pPr>
        <w:ind w:left="0" w:firstLine="0"/>
        <w:rPr>
          <w:b/>
          <w:bCs/>
          <w:color w:val="7030A0"/>
        </w:rPr>
      </w:pPr>
    </w:p>
    <w:p w14:paraId="55B8DA4F" w14:textId="6DBC4289" w:rsidR="00A67EB1" w:rsidRPr="00096FE1" w:rsidRDefault="00496AF8" w:rsidP="005A0E2D">
      <w:pPr>
        <w:ind w:left="547" w:hanging="547"/>
        <w:rPr>
          <w:bCs/>
          <w:i/>
        </w:rPr>
      </w:pPr>
      <w:r w:rsidRPr="00096FE1">
        <w:rPr>
          <w:b/>
          <w:bCs/>
        </w:rPr>
        <w:t>1</w:t>
      </w:r>
      <w:r w:rsidR="00773485" w:rsidRPr="00096FE1">
        <w:rPr>
          <w:b/>
          <w:bCs/>
        </w:rPr>
        <w:t>a</w:t>
      </w:r>
      <w:r w:rsidRPr="00096FE1">
        <w:rPr>
          <w:b/>
          <w:bCs/>
        </w:rPr>
        <w:t>.1.</w:t>
      </w:r>
      <w:r w:rsidR="005A0E2D" w:rsidRPr="00096FE1">
        <w:rPr>
          <w:b/>
          <w:bCs/>
        </w:rPr>
        <w:tab/>
      </w:r>
      <w:proofErr w:type="gramStart"/>
      <w:r w:rsidRPr="00096FE1">
        <w:rPr>
          <w:b/>
          <w:bCs/>
        </w:rPr>
        <w:t>This</w:t>
      </w:r>
      <w:proofErr w:type="gramEnd"/>
      <w:r w:rsidRPr="00096FE1">
        <w:rPr>
          <w:b/>
          <w:bCs/>
        </w:rPr>
        <w:t xml:space="preserve"> is a measure of</w:t>
      </w:r>
      <w:r w:rsidRPr="00096FE1">
        <w:rPr>
          <w:bCs/>
        </w:rPr>
        <w:t>:</w:t>
      </w:r>
      <w:r w:rsidR="00A67EB1" w:rsidRPr="00096FE1">
        <w:rPr>
          <w:bCs/>
        </w:rPr>
        <w:t xml:space="preserve"> (</w:t>
      </w:r>
      <w:r w:rsidR="00A67EB1" w:rsidRPr="00096FE1">
        <w:rPr>
          <w:bCs/>
          <w:i/>
        </w:rPr>
        <w:t xml:space="preserve">should be consistent with type </w:t>
      </w:r>
      <w:r w:rsidR="00CB1E41" w:rsidRPr="00096FE1">
        <w:rPr>
          <w:bCs/>
          <w:i/>
        </w:rPr>
        <w:t xml:space="preserve">of measure </w:t>
      </w:r>
      <w:r w:rsidR="00A67EB1" w:rsidRPr="00096FE1">
        <w:rPr>
          <w:bCs/>
          <w:i/>
        </w:rPr>
        <w:t>entered in De.1</w:t>
      </w:r>
      <w:r w:rsidR="00A67EB1" w:rsidRPr="00096FE1">
        <w:rPr>
          <w:bCs/>
        </w:rPr>
        <w:t xml:space="preserve">) </w:t>
      </w:r>
    </w:p>
    <w:p w14:paraId="55B8DA50" w14:textId="77777777" w:rsidR="00496AF8" w:rsidRPr="00096FE1" w:rsidRDefault="00E41417" w:rsidP="00015986">
      <w:pPr>
        <w:ind w:left="432" w:hanging="432"/>
        <w:rPr>
          <w:rFonts w:cs="Calibri"/>
          <w:bCs/>
        </w:rPr>
      </w:pPr>
      <w:r w:rsidRPr="00096FE1">
        <w:rPr>
          <w:rFonts w:cs="Calibri"/>
          <w:bCs/>
        </w:rPr>
        <w:t>O</w:t>
      </w:r>
      <w:r w:rsidR="00496AF8" w:rsidRPr="00096FE1">
        <w:rPr>
          <w:rFonts w:cs="Calibri"/>
          <w:bCs/>
        </w:rPr>
        <w:t>utcome</w:t>
      </w:r>
    </w:p>
    <w:p w14:paraId="55B8DA51" w14:textId="5ECCA794" w:rsidR="00496AF8" w:rsidRPr="00096FE1" w:rsidRDefault="00544B54" w:rsidP="00A9011D">
      <w:pPr>
        <w:ind w:left="432" w:hanging="432"/>
        <w:rPr>
          <w:rStyle w:val="Style2"/>
          <w:rFonts w:cstheme="minorHAnsi"/>
          <w:color w:val="auto"/>
        </w:rPr>
      </w:pPr>
      <w:sdt>
        <w:sdtPr>
          <w:rPr>
            <w:bCs/>
            <w:color w:val="0000FF"/>
            <w:u w:val="single"/>
          </w:rPr>
          <w:id w:val="1077707841"/>
          <w14:checkbox>
            <w14:checked w14:val="1"/>
            <w14:checkedState w14:val="2612" w14:font="MS Gothic"/>
            <w14:uncheckedState w14:val="2610" w14:font="MS Gothic"/>
          </w14:checkbox>
        </w:sdtPr>
        <w:sdtEndPr/>
        <w:sdtContent>
          <w:r w:rsidR="0004431B">
            <w:rPr>
              <w:rFonts w:ascii="MS Gothic" w:eastAsia="MS Gothic" w:hAnsi="MS Gothic" w:hint="eastAsia"/>
              <w:bCs/>
              <w:color w:val="0000FF"/>
              <w:u w:val="single"/>
            </w:rPr>
            <w:t>☒</w:t>
          </w:r>
        </w:sdtContent>
      </w:sdt>
      <w:r w:rsidR="0015535B" w:rsidRPr="00096FE1">
        <w:rPr>
          <w:bCs/>
        </w:rPr>
        <w:t xml:space="preserve"> </w:t>
      </w:r>
      <w:r w:rsidR="00CC0F87" w:rsidRPr="00096FE1">
        <w:rPr>
          <w:bCs/>
        </w:rPr>
        <w:t>O</w:t>
      </w:r>
      <w:r w:rsidR="00BE6373" w:rsidRPr="00096FE1">
        <w:rPr>
          <w:bCs/>
        </w:rPr>
        <w:t>utc</w:t>
      </w:r>
      <w:r w:rsidR="00496AF8" w:rsidRPr="00096FE1">
        <w:rPr>
          <w:bCs/>
        </w:rPr>
        <w:t>ome</w:t>
      </w:r>
      <w:r w:rsidR="00B117D0" w:rsidRPr="00096FE1">
        <w:rPr>
          <w:bCs/>
        </w:rPr>
        <w:t xml:space="preserve">: </w:t>
      </w:r>
      <w:sdt>
        <w:sdtPr>
          <w:rPr>
            <w:rStyle w:val="Style2"/>
            <w:rFonts w:cstheme="minorHAnsi"/>
            <w:color w:val="auto"/>
          </w:rPr>
          <w:id w:val="-768232283"/>
        </w:sdtPr>
        <w:sdtEndPr>
          <w:rPr>
            <w:rStyle w:val="DefaultParagraphFont"/>
            <w:rFonts w:cstheme="minorBidi"/>
            <w:u w:val="none"/>
          </w:rPr>
        </w:sdtEndPr>
        <w:sdtContent>
          <w:sdt>
            <w:sdtPr>
              <w:rPr>
                <w:rStyle w:val="Style2"/>
                <w:rFonts w:cstheme="minorHAnsi"/>
              </w:rPr>
              <w:id w:val="1359622517"/>
            </w:sdtPr>
            <w:sdtEndPr>
              <w:rPr>
                <w:rStyle w:val="DefaultParagraphFont"/>
                <w:rFonts w:cstheme="minorBidi"/>
                <w:color w:val="auto"/>
                <w:u w:val="none"/>
              </w:rPr>
            </w:sdtEndPr>
            <w:sdtContent>
              <w:r w:rsidR="00A26C89">
                <w:rPr>
                  <w:rStyle w:val="Style2"/>
                  <w:rFonts w:cstheme="minorHAnsi"/>
                  <w:u w:val="none"/>
                </w:rPr>
                <w:t xml:space="preserve">Stage II-IV pressure ulcer development </w:t>
              </w:r>
              <w:r w:rsidR="005C58B8">
                <w:rPr>
                  <w:rStyle w:val="Style2"/>
                  <w:rFonts w:cstheme="minorHAnsi"/>
                  <w:u w:val="none"/>
                </w:rPr>
                <w:t>among long-stay, high-risk residents</w:t>
              </w:r>
            </w:sdtContent>
          </w:sdt>
          <w:r w:rsidR="005C58B8">
            <w:t xml:space="preserve"> </w:t>
          </w:r>
        </w:sdtContent>
      </w:sdt>
    </w:p>
    <w:p w14:paraId="55B8DA52" w14:textId="7EB21A01" w:rsidR="00236F87" w:rsidRPr="00096FE1" w:rsidRDefault="00544B54" w:rsidP="009E359A">
      <w:pPr>
        <w:ind w:left="720" w:hanging="432"/>
        <w:rPr>
          <w:b/>
          <w:bCs/>
        </w:rPr>
      </w:pPr>
      <w:sdt>
        <w:sdtPr>
          <w:rPr>
            <w:bCs/>
          </w:rPr>
          <w:id w:val="-1541041819"/>
          <w14:checkbox>
            <w14:checked w14:val="0"/>
            <w14:checkedState w14:val="2612" w14:font="MS Gothic"/>
            <w14:uncheckedState w14:val="2610" w14:font="MS Gothic"/>
          </w14:checkbox>
        </w:sdtPr>
        <w:sdtEndPr/>
        <w:sdtContent>
          <w:r w:rsidR="009E359A" w:rsidRPr="00096FE1">
            <w:rPr>
              <w:rFonts w:ascii="MS Gothic" w:eastAsia="MS Gothic" w:hAnsi="MS Gothic" w:hint="eastAsia"/>
              <w:bCs/>
            </w:rPr>
            <w:t>☐</w:t>
          </w:r>
        </w:sdtContent>
      </w:sdt>
      <w:r w:rsidR="00236F87" w:rsidRPr="00096FE1">
        <w:rPr>
          <w:bCs/>
        </w:rPr>
        <w:t>Patient-reported outc</w:t>
      </w:r>
      <w:r w:rsidR="00C613EB" w:rsidRPr="00096FE1">
        <w:rPr>
          <w:bCs/>
        </w:rPr>
        <w:t>o</w:t>
      </w:r>
      <w:r w:rsidR="00236F87" w:rsidRPr="00096FE1">
        <w:rPr>
          <w:bCs/>
        </w:rPr>
        <w:t>me</w:t>
      </w:r>
      <w:r w:rsidR="009C291F" w:rsidRPr="00096FE1">
        <w:rPr>
          <w:bCs/>
        </w:rPr>
        <w:t xml:space="preserve"> (PRO)</w:t>
      </w:r>
      <w:r w:rsidR="00236F87" w:rsidRPr="00096FE1">
        <w:rPr>
          <w:bCs/>
        </w:rPr>
        <w:t xml:space="preserve">: </w:t>
      </w:r>
      <w:sdt>
        <w:sdtPr>
          <w:rPr>
            <w:rStyle w:val="Style2"/>
            <w:rFonts w:cstheme="minorHAnsi"/>
            <w:color w:val="auto"/>
          </w:rPr>
          <w:id w:val="528310131"/>
          <w:showingPlcHdr/>
        </w:sdtPr>
        <w:sdtEndPr>
          <w:rPr>
            <w:rStyle w:val="DefaultParagraphFont"/>
            <w:rFonts w:cstheme="minorBidi"/>
            <w:u w:val="none"/>
          </w:rPr>
        </w:sdtEndPr>
        <w:sdtContent>
          <w:r w:rsidR="00236F87" w:rsidRPr="00096FE1">
            <w:t>Click here to n</w:t>
          </w:r>
          <w:r w:rsidR="00236F87" w:rsidRPr="00096FE1">
            <w:rPr>
              <w:rStyle w:val="PlaceholderText"/>
              <w:rFonts w:cstheme="minorHAnsi"/>
              <w:color w:val="auto"/>
            </w:rPr>
            <w:t xml:space="preserve">ame the </w:t>
          </w:r>
          <w:r w:rsidR="001E6153" w:rsidRPr="00096FE1">
            <w:rPr>
              <w:rStyle w:val="PlaceholderText"/>
              <w:rFonts w:cstheme="minorHAnsi"/>
              <w:color w:val="auto"/>
            </w:rPr>
            <w:t>PRO</w:t>
          </w:r>
        </w:sdtContent>
      </w:sdt>
    </w:p>
    <w:p w14:paraId="55B8DA53" w14:textId="77777777" w:rsidR="00B117D0" w:rsidRPr="00096FE1" w:rsidRDefault="00B117D0" w:rsidP="005857F8">
      <w:pPr>
        <w:ind w:left="720" w:firstLine="0"/>
        <w:rPr>
          <w:rFonts w:eastAsia="MS Gothic" w:cs="MS Gothic"/>
          <w:bCs/>
          <w:i/>
        </w:rPr>
      </w:pPr>
      <w:r w:rsidRPr="00096FE1">
        <w:rPr>
          <w:bCs/>
          <w:i/>
        </w:rPr>
        <w:t>PRO</w:t>
      </w:r>
      <w:r w:rsidR="009C291F" w:rsidRPr="00096FE1">
        <w:rPr>
          <w:bCs/>
          <w:i/>
        </w:rPr>
        <w:t xml:space="preserve">s include </w:t>
      </w:r>
      <w:proofErr w:type="spellStart"/>
      <w:r w:rsidR="005857F8" w:rsidRPr="00096FE1">
        <w:rPr>
          <w:bCs/>
          <w:i/>
        </w:rPr>
        <w:t>HRQoL</w:t>
      </w:r>
      <w:proofErr w:type="spellEnd"/>
      <w:r w:rsidR="005857F8" w:rsidRPr="00096FE1">
        <w:rPr>
          <w:bCs/>
          <w:i/>
        </w:rPr>
        <w:t>/functional status, symptom/</w:t>
      </w:r>
      <w:r w:rsidR="003008F4" w:rsidRPr="00096FE1">
        <w:rPr>
          <w:bCs/>
          <w:i/>
        </w:rPr>
        <w:t xml:space="preserve">symptom </w:t>
      </w:r>
      <w:r w:rsidR="005857F8" w:rsidRPr="00096FE1">
        <w:rPr>
          <w:bCs/>
          <w:i/>
        </w:rPr>
        <w:t>burden, experience with care, health-related behaviors</w:t>
      </w:r>
      <w:r w:rsidR="0061327A" w:rsidRPr="00096FE1">
        <w:rPr>
          <w:bCs/>
          <w:i/>
        </w:rPr>
        <w:t>.</w:t>
      </w:r>
      <w:r w:rsidR="0061327A" w:rsidRPr="00096FE1">
        <w:rPr>
          <w:rFonts w:eastAsia="Calibri" w:cs="Calibri"/>
          <w:sz w:val="20"/>
          <w:szCs w:val="20"/>
        </w:rPr>
        <w:t xml:space="preserve"> </w:t>
      </w:r>
      <w:r w:rsidR="0061327A" w:rsidRPr="00096FE1">
        <w:rPr>
          <w:rFonts w:eastAsia="Calibri" w:cs="Calibri"/>
        </w:rPr>
        <w:t>(</w:t>
      </w:r>
      <w:r w:rsidR="0061327A" w:rsidRPr="00096FE1">
        <w:rPr>
          <w:rFonts w:eastAsia="Calibri" w:cs="Calibri"/>
          <w:i/>
        </w:rPr>
        <w:t>A PRO</w:t>
      </w:r>
      <w:r w:rsidR="00E42FAA" w:rsidRPr="00096FE1">
        <w:rPr>
          <w:rFonts w:eastAsia="Calibri" w:cs="Calibri"/>
          <w:i/>
        </w:rPr>
        <w:t>-based performance</w:t>
      </w:r>
      <w:r w:rsidR="0061327A" w:rsidRPr="00096FE1">
        <w:rPr>
          <w:rFonts w:eastAsia="Calibri" w:cs="Calibri"/>
          <w:i/>
        </w:rPr>
        <w:t xml:space="preserve"> measure is not a survey instrument. Data may be collected using a survey instrument to construct a PRO measure.)</w:t>
      </w:r>
    </w:p>
    <w:p w14:paraId="55B8DA54" w14:textId="258FEC26" w:rsidR="00496AF8" w:rsidRPr="00096FE1" w:rsidRDefault="00544B54" w:rsidP="004E7215">
      <w:pPr>
        <w:rPr>
          <w:bCs/>
        </w:rPr>
      </w:pPr>
      <w:sdt>
        <w:sdtPr>
          <w:rPr>
            <w:bCs/>
          </w:rPr>
          <w:id w:val="-720977531"/>
          <w14:checkbox>
            <w14:checked w14:val="0"/>
            <w14:checkedState w14:val="2612" w14:font="MS Gothic"/>
            <w14:uncheckedState w14:val="2610" w14:font="MS Gothic"/>
          </w14:checkbox>
        </w:sdtPr>
        <w:sdtEndPr/>
        <w:sdtContent>
          <w:r w:rsidR="00D73685" w:rsidRPr="00096FE1">
            <w:rPr>
              <w:rFonts w:ascii="Segoe UI Symbol" w:hAnsi="Segoe UI Symbol" w:cs="Segoe UI Symbol"/>
              <w:bCs/>
            </w:rPr>
            <w:t>☐</w:t>
          </w:r>
        </w:sdtContent>
      </w:sdt>
      <w:r w:rsidR="00D73685" w:rsidRPr="00096FE1" w:rsidDel="00D73685">
        <w:rPr>
          <w:bCs/>
        </w:rPr>
        <w:t xml:space="preserve"> </w:t>
      </w:r>
      <w:r w:rsidR="00E41417" w:rsidRPr="00096FE1">
        <w:rPr>
          <w:bCs/>
        </w:rPr>
        <w:t>I</w:t>
      </w:r>
      <w:r w:rsidR="00496AF8" w:rsidRPr="00096FE1">
        <w:rPr>
          <w:bCs/>
        </w:rPr>
        <w:t>ntermediate clinical outcome</w:t>
      </w:r>
      <w:r w:rsidR="00851466" w:rsidRPr="00096FE1">
        <w:rPr>
          <w:bCs/>
        </w:rPr>
        <w:t xml:space="preserve"> (</w:t>
      </w:r>
      <w:r w:rsidR="00851466" w:rsidRPr="00096FE1">
        <w:rPr>
          <w:bCs/>
          <w:i/>
        </w:rPr>
        <w:t>e.g., lab value</w:t>
      </w:r>
      <w:r w:rsidR="00851466" w:rsidRPr="00096FE1">
        <w:rPr>
          <w:bCs/>
        </w:rPr>
        <w:t>)</w:t>
      </w:r>
      <w:r w:rsidR="00496AF8" w:rsidRPr="00096FE1">
        <w:rPr>
          <w:bCs/>
        </w:rPr>
        <w:t>:</w:t>
      </w:r>
      <w:r w:rsidR="00A76BE5" w:rsidRPr="00096FE1">
        <w:rPr>
          <w:bCs/>
        </w:rPr>
        <w:t xml:space="preserve"> </w:t>
      </w:r>
      <w:sdt>
        <w:sdtPr>
          <w:rPr>
            <w:rStyle w:val="Style2"/>
            <w:rFonts w:cstheme="minorHAnsi"/>
            <w:color w:val="auto"/>
          </w:rPr>
          <w:id w:val="322628782"/>
          <w:showingPlcHdr/>
        </w:sdtPr>
        <w:sdtEndPr>
          <w:rPr>
            <w:rStyle w:val="DefaultParagraphFont"/>
            <w:rFonts w:cstheme="minorBidi"/>
            <w:bCs/>
            <w:u w:val="none"/>
          </w:rPr>
        </w:sdtEndPr>
        <w:sdtContent>
          <w:r w:rsidR="00496AF8" w:rsidRPr="00096FE1">
            <w:rPr>
              <w:rStyle w:val="PlaceholderText"/>
              <w:rFonts w:cstheme="minorHAnsi"/>
              <w:color w:val="auto"/>
            </w:rPr>
            <w:t>Click here to name the intermediate outcome</w:t>
          </w:r>
        </w:sdtContent>
      </w:sdt>
    </w:p>
    <w:p w14:paraId="55B8DA55" w14:textId="017EBC1F" w:rsidR="00D73685" w:rsidRPr="00096FE1" w:rsidRDefault="00544B54" w:rsidP="00015986">
      <w:pPr>
        <w:ind w:left="432" w:hanging="432"/>
        <w:rPr>
          <w:bCs/>
        </w:rPr>
      </w:pPr>
      <w:sdt>
        <w:sdtPr>
          <w:rPr>
            <w:bCs/>
          </w:rPr>
          <w:id w:val="-1535727686"/>
          <w14:checkbox>
            <w14:checked w14:val="0"/>
            <w14:checkedState w14:val="2612" w14:font="MS Gothic"/>
            <w14:uncheckedState w14:val="2610" w14:font="MS Gothic"/>
          </w14:checkbox>
        </w:sdtPr>
        <w:sdtEndPr/>
        <w:sdtContent>
          <w:r w:rsidR="00D73685" w:rsidRPr="00096FE1">
            <w:rPr>
              <w:rFonts w:ascii="MS Gothic" w:eastAsia="MS Gothic" w:hAnsi="MS Gothic" w:hint="eastAsia"/>
              <w:bCs/>
            </w:rPr>
            <w:t>☐</w:t>
          </w:r>
        </w:sdtContent>
      </w:sdt>
      <w:r w:rsidR="0015535B" w:rsidRPr="00096FE1">
        <w:rPr>
          <w:bCs/>
        </w:rPr>
        <w:t xml:space="preserve"> </w:t>
      </w:r>
      <w:r w:rsidR="00E41417" w:rsidRPr="00096FE1">
        <w:rPr>
          <w:bCs/>
        </w:rPr>
        <w:t>P</w:t>
      </w:r>
      <w:r w:rsidR="00496AF8" w:rsidRPr="00096FE1">
        <w:rPr>
          <w:bCs/>
        </w:rPr>
        <w:t>rocess:</w:t>
      </w:r>
      <w:r w:rsidR="00A76BE5" w:rsidRPr="00096FE1">
        <w:rPr>
          <w:bCs/>
        </w:rPr>
        <w:t xml:space="preserve"> </w:t>
      </w:r>
      <w:sdt>
        <w:sdtPr>
          <w:rPr>
            <w:rStyle w:val="Style2"/>
            <w:rFonts w:cstheme="minorHAnsi"/>
            <w:color w:val="auto"/>
          </w:rPr>
          <w:id w:val="-247648753"/>
          <w:showingPlcHdr/>
        </w:sdtPr>
        <w:sdtEndPr>
          <w:rPr>
            <w:rStyle w:val="DefaultParagraphFont"/>
            <w:rFonts w:cstheme="minorBidi"/>
            <w:bCs/>
            <w:u w:val="none"/>
          </w:rPr>
        </w:sdtEndPr>
        <w:sdtContent>
          <w:r w:rsidR="00D73685" w:rsidRPr="00096FE1">
            <w:rPr>
              <w:rStyle w:val="PlaceholderText"/>
              <w:rFonts w:cstheme="minorHAnsi"/>
              <w:color w:val="auto"/>
            </w:rPr>
            <w:t>Click here to name what is being measured</w:t>
          </w:r>
        </w:sdtContent>
      </w:sdt>
    </w:p>
    <w:p w14:paraId="55B8DA56" w14:textId="05A2AF07" w:rsidR="00496AF8" w:rsidRPr="00096FE1" w:rsidRDefault="00544B54" w:rsidP="009E359A">
      <w:pPr>
        <w:ind w:left="720" w:hanging="432"/>
        <w:rPr>
          <w:rFonts w:ascii="MS Gothic" w:eastAsia="MS Gothic" w:hAnsi="MS Gothic"/>
          <w:b/>
          <w:bCs/>
        </w:rPr>
      </w:pPr>
      <w:sdt>
        <w:sdtPr>
          <w:rPr>
            <w:rFonts w:ascii="MS Gothic" w:eastAsia="MS Gothic" w:hAnsi="MS Gothic"/>
            <w:bCs/>
          </w:rPr>
          <w:id w:val="1303807965"/>
          <w14:checkbox>
            <w14:checked w14:val="0"/>
            <w14:checkedState w14:val="2612" w14:font="MS Gothic"/>
            <w14:uncheckedState w14:val="2610" w14:font="MS Gothic"/>
          </w14:checkbox>
        </w:sdtPr>
        <w:sdtEndPr/>
        <w:sdtContent>
          <w:r w:rsidR="00D73685" w:rsidRPr="00096FE1">
            <w:rPr>
              <w:rFonts w:ascii="MS Gothic" w:eastAsia="MS Gothic" w:hAnsi="MS Gothic" w:hint="eastAsia"/>
              <w:bCs/>
            </w:rPr>
            <w:t>☐</w:t>
          </w:r>
        </w:sdtContent>
      </w:sdt>
      <w:r w:rsidR="00D73685" w:rsidRPr="00096FE1">
        <w:rPr>
          <w:rFonts w:ascii="MS Gothic" w:eastAsia="MS Gothic" w:hAnsi="MS Gothic"/>
          <w:bCs/>
        </w:rPr>
        <w:t xml:space="preserve"> </w:t>
      </w:r>
      <w:r w:rsidR="00D73685" w:rsidRPr="00096FE1">
        <w:rPr>
          <w:rFonts w:eastAsia="MS Gothic"/>
          <w:bCs/>
        </w:rPr>
        <w:t>Appropriate use measure:</w:t>
      </w:r>
      <w:r w:rsidR="00A76BE5" w:rsidRPr="00096FE1">
        <w:rPr>
          <w:bCs/>
        </w:rPr>
        <w:t xml:space="preserve"> </w:t>
      </w:r>
      <w:sdt>
        <w:sdtPr>
          <w:rPr>
            <w:rStyle w:val="Style2"/>
            <w:rFonts w:cstheme="minorHAnsi"/>
            <w:color w:val="auto"/>
          </w:rPr>
          <w:id w:val="-2123911889"/>
          <w:showingPlcHdr/>
        </w:sdtPr>
        <w:sdtEndPr>
          <w:rPr>
            <w:rStyle w:val="DefaultParagraphFont"/>
            <w:rFonts w:cstheme="minorBidi"/>
            <w:bCs/>
            <w:u w:val="none"/>
          </w:rPr>
        </w:sdtEndPr>
        <w:sdtContent>
          <w:r w:rsidR="00D73685" w:rsidRPr="00096FE1">
            <w:rPr>
              <w:rStyle w:val="PlaceholderText"/>
              <w:rFonts w:cstheme="minorHAnsi"/>
              <w:color w:val="auto"/>
            </w:rPr>
            <w:t>Click here to name what is being measured</w:t>
          </w:r>
        </w:sdtContent>
      </w:sdt>
      <w:r w:rsidR="00D73685" w:rsidRPr="00096FE1">
        <w:rPr>
          <w:rStyle w:val="Style2"/>
          <w:rFonts w:cstheme="minorHAnsi"/>
          <w:color w:val="auto"/>
        </w:rPr>
        <w:t xml:space="preserve"> </w:t>
      </w:r>
      <w:sdt>
        <w:sdtPr>
          <w:rPr>
            <w:rStyle w:val="Style2"/>
            <w:rFonts w:cstheme="minorHAnsi"/>
            <w:color w:val="auto"/>
          </w:rPr>
          <w:id w:val="-1371599399"/>
          <w:showingPlcHdr/>
        </w:sdtPr>
        <w:sdtEndPr>
          <w:rPr>
            <w:rStyle w:val="DefaultParagraphFont"/>
            <w:rFonts w:cstheme="minorBidi"/>
            <w:bCs/>
            <w:u w:val="none"/>
          </w:rPr>
        </w:sdtEndPr>
        <w:sdtContent>
          <w:r w:rsidR="00D73685" w:rsidRPr="00096FE1">
            <w:rPr>
              <w:rStyle w:val="Style2"/>
              <w:rFonts w:cstheme="minorHAnsi"/>
              <w:color w:val="auto"/>
            </w:rPr>
            <w:t xml:space="preserve">     </w:t>
          </w:r>
        </w:sdtContent>
      </w:sdt>
    </w:p>
    <w:p w14:paraId="55B8DA57" w14:textId="77777777" w:rsidR="00496AF8" w:rsidRPr="00096FE1" w:rsidRDefault="00544B54" w:rsidP="00015986">
      <w:pPr>
        <w:ind w:left="432" w:hanging="432"/>
        <w:rPr>
          <w:bCs/>
        </w:rPr>
      </w:pPr>
      <w:sdt>
        <w:sdtPr>
          <w:rPr>
            <w:bCs/>
          </w:rPr>
          <w:id w:val="1676770628"/>
          <w14:checkbox>
            <w14:checked w14:val="0"/>
            <w14:checkedState w14:val="2612" w14:font="MS Gothic"/>
            <w14:uncheckedState w14:val="2610" w14:font="MS Gothic"/>
          </w14:checkbox>
        </w:sdtPr>
        <w:sdtEndPr/>
        <w:sdtContent>
          <w:r w:rsidR="00D73685" w:rsidRPr="00096FE1">
            <w:rPr>
              <w:rFonts w:ascii="MS Gothic" w:eastAsia="MS Gothic" w:hAnsi="MS Gothic" w:hint="eastAsia"/>
              <w:bCs/>
            </w:rPr>
            <w:t>☐</w:t>
          </w:r>
        </w:sdtContent>
      </w:sdt>
      <w:r w:rsidR="0015535B" w:rsidRPr="00096FE1">
        <w:rPr>
          <w:bCs/>
        </w:rPr>
        <w:t xml:space="preserve"> </w:t>
      </w:r>
      <w:r w:rsidR="00E41417" w:rsidRPr="00096FE1">
        <w:rPr>
          <w:bCs/>
        </w:rPr>
        <w:t>S</w:t>
      </w:r>
      <w:r w:rsidR="00496AF8" w:rsidRPr="00096FE1">
        <w:rPr>
          <w:bCs/>
        </w:rPr>
        <w:t xml:space="preserve">tructure:  </w:t>
      </w:r>
      <w:sdt>
        <w:sdtPr>
          <w:rPr>
            <w:rStyle w:val="Style2"/>
            <w:rFonts w:cstheme="minorHAnsi"/>
            <w:color w:val="auto"/>
          </w:rPr>
          <w:id w:val="399486169"/>
          <w:showingPlcHdr/>
        </w:sdtPr>
        <w:sdtEndPr>
          <w:rPr>
            <w:rStyle w:val="DefaultParagraphFont"/>
            <w:rFonts w:cstheme="minorBidi"/>
            <w:bCs/>
            <w:u w:val="none"/>
          </w:rPr>
        </w:sdtEndPr>
        <w:sdtContent>
          <w:r w:rsidR="00496AF8" w:rsidRPr="00096FE1">
            <w:rPr>
              <w:rStyle w:val="PlaceholderText"/>
              <w:rFonts w:cstheme="minorHAnsi"/>
              <w:color w:val="auto"/>
            </w:rPr>
            <w:t>Click here to name the structure</w:t>
          </w:r>
        </w:sdtContent>
      </w:sdt>
    </w:p>
    <w:p w14:paraId="55B8DA58" w14:textId="0FEB55FA" w:rsidR="00496AF8" w:rsidRPr="003B1CC5" w:rsidRDefault="00544B54" w:rsidP="00015986">
      <w:pPr>
        <w:ind w:left="432" w:hanging="432"/>
        <w:rPr>
          <w:bCs/>
        </w:rPr>
      </w:pPr>
      <w:sdt>
        <w:sdtPr>
          <w:rPr>
            <w:bCs/>
          </w:rPr>
          <w:id w:val="1719405626"/>
          <w14:checkbox>
            <w14:checked w14:val="0"/>
            <w14:checkedState w14:val="2612" w14:font="MS Gothic"/>
            <w14:uncheckedState w14:val="2610" w14:font="MS Gothic"/>
          </w14:checkbox>
        </w:sdtPr>
        <w:sdtEndPr/>
        <w:sdtContent>
          <w:r w:rsidR="0015535B" w:rsidRPr="00096FE1">
            <w:rPr>
              <w:rFonts w:ascii="MS Gothic" w:eastAsia="MS Gothic" w:hAnsi="MS Gothic" w:cs="MS Gothic" w:hint="eastAsia"/>
              <w:bCs/>
            </w:rPr>
            <w:t>☐</w:t>
          </w:r>
        </w:sdtContent>
      </w:sdt>
      <w:r w:rsidR="0015535B" w:rsidRPr="00096FE1">
        <w:rPr>
          <w:bCs/>
        </w:rPr>
        <w:t xml:space="preserve"> </w:t>
      </w:r>
      <w:r w:rsidR="00D73685" w:rsidRPr="00096FE1">
        <w:rPr>
          <w:bCs/>
        </w:rPr>
        <w:t>Composite</w:t>
      </w:r>
      <w:r w:rsidR="00496AF8" w:rsidRPr="00096FE1">
        <w:rPr>
          <w:bCs/>
        </w:rPr>
        <w:t>:</w:t>
      </w:r>
      <w:r w:rsidR="00A76BE5" w:rsidRPr="00096FE1">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15DA7DC9" w:rsidR="002B06BD" w:rsidRDefault="00676BD4" w:rsidP="005A0E2D">
      <w:pPr>
        <w:ind w:left="547" w:hanging="547"/>
        <w:rPr>
          <w:iCs/>
        </w:rPr>
      </w:pPr>
      <w:r w:rsidRPr="00096FE1">
        <w:rPr>
          <w:b/>
          <w:bCs/>
        </w:rPr>
        <w:t>1a.</w:t>
      </w:r>
      <w:r w:rsidR="00C41794" w:rsidRPr="00096FE1">
        <w:rPr>
          <w:b/>
          <w:bCs/>
        </w:rPr>
        <w:t>2</w:t>
      </w:r>
      <w:r w:rsidR="005A0E2D" w:rsidRPr="0038014E">
        <w:rPr>
          <w:b/>
          <w:bCs/>
          <w:color w:val="7030A0"/>
        </w:rPr>
        <w:tab/>
      </w:r>
      <w:r w:rsidRPr="006653C9">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7A1850C6" w14:textId="50CEF6EB" w:rsidR="005C58B8" w:rsidRDefault="005C58B8" w:rsidP="005A0E2D">
      <w:pPr>
        <w:ind w:left="547" w:hanging="547"/>
        <w:rPr>
          <w:b/>
          <w:bCs/>
        </w:rPr>
      </w:pPr>
      <w:r>
        <w:rPr>
          <w:b/>
          <w:bCs/>
        </w:rPr>
        <w:tab/>
      </w:r>
    </w:p>
    <w:p w14:paraId="06718AB6" w14:textId="629EF69F" w:rsidR="00594E52" w:rsidRPr="009244BF" w:rsidRDefault="00594E52" w:rsidP="00594E52">
      <w:pPr>
        <w:ind w:left="540" w:firstLine="0"/>
        <w:jc w:val="both"/>
        <w:rPr>
          <w:b/>
          <w:bCs/>
          <w:color w:val="0000FF"/>
        </w:rPr>
      </w:pPr>
      <w:r w:rsidRPr="00390ED3">
        <w:rPr>
          <w:b/>
          <w:bCs/>
          <w:color w:val="0000FF"/>
        </w:rPr>
        <w:t>Outcomes</w:t>
      </w:r>
      <w:r>
        <w:rPr>
          <w:b/>
          <w:bCs/>
          <w:color w:val="0000FF"/>
        </w:rPr>
        <w:t xml:space="preserve"> and </w:t>
      </w:r>
      <w:r w:rsidR="00A26C89">
        <w:rPr>
          <w:b/>
          <w:bCs/>
          <w:color w:val="0000FF"/>
        </w:rPr>
        <w:t>risk factors</w:t>
      </w:r>
    </w:p>
    <w:p w14:paraId="4FDBE467" w14:textId="3F0B69B1" w:rsidR="005C58B8" w:rsidRPr="00363F53" w:rsidRDefault="005C58B8" w:rsidP="00E17550">
      <w:pPr>
        <w:ind w:left="540" w:firstLine="0"/>
        <w:rPr>
          <w:color w:val="FF0000"/>
        </w:rPr>
      </w:pPr>
      <w:r w:rsidRPr="00363F53">
        <w:rPr>
          <w:color w:val="FF0000"/>
        </w:rPr>
        <w:t>This outcome-based quality measure reports the percentage of long-sta</w:t>
      </w:r>
      <w:r w:rsidR="006365C2" w:rsidRPr="00363F53">
        <w:rPr>
          <w:color w:val="FF0000"/>
        </w:rPr>
        <w:t>y, high-risk nursing home reside</w:t>
      </w:r>
      <w:r w:rsidRPr="00363F53">
        <w:rPr>
          <w:color w:val="FF0000"/>
        </w:rPr>
        <w:t xml:space="preserve">nts with Stage II-IV pressure ulcers. </w:t>
      </w:r>
      <w:r w:rsidR="00F113AC" w:rsidRPr="00363F53">
        <w:rPr>
          <w:color w:val="FF0000"/>
        </w:rPr>
        <w:t>Pressure ulcers are important to address</w:t>
      </w:r>
      <w:r w:rsidR="00873E45" w:rsidRPr="00363F53">
        <w:rPr>
          <w:color w:val="FF0000"/>
        </w:rPr>
        <w:t>,</w:t>
      </w:r>
      <w:r w:rsidR="00531E2C" w:rsidRPr="00363F53">
        <w:rPr>
          <w:color w:val="FF0000"/>
        </w:rPr>
        <w:t xml:space="preserve"> as they are </w:t>
      </w:r>
      <w:r w:rsidR="00873E45" w:rsidRPr="00363F53">
        <w:rPr>
          <w:color w:val="FF0000"/>
        </w:rPr>
        <w:t>among</w:t>
      </w:r>
      <w:r w:rsidR="00531E2C" w:rsidRPr="00363F53">
        <w:rPr>
          <w:color w:val="FF0000"/>
        </w:rPr>
        <w:t xml:space="preserve"> the most unwanted </w:t>
      </w:r>
      <w:r w:rsidR="00A26C89" w:rsidRPr="00363F53">
        <w:rPr>
          <w:color w:val="FF0000"/>
        </w:rPr>
        <w:t xml:space="preserve">and preventable </w:t>
      </w:r>
      <w:r w:rsidR="00531E2C" w:rsidRPr="00363F53">
        <w:rPr>
          <w:color w:val="FF0000"/>
        </w:rPr>
        <w:t xml:space="preserve">adverse events </w:t>
      </w:r>
      <w:r w:rsidR="00873E45" w:rsidRPr="00363F53">
        <w:rPr>
          <w:color w:val="FF0000"/>
        </w:rPr>
        <w:t>for residents with</w:t>
      </w:r>
      <w:r w:rsidR="00531E2C" w:rsidRPr="00363F53">
        <w:rPr>
          <w:color w:val="FF0000"/>
        </w:rPr>
        <w:t xml:space="preserve"> severe acute and chronic illnesses</w:t>
      </w:r>
      <w:r w:rsidR="00A26C89" w:rsidRPr="00363F53">
        <w:rPr>
          <w:color w:val="FF0000"/>
        </w:rPr>
        <w:t>,</w:t>
      </w:r>
      <w:r w:rsidR="00531E2C" w:rsidRPr="00363F53">
        <w:rPr>
          <w:color w:val="FF0000"/>
        </w:rPr>
        <w:t xml:space="preserve"> disability</w:t>
      </w:r>
      <w:r w:rsidR="00A26C89" w:rsidRPr="00363F53">
        <w:rPr>
          <w:color w:val="FF0000"/>
        </w:rPr>
        <w:t>,</w:t>
      </w:r>
      <w:r w:rsidR="00531E2C" w:rsidRPr="00363F53">
        <w:rPr>
          <w:color w:val="FF0000"/>
        </w:rPr>
        <w:t xml:space="preserve"> and high care </w:t>
      </w:r>
      <w:proofErr w:type="gramStart"/>
      <w:r w:rsidR="00531E2C" w:rsidRPr="00363F53">
        <w:rPr>
          <w:color w:val="FF0000"/>
        </w:rPr>
        <w:t>dependency</w:t>
      </w:r>
      <w:r w:rsidR="00E45AE5" w:rsidRPr="00363F53">
        <w:rPr>
          <w:color w:val="FF0000"/>
        </w:rPr>
        <w:t>.</w:t>
      </w:r>
      <w:r w:rsidR="003B2139" w:rsidRPr="00363F53">
        <w:rPr>
          <w:rStyle w:val="FootnoteReference"/>
          <w:color w:val="FF0000"/>
        </w:rPr>
        <w:footnoteReference w:id="2"/>
      </w:r>
      <w:r w:rsidR="00E45AE5" w:rsidRPr="00363F53">
        <w:rPr>
          <w:color w:val="FF0000"/>
          <w:vertAlign w:val="superscript"/>
        </w:rPr>
        <w:t>,</w:t>
      </w:r>
      <w:proofErr w:type="gramEnd"/>
      <w:r w:rsidR="003B2139" w:rsidRPr="00363F53">
        <w:rPr>
          <w:rStyle w:val="FootnoteReference"/>
          <w:color w:val="FF0000"/>
        </w:rPr>
        <w:footnoteReference w:id="3"/>
      </w:r>
      <w:r w:rsidR="00531E2C" w:rsidRPr="00363F53">
        <w:rPr>
          <w:color w:val="FF0000"/>
        </w:rPr>
        <w:t xml:space="preserve"> </w:t>
      </w:r>
      <w:r w:rsidR="00A26C89" w:rsidRPr="00363F53">
        <w:rPr>
          <w:color w:val="FF0000"/>
        </w:rPr>
        <w:t>In the United States, over 2.5 million people experience pressure ulcers with 2% to 24% occurring in long-term ca</w:t>
      </w:r>
      <w:r w:rsidR="00E45AE5" w:rsidRPr="00363F53">
        <w:rPr>
          <w:color w:val="FF0000"/>
        </w:rPr>
        <w:t>re facilities</w:t>
      </w:r>
      <w:r w:rsidR="00A26C89" w:rsidRPr="00363F53">
        <w:rPr>
          <w:color w:val="FF0000"/>
        </w:rPr>
        <w:t>.</w:t>
      </w:r>
      <w:r w:rsidR="00E45AE5" w:rsidRPr="00363F53">
        <w:rPr>
          <w:rStyle w:val="FootnoteReference"/>
          <w:color w:val="FF0000"/>
        </w:rPr>
        <w:footnoteReference w:id="4"/>
      </w:r>
      <w:r w:rsidR="00A26C89" w:rsidRPr="00363F53">
        <w:rPr>
          <w:color w:val="FF0000"/>
        </w:rPr>
        <w:t xml:space="preserve"> Typically, pressure ulcers occur in individuals with poor mobility who experience sustained pressure </w:t>
      </w:r>
      <w:r w:rsidR="003C4B28" w:rsidRPr="00363F53">
        <w:rPr>
          <w:color w:val="FF0000"/>
        </w:rPr>
        <w:t>to an area of soft tissue for a prolonged period of time</w:t>
      </w:r>
      <w:r w:rsidR="00A26C89" w:rsidRPr="00363F53">
        <w:rPr>
          <w:color w:val="FF0000"/>
        </w:rPr>
        <w:t>. Elderly individuals are prone to pressure ulcer formation due to the limited mobility that comes with in</w:t>
      </w:r>
      <w:r w:rsidR="00E45AE5" w:rsidRPr="00363F53">
        <w:rPr>
          <w:color w:val="FF0000"/>
        </w:rPr>
        <w:t>creased age</w:t>
      </w:r>
      <w:r w:rsidR="00A26C89" w:rsidRPr="00363F53">
        <w:rPr>
          <w:color w:val="FF0000"/>
        </w:rPr>
        <w:t>.</w:t>
      </w:r>
      <w:r w:rsidR="00E45AE5" w:rsidRPr="00363F53">
        <w:rPr>
          <w:rStyle w:val="FootnoteReference"/>
          <w:color w:val="FF0000"/>
        </w:rPr>
        <w:footnoteReference w:id="5"/>
      </w:r>
      <w:r w:rsidR="00A26C89" w:rsidRPr="00363F53">
        <w:rPr>
          <w:color w:val="FF0000"/>
        </w:rPr>
        <w:t xml:space="preserve"> Additionally, individuals living with disabilities are especially prone to pressure ulcer development due to reduced movement. Therefore, pressure ulcer prevalence is a problem within </w:t>
      </w:r>
      <w:r w:rsidR="00873E45" w:rsidRPr="00363F53">
        <w:rPr>
          <w:color w:val="FF0000"/>
        </w:rPr>
        <w:t xml:space="preserve">the </w:t>
      </w:r>
      <w:r w:rsidR="00A26C89" w:rsidRPr="00363F53">
        <w:rPr>
          <w:color w:val="FF0000"/>
        </w:rPr>
        <w:t>nu</w:t>
      </w:r>
      <w:r w:rsidR="00E45AE5" w:rsidRPr="00363F53">
        <w:rPr>
          <w:color w:val="FF0000"/>
        </w:rPr>
        <w:t>rsing home</w:t>
      </w:r>
      <w:r w:rsidR="00873E45" w:rsidRPr="00363F53">
        <w:rPr>
          <w:color w:val="FF0000"/>
        </w:rPr>
        <w:t xml:space="preserve"> </w:t>
      </w:r>
      <w:r w:rsidR="00873E45" w:rsidRPr="00363F53">
        <w:rPr>
          <w:color w:val="FF0000"/>
        </w:rPr>
        <w:lastRenderedPageBreak/>
        <w:t>population</w:t>
      </w:r>
      <w:r w:rsidR="00A26C89" w:rsidRPr="00363F53">
        <w:rPr>
          <w:color w:val="FF0000"/>
        </w:rPr>
        <w:t>.</w:t>
      </w:r>
      <w:r w:rsidR="00E45AE5" w:rsidRPr="00363F53">
        <w:rPr>
          <w:rStyle w:val="FootnoteReference"/>
          <w:color w:val="FF0000"/>
        </w:rPr>
        <w:footnoteReference w:id="6"/>
      </w:r>
      <w:r w:rsidR="00A26C89" w:rsidRPr="00363F53">
        <w:rPr>
          <w:color w:val="FF0000"/>
        </w:rPr>
        <w:t xml:space="preserve"> Resident characteristics, risk factors, and predictors for pressure ulcer development include </w:t>
      </w:r>
      <w:r w:rsidR="00D841C1" w:rsidRPr="00363F53">
        <w:rPr>
          <w:color w:val="FF0000"/>
        </w:rPr>
        <w:t xml:space="preserve">increased </w:t>
      </w:r>
      <w:r w:rsidR="00A26C89" w:rsidRPr="00363F53">
        <w:rPr>
          <w:color w:val="FF0000"/>
        </w:rPr>
        <w:t xml:space="preserve">age, black race/ethnicity, malnutrition, dehydration, infection, urinary and bowel incontinence, </w:t>
      </w:r>
      <w:r w:rsidR="00D841C1" w:rsidRPr="00363F53">
        <w:rPr>
          <w:color w:val="FF0000"/>
        </w:rPr>
        <w:t xml:space="preserve">high </w:t>
      </w:r>
      <w:r w:rsidR="00A26C89" w:rsidRPr="00363F53">
        <w:rPr>
          <w:color w:val="FF0000"/>
        </w:rPr>
        <w:t xml:space="preserve">BMI, </w:t>
      </w:r>
      <w:r w:rsidR="00D841C1" w:rsidRPr="00363F53">
        <w:rPr>
          <w:color w:val="FF0000"/>
        </w:rPr>
        <w:t xml:space="preserve">low </w:t>
      </w:r>
      <w:r w:rsidR="00A26C89" w:rsidRPr="00363F53">
        <w:rPr>
          <w:color w:val="FF0000"/>
        </w:rPr>
        <w:t>hemoglobin level</w:t>
      </w:r>
      <w:r w:rsidR="00D841C1" w:rsidRPr="00363F53">
        <w:rPr>
          <w:color w:val="FF0000"/>
        </w:rPr>
        <w:t>s</w:t>
      </w:r>
      <w:r w:rsidR="00A26C89" w:rsidRPr="00363F53">
        <w:rPr>
          <w:color w:val="FF0000"/>
        </w:rPr>
        <w:t>,</w:t>
      </w:r>
      <w:r w:rsidR="00D841C1" w:rsidRPr="00363F53">
        <w:rPr>
          <w:color w:val="FF0000"/>
        </w:rPr>
        <w:t xml:space="preserve"> low albumin levels,</w:t>
      </w:r>
      <w:r w:rsidR="00A26C89" w:rsidRPr="00363F53">
        <w:rPr>
          <w:color w:val="FF0000"/>
        </w:rPr>
        <w:t xml:space="preserve"> non-</w:t>
      </w:r>
      <w:proofErr w:type="spellStart"/>
      <w:r w:rsidR="00A26C89" w:rsidRPr="00363F53">
        <w:rPr>
          <w:color w:val="FF0000"/>
        </w:rPr>
        <w:t>blanchable</w:t>
      </w:r>
      <w:proofErr w:type="spellEnd"/>
      <w:r w:rsidR="00A26C89" w:rsidRPr="00363F53">
        <w:rPr>
          <w:color w:val="FF0000"/>
        </w:rPr>
        <w:t xml:space="preserve"> erythema, mobility limitations, poor</w:t>
      </w:r>
      <w:r w:rsidR="003C4B28" w:rsidRPr="00363F53">
        <w:rPr>
          <w:color w:val="FF0000"/>
        </w:rPr>
        <w:t xml:space="preserve"> skin</w:t>
      </w:r>
      <w:r w:rsidR="00A26C89" w:rsidRPr="00363F53">
        <w:rPr>
          <w:color w:val="FF0000"/>
        </w:rPr>
        <w:t xml:space="preserve"> moisture status, higher body temperatures, and other comorbidities (e.g., stroke, dementia, Alzheimer’s, </w:t>
      </w:r>
      <w:proofErr w:type="spellStart"/>
      <w:r w:rsidR="00A26C89" w:rsidRPr="00363F53">
        <w:rPr>
          <w:color w:val="FF0000"/>
        </w:rPr>
        <w:t>spina</w:t>
      </w:r>
      <w:proofErr w:type="spellEnd"/>
      <w:r w:rsidR="00A26C89" w:rsidRPr="00363F53">
        <w:rPr>
          <w:color w:val="FF0000"/>
        </w:rPr>
        <w:t xml:space="preserve"> bifida, cerebral palsy, etc.)</w:t>
      </w:r>
      <w:r w:rsidR="00E45AE5" w:rsidRPr="00363F53">
        <w:rPr>
          <w:color w:val="FF0000"/>
        </w:rPr>
        <w:t>.</w:t>
      </w:r>
      <w:r w:rsidR="00E45AE5" w:rsidRPr="00363F53">
        <w:rPr>
          <w:rStyle w:val="FootnoteReference"/>
          <w:color w:val="FF0000"/>
        </w:rPr>
        <w:footnoteReference w:id="7"/>
      </w:r>
      <w:r w:rsidR="00E45AE5" w:rsidRPr="00363F53">
        <w:rPr>
          <w:color w:val="FF0000"/>
          <w:vertAlign w:val="superscript"/>
        </w:rPr>
        <w:t>,</w:t>
      </w:r>
      <w:r w:rsidR="00E45AE5" w:rsidRPr="00363F53">
        <w:rPr>
          <w:rStyle w:val="FootnoteReference"/>
          <w:color w:val="FF0000"/>
        </w:rPr>
        <w:footnoteReference w:id="8"/>
      </w:r>
      <w:r w:rsidR="00E45AE5" w:rsidRPr="00363F53">
        <w:rPr>
          <w:color w:val="FF0000"/>
          <w:vertAlign w:val="superscript"/>
        </w:rPr>
        <w:t>,</w:t>
      </w:r>
      <w:r w:rsidR="00E45AE5" w:rsidRPr="00363F53">
        <w:rPr>
          <w:rStyle w:val="FootnoteReference"/>
          <w:color w:val="FF0000"/>
        </w:rPr>
        <w:footnoteReference w:id="9"/>
      </w:r>
      <w:r w:rsidR="00E45AE5" w:rsidRPr="00363F53">
        <w:rPr>
          <w:color w:val="FF0000"/>
          <w:vertAlign w:val="superscript"/>
        </w:rPr>
        <w:t>,</w:t>
      </w:r>
      <w:r w:rsidR="00E45AE5" w:rsidRPr="00363F53">
        <w:rPr>
          <w:rStyle w:val="FootnoteReference"/>
          <w:color w:val="FF0000"/>
        </w:rPr>
        <w:footnoteReference w:id="10"/>
      </w:r>
      <w:r w:rsidR="00E45AE5" w:rsidRPr="00363F53">
        <w:rPr>
          <w:color w:val="FF0000"/>
          <w:vertAlign w:val="superscript"/>
        </w:rPr>
        <w:t>,</w:t>
      </w:r>
      <w:r w:rsidR="00E45AE5" w:rsidRPr="00363F53">
        <w:rPr>
          <w:rStyle w:val="FootnoteReference"/>
          <w:color w:val="FF0000"/>
        </w:rPr>
        <w:footnoteReference w:id="11"/>
      </w:r>
      <w:r w:rsidR="00E45AE5" w:rsidRPr="00363F53">
        <w:rPr>
          <w:color w:val="FF0000"/>
          <w:vertAlign w:val="superscript"/>
        </w:rPr>
        <w:t>,</w:t>
      </w:r>
      <w:r w:rsidR="00E45AE5" w:rsidRPr="00363F53">
        <w:rPr>
          <w:rStyle w:val="FootnoteReference"/>
          <w:color w:val="FF0000"/>
        </w:rPr>
        <w:footnoteReference w:id="12"/>
      </w:r>
      <w:r w:rsidR="00E45AE5" w:rsidRPr="00363F53">
        <w:rPr>
          <w:color w:val="FF0000"/>
          <w:vertAlign w:val="superscript"/>
        </w:rPr>
        <w:t>,</w:t>
      </w:r>
      <w:r w:rsidR="00E45AE5" w:rsidRPr="00363F53">
        <w:rPr>
          <w:rStyle w:val="FootnoteReference"/>
          <w:color w:val="FF0000"/>
        </w:rPr>
        <w:footnoteReference w:id="13"/>
      </w:r>
      <w:r w:rsidR="00E45AE5" w:rsidRPr="00363F53">
        <w:rPr>
          <w:color w:val="FF0000"/>
          <w:vertAlign w:val="superscript"/>
        </w:rPr>
        <w:t>,</w:t>
      </w:r>
      <w:r w:rsidR="00E45AE5" w:rsidRPr="00363F53">
        <w:rPr>
          <w:rStyle w:val="FootnoteReference"/>
          <w:color w:val="FF0000"/>
        </w:rPr>
        <w:footnoteReference w:id="14"/>
      </w:r>
      <w:r w:rsidR="00E45AE5" w:rsidRPr="00363F53">
        <w:rPr>
          <w:color w:val="FF0000"/>
          <w:vertAlign w:val="superscript"/>
        </w:rPr>
        <w:t>,</w:t>
      </w:r>
      <w:r w:rsidR="00E45AE5" w:rsidRPr="00363F53">
        <w:rPr>
          <w:rStyle w:val="FootnoteReference"/>
          <w:color w:val="FF0000"/>
        </w:rPr>
        <w:footnoteReference w:id="15"/>
      </w:r>
      <w:r w:rsidR="00E45AE5" w:rsidRPr="00363F53">
        <w:rPr>
          <w:color w:val="FF0000"/>
        </w:rPr>
        <w:t xml:space="preserve"> </w:t>
      </w:r>
    </w:p>
    <w:p w14:paraId="7FE894FF" w14:textId="34270D90" w:rsidR="00E17550" w:rsidRPr="00363F53" w:rsidRDefault="00E17550" w:rsidP="00E17550">
      <w:pPr>
        <w:ind w:left="540" w:firstLine="0"/>
        <w:rPr>
          <w:color w:val="FF0000"/>
        </w:rPr>
      </w:pPr>
    </w:p>
    <w:p w14:paraId="17AC3DC3" w14:textId="76A7AADD" w:rsidR="00465ED6" w:rsidRPr="00363F53" w:rsidRDefault="00295979" w:rsidP="00E17550">
      <w:pPr>
        <w:ind w:left="540" w:firstLine="0"/>
        <w:rPr>
          <w:color w:val="FF0000"/>
        </w:rPr>
      </w:pPr>
      <w:r w:rsidRPr="00363F53">
        <w:rPr>
          <w:color w:val="FF0000"/>
        </w:rPr>
        <w:t xml:space="preserve">Pressure ulcer rates may be indicators of the quality of care offered by long-term care facilities. </w:t>
      </w:r>
      <w:r w:rsidR="00E17550" w:rsidRPr="00363F53">
        <w:rPr>
          <w:color w:val="FF0000"/>
        </w:rPr>
        <w:t xml:space="preserve">Although many pressure ulcers are preventable, both facility-level and process-based characteristics can impact pressure ulcer prevalence within nursing homes. </w:t>
      </w:r>
    </w:p>
    <w:p w14:paraId="53B12180" w14:textId="037B852A" w:rsidR="00E17550" w:rsidRDefault="00E17550" w:rsidP="00390ED3">
      <w:pPr>
        <w:ind w:left="0" w:firstLine="0"/>
        <w:rPr>
          <w:color w:val="0000FF"/>
        </w:rPr>
      </w:pPr>
    </w:p>
    <w:p w14:paraId="4F6DD888" w14:textId="24FC0AC7" w:rsidR="00594E52" w:rsidRPr="000459A1" w:rsidRDefault="00594E52" w:rsidP="00594E52">
      <w:pPr>
        <w:ind w:left="547" w:firstLine="0"/>
        <w:jc w:val="both"/>
        <w:rPr>
          <w:b/>
          <w:bCs/>
          <w:color w:val="0000FF"/>
        </w:rPr>
      </w:pPr>
      <w:r>
        <w:rPr>
          <w:b/>
          <w:bCs/>
          <w:color w:val="0000FF"/>
        </w:rPr>
        <w:t xml:space="preserve">Evidence for link between </w:t>
      </w:r>
      <w:r w:rsidR="00A15ED6">
        <w:rPr>
          <w:b/>
          <w:bCs/>
          <w:color w:val="0000FF"/>
        </w:rPr>
        <w:t>structure</w:t>
      </w:r>
      <w:r>
        <w:rPr>
          <w:b/>
          <w:bCs/>
          <w:color w:val="0000FF"/>
        </w:rPr>
        <w:t xml:space="preserve"> and quality of care outcome</w:t>
      </w:r>
      <w:r w:rsidRPr="007D49AB">
        <w:rPr>
          <w:b/>
          <w:bCs/>
          <w:color w:val="0000FF"/>
        </w:rPr>
        <w:t>s</w:t>
      </w:r>
    </w:p>
    <w:p w14:paraId="5B765779" w14:textId="51BBA6DD" w:rsidR="00487B16" w:rsidRPr="00363F53" w:rsidRDefault="00B71FAC" w:rsidP="00FC0F04">
      <w:pPr>
        <w:ind w:left="547" w:firstLine="0"/>
        <w:rPr>
          <w:color w:val="FF0000"/>
        </w:rPr>
      </w:pPr>
      <w:r w:rsidRPr="00363F53">
        <w:rPr>
          <w:color w:val="FF0000"/>
        </w:rPr>
        <w:t xml:space="preserve">Several </w:t>
      </w:r>
      <w:r w:rsidR="00A15ED6" w:rsidRPr="00363F53">
        <w:rPr>
          <w:color w:val="FF0000"/>
        </w:rPr>
        <w:t>structural characteristics</w:t>
      </w:r>
      <w:r w:rsidR="003C4B28" w:rsidRPr="00363F53">
        <w:rPr>
          <w:color w:val="FF0000"/>
        </w:rPr>
        <w:t>, including those that are environmental and organizational</w:t>
      </w:r>
      <w:r w:rsidR="00166490" w:rsidRPr="00363F53">
        <w:rPr>
          <w:color w:val="FF0000"/>
        </w:rPr>
        <w:t>-</w:t>
      </w:r>
      <w:r w:rsidR="003C4B28" w:rsidRPr="00363F53">
        <w:rPr>
          <w:color w:val="FF0000"/>
        </w:rPr>
        <w:t>focused,</w:t>
      </w:r>
      <w:r w:rsidR="00A15ED6" w:rsidRPr="00363F53">
        <w:rPr>
          <w:color w:val="FF0000"/>
        </w:rPr>
        <w:t xml:space="preserve"> </w:t>
      </w:r>
      <w:r w:rsidRPr="00363F53">
        <w:rPr>
          <w:color w:val="FF0000"/>
        </w:rPr>
        <w:t>may influence pressure ulcer ris</w:t>
      </w:r>
      <w:r w:rsidR="00487B16" w:rsidRPr="00363F53">
        <w:rPr>
          <w:color w:val="FF0000"/>
        </w:rPr>
        <w:t>k among nursin</w:t>
      </w:r>
      <w:r w:rsidR="00A26C89" w:rsidRPr="00363F53">
        <w:rPr>
          <w:color w:val="FF0000"/>
        </w:rPr>
        <w:t xml:space="preserve">g home residents, including </w:t>
      </w:r>
      <w:r w:rsidR="00487B16" w:rsidRPr="00363F53">
        <w:rPr>
          <w:color w:val="FF0000"/>
        </w:rPr>
        <w:t xml:space="preserve">seasonality, adequate staffing and staff composition, proper </w:t>
      </w:r>
      <w:r w:rsidR="00A26C89" w:rsidRPr="00363F53">
        <w:rPr>
          <w:color w:val="FF0000"/>
        </w:rPr>
        <w:t xml:space="preserve">staff </w:t>
      </w:r>
      <w:r w:rsidR="00487B16" w:rsidRPr="00363F53">
        <w:rPr>
          <w:color w:val="FF0000"/>
        </w:rPr>
        <w:t>education,</w:t>
      </w:r>
      <w:r w:rsidR="00A26C89" w:rsidRPr="00363F53">
        <w:rPr>
          <w:color w:val="FF0000"/>
        </w:rPr>
        <w:t xml:space="preserve"> geographic location,</w:t>
      </w:r>
      <w:r w:rsidR="00487B16" w:rsidRPr="00363F53">
        <w:rPr>
          <w:color w:val="FF0000"/>
        </w:rPr>
        <w:t xml:space="preserve"> and facility size</w:t>
      </w:r>
      <w:r w:rsidR="0050628A" w:rsidRPr="00363F53">
        <w:rPr>
          <w:color w:val="FF0000"/>
        </w:rPr>
        <w:t xml:space="preserve"> and </w:t>
      </w:r>
      <w:r w:rsidR="00A26C89" w:rsidRPr="00363F53">
        <w:rPr>
          <w:color w:val="FF0000"/>
        </w:rPr>
        <w:t>ownership type</w:t>
      </w:r>
      <w:r w:rsidR="00487B16" w:rsidRPr="00363F53">
        <w:rPr>
          <w:color w:val="FF0000"/>
        </w:rPr>
        <w:t xml:space="preserve">. </w:t>
      </w:r>
    </w:p>
    <w:p w14:paraId="52CADABB" w14:textId="77777777" w:rsidR="00487B16" w:rsidRPr="00363F53" w:rsidRDefault="00487B16" w:rsidP="00FC0F04">
      <w:pPr>
        <w:ind w:left="547" w:firstLine="0"/>
        <w:rPr>
          <w:color w:val="FF0000"/>
        </w:rPr>
      </w:pPr>
    </w:p>
    <w:p w14:paraId="133DCBFE" w14:textId="2BDEB418" w:rsidR="00B71FAC" w:rsidRPr="00363F53" w:rsidRDefault="00A26C89" w:rsidP="00FC0F04">
      <w:pPr>
        <w:ind w:left="547" w:firstLine="0"/>
        <w:rPr>
          <w:color w:val="FF0000"/>
        </w:rPr>
      </w:pPr>
      <w:r w:rsidRPr="00363F53">
        <w:rPr>
          <w:color w:val="FF0000"/>
        </w:rPr>
        <w:t>First, seasonality</w:t>
      </w:r>
      <w:r w:rsidR="00A90682" w:rsidRPr="00363F53">
        <w:rPr>
          <w:color w:val="FF0000"/>
        </w:rPr>
        <w:t xml:space="preserve"> may </w:t>
      </w:r>
      <w:r w:rsidRPr="00363F53">
        <w:rPr>
          <w:color w:val="FF0000"/>
        </w:rPr>
        <w:t>affect</w:t>
      </w:r>
      <w:r w:rsidR="008750BF" w:rsidRPr="00363F53">
        <w:rPr>
          <w:color w:val="FF0000"/>
        </w:rPr>
        <w:t xml:space="preserve"> </w:t>
      </w:r>
      <w:r w:rsidRPr="00363F53">
        <w:rPr>
          <w:color w:val="FF0000"/>
        </w:rPr>
        <w:t>pressure ulcer incidence within nursing homes</w:t>
      </w:r>
      <w:r w:rsidR="008750BF" w:rsidRPr="00363F53">
        <w:rPr>
          <w:color w:val="FF0000"/>
        </w:rPr>
        <w:t xml:space="preserve">. </w:t>
      </w:r>
      <w:r w:rsidR="00F06AEB" w:rsidRPr="00363F53">
        <w:rPr>
          <w:color w:val="FF0000"/>
        </w:rPr>
        <w:t>One study</w:t>
      </w:r>
      <w:r w:rsidR="001038F3" w:rsidRPr="00363F53">
        <w:rPr>
          <w:color w:val="FF0000"/>
        </w:rPr>
        <w:t xml:space="preserve"> based on a tertiary care hospital in east China</w:t>
      </w:r>
      <w:r w:rsidR="00F06AEB" w:rsidRPr="00363F53">
        <w:rPr>
          <w:color w:val="FF0000"/>
        </w:rPr>
        <w:t xml:space="preserve"> found that the incidence of hospital-acquired pressure injuries among hip fracture patients was highest during the summer months compared to lower rates in autumn.</w:t>
      </w:r>
      <w:r w:rsidR="00295979" w:rsidRPr="00363F53">
        <w:rPr>
          <w:rStyle w:val="FootnoteReference"/>
          <w:color w:val="FF0000"/>
        </w:rPr>
        <w:footnoteReference w:id="16"/>
      </w:r>
      <w:r w:rsidR="00F06AEB" w:rsidRPr="00363F53">
        <w:rPr>
          <w:color w:val="FF0000"/>
        </w:rPr>
        <w:t xml:space="preserve"> </w:t>
      </w:r>
      <w:r w:rsidR="00A15ED6" w:rsidRPr="00363F53">
        <w:rPr>
          <w:color w:val="FF0000"/>
        </w:rPr>
        <w:t xml:space="preserve">Authors </w:t>
      </w:r>
      <w:r w:rsidR="00F06AEB" w:rsidRPr="00363F53">
        <w:rPr>
          <w:color w:val="FF0000"/>
        </w:rPr>
        <w:t>suggest these findings are related to higher temperatures and humidity in the summer.</w:t>
      </w:r>
      <w:r w:rsidR="00295979" w:rsidRPr="00363F53">
        <w:rPr>
          <w:rStyle w:val="FootnoteReference"/>
          <w:color w:val="FF0000"/>
        </w:rPr>
        <w:footnoteReference w:id="17"/>
      </w:r>
      <w:r w:rsidR="00A15ED6" w:rsidRPr="00363F53">
        <w:rPr>
          <w:color w:val="FF0000"/>
        </w:rPr>
        <w:t xml:space="preserve"> The effects of higher humidity and temperatures are inextricably lin</w:t>
      </w:r>
      <w:r w:rsidR="00295979" w:rsidRPr="00363F53">
        <w:rPr>
          <w:color w:val="FF0000"/>
        </w:rPr>
        <w:t>ked to soft tissue deformation</w:t>
      </w:r>
      <w:r w:rsidR="00A15ED6" w:rsidRPr="00363F53">
        <w:rPr>
          <w:color w:val="FF0000"/>
        </w:rPr>
        <w:t>.</w:t>
      </w:r>
      <w:r w:rsidR="00295979" w:rsidRPr="00363F53">
        <w:rPr>
          <w:rStyle w:val="FootnoteReference"/>
          <w:color w:val="FF0000"/>
        </w:rPr>
        <w:footnoteReference w:id="18"/>
      </w:r>
      <w:r w:rsidR="00A90682" w:rsidRPr="00363F53">
        <w:rPr>
          <w:color w:val="FF0000"/>
        </w:rPr>
        <w:t xml:space="preserve"> </w:t>
      </w:r>
      <w:r w:rsidRPr="00363F53">
        <w:rPr>
          <w:color w:val="FF0000"/>
        </w:rPr>
        <w:t>Although, high</w:t>
      </w:r>
      <w:r w:rsidR="00A90682" w:rsidRPr="00363F53">
        <w:rPr>
          <w:color w:val="FF0000"/>
        </w:rPr>
        <w:t xml:space="preserve"> temperatures may</w:t>
      </w:r>
      <w:r w:rsidR="00F06AEB" w:rsidRPr="00363F53">
        <w:rPr>
          <w:color w:val="FF0000"/>
        </w:rPr>
        <w:t xml:space="preserve"> be </w:t>
      </w:r>
      <w:r w:rsidRPr="00363F53">
        <w:rPr>
          <w:color w:val="FF0000"/>
        </w:rPr>
        <w:t>addressed with air conditioning,</w:t>
      </w:r>
      <w:r w:rsidR="00F06AEB" w:rsidRPr="00363F53">
        <w:rPr>
          <w:color w:val="FF0000"/>
        </w:rPr>
        <w:t xml:space="preserve"> facility environmental controls may not be sufficient to reduce high humidity levels, increasing pressure ulcer incidence</w:t>
      </w:r>
      <w:r w:rsidR="00845848" w:rsidRPr="00363F53">
        <w:rPr>
          <w:color w:val="FF0000"/>
        </w:rPr>
        <w:t>.</w:t>
      </w:r>
      <w:r w:rsidR="00D459AF" w:rsidRPr="00363F53">
        <w:rPr>
          <w:rStyle w:val="FootnoteReference"/>
          <w:color w:val="FF0000"/>
        </w:rPr>
        <w:footnoteReference w:id="19"/>
      </w:r>
      <w:r w:rsidR="00FC0F04" w:rsidRPr="00363F53">
        <w:rPr>
          <w:color w:val="FF0000"/>
        </w:rPr>
        <w:t xml:space="preserve"> </w:t>
      </w:r>
      <w:r w:rsidRPr="00363F53">
        <w:rPr>
          <w:color w:val="FF0000"/>
        </w:rPr>
        <w:t xml:space="preserve">The higher summer temperatures and humidity levels resulting from seasonality may impact the pressure ulcer rates of long-term care facilities as well. </w:t>
      </w:r>
      <w:r w:rsidR="008750BF" w:rsidRPr="00363F53">
        <w:rPr>
          <w:color w:val="FF0000"/>
        </w:rPr>
        <w:t>A subsequent</w:t>
      </w:r>
      <w:r w:rsidR="0015343A" w:rsidRPr="00363F53">
        <w:rPr>
          <w:color w:val="FF0000"/>
        </w:rPr>
        <w:t xml:space="preserve"> retrospective</w:t>
      </w:r>
      <w:r w:rsidR="008750BF" w:rsidRPr="00363F53">
        <w:rPr>
          <w:color w:val="FF0000"/>
        </w:rPr>
        <w:t xml:space="preserve"> longitudinal study</w:t>
      </w:r>
      <w:r w:rsidR="00873E45" w:rsidRPr="00363F53">
        <w:rPr>
          <w:color w:val="FF0000"/>
        </w:rPr>
        <w:t>,</w:t>
      </w:r>
      <w:r w:rsidR="008750BF" w:rsidRPr="00363F53">
        <w:rPr>
          <w:color w:val="FF0000"/>
        </w:rPr>
        <w:t xml:space="preserve"> </w:t>
      </w:r>
      <w:r w:rsidR="007A324A" w:rsidRPr="00363F53">
        <w:rPr>
          <w:color w:val="FF0000"/>
        </w:rPr>
        <w:t xml:space="preserve">which assessed </w:t>
      </w:r>
      <w:r w:rsidR="008750BF" w:rsidRPr="00363F53">
        <w:rPr>
          <w:color w:val="FF0000"/>
        </w:rPr>
        <w:t>trends and seasonality in unit-level hospital-acquired pressure ulcer rates</w:t>
      </w:r>
      <w:r w:rsidR="00873E45" w:rsidRPr="00363F53">
        <w:rPr>
          <w:color w:val="FF0000"/>
        </w:rPr>
        <w:t xml:space="preserve">, </w:t>
      </w:r>
      <w:r w:rsidR="007A324A" w:rsidRPr="00363F53">
        <w:rPr>
          <w:color w:val="FF0000"/>
        </w:rPr>
        <w:t>suggests that seasonality may be related to patient volume, severity of illness, and nurse staffing levels</w:t>
      </w:r>
      <w:r w:rsidR="00FC0F04" w:rsidRPr="00363F53">
        <w:rPr>
          <w:color w:val="FF0000"/>
        </w:rPr>
        <w:t>, all of which may impact pressure ulcer development</w:t>
      </w:r>
      <w:r w:rsidR="007A324A" w:rsidRPr="00363F53">
        <w:rPr>
          <w:color w:val="FF0000"/>
        </w:rPr>
        <w:t>.</w:t>
      </w:r>
      <w:r w:rsidR="00D459AF" w:rsidRPr="00363F53">
        <w:rPr>
          <w:rStyle w:val="FootnoteReference"/>
          <w:color w:val="FF0000"/>
        </w:rPr>
        <w:footnoteReference w:id="20"/>
      </w:r>
      <w:r w:rsidR="007A324A" w:rsidRPr="00363F53">
        <w:rPr>
          <w:color w:val="FF0000"/>
        </w:rPr>
        <w:t xml:space="preserve"> </w:t>
      </w:r>
      <w:r w:rsidR="007D49AB" w:rsidRPr="00363F53">
        <w:rPr>
          <w:color w:val="FF0000"/>
        </w:rPr>
        <w:t>This may also be true for nursing-home acquired pressure ulcers.</w:t>
      </w:r>
    </w:p>
    <w:p w14:paraId="7855DC06" w14:textId="6054F0E8" w:rsidR="00A15ED6" w:rsidRPr="00363F53" w:rsidRDefault="00A15ED6" w:rsidP="00FC0F04">
      <w:pPr>
        <w:ind w:left="547" w:firstLine="0"/>
        <w:rPr>
          <w:color w:val="FF0000"/>
        </w:rPr>
      </w:pPr>
    </w:p>
    <w:p w14:paraId="23E5B138" w14:textId="557D2278" w:rsidR="00FE50D6" w:rsidRPr="00363F53" w:rsidRDefault="00166B55" w:rsidP="00AE623D">
      <w:pPr>
        <w:ind w:left="547" w:firstLine="0"/>
        <w:rPr>
          <w:color w:val="FF0000"/>
        </w:rPr>
      </w:pPr>
      <w:r w:rsidRPr="00363F53">
        <w:rPr>
          <w:color w:val="FF0000"/>
        </w:rPr>
        <w:t>Adequate staffing and</w:t>
      </w:r>
      <w:r w:rsidR="00552B26" w:rsidRPr="00363F53">
        <w:rPr>
          <w:color w:val="FF0000"/>
        </w:rPr>
        <w:t xml:space="preserve"> proper</w:t>
      </w:r>
      <w:r w:rsidRPr="00363F53">
        <w:rPr>
          <w:color w:val="FF0000"/>
        </w:rPr>
        <w:t xml:space="preserve"> s</w:t>
      </w:r>
      <w:r w:rsidR="00A15ED6" w:rsidRPr="00363F53">
        <w:rPr>
          <w:color w:val="FF0000"/>
        </w:rPr>
        <w:t>taff education is another st</w:t>
      </w:r>
      <w:r w:rsidR="008B4532" w:rsidRPr="00363F53">
        <w:rPr>
          <w:color w:val="FF0000"/>
        </w:rPr>
        <w:t>ructural characteristic that may im</w:t>
      </w:r>
      <w:r w:rsidR="00A26C89" w:rsidRPr="00363F53">
        <w:rPr>
          <w:color w:val="FF0000"/>
        </w:rPr>
        <w:t>pact pressure ulcer formation among</w:t>
      </w:r>
      <w:r w:rsidR="008B4532" w:rsidRPr="00363F53">
        <w:rPr>
          <w:color w:val="FF0000"/>
        </w:rPr>
        <w:t xml:space="preserve"> patients. </w:t>
      </w:r>
      <w:r w:rsidR="00552B26" w:rsidRPr="00363F53">
        <w:rPr>
          <w:color w:val="FF0000"/>
        </w:rPr>
        <w:t>The 2010 multidisciplinary conference hosted by the National Pressure Ulcer Advisory Panel (NPUAP) highlighted the importance of adequate staff numbers and training as crucial components of pressure ulcer preventi</w:t>
      </w:r>
      <w:r w:rsidR="00D459AF" w:rsidRPr="00363F53">
        <w:rPr>
          <w:color w:val="FF0000"/>
        </w:rPr>
        <w:t>on programs</w:t>
      </w:r>
      <w:r w:rsidR="00552B26" w:rsidRPr="00363F53">
        <w:rPr>
          <w:color w:val="FF0000"/>
        </w:rPr>
        <w:t>.</w:t>
      </w:r>
      <w:r w:rsidR="00D459AF" w:rsidRPr="00363F53">
        <w:rPr>
          <w:rStyle w:val="FootnoteReference"/>
          <w:color w:val="FF0000"/>
        </w:rPr>
        <w:footnoteReference w:id="21"/>
      </w:r>
      <w:r w:rsidR="00552B26" w:rsidRPr="00363F53">
        <w:rPr>
          <w:color w:val="FF0000"/>
        </w:rPr>
        <w:t xml:space="preserve"> </w:t>
      </w:r>
      <w:r w:rsidR="008B4532" w:rsidRPr="00363F53">
        <w:rPr>
          <w:color w:val="FF0000"/>
        </w:rPr>
        <w:t>One study</w:t>
      </w:r>
      <w:r w:rsidR="007A6253" w:rsidRPr="00363F53">
        <w:rPr>
          <w:color w:val="FF0000"/>
        </w:rPr>
        <w:t xml:space="preserve"> examined pressure injury prevention among private, for-profit nursing homes in which the experimental group of nursing assistants were given education in pressure ulcer prevention and the control group continued with</w:t>
      </w:r>
      <w:r w:rsidR="00D459AF" w:rsidRPr="00363F53">
        <w:rPr>
          <w:color w:val="FF0000"/>
        </w:rPr>
        <w:t xml:space="preserve"> usual care</w:t>
      </w:r>
      <w:r w:rsidR="007A6253" w:rsidRPr="00363F53">
        <w:rPr>
          <w:color w:val="FF0000"/>
        </w:rPr>
        <w:t>.</w:t>
      </w:r>
      <w:r w:rsidR="00D459AF" w:rsidRPr="00363F53">
        <w:rPr>
          <w:rStyle w:val="FootnoteReference"/>
          <w:color w:val="FF0000"/>
        </w:rPr>
        <w:footnoteReference w:id="22"/>
      </w:r>
      <w:r w:rsidR="007A6253" w:rsidRPr="00363F53">
        <w:rPr>
          <w:color w:val="FF0000"/>
        </w:rPr>
        <w:t xml:space="preserve"> Residents within nursing homes w</w:t>
      </w:r>
      <w:r w:rsidR="001331EC" w:rsidRPr="00363F53">
        <w:rPr>
          <w:color w:val="FF0000"/>
        </w:rPr>
        <w:t>h</w:t>
      </w:r>
      <w:r w:rsidR="007A6253" w:rsidRPr="00363F53">
        <w:rPr>
          <w:color w:val="FF0000"/>
        </w:rPr>
        <w:t xml:space="preserve">ere nursing assistants received pressure injury prevention had significantly lower </w:t>
      </w:r>
      <w:r w:rsidR="00715D95" w:rsidRPr="00363F53">
        <w:rPr>
          <w:color w:val="FF0000"/>
        </w:rPr>
        <w:t xml:space="preserve">resident </w:t>
      </w:r>
      <w:r w:rsidR="001331EC" w:rsidRPr="00363F53">
        <w:rPr>
          <w:color w:val="FF0000"/>
        </w:rPr>
        <w:t>pressure injur</w:t>
      </w:r>
      <w:r w:rsidR="00D459AF" w:rsidRPr="00363F53">
        <w:rPr>
          <w:color w:val="FF0000"/>
        </w:rPr>
        <w:t>y incidence</w:t>
      </w:r>
      <w:r w:rsidR="001331EC" w:rsidRPr="00363F53">
        <w:rPr>
          <w:color w:val="FF0000"/>
        </w:rPr>
        <w:t>.</w:t>
      </w:r>
      <w:r w:rsidR="00D459AF" w:rsidRPr="00363F53">
        <w:rPr>
          <w:rStyle w:val="FootnoteReference"/>
          <w:color w:val="FF0000"/>
        </w:rPr>
        <w:footnoteReference w:id="23"/>
      </w:r>
      <w:r w:rsidR="001331EC" w:rsidRPr="00363F53">
        <w:rPr>
          <w:color w:val="FF0000"/>
        </w:rPr>
        <w:t xml:space="preserve"> </w:t>
      </w:r>
      <w:r w:rsidR="00A26C89" w:rsidRPr="00363F53">
        <w:rPr>
          <w:color w:val="FF0000"/>
        </w:rPr>
        <w:t>S</w:t>
      </w:r>
      <w:r w:rsidR="001E5905" w:rsidRPr="00363F53">
        <w:rPr>
          <w:color w:val="FF0000"/>
        </w:rPr>
        <w:t xml:space="preserve">taff education may also impact the </w:t>
      </w:r>
      <w:r w:rsidR="003C4B28" w:rsidRPr="00363F53">
        <w:rPr>
          <w:color w:val="FF0000"/>
        </w:rPr>
        <w:t>identification</w:t>
      </w:r>
      <w:r w:rsidR="001E5905" w:rsidRPr="00363F53">
        <w:rPr>
          <w:color w:val="FF0000"/>
        </w:rPr>
        <w:t xml:space="preserve"> of pressure ulcers. One case study found that only 40% of trained nurses within one hospital were able to accurately</w:t>
      </w:r>
      <w:r w:rsidR="003C4B28" w:rsidRPr="00363F53">
        <w:rPr>
          <w:color w:val="FF0000"/>
        </w:rPr>
        <w:t xml:space="preserve"> identify</w:t>
      </w:r>
      <w:r w:rsidR="001E5905" w:rsidRPr="00363F53">
        <w:rPr>
          <w:color w:val="FF0000"/>
        </w:rPr>
        <w:t xml:space="preserve"> the presence of a pressure ulcer</w:t>
      </w:r>
      <w:r w:rsidR="00E9551A" w:rsidRPr="00363F53">
        <w:rPr>
          <w:color w:val="FF0000"/>
        </w:rPr>
        <w:t>s</w:t>
      </w:r>
      <w:r w:rsidR="001E5905" w:rsidRPr="00363F53">
        <w:rPr>
          <w:color w:val="FF0000"/>
        </w:rPr>
        <w:t xml:space="preserve"> among newly admitted patie</w:t>
      </w:r>
      <w:r w:rsidR="00D459AF" w:rsidRPr="00363F53">
        <w:rPr>
          <w:color w:val="FF0000"/>
        </w:rPr>
        <w:t>nts</w:t>
      </w:r>
      <w:r w:rsidR="001E5905" w:rsidRPr="00363F53">
        <w:rPr>
          <w:color w:val="FF0000"/>
        </w:rPr>
        <w:t>.</w:t>
      </w:r>
      <w:r w:rsidR="00D459AF" w:rsidRPr="00363F53">
        <w:rPr>
          <w:rStyle w:val="FootnoteReference"/>
          <w:color w:val="FF0000"/>
        </w:rPr>
        <w:footnoteReference w:id="24"/>
      </w:r>
      <w:r w:rsidR="001E5905" w:rsidRPr="00363F53">
        <w:rPr>
          <w:color w:val="FF0000"/>
        </w:rPr>
        <w:t xml:space="preserve"> Furthermore, only 8% of these trained nurses were able to accurately categorize the stage of a patient’s pressur</w:t>
      </w:r>
      <w:r w:rsidR="00D459AF" w:rsidRPr="00363F53">
        <w:rPr>
          <w:color w:val="FF0000"/>
        </w:rPr>
        <w:t>e ulcers</w:t>
      </w:r>
      <w:r w:rsidR="001E5905" w:rsidRPr="00363F53">
        <w:rPr>
          <w:color w:val="FF0000"/>
        </w:rPr>
        <w:t>.</w:t>
      </w:r>
      <w:r w:rsidR="00D459AF" w:rsidRPr="00363F53">
        <w:rPr>
          <w:rStyle w:val="FootnoteReference"/>
          <w:color w:val="FF0000"/>
        </w:rPr>
        <w:footnoteReference w:id="25"/>
      </w:r>
      <w:r w:rsidR="001E5905" w:rsidRPr="00363F53">
        <w:rPr>
          <w:color w:val="FF0000"/>
        </w:rPr>
        <w:t xml:space="preserve"> </w:t>
      </w:r>
      <w:r w:rsidR="003039E5" w:rsidRPr="00363F53">
        <w:rPr>
          <w:color w:val="FF0000"/>
        </w:rPr>
        <w:t>Evaluating</w:t>
      </w:r>
      <w:r w:rsidR="00A26C89" w:rsidRPr="00363F53">
        <w:rPr>
          <w:color w:val="FF0000"/>
        </w:rPr>
        <w:t xml:space="preserve"> providers’ skills in accurately </w:t>
      </w:r>
      <w:r w:rsidR="003039E5" w:rsidRPr="00363F53">
        <w:rPr>
          <w:color w:val="FF0000"/>
        </w:rPr>
        <w:t xml:space="preserve">assessing </w:t>
      </w:r>
      <w:r w:rsidR="00A26C89" w:rsidRPr="00363F53">
        <w:rPr>
          <w:color w:val="FF0000"/>
        </w:rPr>
        <w:t xml:space="preserve">patients is also important among </w:t>
      </w:r>
      <w:r w:rsidR="006E4A9D" w:rsidRPr="00363F53">
        <w:rPr>
          <w:color w:val="FF0000"/>
        </w:rPr>
        <w:t>nursing home</w:t>
      </w:r>
      <w:r w:rsidR="00A26C89" w:rsidRPr="00363F53">
        <w:rPr>
          <w:color w:val="FF0000"/>
        </w:rPr>
        <w:t xml:space="preserve"> settings. </w:t>
      </w:r>
    </w:p>
    <w:p w14:paraId="36936919" w14:textId="47EECB62" w:rsidR="00166B55" w:rsidRPr="00363F53" w:rsidRDefault="00166B55" w:rsidP="00AE623D">
      <w:pPr>
        <w:ind w:left="547" w:firstLine="0"/>
        <w:rPr>
          <w:color w:val="FF0000"/>
        </w:rPr>
      </w:pPr>
    </w:p>
    <w:p w14:paraId="2EFD587A" w14:textId="29B0623B" w:rsidR="00166B55" w:rsidRPr="00363F53" w:rsidRDefault="00166B55" w:rsidP="00166B55">
      <w:pPr>
        <w:ind w:left="547" w:firstLine="0"/>
        <w:rPr>
          <w:color w:val="FF0000"/>
        </w:rPr>
      </w:pPr>
      <w:r w:rsidRPr="00363F53">
        <w:rPr>
          <w:color w:val="FF0000"/>
        </w:rPr>
        <w:t xml:space="preserve">Staff composition is also associated with pressure ulcer development. One study </w:t>
      </w:r>
      <w:r w:rsidR="00A26C89" w:rsidRPr="00363F53">
        <w:rPr>
          <w:color w:val="FF0000"/>
        </w:rPr>
        <w:t>concluded</w:t>
      </w:r>
      <w:r w:rsidRPr="00363F53">
        <w:rPr>
          <w:color w:val="FF0000"/>
        </w:rPr>
        <w:t xml:space="preserve"> that nursing homes with</w:t>
      </w:r>
      <w:r w:rsidR="00243EA2" w:rsidRPr="00363F53">
        <w:rPr>
          <w:color w:val="FF0000"/>
        </w:rPr>
        <w:t xml:space="preserve"> a medical director or director of nursing on board had reduced odds of pressure ulcers</w:t>
      </w:r>
      <w:r w:rsidRPr="00363F53">
        <w:rPr>
          <w:color w:val="FF0000"/>
        </w:rPr>
        <w:t>.</w:t>
      </w:r>
      <w:r w:rsidR="00D459AF" w:rsidRPr="00363F53">
        <w:rPr>
          <w:rStyle w:val="FootnoteReference"/>
          <w:color w:val="FF0000"/>
        </w:rPr>
        <w:footnoteReference w:id="26"/>
      </w:r>
      <w:r w:rsidRPr="00363F53">
        <w:rPr>
          <w:color w:val="FF0000"/>
        </w:rPr>
        <w:t xml:space="preserve"> Directors </w:t>
      </w:r>
      <w:r w:rsidR="006E4A9D" w:rsidRPr="00363F53">
        <w:rPr>
          <w:color w:val="FF0000"/>
        </w:rPr>
        <w:t xml:space="preserve">of nursing </w:t>
      </w:r>
      <w:r w:rsidRPr="00363F53">
        <w:rPr>
          <w:color w:val="FF0000"/>
        </w:rPr>
        <w:t>may offer support and guidance to nursing staff</w:t>
      </w:r>
      <w:r w:rsidR="00715D95" w:rsidRPr="00363F53">
        <w:rPr>
          <w:color w:val="FF0000"/>
        </w:rPr>
        <w:t>,</w:t>
      </w:r>
      <w:r w:rsidRPr="00363F53">
        <w:rPr>
          <w:color w:val="FF0000"/>
        </w:rPr>
        <w:t xml:space="preserve"> as well as help with quicker assessments of residents</w:t>
      </w:r>
      <w:r w:rsidR="00715D95" w:rsidRPr="00363F53">
        <w:rPr>
          <w:color w:val="FF0000"/>
        </w:rPr>
        <w:t>,</w:t>
      </w:r>
      <w:r w:rsidRPr="00363F53">
        <w:rPr>
          <w:color w:val="FF0000"/>
        </w:rPr>
        <w:t xml:space="preserve"> leading to prompt pressure ulcer </w:t>
      </w:r>
      <w:r w:rsidR="00243EA2" w:rsidRPr="00363F53">
        <w:rPr>
          <w:color w:val="FF0000"/>
        </w:rPr>
        <w:t>identification</w:t>
      </w:r>
      <w:r w:rsidRPr="00363F53">
        <w:rPr>
          <w:color w:val="FF0000"/>
        </w:rPr>
        <w:t xml:space="preserve"> and reside</w:t>
      </w:r>
      <w:r w:rsidR="00D459AF" w:rsidRPr="00363F53">
        <w:rPr>
          <w:color w:val="FF0000"/>
        </w:rPr>
        <w:t>nt treatment</w:t>
      </w:r>
      <w:r w:rsidRPr="00363F53">
        <w:rPr>
          <w:color w:val="FF0000"/>
        </w:rPr>
        <w:t>.</w:t>
      </w:r>
      <w:r w:rsidR="00D459AF" w:rsidRPr="00363F53">
        <w:rPr>
          <w:rStyle w:val="FootnoteReference"/>
          <w:color w:val="FF0000"/>
        </w:rPr>
        <w:footnoteReference w:id="27"/>
      </w:r>
      <w:r w:rsidRPr="00363F53">
        <w:rPr>
          <w:color w:val="FF0000"/>
        </w:rPr>
        <w:t xml:space="preserve"> Another study emphasized the importance of nursing home le</w:t>
      </w:r>
      <w:r w:rsidR="00D459AF" w:rsidRPr="00363F53">
        <w:rPr>
          <w:color w:val="FF0000"/>
        </w:rPr>
        <w:t>adership</w:t>
      </w:r>
      <w:r w:rsidRPr="00363F53">
        <w:rPr>
          <w:color w:val="FF0000"/>
        </w:rPr>
        <w:t>.</w:t>
      </w:r>
      <w:r w:rsidR="00D459AF" w:rsidRPr="00363F53">
        <w:rPr>
          <w:rStyle w:val="FootnoteReference"/>
          <w:color w:val="FF0000"/>
        </w:rPr>
        <w:footnoteReference w:id="28"/>
      </w:r>
      <w:r w:rsidRPr="00363F53">
        <w:rPr>
          <w:color w:val="FF0000"/>
        </w:rPr>
        <w:t xml:space="preserve"> In this study, the visible prioritization and support of pressure ulcer prevention from leadership</w:t>
      </w:r>
      <w:r w:rsidR="00715D95" w:rsidRPr="00363F53">
        <w:rPr>
          <w:color w:val="FF0000"/>
        </w:rPr>
        <w:t>,</w:t>
      </w:r>
      <w:r w:rsidRPr="00363F53">
        <w:rPr>
          <w:color w:val="FF0000"/>
        </w:rPr>
        <w:t xml:space="preserve"> as well as the initiation of prevention activities through formal nursing home structures</w:t>
      </w:r>
      <w:r w:rsidR="00715D95" w:rsidRPr="00363F53">
        <w:rPr>
          <w:color w:val="FF0000"/>
        </w:rPr>
        <w:t>,</w:t>
      </w:r>
      <w:r w:rsidRPr="00363F53">
        <w:rPr>
          <w:color w:val="FF0000"/>
        </w:rPr>
        <w:t xml:space="preserve"> were components found in nursing homes with improving per</w:t>
      </w:r>
      <w:r w:rsidR="00D459AF" w:rsidRPr="00363F53">
        <w:rPr>
          <w:color w:val="FF0000"/>
        </w:rPr>
        <w:t>formance</w:t>
      </w:r>
      <w:r w:rsidRPr="00363F53">
        <w:rPr>
          <w:color w:val="FF0000"/>
        </w:rPr>
        <w:t>.</w:t>
      </w:r>
      <w:r w:rsidR="00D459AF" w:rsidRPr="00363F53">
        <w:rPr>
          <w:rStyle w:val="FootnoteReference"/>
          <w:color w:val="FF0000"/>
        </w:rPr>
        <w:footnoteReference w:id="29"/>
      </w:r>
      <w:r w:rsidRPr="00363F53">
        <w:rPr>
          <w:color w:val="FF0000"/>
        </w:rPr>
        <w:t xml:space="preserve"> </w:t>
      </w:r>
    </w:p>
    <w:p w14:paraId="6C2C39C4" w14:textId="77777777" w:rsidR="00FE50D6" w:rsidRPr="00363F53" w:rsidRDefault="00FE50D6" w:rsidP="00AE623D">
      <w:pPr>
        <w:ind w:left="547" w:firstLine="0"/>
        <w:rPr>
          <w:color w:val="FF0000"/>
        </w:rPr>
      </w:pPr>
    </w:p>
    <w:p w14:paraId="35AAD910" w14:textId="45315447" w:rsidR="00A15ED6" w:rsidRPr="00363F53" w:rsidRDefault="00FE50D6" w:rsidP="00AE623D">
      <w:pPr>
        <w:ind w:left="547" w:firstLine="0"/>
        <w:rPr>
          <w:color w:val="FF0000"/>
        </w:rPr>
      </w:pPr>
      <w:r w:rsidRPr="00363F53">
        <w:rPr>
          <w:color w:val="FF0000"/>
        </w:rPr>
        <w:t xml:space="preserve">Additional facility-level characteristics </w:t>
      </w:r>
      <w:r w:rsidR="001C5F6F" w:rsidRPr="00363F53">
        <w:rPr>
          <w:color w:val="FF0000"/>
        </w:rPr>
        <w:t xml:space="preserve">affecting </w:t>
      </w:r>
      <w:r w:rsidRPr="00363F53">
        <w:rPr>
          <w:color w:val="FF0000"/>
        </w:rPr>
        <w:t xml:space="preserve">pressure ulcer incidence include for-profit status, facility size, </w:t>
      </w:r>
      <w:r w:rsidR="00E9551A" w:rsidRPr="00363F53">
        <w:rPr>
          <w:color w:val="FF0000"/>
        </w:rPr>
        <w:t>and geographic location</w:t>
      </w:r>
      <w:r w:rsidRPr="00363F53">
        <w:rPr>
          <w:color w:val="FF0000"/>
        </w:rPr>
        <w:t>.</w:t>
      </w:r>
      <w:r w:rsidR="00FE1148" w:rsidRPr="00363F53">
        <w:rPr>
          <w:rStyle w:val="FootnoteReference"/>
          <w:color w:val="FF0000"/>
        </w:rPr>
        <w:footnoteReference w:id="30"/>
      </w:r>
      <w:r w:rsidRPr="00363F53">
        <w:rPr>
          <w:color w:val="FF0000"/>
        </w:rPr>
        <w:t xml:space="preserve"> One study found that residents in for-profit nursing homes were less likely to develop early stage ulcers but were more likely to develop stage IV ulcers; resid</w:t>
      </w:r>
      <w:r w:rsidR="00C9219B" w:rsidRPr="00363F53">
        <w:rPr>
          <w:color w:val="FF0000"/>
        </w:rPr>
        <w:t xml:space="preserve">ents in </w:t>
      </w:r>
      <w:proofErr w:type="spellStart"/>
      <w:r w:rsidR="00C9219B" w:rsidRPr="00363F53">
        <w:rPr>
          <w:color w:val="FF0000"/>
        </w:rPr>
        <w:t>micropolitan</w:t>
      </w:r>
      <w:proofErr w:type="spellEnd"/>
      <w:r w:rsidR="00C9219B" w:rsidRPr="00363F53">
        <w:rPr>
          <w:color w:val="FF0000"/>
        </w:rPr>
        <w:t xml:space="preserve"> facilities, with area populations ranging between 10,000-50,000, </w:t>
      </w:r>
      <w:r w:rsidRPr="00363F53">
        <w:rPr>
          <w:color w:val="FF0000"/>
        </w:rPr>
        <w:t>were more likely to develop stage II ulcers but were less likely to experience stage III and IV ulcers</w:t>
      </w:r>
      <w:r w:rsidR="00C9219B" w:rsidRPr="00363F53">
        <w:rPr>
          <w:color w:val="FF0000"/>
        </w:rPr>
        <w:t>; and residents in facilities with more than 200 beds had greater odds of stag</w:t>
      </w:r>
      <w:r w:rsidR="00FE1148" w:rsidRPr="00363F53">
        <w:rPr>
          <w:color w:val="FF0000"/>
        </w:rPr>
        <w:t>e III ulcers</w:t>
      </w:r>
      <w:r w:rsidR="00C9219B" w:rsidRPr="00363F53">
        <w:rPr>
          <w:color w:val="FF0000"/>
        </w:rPr>
        <w:t>.</w:t>
      </w:r>
      <w:r w:rsidR="00FE1148" w:rsidRPr="00363F53">
        <w:rPr>
          <w:rStyle w:val="FootnoteReference"/>
          <w:color w:val="FF0000"/>
        </w:rPr>
        <w:footnoteReference w:id="31"/>
      </w:r>
      <w:r w:rsidR="00C9219B" w:rsidRPr="00363F53">
        <w:rPr>
          <w:color w:val="FF0000"/>
        </w:rPr>
        <w:t xml:space="preserve"> </w:t>
      </w:r>
      <w:r w:rsidR="001D478C" w:rsidRPr="00363F53">
        <w:rPr>
          <w:color w:val="FF0000"/>
        </w:rPr>
        <w:t xml:space="preserve">Additionally, rural </w:t>
      </w:r>
      <w:r w:rsidR="001C5F6F" w:rsidRPr="00363F53">
        <w:rPr>
          <w:color w:val="FF0000"/>
        </w:rPr>
        <w:t xml:space="preserve">geographic </w:t>
      </w:r>
      <w:r w:rsidR="00166B55" w:rsidRPr="00363F53">
        <w:rPr>
          <w:color w:val="FF0000"/>
        </w:rPr>
        <w:t xml:space="preserve">location </w:t>
      </w:r>
      <w:r w:rsidR="00906930" w:rsidRPr="00363F53">
        <w:rPr>
          <w:color w:val="FF0000"/>
        </w:rPr>
        <w:t>was associated with greater odds of stage II pressure ulcers</w:t>
      </w:r>
      <w:r w:rsidR="001D478C" w:rsidRPr="00363F53">
        <w:rPr>
          <w:color w:val="FF0000"/>
        </w:rPr>
        <w:t>.</w:t>
      </w:r>
      <w:r w:rsidR="00FE1148" w:rsidRPr="00363F53">
        <w:rPr>
          <w:rStyle w:val="FootnoteReference"/>
          <w:color w:val="FF0000"/>
        </w:rPr>
        <w:footnoteReference w:id="32"/>
      </w:r>
      <w:r w:rsidR="001D478C" w:rsidRPr="00363F53">
        <w:rPr>
          <w:color w:val="FF0000"/>
        </w:rPr>
        <w:t xml:space="preserve"> </w:t>
      </w:r>
    </w:p>
    <w:p w14:paraId="78637136" w14:textId="44FD40CC" w:rsidR="007A324A" w:rsidRPr="00363F53" w:rsidRDefault="007A324A" w:rsidP="00166B55">
      <w:pPr>
        <w:ind w:left="0" w:firstLine="0"/>
        <w:rPr>
          <w:color w:val="FF0000"/>
        </w:rPr>
      </w:pPr>
    </w:p>
    <w:p w14:paraId="7F5C033D" w14:textId="0DA4D48B" w:rsidR="00E3132A" w:rsidRPr="00363F53" w:rsidRDefault="007D05CD" w:rsidP="005C58B8">
      <w:pPr>
        <w:ind w:left="547" w:firstLine="0"/>
        <w:rPr>
          <w:color w:val="FF0000"/>
        </w:rPr>
      </w:pPr>
      <w:r w:rsidRPr="00363F53">
        <w:rPr>
          <w:color w:val="FF0000"/>
        </w:rPr>
        <w:t>Lastly, s</w:t>
      </w:r>
      <w:r w:rsidR="005D47A8" w:rsidRPr="00363F53">
        <w:rPr>
          <w:color w:val="FF0000"/>
        </w:rPr>
        <w:t>everal studies cite the racial</w:t>
      </w:r>
      <w:r w:rsidR="0050628A" w:rsidRPr="00363F53">
        <w:rPr>
          <w:color w:val="FF0000"/>
        </w:rPr>
        <w:t>/ethnic</w:t>
      </w:r>
      <w:r w:rsidR="005D47A8" w:rsidRPr="00363F53">
        <w:rPr>
          <w:color w:val="FF0000"/>
        </w:rPr>
        <w:t xml:space="preserve"> disparities that cause higher pressure ulcer incidences among </w:t>
      </w:r>
      <w:r w:rsidR="00A26C89" w:rsidRPr="00363F53">
        <w:rPr>
          <w:color w:val="FF0000"/>
        </w:rPr>
        <w:t>black</w:t>
      </w:r>
      <w:r w:rsidR="005D47A8" w:rsidRPr="00363F53">
        <w:rPr>
          <w:color w:val="FF0000"/>
        </w:rPr>
        <w:t xml:space="preserve"> pat</w:t>
      </w:r>
      <w:r w:rsidR="00141BDB" w:rsidRPr="00363F53">
        <w:rPr>
          <w:color w:val="FF0000"/>
        </w:rPr>
        <w:t>ients</w:t>
      </w:r>
      <w:r w:rsidR="005D47A8" w:rsidRPr="00363F53">
        <w:rPr>
          <w:color w:val="FF0000"/>
        </w:rPr>
        <w:t>.</w:t>
      </w:r>
      <w:r w:rsidR="00141BDB" w:rsidRPr="00363F53">
        <w:rPr>
          <w:rStyle w:val="FootnoteReference"/>
          <w:color w:val="FF0000"/>
        </w:rPr>
        <w:footnoteReference w:id="33"/>
      </w:r>
      <w:r w:rsidR="00141BDB" w:rsidRPr="00363F53">
        <w:rPr>
          <w:color w:val="FF0000"/>
          <w:vertAlign w:val="superscript"/>
        </w:rPr>
        <w:t>,</w:t>
      </w:r>
      <w:r w:rsidR="00141BDB" w:rsidRPr="00363F53">
        <w:rPr>
          <w:rStyle w:val="FootnoteReference"/>
          <w:color w:val="FF0000"/>
        </w:rPr>
        <w:footnoteReference w:id="34"/>
      </w:r>
      <w:r w:rsidR="00141BDB" w:rsidRPr="00363F53">
        <w:rPr>
          <w:color w:val="FF0000"/>
          <w:vertAlign w:val="superscript"/>
        </w:rPr>
        <w:t>,</w:t>
      </w:r>
      <w:r w:rsidR="00141BDB" w:rsidRPr="00363F53">
        <w:rPr>
          <w:rStyle w:val="FootnoteReference"/>
          <w:color w:val="FF0000"/>
        </w:rPr>
        <w:footnoteReference w:id="35"/>
      </w:r>
      <w:r w:rsidR="00141BDB" w:rsidRPr="00363F53">
        <w:rPr>
          <w:color w:val="FF0000"/>
          <w:vertAlign w:val="superscript"/>
        </w:rPr>
        <w:t>,</w:t>
      </w:r>
      <w:r w:rsidR="00141BDB" w:rsidRPr="00363F53">
        <w:rPr>
          <w:rStyle w:val="FootnoteReference"/>
          <w:color w:val="FF0000"/>
        </w:rPr>
        <w:footnoteReference w:id="36"/>
      </w:r>
      <w:r w:rsidR="00141BDB" w:rsidRPr="00363F53">
        <w:rPr>
          <w:color w:val="FF0000"/>
          <w:vertAlign w:val="superscript"/>
        </w:rPr>
        <w:t>,</w:t>
      </w:r>
      <w:r w:rsidR="00141BDB" w:rsidRPr="00363F53">
        <w:rPr>
          <w:rStyle w:val="FootnoteReference"/>
          <w:color w:val="FF0000"/>
        </w:rPr>
        <w:footnoteReference w:id="37"/>
      </w:r>
      <w:r w:rsidR="005D47A8" w:rsidRPr="00363F53">
        <w:rPr>
          <w:color w:val="FF0000"/>
        </w:rPr>
        <w:t xml:space="preserve"> In particular, one retrospective cohort study among long-term nursing home residents determined that black residents showed persistently higher pressure ulcer rates</w:t>
      </w:r>
      <w:r w:rsidR="0050628A" w:rsidRPr="00363F53">
        <w:rPr>
          <w:color w:val="FF0000"/>
        </w:rPr>
        <w:t xml:space="preserve"> compared to white patients</w:t>
      </w:r>
      <w:r w:rsidR="005F1F5C" w:rsidRPr="00363F53">
        <w:rPr>
          <w:color w:val="FF0000"/>
        </w:rPr>
        <w:t>, and facilities with higher concentrations of black residents had lower staffing levels of RNs and certified nu</w:t>
      </w:r>
      <w:r w:rsidR="00141BDB" w:rsidRPr="00363F53">
        <w:rPr>
          <w:color w:val="FF0000"/>
        </w:rPr>
        <w:t>rse assistants</w:t>
      </w:r>
      <w:r w:rsidR="005F1F5C" w:rsidRPr="00363F53">
        <w:rPr>
          <w:color w:val="FF0000"/>
        </w:rPr>
        <w:t>.</w:t>
      </w:r>
      <w:r w:rsidR="00141BDB" w:rsidRPr="00363F53">
        <w:rPr>
          <w:rStyle w:val="FootnoteReference"/>
          <w:color w:val="FF0000"/>
        </w:rPr>
        <w:footnoteReference w:id="38"/>
      </w:r>
      <w:r w:rsidR="005F1F5C" w:rsidRPr="00363F53">
        <w:rPr>
          <w:color w:val="FF0000"/>
        </w:rPr>
        <w:t xml:space="preserve"> These facilities were also characterized as large, for-profit, urban</w:t>
      </w:r>
      <w:r w:rsidR="00141BDB" w:rsidRPr="00363F53">
        <w:rPr>
          <w:color w:val="FF0000"/>
        </w:rPr>
        <w:t xml:space="preserve"> nursing homes</w:t>
      </w:r>
      <w:r w:rsidR="005F1F5C" w:rsidRPr="00363F53">
        <w:rPr>
          <w:color w:val="FF0000"/>
        </w:rPr>
        <w:t>.</w:t>
      </w:r>
      <w:r w:rsidR="00141BDB" w:rsidRPr="00363F53">
        <w:rPr>
          <w:rStyle w:val="FootnoteReference"/>
          <w:color w:val="FF0000"/>
        </w:rPr>
        <w:footnoteReference w:id="39"/>
      </w:r>
      <w:r w:rsidR="005F1F5C" w:rsidRPr="00363F53">
        <w:rPr>
          <w:color w:val="FF0000"/>
        </w:rPr>
        <w:t xml:space="preserve"> Structural health care inequities may cause a disproportionate number of residents from certain racial</w:t>
      </w:r>
      <w:r w:rsidR="0050628A" w:rsidRPr="00363F53">
        <w:rPr>
          <w:color w:val="FF0000"/>
        </w:rPr>
        <w:t>/ethnic</w:t>
      </w:r>
      <w:r w:rsidR="005F1F5C" w:rsidRPr="00363F53">
        <w:rPr>
          <w:color w:val="FF0000"/>
        </w:rPr>
        <w:t xml:space="preserve"> backgrounds to experience negative health outcomes like pressure ulcer development. </w:t>
      </w:r>
    </w:p>
    <w:p w14:paraId="00899A7F" w14:textId="2AD24B0F" w:rsidR="00166490" w:rsidRDefault="00166490" w:rsidP="005C58B8">
      <w:pPr>
        <w:ind w:left="547" w:firstLine="0"/>
        <w:rPr>
          <w:color w:val="0000FF"/>
        </w:rPr>
      </w:pPr>
    </w:p>
    <w:p w14:paraId="60964435" w14:textId="1E9658ED" w:rsidR="00166490" w:rsidRDefault="00166490" w:rsidP="005C58B8">
      <w:pPr>
        <w:ind w:left="547" w:firstLine="0"/>
        <w:rPr>
          <w:color w:val="0000FF"/>
        </w:rPr>
      </w:pPr>
    </w:p>
    <w:p w14:paraId="08DE3ABE" w14:textId="77777777" w:rsidR="00166490" w:rsidRDefault="00166490" w:rsidP="005C58B8">
      <w:pPr>
        <w:ind w:left="547" w:firstLine="0"/>
        <w:rPr>
          <w:color w:val="0000FF"/>
        </w:rPr>
      </w:pPr>
    </w:p>
    <w:p w14:paraId="29536086" w14:textId="6836F4D5" w:rsidR="001D478C" w:rsidRDefault="001D478C" w:rsidP="00A86B2C">
      <w:pPr>
        <w:ind w:left="0" w:firstLine="0"/>
        <w:rPr>
          <w:color w:val="0000FF"/>
        </w:rPr>
      </w:pPr>
    </w:p>
    <w:p w14:paraId="5E35DA50" w14:textId="525AE9A9" w:rsidR="004E5137" w:rsidRDefault="004E5137" w:rsidP="004E5137">
      <w:pPr>
        <w:ind w:left="0" w:firstLine="0"/>
        <w:rPr>
          <w:b/>
          <w:color w:val="0000FF"/>
        </w:rPr>
      </w:pPr>
    </w:p>
    <w:p w14:paraId="1F5B7176" w14:textId="608F0EC0" w:rsidR="002344F9" w:rsidRDefault="00166B55" w:rsidP="004E5137">
      <w:pPr>
        <w:ind w:left="0" w:firstLine="547"/>
        <w:rPr>
          <w:b/>
          <w:color w:val="0000FF"/>
        </w:rPr>
      </w:pPr>
      <w:r>
        <w:rPr>
          <w:b/>
          <w:color w:val="0000FF"/>
        </w:rPr>
        <w:t>Evidence for link between processes and quality of care outcomes</w:t>
      </w:r>
    </w:p>
    <w:p w14:paraId="6B35BC08" w14:textId="77777777" w:rsidR="004E5137" w:rsidRDefault="004E5137" w:rsidP="004E5137">
      <w:pPr>
        <w:ind w:left="0" w:firstLine="547"/>
        <w:rPr>
          <w:b/>
          <w:color w:val="0000FF"/>
        </w:rPr>
      </w:pPr>
    </w:p>
    <w:p w14:paraId="53AFCEFF" w14:textId="0FCE9163" w:rsidR="00DA2306" w:rsidRPr="007E359B" w:rsidRDefault="00DA2306" w:rsidP="005C58B8">
      <w:pPr>
        <w:ind w:left="547" w:firstLine="0"/>
        <w:rPr>
          <w:color w:val="FF0000"/>
        </w:rPr>
      </w:pPr>
      <w:r w:rsidRPr="007E359B">
        <w:rPr>
          <w:color w:val="FF0000"/>
        </w:rPr>
        <w:t>Nursing home</w:t>
      </w:r>
      <w:r w:rsidR="00606828" w:rsidRPr="007E359B">
        <w:rPr>
          <w:color w:val="FF0000"/>
        </w:rPr>
        <w:t>s</w:t>
      </w:r>
      <w:r w:rsidR="00A26C89" w:rsidRPr="007E359B">
        <w:rPr>
          <w:color w:val="FF0000"/>
        </w:rPr>
        <w:t xml:space="preserve"> may</w:t>
      </w:r>
      <w:r w:rsidRPr="007E359B">
        <w:rPr>
          <w:color w:val="FF0000"/>
        </w:rPr>
        <w:t xml:space="preserve"> follow several key processes to both prevent a</w:t>
      </w:r>
      <w:r w:rsidR="00606828" w:rsidRPr="007E359B">
        <w:rPr>
          <w:color w:val="FF0000"/>
        </w:rPr>
        <w:t xml:space="preserve">nd treat pressure ulcers among </w:t>
      </w:r>
      <w:r w:rsidRPr="007E359B">
        <w:rPr>
          <w:color w:val="FF0000"/>
        </w:rPr>
        <w:t xml:space="preserve">residents. Staff may follow recommendations from best practices, clinical guidelines, and </w:t>
      </w:r>
      <w:r w:rsidR="00715D95" w:rsidRPr="007E359B">
        <w:rPr>
          <w:color w:val="FF0000"/>
        </w:rPr>
        <w:t xml:space="preserve">evidence-based </w:t>
      </w:r>
      <w:r w:rsidRPr="007E359B">
        <w:rPr>
          <w:color w:val="FF0000"/>
        </w:rPr>
        <w:t xml:space="preserve">interventions to improve pressure ulcer incidence within their facilities. </w:t>
      </w:r>
    </w:p>
    <w:p w14:paraId="1B93390E" w14:textId="77777777" w:rsidR="00DA2306" w:rsidRPr="007E359B" w:rsidRDefault="00DA2306" w:rsidP="005C58B8">
      <w:pPr>
        <w:ind w:left="547" w:firstLine="0"/>
        <w:rPr>
          <w:color w:val="FF0000"/>
        </w:rPr>
      </w:pPr>
    </w:p>
    <w:p w14:paraId="21B9EBCB" w14:textId="697856D9" w:rsidR="00487B16" w:rsidRPr="007E359B" w:rsidRDefault="00DA2306" w:rsidP="002B5113">
      <w:pPr>
        <w:pStyle w:val="ListParagraph"/>
        <w:numPr>
          <w:ilvl w:val="0"/>
          <w:numId w:val="6"/>
        </w:numPr>
        <w:rPr>
          <w:i/>
          <w:color w:val="FF0000"/>
        </w:rPr>
      </w:pPr>
      <w:r w:rsidRPr="007E359B">
        <w:rPr>
          <w:i/>
          <w:color w:val="FF0000"/>
        </w:rPr>
        <w:t>Processes to prevent pressure ulcers</w:t>
      </w:r>
    </w:p>
    <w:p w14:paraId="32390B1B" w14:textId="34835660" w:rsidR="00820EBA" w:rsidRPr="007E359B" w:rsidRDefault="00487B16" w:rsidP="005C58B8">
      <w:pPr>
        <w:ind w:left="547" w:firstLine="0"/>
        <w:rPr>
          <w:color w:val="FF0000"/>
        </w:rPr>
      </w:pPr>
      <w:r w:rsidRPr="007E359B">
        <w:rPr>
          <w:color w:val="FF0000"/>
        </w:rPr>
        <w:t>Several interventions may be implemented by nursing home staff to p</w:t>
      </w:r>
      <w:r w:rsidR="00A9567B" w:rsidRPr="007E359B">
        <w:rPr>
          <w:color w:val="FF0000"/>
        </w:rPr>
        <w:t xml:space="preserve">revent pressure ulcer formation. The National Pressure Injury Advisory Panel (NPIAP), formerly known as the </w:t>
      </w:r>
      <w:r w:rsidR="00A9567B" w:rsidRPr="000743E9">
        <w:rPr>
          <w:color w:val="0000FF"/>
        </w:rPr>
        <w:t>National Pressure Ulcer Advisory Panel (NPUAP)</w:t>
      </w:r>
      <w:r w:rsidR="00A9567B" w:rsidRPr="007E359B">
        <w:rPr>
          <w:color w:val="FF0000"/>
        </w:rPr>
        <w:t>,</w:t>
      </w:r>
      <w:r w:rsidR="007D05CD" w:rsidRPr="007E359B">
        <w:rPr>
          <w:color w:val="FF0000"/>
        </w:rPr>
        <w:t xml:space="preserve"> collaborated with the </w:t>
      </w:r>
      <w:r w:rsidR="007D05CD" w:rsidRPr="000743E9">
        <w:rPr>
          <w:color w:val="0000FF"/>
        </w:rPr>
        <w:t>European Pressure Ulcer Advisory Panel (EPUAP) and the Pan Pacific Pressure Injury Alliance (PPIA)</w:t>
      </w:r>
      <w:r w:rsidR="00FF1967" w:rsidRPr="007E359B">
        <w:rPr>
          <w:color w:val="FF0000"/>
        </w:rPr>
        <w:t xml:space="preserve"> to create </w:t>
      </w:r>
      <w:r w:rsidR="00FF1967" w:rsidRPr="000743E9">
        <w:rPr>
          <w:color w:val="0000FF"/>
        </w:rPr>
        <w:t>an International G</w:t>
      </w:r>
      <w:r w:rsidR="007D05CD" w:rsidRPr="000743E9">
        <w:rPr>
          <w:color w:val="0000FF"/>
        </w:rPr>
        <w:t>uideline</w:t>
      </w:r>
      <w:r w:rsidR="007D05CD" w:rsidRPr="007E359B">
        <w:rPr>
          <w:color w:val="FF0000"/>
        </w:rPr>
        <w:t xml:space="preserve"> of pressure ulcer prevention and treatment strategies.</w:t>
      </w:r>
      <w:r w:rsidR="00D110C8" w:rsidRPr="004521DA">
        <w:rPr>
          <w:rStyle w:val="FootnoteReference"/>
          <w:color w:val="0000FF"/>
        </w:rPr>
        <w:footnoteReference w:id="40"/>
      </w:r>
      <w:r w:rsidR="007D05CD" w:rsidRPr="007E359B">
        <w:rPr>
          <w:color w:val="FF0000"/>
        </w:rPr>
        <w:t xml:space="preserve"> This guideline</w:t>
      </w:r>
      <w:r w:rsidR="00A9567B" w:rsidRPr="007E359B">
        <w:rPr>
          <w:color w:val="FF0000"/>
        </w:rPr>
        <w:t xml:space="preserve"> recommends several prevention strategies,</w:t>
      </w:r>
      <w:r w:rsidRPr="007E359B">
        <w:rPr>
          <w:color w:val="FF0000"/>
        </w:rPr>
        <w:t xml:space="preserve"> including proper nutrition</w:t>
      </w:r>
      <w:r w:rsidR="00552B26" w:rsidRPr="007E359B">
        <w:rPr>
          <w:color w:val="FF0000"/>
        </w:rPr>
        <w:t xml:space="preserve"> and hydration</w:t>
      </w:r>
      <w:r w:rsidRPr="007E359B">
        <w:rPr>
          <w:color w:val="FF0000"/>
        </w:rPr>
        <w:t xml:space="preserve">, </w:t>
      </w:r>
      <w:r w:rsidR="00105775" w:rsidRPr="007E359B">
        <w:rPr>
          <w:color w:val="FF0000"/>
        </w:rPr>
        <w:t>repositioning, early mobilization (e.g., implementing ambulation schedules among residents on bedrest), preventing heel pressure injuries (e.g., regularly assessing the vulnerable heel area, prophylacti</w:t>
      </w:r>
      <w:r w:rsidR="00E9551A" w:rsidRPr="007E359B">
        <w:rPr>
          <w:color w:val="FF0000"/>
        </w:rPr>
        <w:t xml:space="preserve">c dressing of heels, etc.), </w:t>
      </w:r>
      <w:r w:rsidR="00105775" w:rsidRPr="007E359B">
        <w:rPr>
          <w:color w:val="FF0000"/>
        </w:rPr>
        <w:t>providing support surfaces to redistribute pressure and provide a p</w:t>
      </w:r>
      <w:r w:rsidR="00D110C8" w:rsidRPr="007E359B">
        <w:rPr>
          <w:color w:val="FF0000"/>
        </w:rPr>
        <w:t>roper microclimate</w:t>
      </w:r>
      <w:r w:rsidR="00E9551A" w:rsidRPr="007E359B">
        <w:rPr>
          <w:color w:val="FF0000"/>
        </w:rPr>
        <w:t>, and more</w:t>
      </w:r>
      <w:r w:rsidR="00105775" w:rsidRPr="007E359B">
        <w:rPr>
          <w:color w:val="FF0000"/>
        </w:rPr>
        <w:t>.</w:t>
      </w:r>
      <w:r w:rsidR="00D110C8" w:rsidRPr="007E359B">
        <w:rPr>
          <w:rStyle w:val="FootnoteReference"/>
          <w:color w:val="FF0000"/>
        </w:rPr>
        <w:footnoteReference w:id="41"/>
      </w:r>
      <w:r w:rsidR="00105775" w:rsidRPr="007E359B">
        <w:rPr>
          <w:color w:val="FF0000"/>
        </w:rPr>
        <w:t xml:space="preserve"> </w:t>
      </w:r>
      <w:r w:rsidR="000B54C0" w:rsidRPr="007E359B">
        <w:rPr>
          <w:color w:val="FF0000"/>
        </w:rPr>
        <w:t>Regarding support surfaces as a prevention strategy, one study recommended using powered active air surfaces and powered hybrid air surfaces to reduce pressure ulcer incidence compared to standard faci</w:t>
      </w:r>
      <w:r w:rsidR="00D110C8" w:rsidRPr="007E359B">
        <w:rPr>
          <w:color w:val="FF0000"/>
        </w:rPr>
        <w:t>lity surfaces</w:t>
      </w:r>
      <w:r w:rsidR="000B54C0" w:rsidRPr="007E359B">
        <w:rPr>
          <w:color w:val="FF0000"/>
        </w:rPr>
        <w:t>.</w:t>
      </w:r>
      <w:r w:rsidR="00D110C8" w:rsidRPr="007E359B">
        <w:rPr>
          <w:rStyle w:val="FootnoteReference"/>
          <w:color w:val="FF0000"/>
        </w:rPr>
        <w:footnoteReference w:id="42"/>
      </w:r>
      <w:r w:rsidR="000B54C0" w:rsidRPr="007E359B">
        <w:rPr>
          <w:color w:val="FF0000"/>
        </w:rPr>
        <w:t xml:space="preserve"> </w:t>
      </w:r>
      <w:r w:rsidR="007D05CD" w:rsidRPr="007E359B">
        <w:rPr>
          <w:color w:val="FF0000"/>
        </w:rPr>
        <w:t>Additionally, t</w:t>
      </w:r>
      <w:r w:rsidR="005110F1" w:rsidRPr="007E359B">
        <w:rPr>
          <w:color w:val="FF0000"/>
        </w:rPr>
        <w:t xml:space="preserve">he 2010 NPUAP conference emphasized that staff cannot rely only on pressure redistribution surfaces to replace turning and repositioning </w:t>
      </w:r>
      <w:r w:rsidR="00D110C8" w:rsidRPr="007E359B">
        <w:rPr>
          <w:color w:val="FF0000"/>
        </w:rPr>
        <w:t>of patients</w:t>
      </w:r>
      <w:r w:rsidR="005110F1" w:rsidRPr="007E359B">
        <w:rPr>
          <w:color w:val="FF0000"/>
        </w:rPr>
        <w:t>.</w:t>
      </w:r>
      <w:r w:rsidR="00D110C8" w:rsidRPr="007E359B">
        <w:rPr>
          <w:rStyle w:val="FootnoteReference"/>
          <w:color w:val="FF0000"/>
        </w:rPr>
        <w:footnoteReference w:id="43"/>
      </w:r>
      <w:r w:rsidR="005110F1" w:rsidRPr="007E359B">
        <w:rPr>
          <w:color w:val="FF0000"/>
        </w:rPr>
        <w:t xml:space="preserve"> </w:t>
      </w:r>
    </w:p>
    <w:p w14:paraId="200C4EBD" w14:textId="77777777" w:rsidR="00820EBA" w:rsidRPr="007E359B" w:rsidRDefault="00820EBA" w:rsidP="005C58B8">
      <w:pPr>
        <w:ind w:left="547" w:firstLine="0"/>
        <w:rPr>
          <w:color w:val="FF0000"/>
        </w:rPr>
      </w:pPr>
    </w:p>
    <w:p w14:paraId="6BEB9B24" w14:textId="569530AB" w:rsidR="00820EBA" w:rsidRPr="007E359B" w:rsidRDefault="00807CD5" w:rsidP="005C58B8">
      <w:pPr>
        <w:ind w:left="547" w:firstLine="0"/>
        <w:rPr>
          <w:color w:val="FF0000"/>
        </w:rPr>
      </w:pPr>
      <w:r w:rsidRPr="007E359B">
        <w:rPr>
          <w:color w:val="FF0000"/>
        </w:rPr>
        <w:t xml:space="preserve">The American College of Physicians </w:t>
      </w:r>
      <w:r w:rsidR="00DA2306" w:rsidRPr="007E359B">
        <w:rPr>
          <w:color w:val="FF0000"/>
        </w:rPr>
        <w:t xml:space="preserve">(ACP) </w:t>
      </w:r>
      <w:r w:rsidRPr="007E359B">
        <w:rPr>
          <w:color w:val="FF0000"/>
        </w:rPr>
        <w:t>recommends additional strategies</w:t>
      </w:r>
      <w:r w:rsidR="00552B26" w:rsidRPr="007E359B">
        <w:rPr>
          <w:color w:val="FF0000"/>
        </w:rPr>
        <w:t xml:space="preserve"> that staff can use to prevent</w:t>
      </w:r>
      <w:r w:rsidRPr="007E359B">
        <w:rPr>
          <w:color w:val="FF0000"/>
        </w:rPr>
        <w:t xml:space="preserve"> pressure ulcers</w:t>
      </w:r>
      <w:r w:rsidR="00572CE3" w:rsidRPr="007E359B">
        <w:rPr>
          <w:color w:val="FF0000"/>
        </w:rPr>
        <w:t xml:space="preserve">. First, the ACP recommends that clinicians should perform a risk assessment to identify patients at risk for developing pressure ulcers. Several instruments can be used to perform risk assessments including the Braden, </w:t>
      </w:r>
      <w:proofErr w:type="spellStart"/>
      <w:r w:rsidR="00572CE3" w:rsidRPr="007E359B">
        <w:rPr>
          <w:color w:val="FF0000"/>
        </w:rPr>
        <w:t>Cubbin</w:t>
      </w:r>
      <w:proofErr w:type="spellEnd"/>
      <w:r w:rsidR="00572CE3" w:rsidRPr="007E359B">
        <w:rPr>
          <w:color w:val="FF0000"/>
        </w:rPr>
        <w:t xml:space="preserve"> and Jackson, Norton, </w:t>
      </w:r>
      <w:proofErr w:type="spellStart"/>
      <w:r w:rsidR="00572CE3" w:rsidRPr="007E359B">
        <w:rPr>
          <w:color w:val="FF0000"/>
        </w:rPr>
        <w:t>Ramstadius</w:t>
      </w:r>
      <w:proofErr w:type="spellEnd"/>
      <w:r w:rsidR="00572CE3" w:rsidRPr="007E359B">
        <w:rPr>
          <w:color w:val="FF0000"/>
        </w:rPr>
        <w:t xml:space="preserve">, and </w:t>
      </w:r>
      <w:proofErr w:type="spellStart"/>
      <w:r w:rsidR="00572CE3" w:rsidRPr="007E359B">
        <w:rPr>
          <w:color w:val="FF0000"/>
        </w:rPr>
        <w:t>Waterlow</w:t>
      </w:r>
      <w:proofErr w:type="spellEnd"/>
      <w:r w:rsidR="00572CE3" w:rsidRPr="007E359B">
        <w:rPr>
          <w:color w:val="FF0000"/>
        </w:rPr>
        <w:t xml:space="preserve"> scales</w:t>
      </w:r>
      <w:r w:rsidR="00A26C89" w:rsidRPr="007E359B">
        <w:rPr>
          <w:color w:val="FF0000"/>
        </w:rPr>
        <w:t>.</w:t>
      </w:r>
      <w:r w:rsidR="000007D8" w:rsidRPr="007E359B">
        <w:rPr>
          <w:rStyle w:val="FootnoteReference"/>
          <w:color w:val="FF0000"/>
        </w:rPr>
        <w:footnoteReference w:id="44"/>
      </w:r>
      <w:r w:rsidR="00A26C89" w:rsidRPr="007E359B">
        <w:rPr>
          <w:color w:val="FF0000"/>
        </w:rPr>
        <w:t xml:space="preserve"> </w:t>
      </w:r>
      <w:r w:rsidR="00572CE3" w:rsidRPr="007E359B">
        <w:rPr>
          <w:color w:val="FF0000"/>
        </w:rPr>
        <w:t>The ACP also recommends for clinicians to use advanced static mattresses over advanced static overlays in patients with high risk for pressure ulcer development.</w:t>
      </w:r>
      <w:r w:rsidR="00572CE3" w:rsidRPr="007E359B">
        <w:rPr>
          <w:rStyle w:val="FootnoteReference"/>
          <w:color w:val="FF0000"/>
        </w:rPr>
        <w:footnoteReference w:id="45"/>
      </w:r>
      <w:r w:rsidR="00572CE3" w:rsidRPr="007E359B">
        <w:rPr>
          <w:color w:val="FF0000"/>
        </w:rPr>
        <w:t xml:space="preserve"> Lastly, t</w:t>
      </w:r>
      <w:r w:rsidR="00A26C89" w:rsidRPr="007E359B">
        <w:rPr>
          <w:color w:val="FF0000"/>
        </w:rPr>
        <w:t>he ACP does not recommend using alternating-air mattresses or alternating-air overlays in patients who are at a high risk for developing pressure ulcers</w:t>
      </w:r>
      <w:r w:rsidRPr="007E359B">
        <w:rPr>
          <w:color w:val="FF0000"/>
        </w:rPr>
        <w:t>.</w:t>
      </w:r>
      <w:r w:rsidR="000007D8" w:rsidRPr="007E359B">
        <w:rPr>
          <w:rStyle w:val="FootnoteReference"/>
          <w:color w:val="FF0000"/>
        </w:rPr>
        <w:footnoteReference w:id="46"/>
      </w:r>
      <w:r w:rsidRPr="007E359B">
        <w:rPr>
          <w:color w:val="FF0000"/>
        </w:rPr>
        <w:t xml:space="preserve"> </w:t>
      </w:r>
    </w:p>
    <w:p w14:paraId="7BA923C5" w14:textId="099895A1" w:rsidR="00D723C6" w:rsidRPr="007E359B" w:rsidRDefault="00D723C6" w:rsidP="00DA2306">
      <w:pPr>
        <w:ind w:left="0" w:firstLine="0"/>
        <w:rPr>
          <w:color w:val="FF0000"/>
        </w:rPr>
      </w:pPr>
    </w:p>
    <w:p w14:paraId="06DD6A87" w14:textId="7BBC8E19" w:rsidR="00D723C6" w:rsidRPr="007E359B" w:rsidRDefault="00A26C89" w:rsidP="00D723C6">
      <w:pPr>
        <w:ind w:left="547" w:firstLine="0"/>
        <w:rPr>
          <w:color w:val="FF0000"/>
        </w:rPr>
      </w:pPr>
      <w:r w:rsidRPr="007E359B">
        <w:rPr>
          <w:color w:val="FF0000"/>
        </w:rPr>
        <w:t>Many of</w:t>
      </w:r>
      <w:r w:rsidR="00DA2306" w:rsidRPr="007E359B">
        <w:rPr>
          <w:color w:val="FF0000"/>
        </w:rPr>
        <w:t xml:space="preserve"> t</w:t>
      </w:r>
      <w:r w:rsidR="00D723C6" w:rsidRPr="007E359B">
        <w:rPr>
          <w:color w:val="FF0000"/>
        </w:rPr>
        <w:t xml:space="preserve">he </w:t>
      </w:r>
      <w:r w:rsidR="00D723C6" w:rsidRPr="004521DA">
        <w:rPr>
          <w:color w:val="0000FF"/>
        </w:rPr>
        <w:t>Wound, Ostomy and Continence Nurse Society (WOCN)</w:t>
      </w:r>
      <w:r w:rsidR="00D723C6" w:rsidRPr="007E359B">
        <w:rPr>
          <w:color w:val="FF0000"/>
        </w:rPr>
        <w:t xml:space="preserve"> </w:t>
      </w:r>
      <w:r w:rsidR="00DA2306" w:rsidRPr="007E359B">
        <w:rPr>
          <w:color w:val="FF0000"/>
        </w:rPr>
        <w:t xml:space="preserve">pressure ulcer prevention recommendations mirror those </w:t>
      </w:r>
      <w:r w:rsidR="00D723C6" w:rsidRPr="007E359B">
        <w:rPr>
          <w:color w:val="FF0000"/>
        </w:rPr>
        <w:t xml:space="preserve">offered by the </w:t>
      </w:r>
      <w:r w:rsidR="00FF1967" w:rsidRPr="007E359B">
        <w:rPr>
          <w:color w:val="FF0000"/>
        </w:rPr>
        <w:t xml:space="preserve">International Guideline </w:t>
      </w:r>
      <w:r w:rsidR="00D723C6" w:rsidRPr="007E359B">
        <w:rPr>
          <w:color w:val="FF0000"/>
        </w:rPr>
        <w:t xml:space="preserve">and the </w:t>
      </w:r>
      <w:r w:rsidR="00DA2306" w:rsidRPr="007E359B">
        <w:rPr>
          <w:color w:val="FF0000"/>
        </w:rPr>
        <w:t>ACP</w:t>
      </w:r>
      <w:r w:rsidR="00D723C6" w:rsidRPr="007E359B">
        <w:rPr>
          <w:color w:val="FF0000"/>
        </w:rPr>
        <w:t xml:space="preserve">. </w:t>
      </w:r>
      <w:r w:rsidR="00FF1967" w:rsidRPr="007E359B">
        <w:rPr>
          <w:color w:val="FF0000"/>
        </w:rPr>
        <w:t xml:space="preserve">Additional </w:t>
      </w:r>
      <w:r w:rsidR="00DA2306" w:rsidRPr="007E359B">
        <w:rPr>
          <w:color w:val="FF0000"/>
        </w:rPr>
        <w:t xml:space="preserve">WOCN </w:t>
      </w:r>
      <w:r w:rsidR="00FF1967" w:rsidRPr="007E359B">
        <w:rPr>
          <w:color w:val="FF0000"/>
        </w:rPr>
        <w:t>recommendations include</w:t>
      </w:r>
      <w:r w:rsidR="00D723C6" w:rsidRPr="007E359B">
        <w:rPr>
          <w:color w:val="FF0000"/>
        </w:rPr>
        <w:t xml:space="preserve"> implementing measures to reduce risk of developing pressure ulcers, minimizing pressure from medical devices, maintaining head-of-bed elevation at or below 30 degrees, paying special attention to a resident’s anatomy when positioning, using heel suspension devices, avoiding foam rings as they concentrate pressure in surrounding tissues</w:t>
      </w:r>
      <w:r w:rsidR="00FF1967" w:rsidRPr="007E359B">
        <w:rPr>
          <w:color w:val="FF0000"/>
        </w:rPr>
        <w:t>, and more</w:t>
      </w:r>
      <w:r w:rsidR="00D723C6" w:rsidRPr="007E359B">
        <w:rPr>
          <w:color w:val="FF0000"/>
        </w:rPr>
        <w:t>.</w:t>
      </w:r>
      <w:r w:rsidR="000007D8" w:rsidRPr="004521DA">
        <w:rPr>
          <w:rStyle w:val="FootnoteReference"/>
          <w:color w:val="0000FF"/>
        </w:rPr>
        <w:footnoteReference w:id="47"/>
      </w:r>
    </w:p>
    <w:p w14:paraId="4950CB06" w14:textId="6E12E5E2" w:rsidR="003D6960" w:rsidRPr="007E359B" w:rsidRDefault="003D6960" w:rsidP="00D723C6">
      <w:pPr>
        <w:ind w:left="547" w:firstLine="0"/>
        <w:rPr>
          <w:color w:val="FF0000"/>
        </w:rPr>
      </w:pPr>
    </w:p>
    <w:p w14:paraId="6609FBD2" w14:textId="5133E927" w:rsidR="003D6960" w:rsidRPr="007E359B" w:rsidRDefault="006C18A1" w:rsidP="00D723C6">
      <w:pPr>
        <w:ind w:left="547" w:firstLine="0"/>
        <w:rPr>
          <w:color w:val="FF0000"/>
        </w:rPr>
      </w:pPr>
      <w:r w:rsidRPr="007E359B">
        <w:rPr>
          <w:color w:val="FF0000"/>
        </w:rPr>
        <w:t>A</w:t>
      </w:r>
      <w:r w:rsidR="003D6960" w:rsidRPr="007E359B">
        <w:rPr>
          <w:color w:val="FF0000"/>
        </w:rPr>
        <w:t xml:space="preserve">lthough </w:t>
      </w:r>
      <w:r w:rsidR="004521DA">
        <w:rPr>
          <w:color w:val="FF0000"/>
        </w:rPr>
        <w:t>International Guideline</w:t>
      </w:r>
      <w:r w:rsidR="003D6960" w:rsidRPr="007E359B">
        <w:rPr>
          <w:color w:val="FF0000"/>
        </w:rPr>
        <w:t xml:space="preserve">, ACP, and WOCN all recommend repositioning </w:t>
      </w:r>
      <w:r w:rsidR="00DC2036" w:rsidRPr="007E359B">
        <w:rPr>
          <w:color w:val="FF0000"/>
        </w:rPr>
        <w:t xml:space="preserve">and the use of support surfaces as </w:t>
      </w:r>
      <w:r w:rsidR="003D6960" w:rsidRPr="007E359B">
        <w:rPr>
          <w:color w:val="FF0000"/>
        </w:rPr>
        <w:t>process</w:t>
      </w:r>
      <w:r w:rsidR="00DC2036" w:rsidRPr="007E359B">
        <w:rPr>
          <w:color w:val="FF0000"/>
        </w:rPr>
        <w:t>es</w:t>
      </w:r>
      <w:r w:rsidR="003D6960" w:rsidRPr="007E359B">
        <w:rPr>
          <w:color w:val="FF0000"/>
        </w:rPr>
        <w:t xml:space="preserve"> to prevent pressure ulcer formation, one study </w:t>
      </w:r>
      <w:r w:rsidR="00DC2036" w:rsidRPr="007E359B">
        <w:rPr>
          <w:color w:val="FF0000"/>
        </w:rPr>
        <w:t>mentions that these tactics are not always effective in reducing pres</w:t>
      </w:r>
      <w:r w:rsidR="000007D8" w:rsidRPr="007E359B">
        <w:rPr>
          <w:color w:val="FF0000"/>
        </w:rPr>
        <w:t>sure ulcer incidence</w:t>
      </w:r>
      <w:r w:rsidR="00DC2036" w:rsidRPr="007E359B">
        <w:rPr>
          <w:color w:val="FF0000"/>
        </w:rPr>
        <w:t>.</w:t>
      </w:r>
      <w:r w:rsidR="000007D8" w:rsidRPr="007E359B">
        <w:rPr>
          <w:rStyle w:val="FootnoteReference"/>
          <w:color w:val="FF0000"/>
        </w:rPr>
        <w:footnoteReference w:id="48"/>
      </w:r>
      <w:r w:rsidR="00DC2036" w:rsidRPr="007E359B">
        <w:rPr>
          <w:color w:val="FF0000"/>
        </w:rPr>
        <w:t xml:space="preserve"> </w:t>
      </w:r>
      <w:r w:rsidR="00FF1967" w:rsidRPr="007E359B">
        <w:rPr>
          <w:color w:val="FF0000"/>
        </w:rPr>
        <w:t xml:space="preserve">One </w:t>
      </w:r>
      <w:r w:rsidR="00DC2036" w:rsidRPr="007E359B">
        <w:rPr>
          <w:color w:val="FF0000"/>
        </w:rPr>
        <w:t>systematic review emphasizes that single interventions are not always effective in preventing pressure ulcer formation, and repositioning was only effective when used in combination with other preventive strategies like technological pressure-mapping feedback or by a patient position</w:t>
      </w:r>
      <w:r w:rsidR="000007D8" w:rsidRPr="007E359B">
        <w:rPr>
          <w:color w:val="FF0000"/>
        </w:rPr>
        <w:t>ing system</w:t>
      </w:r>
      <w:r w:rsidR="00DC2036" w:rsidRPr="007E359B">
        <w:rPr>
          <w:color w:val="FF0000"/>
        </w:rPr>
        <w:t>.</w:t>
      </w:r>
      <w:r w:rsidR="000007D8" w:rsidRPr="007E359B">
        <w:rPr>
          <w:rStyle w:val="FootnoteReference"/>
          <w:color w:val="FF0000"/>
        </w:rPr>
        <w:footnoteReference w:id="49"/>
      </w:r>
      <w:r w:rsidR="00DC2036" w:rsidRPr="007E359B">
        <w:rPr>
          <w:color w:val="FF0000"/>
        </w:rPr>
        <w:t xml:space="preserve"> Additionally, another study </w:t>
      </w:r>
      <w:r w:rsidRPr="007E359B">
        <w:rPr>
          <w:color w:val="FF0000"/>
        </w:rPr>
        <w:t xml:space="preserve">found that repositioning residents more frequently did not result in better outcomes. </w:t>
      </w:r>
      <w:r w:rsidR="003D6960" w:rsidRPr="007E359B">
        <w:rPr>
          <w:color w:val="FF0000"/>
        </w:rPr>
        <w:t>In this randomized control</w:t>
      </w:r>
      <w:r w:rsidR="00C0067A" w:rsidRPr="007E359B">
        <w:rPr>
          <w:color w:val="FF0000"/>
        </w:rPr>
        <w:t>led</w:t>
      </w:r>
      <w:r w:rsidR="003D6960" w:rsidRPr="007E359B">
        <w:rPr>
          <w:color w:val="FF0000"/>
        </w:rPr>
        <w:t xml:space="preserve"> trial, residents were randomly allocated to a repositioning schedule of every two, three, or four hours over a three week</w:t>
      </w:r>
      <w:r w:rsidR="000007D8" w:rsidRPr="007E359B">
        <w:rPr>
          <w:color w:val="FF0000"/>
        </w:rPr>
        <w:t xml:space="preserve"> period</w:t>
      </w:r>
      <w:r w:rsidR="003D6960" w:rsidRPr="007E359B">
        <w:rPr>
          <w:color w:val="FF0000"/>
        </w:rPr>
        <w:t>.</w:t>
      </w:r>
      <w:r w:rsidR="000007D8" w:rsidRPr="007E359B">
        <w:rPr>
          <w:rStyle w:val="FootnoteReference"/>
          <w:color w:val="FF0000"/>
        </w:rPr>
        <w:footnoteReference w:id="50"/>
      </w:r>
      <w:r w:rsidR="003D6960" w:rsidRPr="007E359B">
        <w:rPr>
          <w:color w:val="FF0000"/>
        </w:rPr>
        <w:t xml:space="preserve"> Ultimately, the study concluded that there was no significant difference in pressure ulcer incidence based on repositioning schedule</w:t>
      </w:r>
      <w:r w:rsidR="004F5A67" w:rsidRPr="007E359B">
        <w:rPr>
          <w:color w:val="FF0000"/>
        </w:rPr>
        <w:t xml:space="preserve"> among high- and medium-risk study parti</w:t>
      </w:r>
      <w:r w:rsidR="000007D8" w:rsidRPr="007E359B">
        <w:rPr>
          <w:color w:val="FF0000"/>
        </w:rPr>
        <w:t>cipants</w:t>
      </w:r>
      <w:r w:rsidR="004F5A67" w:rsidRPr="007E359B">
        <w:rPr>
          <w:color w:val="FF0000"/>
        </w:rPr>
        <w:t>.</w:t>
      </w:r>
      <w:r w:rsidR="000007D8" w:rsidRPr="007E359B">
        <w:rPr>
          <w:rStyle w:val="FootnoteReference"/>
          <w:color w:val="FF0000"/>
        </w:rPr>
        <w:footnoteReference w:id="51"/>
      </w:r>
      <w:r w:rsidR="004F5A67" w:rsidRPr="007E359B">
        <w:rPr>
          <w:color w:val="FF0000"/>
        </w:rPr>
        <w:t xml:space="preserve"> </w:t>
      </w:r>
    </w:p>
    <w:p w14:paraId="77B13F4E" w14:textId="643C9C11" w:rsidR="00DA2306" w:rsidRPr="007E359B" w:rsidRDefault="00DA2306" w:rsidP="00D723C6">
      <w:pPr>
        <w:ind w:left="547" w:firstLine="0"/>
        <w:rPr>
          <w:color w:val="FF0000"/>
        </w:rPr>
      </w:pPr>
    </w:p>
    <w:p w14:paraId="4349743C" w14:textId="4C3CBC32" w:rsidR="00DA2306" w:rsidRPr="007E359B" w:rsidRDefault="00DA2306" w:rsidP="00DA2306">
      <w:pPr>
        <w:ind w:left="547" w:firstLine="0"/>
        <w:rPr>
          <w:color w:val="FF0000"/>
        </w:rPr>
      </w:pPr>
      <w:r w:rsidRPr="007E359B">
        <w:rPr>
          <w:color w:val="FF0000"/>
        </w:rPr>
        <w:t xml:space="preserve">Early detection of pressure ulcers is another notable factor for prevention. One study emphasized the importance of early detection of tissue damage, and recommended using ultrasounds or </w:t>
      </w:r>
      <w:proofErr w:type="spellStart"/>
      <w:r w:rsidRPr="007E359B">
        <w:rPr>
          <w:color w:val="FF0000"/>
        </w:rPr>
        <w:t>subepidermal</w:t>
      </w:r>
      <w:proofErr w:type="spellEnd"/>
      <w:r w:rsidRPr="007E359B">
        <w:rPr>
          <w:color w:val="FF0000"/>
        </w:rPr>
        <w:t xml:space="preserve"> moisture measurement technology to detect early signs of pressure ulcer dev</w:t>
      </w:r>
      <w:r w:rsidR="000007D8" w:rsidRPr="007E359B">
        <w:rPr>
          <w:color w:val="FF0000"/>
        </w:rPr>
        <w:t>elopment</w:t>
      </w:r>
      <w:r w:rsidRPr="007E359B">
        <w:rPr>
          <w:color w:val="FF0000"/>
        </w:rPr>
        <w:t>.</w:t>
      </w:r>
      <w:r w:rsidR="000007D8" w:rsidRPr="007E359B">
        <w:rPr>
          <w:rStyle w:val="FootnoteReference"/>
          <w:color w:val="FF0000"/>
        </w:rPr>
        <w:footnoteReference w:id="52"/>
      </w:r>
      <w:r w:rsidRPr="007E359B">
        <w:rPr>
          <w:color w:val="FF0000"/>
        </w:rPr>
        <w:t xml:space="preserve"> </w:t>
      </w:r>
    </w:p>
    <w:p w14:paraId="510CA6C6" w14:textId="67ED4C9F" w:rsidR="00E9551A" w:rsidRPr="007E359B" w:rsidRDefault="00E9551A" w:rsidP="00DA2306">
      <w:pPr>
        <w:ind w:left="547" w:firstLine="0"/>
        <w:rPr>
          <w:color w:val="FF0000"/>
        </w:rPr>
      </w:pPr>
    </w:p>
    <w:p w14:paraId="15A161BB" w14:textId="6B41DAD4" w:rsidR="00E9551A" w:rsidRPr="007E359B" w:rsidRDefault="00E9551A" w:rsidP="00DA2306">
      <w:pPr>
        <w:ind w:left="547" w:firstLine="0"/>
        <w:rPr>
          <w:color w:val="FF0000"/>
        </w:rPr>
      </w:pPr>
      <w:r w:rsidRPr="007E359B">
        <w:rPr>
          <w:color w:val="FF0000"/>
        </w:rPr>
        <w:t xml:space="preserve">Overall, prevention strategies used in combination with each other may help reduce pressure ulcer rates within nursing homes. </w:t>
      </w:r>
    </w:p>
    <w:p w14:paraId="043C2B32" w14:textId="77777777" w:rsidR="00DA2306" w:rsidRPr="007E359B" w:rsidRDefault="00DA2306" w:rsidP="00D723C6">
      <w:pPr>
        <w:ind w:left="547" w:firstLine="0"/>
        <w:rPr>
          <w:color w:val="FF0000"/>
        </w:rPr>
      </w:pPr>
    </w:p>
    <w:p w14:paraId="68EDA0C5" w14:textId="0C590DCE" w:rsidR="007433A2" w:rsidRPr="007E359B" w:rsidRDefault="007433A2" w:rsidP="002B5113">
      <w:pPr>
        <w:pStyle w:val="ListParagraph"/>
        <w:numPr>
          <w:ilvl w:val="0"/>
          <w:numId w:val="6"/>
        </w:numPr>
        <w:rPr>
          <w:i/>
          <w:color w:val="FF0000"/>
        </w:rPr>
      </w:pPr>
      <w:r w:rsidRPr="007E359B">
        <w:rPr>
          <w:i/>
          <w:color w:val="FF0000"/>
        </w:rPr>
        <w:t>Processes to treat pressure ulcers</w:t>
      </w:r>
    </w:p>
    <w:p w14:paraId="023B834D" w14:textId="2C1F696C" w:rsidR="00D723C6" w:rsidRPr="007E359B" w:rsidRDefault="007E735A" w:rsidP="005C58B8">
      <w:pPr>
        <w:ind w:left="547" w:firstLine="0"/>
        <w:rPr>
          <w:color w:val="FF0000"/>
        </w:rPr>
      </w:pPr>
      <w:r w:rsidRPr="007E359B">
        <w:rPr>
          <w:color w:val="FF0000"/>
        </w:rPr>
        <w:t xml:space="preserve">According to the </w:t>
      </w:r>
      <w:r w:rsidR="00FF1967" w:rsidRPr="007E359B">
        <w:rPr>
          <w:color w:val="FF0000"/>
        </w:rPr>
        <w:t>International Guideline</w:t>
      </w:r>
      <w:r w:rsidRPr="007E359B">
        <w:rPr>
          <w:color w:val="FF0000"/>
        </w:rPr>
        <w:t>, b</w:t>
      </w:r>
      <w:r w:rsidR="007433A2" w:rsidRPr="007E359B">
        <w:rPr>
          <w:color w:val="FF0000"/>
        </w:rPr>
        <w:t>efore treating residents for pressure ulcers, it is important for nursing home staff to be able to appropriately assess the wound and properly classify its stage to develop a treatment plan accordingly.</w:t>
      </w:r>
      <w:r w:rsidR="000007D8" w:rsidRPr="007E359B">
        <w:rPr>
          <w:rStyle w:val="FootnoteReference"/>
          <w:color w:val="FF0000"/>
        </w:rPr>
        <w:footnoteReference w:id="53"/>
      </w:r>
      <w:r w:rsidR="007433A2" w:rsidRPr="007E359B">
        <w:rPr>
          <w:color w:val="FF0000"/>
        </w:rPr>
        <w:t xml:space="preserve"> As mentioned above</w:t>
      </w:r>
      <w:r w:rsidR="00FF1967" w:rsidRPr="007E359B">
        <w:rPr>
          <w:color w:val="FF0000"/>
        </w:rPr>
        <w:t>,</w:t>
      </w:r>
      <w:r w:rsidRPr="007E359B">
        <w:rPr>
          <w:color w:val="FF0000"/>
        </w:rPr>
        <w:t xml:space="preserve"> it is important that nursing staff are able to accurately classify pressure ulcer stages.</w:t>
      </w:r>
      <w:r w:rsidR="000007D8" w:rsidRPr="007E359B">
        <w:rPr>
          <w:rStyle w:val="FootnoteReference"/>
          <w:color w:val="FF0000"/>
        </w:rPr>
        <w:footnoteReference w:id="54"/>
      </w:r>
      <w:r w:rsidRPr="007E359B">
        <w:rPr>
          <w:color w:val="FF0000"/>
        </w:rPr>
        <w:t xml:space="preserve"> After initial classification, </w:t>
      </w:r>
      <w:r w:rsidR="00FF1967" w:rsidRPr="007E359B">
        <w:rPr>
          <w:color w:val="FF0000"/>
        </w:rPr>
        <w:t xml:space="preserve">recommendations </w:t>
      </w:r>
      <w:r w:rsidR="00E17550" w:rsidRPr="007E359B">
        <w:rPr>
          <w:color w:val="FF0000"/>
        </w:rPr>
        <w:t xml:space="preserve">from </w:t>
      </w:r>
      <w:r w:rsidRPr="007E359B">
        <w:rPr>
          <w:color w:val="FF0000"/>
        </w:rPr>
        <w:t xml:space="preserve">the </w:t>
      </w:r>
      <w:r w:rsidR="00FF1967" w:rsidRPr="007E359B">
        <w:rPr>
          <w:color w:val="FF0000"/>
        </w:rPr>
        <w:t xml:space="preserve">International Guideline </w:t>
      </w:r>
      <w:r w:rsidR="00E17550" w:rsidRPr="007E359B">
        <w:rPr>
          <w:color w:val="FF0000"/>
        </w:rPr>
        <w:t>and the WOCN offer</w:t>
      </w:r>
      <w:r w:rsidR="001B43E0" w:rsidRPr="007E359B">
        <w:rPr>
          <w:color w:val="FF0000"/>
        </w:rPr>
        <w:t xml:space="preserve"> a </w:t>
      </w:r>
      <w:r w:rsidR="00FF1967" w:rsidRPr="007E359B">
        <w:rPr>
          <w:color w:val="FF0000"/>
        </w:rPr>
        <w:t xml:space="preserve">comprehensive </w:t>
      </w:r>
      <w:r w:rsidR="001B43E0" w:rsidRPr="007E359B">
        <w:rPr>
          <w:color w:val="FF0000"/>
        </w:rPr>
        <w:t>list of pressure ulcer t</w:t>
      </w:r>
      <w:r w:rsidR="00E17550" w:rsidRPr="007E359B">
        <w:rPr>
          <w:color w:val="FF0000"/>
        </w:rPr>
        <w:t xml:space="preserve">reatment recommendations. Elements of these recommendations include: (1) </w:t>
      </w:r>
      <w:r w:rsidR="00141226" w:rsidRPr="007E359B">
        <w:rPr>
          <w:color w:val="FF0000"/>
        </w:rPr>
        <w:t xml:space="preserve">assessing </w:t>
      </w:r>
      <w:r w:rsidRPr="007E359B">
        <w:rPr>
          <w:color w:val="FF0000"/>
        </w:rPr>
        <w:t xml:space="preserve">and monitoring of the wound, </w:t>
      </w:r>
      <w:r w:rsidR="00E17550" w:rsidRPr="007E359B">
        <w:rPr>
          <w:color w:val="FF0000"/>
        </w:rPr>
        <w:t xml:space="preserve">(2) </w:t>
      </w:r>
      <w:r w:rsidRPr="007E359B">
        <w:rPr>
          <w:color w:val="FF0000"/>
        </w:rPr>
        <w:t>managing pain</w:t>
      </w:r>
      <w:r w:rsidR="00141226" w:rsidRPr="007E359B">
        <w:rPr>
          <w:color w:val="FF0000"/>
        </w:rPr>
        <w:t xml:space="preserve">, </w:t>
      </w:r>
      <w:r w:rsidR="00E17550" w:rsidRPr="007E359B">
        <w:rPr>
          <w:color w:val="FF0000"/>
        </w:rPr>
        <w:t xml:space="preserve">(3) </w:t>
      </w:r>
      <w:r w:rsidR="00141226" w:rsidRPr="007E359B">
        <w:rPr>
          <w:color w:val="FF0000"/>
        </w:rPr>
        <w:t xml:space="preserve">supporting wound healing (e.g., promoting a well-vascularized wound bed, moisture balance, and infection and inflammation control), </w:t>
      </w:r>
      <w:r w:rsidR="00E17550" w:rsidRPr="007E359B">
        <w:rPr>
          <w:color w:val="FF0000"/>
        </w:rPr>
        <w:t>(</w:t>
      </w:r>
      <w:r w:rsidR="00A77C20" w:rsidRPr="007E359B">
        <w:rPr>
          <w:color w:val="FF0000"/>
        </w:rPr>
        <w:t>4</w:t>
      </w:r>
      <w:r w:rsidR="00E17550" w:rsidRPr="007E359B">
        <w:rPr>
          <w:color w:val="FF0000"/>
        </w:rPr>
        <w:t xml:space="preserve">) </w:t>
      </w:r>
      <w:r w:rsidR="00141226" w:rsidRPr="007E359B">
        <w:rPr>
          <w:color w:val="FF0000"/>
        </w:rPr>
        <w:t xml:space="preserve">cleansing and debridement (cleansing with normal saline at low pressure for 10 to 20 minutes was associated with greater reduction in pressure injury depth), </w:t>
      </w:r>
      <w:r w:rsidR="00E17550" w:rsidRPr="007E359B">
        <w:rPr>
          <w:color w:val="FF0000"/>
        </w:rPr>
        <w:t>(</w:t>
      </w:r>
      <w:r w:rsidR="00A77C20" w:rsidRPr="007E359B">
        <w:rPr>
          <w:color w:val="FF0000"/>
        </w:rPr>
        <w:t>5</w:t>
      </w:r>
      <w:r w:rsidR="00E17550" w:rsidRPr="007E359B">
        <w:rPr>
          <w:color w:val="FF0000"/>
        </w:rPr>
        <w:t xml:space="preserve">) </w:t>
      </w:r>
      <w:r w:rsidR="002171C8" w:rsidRPr="007E359B">
        <w:rPr>
          <w:color w:val="FF0000"/>
        </w:rPr>
        <w:t xml:space="preserve">diagnosing microbial burdens or biofilms (if present) with tissue biopsies or microscopy, </w:t>
      </w:r>
      <w:r w:rsidR="00E17550" w:rsidRPr="007E359B">
        <w:rPr>
          <w:color w:val="FF0000"/>
        </w:rPr>
        <w:t>(</w:t>
      </w:r>
      <w:r w:rsidR="00A77C20" w:rsidRPr="007E359B">
        <w:rPr>
          <w:color w:val="FF0000"/>
        </w:rPr>
        <w:t>6</w:t>
      </w:r>
      <w:r w:rsidR="00E17550" w:rsidRPr="007E359B">
        <w:rPr>
          <w:color w:val="FF0000"/>
        </w:rPr>
        <w:t xml:space="preserve">) </w:t>
      </w:r>
      <w:r w:rsidR="002171C8" w:rsidRPr="007E359B">
        <w:rPr>
          <w:color w:val="FF0000"/>
        </w:rPr>
        <w:t xml:space="preserve">administering antibiotics, </w:t>
      </w:r>
      <w:r w:rsidR="00E17550" w:rsidRPr="007E359B">
        <w:rPr>
          <w:color w:val="FF0000"/>
        </w:rPr>
        <w:t>(</w:t>
      </w:r>
      <w:r w:rsidR="00A77C20" w:rsidRPr="007E359B">
        <w:rPr>
          <w:color w:val="FF0000"/>
        </w:rPr>
        <w:t>7</w:t>
      </w:r>
      <w:r w:rsidR="00E17550" w:rsidRPr="007E359B">
        <w:rPr>
          <w:color w:val="FF0000"/>
        </w:rPr>
        <w:t xml:space="preserve">) </w:t>
      </w:r>
      <w:r w:rsidR="00A26C89" w:rsidRPr="007E359B">
        <w:rPr>
          <w:color w:val="FF0000"/>
        </w:rPr>
        <w:t>dressing wounds</w:t>
      </w:r>
      <w:r w:rsidR="002171C8" w:rsidRPr="007E359B">
        <w:rPr>
          <w:color w:val="FF0000"/>
        </w:rPr>
        <w:t xml:space="preserve">, </w:t>
      </w:r>
      <w:r w:rsidR="00E17550" w:rsidRPr="007E359B">
        <w:rPr>
          <w:color w:val="FF0000"/>
        </w:rPr>
        <w:t>(</w:t>
      </w:r>
      <w:r w:rsidR="00A77C20" w:rsidRPr="007E359B">
        <w:rPr>
          <w:color w:val="FF0000"/>
        </w:rPr>
        <w:t>8</w:t>
      </w:r>
      <w:r w:rsidR="00E17550" w:rsidRPr="007E359B">
        <w:rPr>
          <w:color w:val="FF0000"/>
        </w:rPr>
        <w:t xml:space="preserve">) </w:t>
      </w:r>
      <w:r w:rsidR="00A26C89" w:rsidRPr="007E359B">
        <w:rPr>
          <w:color w:val="FF0000"/>
        </w:rPr>
        <w:t xml:space="preserve">conducting </w:t>
      </w:r>
      <w:r w:rsidR="002171C8" w:rsidRPr="007E359B">
        <w:rPr>
          <w:color w:val="FF0000"/>
        </w:rPr>
        <w:t xml:space="preserve">biological </w:t>
      </w:r>
      <w:r w:rsidR="00A26C89" w:rsidRPr="007E359B">
        <w:rPr>
          <w:color w:val="FF0000"/>
        </w:rPr>
        <w:t xml:space="preserve">wound </w:t>
      </w:r>
      <w:r w:rsidR="002171C8" w:rsidRPr="007E359B">
        <w:rPr>
          <w:color w:val="FF0000"/>
        </w:rPr>
        <w:t xml:space="preserve">dressing (e.g., skin substitutes, xenografts, collagen dressing, etc.), </w:t>
      </w:r>
      <w:r w:rsidR="00E17550" w:rsidRPr="007E359B">
        <w:rPr>
          <w:color w:val="FF0000"/>
        </w:rPr>
        <w:t>(</w:t>
      </w:r>
      <w:r w:rsidR="00A77C20" w:rsidRPr="007E359B">
        <w:rPr>
          <w:color w:val="FF0000"/>
        </w:rPr>
        <w:t>9</w:t>
      </w:r>
      <w:r w:rsidR="00E17550" w:rsidRPr="007E359B">
        <w:rPr>
          <w:color w:val="FF0000"/>
        </w:rPr>
        <w:t xml:space="preserve">) </w:t>
      </w:r>
      <w:r w:rsidR="002171C8" w:rsidRPr="007E359B">
        <w:rPr>
          <w:color w:val="FF0000"/>
        </w:rPr>
        <w:t>using biophysical agen</w:t>
      </w:r>
      <w:r w:rsidR="007516CE" w:rsidRPr="007E359B">
        <w:rPr>
          <w:color w:val="FF0000"/>
        </w:rPr>
        <w:t>ts</w:t>
      </w:r>
      <w:r w:rsidR="002171C8" w:rsidRPr="007E359B">
        <w:rPr>
          <w:color w:val="FF0000"/>
        </w:rPr>
        <w:t xml:space="preserve"> (</w:t>
      </w:r>
      <w:proofErr w:type="spellStart"/>
      <w:r w:rsidR="002171C8" w:rsidRPr="007E359B">
        <w:rPr>
          <w:color w:val="FF0000"/>
        </w:rPr>
        <w:t>e.g</w:t>
      </w:r>
      <w:proofErr w:type="spellEnd"/>
      <w:r w:rsidR="002171C8" w:rsidRPr="007E359B">
        <w:rPr>
          <w:color w:val="FF0000"/>
        </w:rPr>
        <w:t xml:space="preserve">, electrical stimulation), </w:t>
      </w:r>
      <w:r w:rsidR="00E17550" w:rsidRPr="007E359B">
        <w:rPr>
          <w:color w:val="FF0000"/>
        </w:rPr>
        <w:t>(1</w:t>
      </w:r>
      <w:r w:rsidR="00A77C20" w:rsidRPr="007E359B">
        <w:rPr>
          <w:color w:val="FF0000"/>
        </w:rPr>
        <w:t>0</w:t>
      </w:r>
      <w:r w:rsidR="00E17550" w:rsidRPr="007E359B">
        <w:rPr>
          <w:color w:val="FF0000"/>
        </w:rPr>
        <w:t xml:space="preserve">) </w:t>
      </w:r>
      <w:r w:rsidR="007516CE" w:rsidRPr="007E359B">
        <w:rPr>
          <w:color w:val="FF0000"/>
        </w:rPr>
        <w:t>evaluating the need for</w:t>
      </w:r>
      <w:r w:rsidR="002171C8" w:rsidRPr="007E359B">
        <w:rPr>
          <w:color w:val="FF0000"/>
        </w:rPr>
        <w:t xml:space="preserve"> surgery (usually on stage III or IV pressure injuries)</w:t>
      </w:r>
      <w:r w:rsidR="00FF1967" w:rsidRPr="007E359B">
        <w:rPr>
          <w:color w:val="FF0000"/>
        </w:rPr>
        <w:t>, and more</w:t>
      </w:r>
      <w:r w:rsidR="002171C8" w:rsidRPr="007E359B">
        <w:rPr>
          <w:color w:val="FF0000"/>
        </w:rPr>
        <w:t>.</w:t>
      </w:r>
      <w:r w:rsidR="000007D8" w:rsidRPr="007E359B">
        <w:rPr>
          <w:rStyle w:val="FootnoteReference"/>
          <w:color w:val="FF0000"/>
        </w:rPr>
        <w:footnoteReference w:id="55"/>
      </w:r>
      <w:r w:rsidR="000007D8" w:rsidRPr="007E359B">
        <w:rPr>
          <w:color w:val="FF0000"/>
          <w:vertAlign w:val="superscript"/>
        </w:rPr>
        <w:t>,</w:t>
      </w:r>
      <w:r w:rsidR="000007D8" w:rsidRPr="007E359B">
        <w:rPr>
          <w:rStyle w:val="FootnoteReference"/>
          <w:color w:val="FF0000"/>
        </w:rPr>
        <w:footnoteReference w:id="56"/>
      </w:r>
      <w:r w:rsidR="002171C8" w:rsidRPr="007E359B">
        <w:rPr>
          <w:color w:val="FF0000"/>
          <w:vertAlign w:val="superscript"/>
        </w:rPr>
        <w:t xml:space="preserve"> </w:t>
      </w:r>
    </w:p>
    <w:p w14:paraId="3AE979FC" w14:textId="40E0B429" w:rsidR="007312F6" w:rsidRPr="007E359B" w:rsidRDefault="007312F6" w:rsidP="005C58B8">
      <w:pPr>
        <w:ind w:left="547" w:firstLine="0"/>
        <w:rPr>
          <w:color w:val="FF0000"/>
        </w:rPr>
      </w:pPr>
    </w:p>
    <w:p w14:paraId="0D11340E" w14:textId="2BAD4AC1" w:rsidR="000C3B38" w:rsidRPr="007E359B" w:rsidRDefault="00E17550" w:rsidP="000C3B38">
      <w:pPr>
        <w:ind w:left="547" w:firstLine="0"/>
        <w:rPr>
          <w:color w:val="FF0000"/>
        </w:rPr>
      </w:pPr>
      <w:r w:rsidRPr="007E359B">
        <w:rPr>
          <w:color w:val="FF0000"/>
        </w:rPr>
        <w:t xml:space="preserve">The ACP had additional recommendations that were not mentioned above. </w:t>
      </w:r>
      <w:r w:rsidR="00A26C89" w:rsidRPr="007E359B">
        <w:rPr>
          <w:color w:val="FF0000"/>
        </w:rPr>
        <w:t>First, the ACP</w:t>
      </w:r>
      <w:r w:rsidR="007312F6" w:rsidRPr="007E359B">
        <w:rPr>
          <w:color w:val="FF0000"/>
        </w:rPr>
        <w:t xml:space="preserve"> recommends that clinicians use protein or amino acid supplementation in patients experiencing pressure ulcers to help reduce wound size.</w:t>
      </w:r>
      <w:r w:rsidR="000007D8" w:rsidRPr="007E359B">
        <w:rPr>
          <w:rStyle w:val="FootnoteReference"/>
          <w:color w:val="FF0000"/>
        </w:rPr>
        <w:footnoteReference w:id="57"/>
      </w:r>
      <w:r w:rsidR="007312F6" w:rsidRPr="007E359B">
        <w:rPr>
          <w:color w:val="FF0000"/>
        </w:rPr>
        <w:t xml:space="preserve"> </w:t>
      </w:r>
      <w:r w:rsidRPr="007E359B">
        <w:rPr>
          <w:color w:val="FF0000"/>
        </w:rPr>
        <w:t>Additionally,</w:t>
      </w:r>
      <w:r w:rsidR="007312F6" w:rsidRPr="007E359B">
        <w:rPr>
          <w:color w:val="FF0000"/>
        </w:rPr>
        <w:t xml:space="preserve"> the ACP recommends for staff to use hydrocolloid or foam dressing</w:t>
      </w:r>
      <w:r w:rsidR="00A26C89" w:rsidRPr="007E359B">
        <w:rPr>
          <w:color w:val="FF0000"/>
        </w:rPr>
        <w:t xml:space="preserve"> to</w:t>
      </w:r>
      <w:r w:rsidR="007312F6" w:rsidRPr="007E359B">
        <w:rPr>
          <w:color w:val="FF0000"/>
        </w:rPr>
        <w:t xml:space="preserve"> subsequently reduce wound size.</w:t>
      </w:r>
      <w:r w:rsidR="000007D8" w:rsidRPr="007E359B">
        <w:rPr>
          <w:rStyle w:val="FootnoteReference"/>
          <w:color w:val="FF0000"/>
        </w:rPr>
        <w:footnoteReference w:id="58"/>
      </w:r>
    </w:p>
    <w:p w14:paraId="0E972C31" w14:textId="5E11BD6C" w:rsidR="000C3B38" w:rsidRPr="007E359B" w:rsidRDefault="000C3B38" w:rsidP="000C3B38">
      <w:pPr>
        <w:ind w:left="547" w:firstLine="0"/>
        <w:rPr>
          <w:color w:val="FF0000"/>
        </w:rPr>
      </w:pPr>
    </w:p>
    <w:p w14:paraId="699CB2AC" w14:textId="4E888A2B" w:rsidR="000C3B38" w:rsidRPr="000C3B38" w:rsidRDefault="000C3B38" w:rsidP="000C3B38">
      <w:pPr>
        <w:ind w:left="547" w:firstLine="0"/>
        <w:rPr>
          <w:strike/>
          <w:color w:val="0000FF"/>
        </w:rPr>
        <w:sectPr w:rsidR="000C3B38" w:rsidRPr="000C3B38" w:rsidSect="0045708D">
          <w:headerReference w:type="default" r:id="rId15"/>
          <w:footerReference w:type="default" r:id="rId16"/>
          <w:pgSz w:w="12240" w:h="15840"/>
          <w:pgMar w:top="1440" w:right="1440" w:bottom="1440" w:left="1440" w:header="720" w:footer="720" w:gutter="0"/>
          <w:cols w:space="720"/>
          <w:docGrid w:linePitch="360"/>
        </w:sectPr>
      </w:pPr>
      <w:r w:rsidRPr="007E359B">
        <w:rPr>
          <w:color w:val="FF0000"/>
        </w:rPr>
        <w:t>Ultimately</w:t>
      </w:r>
      <w:r w:rsidR="00C5469A" w:rsidRPr="007E359B">
        <w:rPr>
          <w:color w:val="FF0000"/>
        </w:rPr>
        <w:t>,</w:t>
      </w:r>
      <w:r w:rsidRPr="007E359B">
        <w:rPr>
          <w:color w:val="FF0000"/>
        </w:rPr>
        <w:t xml:space="preserve"> following </w:t>
      </w:r>
      <w:r w:rsidR="00C5469A" w:rsidRPr="007E359B">
        <w:rPr>
          <w:color w:val="FF0000"/>
        </w:rPr>
        <w:t xml:space="preserve">multiple </w:t>
      </w:r>
      <w:r w:rsidRPr="007E359B">
        <w:rPr>
          <w:color w:val="FF0000"/>
        </w:rPr>
        <w:t xml:space="preserve">clinical recommendations, best practices, and interventions related to pressure ulcer treatment may reduce pressure ulcer rates within nursing homes. </w:t>
      </w:r>
    </w:p>
    <w:p w14:paraId="5807D4A8" w14:textId="13DB80D1" w:rsidR="001B07B9" w:rsidRDefault="001B07B9" w:rsidP="007516CE">
      <w:pPr>
        <w:ind w:left="0" w:firstLine="0"/>
        <w:rPr>
          <w:color w:val="0000FF"/>
        </w:rPr>
      </w:pPr>
    </w:p>
    <w:p w14:paraId="17076006" w14:textId="77777777" w:rsidR="00F511A2" w:rsidRPr="00F511A2" w:rsidRDefault="00F511A2" w:rsidP="00F511A2">
      <w:pPr>
        <w:ind w:left="0" w:firstLine="0"/>
      </w:pPr>
    </w:p>
    <w:p w14:paraId="55E9A356" w14:textId="77777777" w:rsidR="00F511A2" w:rsidRDefault="00F511A2" w:rsidP="00F511A2">
      <w:pPr>
        <w:tabs>
          <w:tab w:val="left" w:pos="3630"/>
        </w:tabs>
        <w:ind w:left="-1080" w:firstLine="0"/>
      </w:pPr>
      <w:r>
        <w:tab/>
      </w:r>
      <w:r>
        <w:tab/>
      </w:r>
    </w:p>
    <w:p w14:paraId="7F2C04A3" w14:textId="6FA4219C" w:rsidR="00F511A2" w:rsidRPr="00F511A2" w:rsidRDefault="00F511A2" w:rsidP="00F511A2">
      <w:pPr>
        <w:pStyle w:val="Caption"/>
        <w:keepNext/>
        <w:jc w:val="center"/>
        <w:rPr>
          <w:b/>
          <w:i w:val="0"/>
          <w:color w:val="auto"/>
          <w:sz w:val="22"/>
          <w:szCs w:val="22"/>
        </w:rPr>
      </w:pPr>
      <w:r w:rsidRPr="00F511A2">
        <w:rPr>
          <w:b/>
          <w:i w:val="0"/>
          <w:color w:val="auto"/>
          <w:sz w:val="22"/>
          <w:szCs w:val="22"/>
        </w:rPr>
        <w:t>Figure 1:  Role of Nursing Home Structures and Processes in Pressure Ulcer Rates</w:t>
      </w:r>
    </w:p>
    <w:p w14:paraId="1A6B7439" w14:textId="08EF0D9B" w:rsidR="00F511A2" w:rsidRPr="00F511A2" w:rsidRDefault="00F511A2" w:rsidP="00F511A2">
      <w:pPr>
        <w:tabs>
          <w:tab w:val="left" w:pos="3630"/>
        </w:tabs>
        <w:ind w:left="-1080" w:firstLine="0"/>
      </w:pPr>
      <w:bookmarkStart w:id="5" w:name="_GoBack"/>
      <w:r>
        <w:rPr>
          <w:noProof/>
        </w:rPr>
        <w:drawing>
          <wp:inline distT="0" distB="0" distL="0" distR="0" wp14:anchorId="5347DF3F" wp14:editId="48D278EE">
            <wp:extent cx="9564370" cy="4648835"/>
            <wp:effectExtent l="0" t="0" r="0" b="0"/>
            <wp:docPr id="1" name="Picture 1" descr="Figure 1 is a logic model that diagrams the steps between the nursing home structures and processes to the patient's health outcomes. Nursing home structures include staffing, facility characteristics, and facility resources. Processes include adherence to clinical guidelines and recommendations, which is comprised of prevention and treatment. Health outcomes include lower rates of stage II-IV pressure ulcers among high-risk nursing home resid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64370" cy="4648835"/>
                    </a:xfrm>
                    <a:prstGeom prst="rect">
                      <a:avLst/>
                    </a:prstGeom>
                    <a:noFill/>
                  </pic:spPr>
                </pic:pic>
              </a:graphicData>
            </a:graphic>
          </wp:inline>
        </w:drawing>
      </w:r>
      <w:bookmarkEnd w:id="5"/>
    </w:p>
    <w:p w14:paraId="3653EE83" w14:textId="08CA54AE" w:rsidR="00F511A2" w:rsidRPr="00F511A2" w:rsidRDefault="00F511A2" w:rsidP="00F511A2">
      <w:pPr>
        <w:ind w:left="0" w:firstLine="0"/>
      </w:pPr>
    </w:p>
    <w:p w14:paraId="125F3E4F" w14:textId="283DB921" w:rsidR="007516CE" w:rsidRPr="00F511A2" w:rsidRDefault="007516CE" w:rsidP="00F511A2">
      <w:pPr>
        <w:ind w:left="0" w:firstLine="0"/>
        <w:sectPr w:rsidR="007516CE" w:rsidRPr="00F511A2" w:rsidSect="007516CE">
          <w:pgSz w:w="15840" w:h="12240" w:orient="landscape"/>
          <w:pgMar w:top="1440" w:right="1440" w:bottom="1440" w:left="1440" w:header="720" w:footer="720" w:gutter="0"/>
          <w:cols w:space="720"/>
          <w:docGrid w:linePitch="360"/>
        </w:sectPr>
      </w:pPr>
    </w:p>
    <w:p w14:paraId="33C7741B" w14:textId="0D3DDB2D" w:rsidR="004922E4" w:rsidRPr="004922E4" w:rsidRDefault="004922E4" w:rsidP="00BD3D6A">
      <w:pPr>
        <w:ind w:left="547" w:hanging="547"/>
        <w:rPr>
          <w:b/>
          <w:iCs/>
        </w:rPr>
      </w:pPr>
      <w:r w:rsidRPr="00BF2DC4">
        <w:rPr>
          <w:b/>
          <w:bCs/>
        </w:rPr>
        <w:t>1a.3</w:t>
      </w:r>
      <w:r w:rsidR="005A0E2D" w:rsidRPr="00BF2DC4">
        <w:rPr>
          <w:b/>
          <w:bCs/>
        </w:rPr>
        <w:tab/>
      </w:r>
      <w:r w:rsidRPr="003E2EA0">
        <w:rPr>
          <w:b/>
          <w:bCs/>
        </w:rPr>
        <w:t>Value and Meaningfulness</w:t>
      </w:r>
      <w:r>
        <w:rPr>
          <w:b/>
          <w:bCs/>
        </w:rPr>
        <w:t>:</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5B8DA60" w14:textId="499E79C9" w:rsidR="00676BD4" w:rsidRDefault="00676BD4" w:rsidP="00BC5F61">
      <w:pPr>
        <w:ind w:left="0" w:firstLine="0"/>
        <w:rPr>
          <w:b/>
          <w:color w:val="7030A0"/>
        </w:rPr>
      </w:pPr>
    </w:p>
    <w:p w14:paraId="520DE408" w14:textId="4F57CE39" w:rsidR="00552F57" w:rsidRDefault="009147F7" w:rsidP="00390ED3">
      <w:pPr>
        <w:ind w:left="0" w:firstLine="547"/>
        <w:rPr>
          <w:b/>
          <w:color w:val="7030A0"/>
        </w:rPr>
      </w:pPr>
      <w:r>
        <w:rPr>
          <w:color w:val="0000FF"/>
        </w:rPr>
        <w:t xml:space="preserve">Not applicable </w:t>
      </w:r>
    </w:p>
    <w:p w14:paraId="7A0C7A8D" w14:textId="77777777" w:rsidR="00552F57" w:rsidRPr="0038014E" w:rsidRDefault="00552F57" w:rsidP="00BC5F61">
      <w:pPr>
        <w:ind w:left="0" w:firstLine="0"/>
        <w:rPr>
          <w:b/>
          <w:color w:val="7030A0"/>
        </w:rPr>
      </w:pPr>
    </w:p>
    <w:p w14:paraId="55B8DA61" w14:textId="77777777" w:rsidR="00676BD4" w:rsidRPr="00BF2DC4" w:rsidRDefault="00C41794" w:rsidP="002E2177">
      <w:pPr>
        <w:ind w:left="432" w:hanging="432"/>
        <w:rPr>
          <w:b/>
        </w:rPr>
      </w:pPr>
      <w:r w:rsidRPr="00BF2DC4">
        <w:rPr>
          <w:b/>
        </w:rPr>
        <w:t xml:space="preserve">**RESPOND TO ONLY ONE SECTION </w:t>
      </w:r>
      <w:r w:rsidR="004E7215" w:rsidRPr="00BF2DC4">
        <w:rPr>
          <w:b/>
        </w:rPr>
        <w:t>BELOW -</w:t>
      </w:r>
      <w:r w:rsidRPr="00BF2DC4">
        <w:rPr>
          <w:b/>
        </w:rPr>
        <w:t xml:space="preserve">EITHER 1a.2, 1a.3 or 1a.4) </w:t>
      </w:r>
      <w:r w:rsidR="00AB4ECE" w:rsidRPr="00BF2DC4">
        <w:rPr>
          <w:b/>
        </w:rPr>
        <w:t>**</w:t>
      </w:r>
    </w:p>
    <w:p w14:paraId="55B8DA62" w14:textId="77777777" w:rsidR="00676BD4" w:rsidRPr="00BF2DC4" w:rsidRDefault="00676BD4" w:rsidP="002E2177">
      <w:pPr>
        <w:ind w:left="432" w:hanging="432"/>
        <w:rPr>
          <w:b/>
        </w:rPr>
      </w:pPr>
    </w:p>
    <w:p w14:paraId="5F5DA4BA" w14:textId="48724A45" w:rsidR="00233C52" w:rsidRDefault="00B058A6" w:rsidP="005A0E2D">
      <w:pPr>
        <w:ind w:left="547" w:hanging="547"/>
        <w:rPr>
          <w:b/>
          <w:iCs/>
        </w:rPr>
      </w:pPr>
      <w:r w:rsidRPr="00BF2DC4">
        <w:rPr>
          <w:b/>
        </w:rPr>
        <w:t>1</w:t>
      </w:r>
      <w:r w:rsidR="00773485" w:rsidRPr="00BF2DC4">
        <w:rPr>
          <w:b/>
        </w:rPr>
        <w:t>a</w:t>
      </w:r>
      <w:r w:rsidRPr="00BF2DC4">
        <w:rPr>
          <w:b/>
        </w:rPr>
        <w:t>.2</w:t>
      </w:r>
      <w:r w:rsidR="005A0E2D" w:rsidRPr="00BF2DC4">
        <w:rPr>
          <w:b/>
        </w:rPr>
        <w:tab/>
      </w:r>
      <w:r w:rsidR="00C41794" w:rsidRPr="001075D6">
        <w:rPr>
          <w:b/>
        </w:rPr>
        <w:t>FOR OUTCOME MEASURES including PATIENT REPORTED OUTCOMES</w:t>
      </w:r>
      <w:r w:rsidR="003D6721">
        <w:rPr>
          <w:b/>
        </w:rPr>
        <w:t xml:space="preserve"> </w:t>
      </w:r>
      <w:r w:rsidR="00C41794">
        <w:rPr>
          <w:b/>
        </w:rPr>
        <w:t>-</w:t>
      </w:r>
      <w:r w:rsidR="00C41794" w:rsidRPr="003B1CC5">
        <w:rPr>
          <w:b/>
          <w:iCs/>
        </w:rPr>
        <w:t xml:space="preserve"> </w:t>
      </w:r>
      <w:bookmarkStart w:id="6" w:name="_Hlk500165577"/>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bookmarkEnd w:id="6"/>
    </w:p>
    <w:p w14:paraId="6398092A" w14:textId="3E56F59A" w:rsidR="00EE53F2" w:rsidRDefault="00EE53F2" w:rsidP="005A0E2D">
      <w:pPr>
        <w:ind w:left="547" w:hanging="547"/>
        <w:rPr>
          <w:b/>
          <w:iCs/>
        </w:rPr>
      </w:pPr>
      <w:r>
        <w:rPr>
          <w:b/>
          <w:iCs/>
        </w:rPr>
        <w:tab/>
      </w:r>
    </w:p>
    <w:p w14:paraId="2918F5D4" w14:textId="776655C3" w:rsidR="00EE53F2" w:rsidRPr="00EE53F2" w:rsidRDefault="00EE53F2" w:rsidP="00EE53F2">
      <w:pPr>
        <w:ind w:left="0" w:firstLine="547"/>
        <w:rPr>
          <w:b/>
          <w:color w:val="7030A0"/>
        </w:rPr>
      </w:pPr>
      <w:r>
        <w:rPr>
          <w:color w:val="0000FF"/>
        </w:rPr>
        <w:t xml:space="preserve">Not applicable </w:t>
      </w:r>
    </w:p>
    <w:p w14:paraId="55B8DA65" w14:textId="5DDC47BD" w:rsidR="00676BD4" w:rsidRPr="003423EE" w:rsidRDefault="00676BD4" w:rsidP="003423EE">
      <w:pPr>
        <w:ind w:right="140"/>
        <w:rPr>
          <w:b/>
          <w:bCs/>
          <w:color w:val="4F81BD" w:themeColor="accent1"/>
        </w:rPr>
      </w:pPr>
    </w:p>
    <w:p w14:paraId="55B8DA66" w14:textId="7AAF82F0" w:rsidR="00C41794" w:rsidRPr="003B1CC5" w:rsidRDefault="002B06BD" w:rsidP="005A0E2D">
      <w:pPr>
        <w:ind w:left="547" w:hanging="547"/>
        <w:rPr>
          <w:b/>
          <w:iCs/>
        </w:rPr>
      </w:pPr>
      <w:bookmarkStart w:id="7" w:name="Section1a3"/>
      <w:bookmarkEnd w:id="7"/>
      <w:r w:rsidRPr="00BF2DC4">
        <w:rPr>
          <w:b/>
          <w:iCs/>
        </w:rPr>
        <w:t>1a.3</w:t>
      </w:r>
      <w:r w:rsidR="005A0E2D" w:rsidRPr="00BF2DC4">
        <w:rPr>
          <w:b/>
          <w:iCs/>
        </w:rPr>
        <w:tab/>
      </w:r>
      <w:r w:rsidR="00C41794" w:rsidRPr="00BF2DC4">
        <w:rPr>
          <w:b/>
          <w:iCs/>
        </w:rPr>
        <w:t>SYSTEMATIC REVIEW</w:t>
      </w:r>
      <w:r w:rsidR="00AB4ECE" w:rsidRPr="00BF2DC4">
        <w:rPr>
          <w:b/>
          <w:iCs/>
        </w:rPr>
        <w:t>(SR)</w:t>
      </w:r>
      <w:r w:rsidR="00C41794" w:rsidRPr="00BF2DC4">
        <w:rPr>
          <w:b/>
          <w:iCs/>
        </w:rPr>
        <w:t xml:space="preserve"> OF THE EVIDENCE (</w:t>
      </w:r>
      <w:r w:rsidR="00C41794" w:rsidRPr="00F90F82">
        <w:rPr>
          <w:b/>
          <w:iCs/>
        </w:rPr>
        <w:t>for</w:t>
      </w:r>
      <w:r w:rsidR="00A76BE5">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2434483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sidR="00A76BE5">
        <w:rPr>
          <w:rFonts w:ascii="Calibri" w:eastAsia="Calibri" w:hAnsi="Calibri" w:cs="Times New Roman"/>
          <w:b/>
        </w:rPr>
        <w:t xml:space="preserve"> </w:t>
      </w:r>
      <w:r>
        <w:rPr>
          <w:rFonts w:ascii="Calibri" w:eastAsia="Calibri" w:hAnsi="Calibri" w:cs="Times New Roman"/>
          <w:b/>
        </w:rPr>
        <w:t xml:space="preserve">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similar but separate studies. It may include a quantitative synthesis (meta-analysis), depending on the available data. (IOM)</w:t>
      </w:r>
    </w:p>
    <w:p w14:paraId="55B8DA69" w14:textId="6CA13F4B" w:rsidR="00A9011D" w:rsidRPr="00BF2DC4" w:rsidRDefault="00544B54" w:rsidP="00A9011D">
      <w:pPr>
        <w:ind w:left="0" w:firstLine="0"/>
        <w:rPr>
          <w:rFonts w:ascii="Calibri" w:eastAsia="Calibri" w:hAnsi="Calibri" w:cs="Times New Roman"/>
        </w:rPr>
      </w:pPr>
      <w:sdt>
        <w:sdtPr>
          <w:rPr>
            <w:bCs/>
            <w:color w:val="0000FF"/>
          </w:rPr>
          <w:id w:val="-468508862"/>
          <w14:checkbox>
            <w14:checked w14:val="1"/>
            <w14:checkedState w14:val="2612" w14:font="MS Gothic"/>
            <w14:uncheckedState w14:val="2610" w14:font="MS Gothic"/>
          </w14:checkbox>
        </w:sdtPr>
        <w:sdtEndPr/>
        <w:sdtContent>
          <w:r w:rsidR="00EE53F2" w:rsidRPr="00EE53F2">
            <w:rPr>
              <w:rFonts w:ascii="MS Gothic" w:eastAsia="MS Gothic" w:hAnsi="MS Gothic" w:hint="eastAsia"/>
              <w:bCs/>
              <w:color w:val="0000FF"/>
            </w:rPr>
            <w:t>☒</w:t>
          </w:r>
        </w:sdtContent>
      </w:sdt>
      <w:r w:rsidR="00EC1225" w:rsidRPr="00BF2DC4">
        <w:rPr>
          <w:rFonts w:ascii="Times New Roman" w:eastAsia="Arial Unicode MS" w:hAnsi="Times New Roman" w:cs="Mangal"/>
          <w:kern w:val="1"/>
          <w:sz w:val="24"/>
          <w:szCs w:val="24"/>
          <w:lang w:eastAsia="hi-IN" w:bidi="hi-IN"/>
        </w:rPr>
        <w:t xml:space="preserve"> </w:t>
      </w:r>
      <w:r w:rsidR="00A9011D" w:rsidRPr="00BF2DC4">
        <w:rPr>
          <w:rFonts w:ascii="Calibri" w:eastAsia="Calibri" w:hAnsi="Calibri" w:cs="Times New Roman"/>
        </w:rPr>
        <w:t>Clinical Practice Guideline recommendation</w:t>
      </w:r>
      <w:r w:rsidR="00A76BE5" w:rsidRPr="00BF2DC4">
        <w:rPr>
          <w:rFonts w:ascii="Calibri" w:eastAsia="Calibri" w:hAnsi="Calibri" w:cs="Times New Roman"/>
        </w:rPr>
        <w:t xml:space="preserve"> </w:t>
      </w:r>
      <w:r w:rsidR="00EC1225" w:rsidRPr="00BF2DC4">
        <w:rPr>
          <w:rFonts w:ascii="Calibri" w:eastAsia="Calibri" w:hAnsi="Calibri" w:cs="Times New Roman"/>
        </w:rPr>
        <w:t>(with evidence review)</w:t>
      </w:r>
    </w:p>
    <w:p w14:paraId="55B8DA6A" w14:textId="39525979" w:rsidR="00A9011D" w:rsidRPr="00BF2DC4" w:rsidRDefault="00544B54" w:rsidP="00A9011D">
      <w:pPr>
        <w:ind w:left="0" w:firstLine="0"/>
        <w:rPr>
          <w:rFonts w:ascii="Calibri" w:eastAsia="Calibri" w:hAnsi="Calibri" w:cs="Times New Roman"/>
          <w:b/>
          <w:i/>
        </w:rPr>
      </w:pPr>
      <w:sdt>
        <w:sdtPr>
          <w:rPr>
            <w:bCs/>
          </w:rPr>
          <w:id w:val="1206067364"/>
          <w14:checkbox>
            <w14:checked w14:val="0"/>
            <w14:checkedState w14:val="2612" w14:font="MS Gothic"/>
            <w14:uncheckedState w14:val="2610" w14:font="MS Gothic"/>
          </w14:checkbox>
        </w:sdtPr>
        <w:sdtEndPr/>
        <w:sdtContent>
          <w:r w:rsidR="00B3268F" w:rsidRPr="00BF2DC4">
            <w:rPr>
              <w:rFonts w:ascii="MS Gothic" w:eastAsia="MS Gothic" w:hAnsi="MS Gothic" w:hint="eastAsia"/>
              <w:bCs/>
            </w:rPr>
            <w:t>☐</w:t>
          </w:r>
        </w:sdtContent>
      </w:sdt>
      <w:r w:rsidR="00A9011D" w:rsidRPr="00BF2DC4">
        <w:rPr>
          <w:rFonts w:ascii="Calibri" w:eastAsia="Calibri" w:hAnsi="Calibri" w:cs="Times New Roman"/>
        </w:rPr>
        <w:t xml:space="preserve"> US Preventive Services Task Force Recommendation</w:t>
      </w:r>
    </w:p>
    <w:p w14:paraId="55B8DA6B" w14:textId="5CDC0DAC" w:rsidR="00A9011D" w:rsidRPr="00BF2DC4" w:rsidRDefault="00544B54" w:rsidP="00A9011D">
      <w:pPr>
        <w:ind w:left="0" w:firstLine="0"/>
        <w:rPr>
          <w:rFonts w:ascii="Calibri" w:eastAsia="Calibri" w:hAnsi="Calibri" w:cs="Times New Roman"/>
        </w:rPr>
      </w:pPr>
      <w:sdt>
        <w:sdtPr>
          <w:rPr>
            <w:bCs/>
          </w:rPr>
          <w:id w:val="472181442"/>
          <w14:checkbox>
            <w14:checked w14:val="0"/>
            <w14:checkedState w14:val="2612" w14:font="MS Gothic"/>
            <w14:uncheckedState w14:val="2610" w14:font="MS Gothic"/>
          </w14:checkbox>
        </w:sdtPr>
        <w:sdtEndPr/>
        <w:sdtContent>
          <w:r w:rsidR="00BF2DC4">
            <w:rPr>
              <w:rFonts w:ascii="MS Gothic" w:eastAsia="MS Gothic" w:hAnsi="MS Gothic" w:hint="eastAsia"/>
              <w:bCs/>
            </w:rPr>
            <w:t>☐</w:t>
          </w:r>
        </w:sdtContent>
      </w:sdt>
      <w:r w:rsidR="00A9011D" w:rsidRPr="00BF2DC4">
        <w:rPr>
          <w:rFonts w:ascii="Calibri" w:eastAsia="Calibri" w:hAnsi="Calibri" w:cs="Times New Roman"/>
        </w:rPr>
        <w:t xml:space="preserve"> Other systematic review and grading of the body of evidence (</w:t>
      </w:r>
      <w:r w:rsidR="00A9011D" w:rsidRPr="00BF2DC4">
        <w:rPr>
          <w:rFonts w:ascii="Calibri" w:eastAsia="Calibri" w:hAnsi="Calibri" w:cs="Times New Roman"/>
          <w:i/>
        </w:rPr>
        <w:t>e.g., Cochrane Collaboration, AHRQ Evidence Practice Center</w:t>
      </w:r>
      <w:r w:rsidR="00A9011D" w:rsidRPr="00BF2DC4">
        <w:rPr>
          <w:rFonts w:ascii="Calibri" w:eastAsia="Calibri" w:hAnsi="Calibri" w:cs="Times New Roman"/>
        </w:rPr>
        <w:t xml:space="preserve">) </w:t>
      </w:r>
    </w:p>
    <w:p w14:paraId="55B8DA6C" w14:textId="0D47624E" w:rsidR="00A9011D" w:rsidRPr="00BF2DC4" w:rsidRDefault="00A9011D" w:rsidP="002E2177">
      <w:pPr>
        <w:ind w:left="0" w:firstLine="0"/>
        <w:rPr>
          <w:rFonts w:ascii="Calibri" w:eastAsia="Calibri" w:hAnsi="Calibri" w:cs="Times New Roman"/>
        </w:rPr>
      </w:pPr>
      <w:r w:rsidRPr="00BF2DC4">
        <w:rPr>
          <w:rFonts w:ascii="Segoe UI Symbol" w:eastAsia="Arial Unicode MS" w:hAnsi="Segoe UI Symbol" w:cs="Segoe UI Symbol"/>
          <w:kern w:val="1"/>
          <w:sz w:val="24"/>
          <w:szCs w:val="24"/>
          <w:lang w:eastAsia="hi-IN" w:bidi="hi-IN"/>
        </w:rPr>
        <w:t>☐</w:t>
      </w:r>
      <w:r w:rsidRPr="00BF2DC4">
        <w:rPr>
          <w:rFonts w:ascii="Calibri" w:eastAsia="Calibri" w:hAnsi="Calibri" w:cs="Times New Roman"/>
        </w:rPr>
        <w:t xml:space="preserve"> Other </w:t>
      </w:r>
    </w:p>
    <w:p w14:paraId="0692F13A" w14:textId="0643E338" w:rsidR="00F311E7" w:rsidRDefault="00F311E7" w:rsidP="002E2177">
      <w:pPr>
        <w:ind w:left="0" w:firstLine="0"/>
        <w:rPr>
          <w:rFonts w:ascii="Calibri" w:eastAsia="Calibri" w:hAnsi="Calibri" w:cs="Times New Roman"/>
        </w:rPr>
      </w:pPr>
    </w:p>
    <w:tbl>
      <w:tblPr>
        <w:tblStyle w:val="TableGrid"/>
        <w:tblW w:w="0" w:type="auto"/>
        <w:tblLook w:val="04A0" w:firstRow="1" w:lastRow="0" w:firstColumn="1" w:lastColumn="0" w:noHBand="0" w:noVBand="1"/>
      </w:tblPr>
      <w:tblGrid>
        <w:gridCol w:w="3595"/>
        <w:gridCol w:w="5755"/>
      </w:tblGrid>
      <w:tr w:rsidR="00552F57" w14:paraId="7A99CB7A" w14:textId="77777777" w:rsidTr="00552F57">
        <w:tc>
          <w:tcPr>
            <w:tcW w:w="3595" w:type="dxa"/>
          </w:tcPr>
          <w:p w14:paraId="0D03E98B" w14:textId="77777777" w:rsidR="00552F57" w:rsidRPr="00552F57" w:rsidRDefault="00552F57" w:rsidP="00552F57">
            <w:pPr>
              <w:rPr>
                <w:rFonts w:ascii="Calibri" w:eastAsia="Calibri" w:hAnsi="Calibri" w:cs="Times New Roman"/>
                <w:b/>
                <w:sz w:val="20"/>
                <w:szCs w:val="20"/>
              </w:rPr>
            </w:pPr>
            <w:r w:rsidRPr="00552F57">
              <w:rPr>
                <w:rFonts w:ascii="Calibri" w:eastAsia="Calibri" w:hAnsi="Calibri" w:cs="Times New Roman"/>
                <w:b/>
                <w:sz w:val="20"/>
                <w:szCs w:val="20"/>
              </w:rPr>
              <w:t>Source of Systematic Review:</w:t>
            </w:r>
          </w:p>
          <w:p w14:paraId="639511B6" w14:textId="405510FF" w:rsidR="00552F57" w:rsidRPr="00552F57" w:rsidRDefault="00552F57" w:rsidP="002B5113">
            <w:pPr>
              <w:pStyle w:val="ListParagraph"/>
              <w:numPr>
                <w:ilvl w:val="0"/>
                <w:numId w:val="4"/>
              </w:numPr>
              <w:rPr>
                <w:rFonts w:ascii="Calibri" w:eastAsia="Calibri" w:hAnsi="Calibri" w:cs="Times New Roman"/>
                <w:b/>
                <w:sz w:val="20"/>
                <w:szCs w:val="20"/>
              </w:rPr>
            </w:pPr>
            <w:r w:rsidRPr="00552F57">
              <w:rPr>
                <w:rFonts w:ascii="Calibri" w:eastAsia="Calibri" w:hAnsi="Calibri" w:cs="Times New Roman"/>
                <w:b/>
                <w:sz w:val="20"/>
                <w:szCs w:val="20"/>
              </w:rPr>
              <w:t>Title</w:t>
            </w:r>
          </w:p>
          <w:p w14:paraId="5DD8B7ED" w14:textId="7B417E3C" w:rsidR="00552F57" w:rsidRPr="00552F57" w:rsidRDefault="00552F57" w:rsidP="002B5113">
            <w:pPr>
              <w:pStyle w:val="ListParagraph"/>
              <w:numPr>
                <w:ilvl w:val="0"/>
                <w:numId w:val="4"/>
              </w:numPr>
              <w:rPr>
                <w:rFonts w:ascii="Calibri" w:eastAsia="Calibri" w:hAnsi="Calibri" w:cs="Times New Roman"/>
                <w:b/>
                <w:sz w:val="20"/>
                <w:szCs w:val="20"/>
              </w:rPr>
            </w:pPr>
            <w:r w:rsidRPr="00552F57">
              <w:rPr>
                <w:rFonts w:ascii="Calibri" w:eastAsia="Calibri" w:hAnsi="Calibri" w:cs="Times New Roman"/>
                <w:b/>
                <w:sz w:val="20"/>
                <w:szCs w:val="20"/>
              </w:rPr>
              <w:t>Author</w:t>
            </w:r>
          </w:p>
          <w:p w14:paraId="658A8A8A" w14:textId="7E41E645" w:rsidR="00552F57" w:rsidRPr="00552F57" w:rsidRDefault="00552F57" w:rsidP="002B5113">
            <w:pPr>
              <w:pStyle w:val="ListParagraph"/>
              <w:numPr>
                <w:ilvl w:val="0"/>
                <w:numId w:val="4"/>
              </w:numPr>
              <w:rPr>
                <w:rFonts w:ascii="Calibri" w:eastAsia="Calibri" w:hAnsi="Calibri" w:cs="Times New Roman"/>
                <w:b/>
                <w:sz w:val="20"/>
                <w:szCs w:val="20"/>
              </w:rPr>
            </w:pPr>
            <w:r w:rsidRPr="00552F57">
              <w:rPr>
                <w:rFonts w:ascii="Calibri" w:eastAsia="Calibri" w:hAnsi="Calibri" w:cs="Times New Roman"/>
                <w:b/>
                <w:sz w:val="20"/>
                <w:szCs w:val="20"/>
              </w:rPr>
              <w:t>Date</w:t>
            </w:r>
          </w:p>
          <w:p w14:paraId="25BC3D7E" w14:textId="77777777" w:rsidR="00552F57" w:rsidRPr="00552F57" w:rsidRDefault="00552F57" w:rsidP="002B5113">
            <w:pPr>
              <w:pStyle w:val="ListParagraph"/>
              <w:numPr>
                <w:ilvl w:val="0"/>
                <w:numId w:val="4"/>
              </w:numPr>
              <w:rPr>
                <w:rFonts w:ascii="Calibri" w:eastAsia="Calibri" w:hAnsi="Calibri" w:cs="Times New Roman"/>
                <w:b/>
                <w:sz w:val="20"/>
                <w:szCs w:val="20"/>
              </w:rPr>
            </w:pPr>
            <w:r w:rsidRPr="00552F57">
              <w:rPr>
                <w:rFonts w:ascii="Calibri" w:eastAsia="Calibri" w:hAnsi="Calibri" w:cs="Times New Roman"/>
                <w:b/>
                <w:sz w:val="20"/>
                <w:szCs w:val="20"/>
              </w:rPr>
              <w:t xml:space="preserve">Citation, including page number </w:t>
            </w:r>
          </w:p>
          <w:p w14:paraId="53CB8726" w14:textId="41E9144A" w:rsidR="00552F57" w:rsidRPr="00552F57" w:rsidRDefault="00552F57" w:rsidP="002B5113">
            <w:pPr>
              <w:pStyle w:val="ListParagraph"/>
              <w:numPr>
                <w:ilvl w:val="0"/>
                <w:numId w:val="4"/>
              </w:numPr>
              <w:rPr>
                <w:rFonts w:ascii="Calibri" w:eastAsia="Calibri" w:hAnsi="Calibri" w:cs="Times New Roman"/>
                <w:b/>
              </w:rPr>
            </w:pPr>
            <w:r w:rsidRPr="00552F57">
              <w:rPr>
                <w:rFonts w:ascii="Calibri" w:eastAsia="Calibri" w:hAnsi="Calibri" w:cs="Times New Roman"/>
                <w:b/>
                <w:sz w:val="20"/>
                <w:szCs w:val="20"/>
              </w:rPr>
              <w:t>URL</w:t>
            </w:r>
          </w:p>
        </w:tc>
        <w:tc>
          <w:tcPr>
            <w:tcW w:w="5755" w:type="dxa"/>
          </w:tcPr>
          <w:p w14:paraId="0FBF8C3F" w14:textId="77777777" w:rsidR="00552F57" w:rsidRPr="00363F53" w:rsidRDefault="00362787" w:rsidP="002E2177">
            <w:pPr>
              <w:ind w:left="0" w:firstLine="0"/>
              <w:rPr>
                <w:rFonts w:ascii="Calibri" w:eastAsia="Calibri" w:hAnsi="Calibri" w:cs="Times New Roman"/>
                <w:color w:val="FF0000"/>
                <w:sz w:val="20"/>
                <w:szCs w:val="20"/>
              </w:rPr>
            </w:pPr>
            <w:r w:rsidRPr="00363F53">
              <w:rPr>
                <w:rFonts w:ascii="Calibri" w:eastAsia="Calibri" w:hAnsi="Calibri" w:cs="Times New Roman"/>
                <w:b/>
                <w:color w:val="FF0000"/>
                <w:sz w:val="20"/>
                <w:szCs w:val="20"/>
              </w:rPr>
              <w:t>Title</w:t>
            </w:r>
            <w:r w:rsidRPr="00363F53">
              <w:rPr>
                <w:rFonts w:ascii="Calibri" w:eastAsia="Calibri" w:hAnsi="Calibri" w:cs="Times New Roman"/>
                <w:color w:val="FF0000"/>
                <w:sz w:val="20"/>
                <w:szCs w:val="20"/>
              </w:rPr>
              <w:t>: Treatment of Pressure  Ulcers: A Clinical Practice Guideline from the American College of Physicians</w:t>
            </w:r>
          </w:p>
          <w:p w14:paraId="202B70BA" w14:textId="77777777" w:rsidR="00362787" w:rsidRPr="00363F53" w:rsidRDefault="00362787" w:rsidP="002E2177">
            <w:pPr>
              <w:ind w:left="0" w:firstLine="0"/>
              <w:rPr>
                <w:rFonts w:ascii="Calibri" w:eastAsia="Calibri" w:hAnsi="Calibri" w:cs="Times New Roman"/>
                <w:color w:val="FF0000"/>
                <w:sz w:val="20"/>
                <w:szCs w:val="20"/>
              </w:rPr>
            </w:pPr>
            <w:r w:rsidRPr="00363F53">
              <w:rPr>
                <w:rFonts w:ascii="Calibri" w:eastAsia="Calibri" w:hAnsi="Calibri" w:cs="Times New Roman"/>
                <w:b/>
                <w:color w:val="FF0000"/>
                <w:sz w:val="20"/>
                <w:szCs w:val="20"/>
              </w:rPr>
              <w:t>Author</w:t>
            </w:r>
            <w:r w:rsidRPr="00363F53">
              <w:rPr>
                <w:rFonts w:ascii="Calibri" w:eastAsia="Calibri" w:hAnsi="Calibri" w:cs="Times New Roman"/>
                <w:color w:val="FF0000"/>
                <w:sz w:val="20"/>
                <w:szCs w:val="20"/>
              </w:rPr>
              <w:t xml:space="preserve">: Amir </w:t>
            </w:r>
            <w:proofErr w:type="spellStart"/>
            <w:r w:rsidRPr="00363F53">
              <w:rPr>
                <w:rFonts w:ascii="Calibri" w:eastAsia="Calibri" w:hAnsi="Calibri" w:cs="Times New Roman"/>
                <w:color w:val="FF0000"/>
                <w:sz w:val="20"/>
                <w:szCs w:val="20"/>
              </w:rPr>
              <w:t>Qaseem</w:t>
            </w:r>
            <w:proofErr w:type="spellEnd"/>
            <w:r w:rsidRPr="00363F53">
              <w:rPr>
                <w:rFonts w:ascii="Calibri" w:eastAsia="Calibri" w:hAnsi="Calibri" w:cs="Times New Roman"/>
                <w:color w:val="FF0000"/>
                <w:sz w:val="20"/>
                <w:szCs w:val="20"/>
              </w:rPr>
              <w:t xml:space="preserve">, MD, PhD, MHA; Linda L. Humphrey, MD, MPH; Mary Ann </w:t>
            </w:r>
            <w:proofErr w:type="spellStart"/>
            <w:r w:rsidRPr="00363F53">
              <w:rPr>
                <w:rFonts w:ascii="Calibri" w:eastAsia="Calibri" w:hAnsi="Calibri" w:cs="Times New Roman"/>
                <w:color w:val="FF0000"/>
                <w:sz w:val="20"/>
                <w:szCs w:val="20"/>
              </w:rPr>
              <w:t>Forciea</w:t>
            </w:r>
            <w:proofErr w:type="spellEnd"/>
            <w:r w:rsidRPr="00363F53">
              <w:rPr>
                <w:rFonts w:ascii="Calibri" w:eastAsia="Calibri" w:hAnsi="Calibri" w:cs="Times New Roman"/>
                <w:color w:val="FF0000"/>
                <w:sz w:val="20"/>
                <w:szCs w:val="20"/>
              </w:rPr>
              <w:t xml:space="preserve">, MD; Melissa Starkey, PhD; and Thomas D. </w:t>
            </w:r>
            <w:proofErr w:type="spellStart"/>
            <w:r w:rsidRPr="00363F53">
              <w:rPr>
                <w:rFonts w:ascii="Calibri" w:eastAsia="Calibri" w:hAnsi="Calibri" w:cs="Times New Roman"/>
                <w:color w:val="FF0000"/>
                <w:sz w:val="20"/>
                <w:szCs w:val="20"/>
              </w:rPr>
              <w:t>Denberg</w:t>
            </w:r>
            <w:proofErr w:type="spellEnd"/>
            <w:r w:rsidRPr="00363F53">
              <w:rPr>
                <w:rFonts w:ascii="Calibri" w:eastAsia="Calibri" w:hAnsi="Calibri" w:cs="Times New Roman"/>
                <w:color w:val="FF0000"/>
                <w:sz w:val="20"/>
                <w:szCs w:val="20"/>
              </w:rPr>
              <w:t>, MD, PhD, for the Clinical Guidelines Committee of the American College of Physicians</w:t>
            </w:r>
          </w:p>
          <w:p w14:paraId="12F8DFC6" w14:textId="0B40C677" w:rsidR="00362787" w:rsidRPr="00363F53" w:rsidRDefault="00362787" w:rsidP="002E2177">
            <w:pPr>
              <w:ind w:left="0" w:firstLine="0"/>
              <w:rPr>
                <w:rFonts w:ascii="Calibri" w:eastAsia="Calibri" w:hAnsi="Calibri" w:cs="Times New Roman"/>
                <w:color w:val="FF0000"/>
                <w:sz w:val="20"/>
                <w:szCs w:val="20"/>
              </w:rPr>
            </w:pPr>
            <w:r w:rsidRPr="00363F53">
              <w:rPr>
                <w:rFonts w:ascii="Calibri" w:eastAsia="Calibri" w:hAnsi="Calibri" w:cs="Times New Roman"/>
                <w:b/>
                <w:color w:val="FF0000"/>
                <w:sz w:val="20"/>
                <w:szCs w:val="20"/>
              </w:rPr>
              <w:t>Date</w:t>
            </w:r>
            <w:r w:rsidRPr="00363F53">
              <w:rPr>
                <w:rFonts w:ascii="Calibri" w:eastAsia="Calibri" w:hAnsi="Calibri" w:cs="Times New Roman"/>
                <w:color w:val="FF0000"/>
                <w:sz w:val="20"/>
                <w:szCs w:val="20"/>
              </w:rPr>
              <w:t>: 2015</w:t>
            </w:r>
          </w:p>
          <w:p w14:paraId="4F0A6FE3" w14:textId="30289C6E" w:rsidR="00362787" w:rsidRPr="00363F53" w:rsidRDefault="00362787" w:rsidP="002E2177">
            <w:pPr>
              <w:ind w:left="0" w:firstLine="0"/>
              <w:rPr>
                <w:rFonts w:ascii="Calibri" w:eastAsia="Calibri" w:hAnsi="Calibri" w:cs="Times New Roman"/>
                <w:b/>
                <w:color w:val="FF0000"/>
                <w:sz w:val="20"/>
                <w:szCs w:val="20"/>
              </w:rPr>
            </w:pPr>
            <w:r w:rsidRPr="00363F53">
              <w:rPr>
                <w:rFonts w:ascii="Calibri" w:eastAsia="Calibri" w:hAnsi="Calibri" w:cs="Times New Roman"/>
                <w:b/>
                <w:color w:val="FF0000"/>
                <w:sz w:val="20"/>
                <w:szCs w:val="20"/>
              </w:rPr>
              <w:t>Citation:</w:t>
            </w:r>
            <w:r w:rsidRPr="00363F53">
              <w:rPr>
                <w:color w:val="FF0000"/>
                <w:sz w:val="20"/>
                <w:szCs w:val="20"/>
              </w:rPr>
              <w:t xml:space="preserve"> </w:t>
            </w:r>
            <w:proofErr w:type="spellStart"/>
            <w:r w:rsidRPr="00363F53">
              <w:rPr>
                <w:color w:val="FF0000"/>
                <w:sz w:val="20"/>
                <w:szCs w:val="20"/>
              </w:rPr>
              <w:t>Qaseem</w:t>
            </w:r>
            <w:proofErr w:type="spellEnd"/>
            <w:r w:rsidRPr="00363F53">
              <w:rPr>
                <w:color w:val="FF0000"/>
                <w:sz w:val="20"/>
                <w:szCs w:val="20"/>
              </w:rPr>
              <w:t xml:space="preserve">, Amir, Linda L. Humphrey, Mary Ann </w:t>
            </w:r>
            <w:proofErr w:type="spellStart"/>
            <w:r w:rsidRPr="00363F53">
              <w:rPr>
                <w:color w:val="FF0000"/>
                <w:sz w:val="20"/>
                <w:szCs w:val="20"/>
              </w:rPr>
              <w:t>Forciea</w:t>
            </w:r>
            <w:proofErr w:type="spellEnd"/>
            <w:r w:rsidRPr="00363F53">
              <w:rPr>
                <w:color w:val="FF0000"/>
                <w:sz w:val="20"/>
                <w:szCs w:val="20"/>
              </w:rPr>
              <w:t xml:space="preserve">, Melissa Starkey, and Thomas D. </w:t>
            </w:r>
            <w:proofErr w:type="spellStart"/>
            <w:r w:rsidRPr="00363F53">
              <w:rPr>
                <w:color w:val="FF0000"/>
                <w:sz w:val="20"/>
                <w:szCs w:val="20"/>
              </w:rPr>
              <w:t>Denberg</w:t>
            </w:r>
            <w:proofErr w:type="spellEnd"/>
            <w:r w:rsidRPr="00363F53">
              <w:rPr>
                <w:color w:val="FF0000"/>
                <w:sz w:val="20"/>
                <w:szCs w:val="20"/>
              </w:rPr>
              <w:t xml:space="preserve">. 2015. “Treatment of Pressure Ulcers: A Clinical Practice Guideline From the American College of Physicians.” </w:t>
            </w:r>
            <w:r w:rsidRPr="00363F53">
              <w:rPr>
                <w:i/>
                <w:iCs/>
                <w:color w:val="FF0000"/>
                <w:sz w:val="20"/>
                <w:szCs w:val="20"/>
              </w:rPr>
              <w:t>Annals of Internal Medicine</w:t>
            </w:r>
            <w:r w:rsidRPr="00363F53">
              <w:rPr>
                <w:color w:val="FF0000"/>
                <w:sz w:val="20"/>
                <w:szCs w:val="20"/>
              </w:rPr>
              <w:t xml:space="preserve"> 162 (5): 370–79. </w:t>
            </w:r>
            <w:hyperlink r:id="rId18" w:history="1">
              <w:r w:rsidRPr="00363F53">
                <w:rPr>
                  <w:rStyle w:val="Hyperlink"/>
                  <w:color w:val="FF0000"/>
                  <w:sz w:val="20"/>
                  <w:szCs w:val="20"/>
                </w:rPr>
                <w:t>https://doi.org/10.7326/M14-1568</w:t>
              </w:r>
            </w:hyperlink>
            <w:r w:rsidRPr="00363F53">
              <w:rPr>
                <w:color w:val="FF0000"/>
                <w:sz w:val="20"/>
                <w:szCs w:val="20"/>
              </w:rPr>
              <w:t>.</w:t>
            </w:r>
          </w:p>
          <w:p w14:paraId="420CA81A" w14:textId="1ADCC242" w:rsidR="00362787" w:rsidRPr="00363F53" w:rsidRDefault="00362787" w:rsidP="00362787">
            <w:pPr>
              <w:ind w:left="0" w:firstLine="0"/>
              <w:rPr>
                <w:rFonts w:ascii="Calibri" w:eastAsia="Calibri" w:hAnsi="Calibri" w:cs="Times New Roman"/>
                <w:b/>
                <w:color w:val="FF0000"/>
                <w:sz w:val="20"/>
                <w:szCs w:val="20"/>
              </w:rPr>
            </w:pPr>
            <w:r w:rsidRPr="00363F53">
              <w:rPr>
                <w:rFonts w:ascii="Calibri" w:eastAsia="Calibri" w:hAnsi="Calibri" w:cs="Times New Roman"/>
                <w:b/>
                <w:color w:val="FF0000"/>
                <w:sz w:val="20"/>
                <w:szCs w:val="20"/>
              </w:rPr>
              <w:t xml:space="preserve">URL: </w:t>
            </w:r>
            <w:hyperlink r:id="rId19" w:history="1">
              <w:r w:rsidRPr="00363F53">
                <w:rPr>
                  <w:rStyle w:val="Hyperlink"/>
                  <w:color w:val="FF0000"/>
                  <w:sz w:val="20"/>
                  <w:szCs w:val="20"/>
                </w:rPr>
                <w:t>https://doi.org/10.7326/M14-1568</w:t>
              </w:r>
            </w:hyperlink>
          </w:p>
        </w:tc>
      </w:tr>
      <w:tr w:rsidR="00552F57" w14:paraId="44C17332" w14:textId="77777777" w:rsidTr="00552F57">
        <w:tc>
          <w:tcPr>
            <w:tcW w:w="3595" w:type="dxa"/>
          </w:tcPr>
          <w:p w14:paraId="792005F2" w14:textId="04C00F2B" w:rsidR="00552F57" w:rsidRPr="00552F57" w:rsidRDefault="00552F57" w:rsidP="002E2177">
            <w:pPr>
              <w:ind w:left="0" w:firstLine="0"/>
              <w:rPr>
                <w:rFonts w:ascii="Calibri" w:eastAsia="Calibri" w:hAnsi="Calibri" w:cs="Times New Roman"/>
                <w:sz w:val="20"/>
                <w:szCs w:val="20"/>
              </w:rPr>
            </w:pPr>
            <w:r w:rsidRPr="00552F57">
              <w:rPr>
                <w:sz w:val="20"/>
                <w:szCs w:val="20"/>
              </w:rPr>
              <w:t>Quote the guideline or recommendation verbatim about the process, structure or intermediate outcome being measured. If not a guideline, summarize the conclusions from the SR.</w:t>
            </w:r>
          </w:p>
        </w:tc>
        <w:tc>
          <w:tcPr>
            <w:tcW w:w="5755" w:type="dxa"/>
          </w:tcPr>
          <w:p w14:paraId="493A159F" w14:textId="439AE6B6" w:rsidR="002F3077" w:rsidRPr="00363F53" w:rsidRDefault="002F3077" w:rsidP="002F3077">
            <w:pPr>
              <w:autoSpaceDE w:val="0"/>
              <w:autoSpaceDN w:val="0"/>
              <w:adjustRightInd w:val="0"/>
              <w:ind w:left="0" w:firstLine="0"/>
              <w:rPr>
                <w:rFonts w:eastAsia="AvenirNextLTPro-Regular" w:cstheme="minorHAnsi"/>
                <w:color w:val="FF0000"/>
                <w:sz w:val="20"/>
                <w:szCs w:val="20"/>
              </w:rPr>
            </w:pPr>
            <w:r w:rsidRPr="00363F53">
              <w:rPr>
                <w:rFonts w:cstheme="minorHAnsi"/>
                <w:b/>
                <w:bCs/>
                <w:color w:val="FF0000"/>
                <w:sz w:val="20"/>
                <w:szCs w:val="20"/>
              </w:rPr>
              <w:t xml:space="preserve">Recommendation 1: </w:t>
            </w:r>
            <w:r w:rsidRPr="00363F53">
              <w:rPr>
                <w:rFonts w:eastAsia="AvenirNextLTPro-Regular" w:cstheme="minorHAnsi"/>
                <w:color w:val="FF0000"/>
                <w:sz w:val="20"/>
                <w:szCs w:val="20"/>
              </w:rPr>
              <w:t>ACP recomme</w:t>
            </w:r>
            <w:r w:rsidR="00570938" w:rsidRPr="00363F53">
              <w:rPr>
                <w:rFonts w:eastAsia="AvenirNextLTPro-Regular" w:cstheme="minorHAnsi"/>
                <w:color w:val="FF0000"/>
                <w:sz w:val="20"/>
                <w:szCs w:val="20"/>
              </w:rPr>
              <w:t xml:space="preserve">nds that clinicians use protein </w:t>
            </w:r>
            <w:r w:rsidRPr="00363F53">
              <w:rPr>
                <w:rFonts w:eastAsia="AvenirNextLTPro-Regular" w:cstheme="minorHAnsi"/>
                <w:color w:val="FF0000"/>
                <w:sz w:val="20"/>
                <w:szCs w:val="20"/>
              </w:rPr>
              <w:t>or amino acid supplementation i</w:t>
            </w:r>
            <w:r w:rsidR="00570938" w:rsidRPr="00363F53">
              <w:rPr>
                <w:rFonts w:eastAsia="AvenirNextLTPro-Regular" w:cstheme="minorHAnsi"/>
                <w:color w:val="FF0000"/>
                <w:sz w:val="20"/>
                <w:szCs w:val="20"/>
              </w:rPr>
              <w:t xml:space="preserve">n patients with pressure ulcers </w:t>
            </w:r>
            <w:r w:rsidRPr="00363F53">
              <w:rPr>
                <w:rFonts w:eastAsia="AvenirNextLTPro-Regular" w:cstheme="minorHAnsi"/>
                <w:color w:val="FF0000"/>
                <w:sz w:val="20"/>
                <w:szCs w:val="20"/>
              </w:rPr>
              <w:t>to reduce wound size. (Grade: weak recommendation, low</w:t>
            </w:r>
            <w:r w:rsidR="00FA4D5A" w:rsidRPr="00363F53">
              <w:rPr>
                <w:rFonts w:eastAsia="AvenirNextLTPro-Regular" w:cstheme="minorHAnsi"/>
                <w:color w:val="FF0000"/>
                <w:sz w:val="20"/>
                <w:szCs w:val="20"/>
              </w:rPr>
              <w:t xml:space="preserve"> </w:t>
            </w:r>
            <w:r w:rsidRPr="00363F53">
              <w:rPr>
                <w:rFonts w:eastAsia="AvenirNextLTPro-Regular" w:cstheme="minorHAnsi"/>
                <w:color w:val="FF0000"/>
                <w:sz w:val="20"/>
                <w:szCs w:val="20"/>
              </w:rPr>
              <w:t>quality</w:t>
            </w:r>
          </w:p>
          <w:p w14:paraId="545C5CD6" w14:textId="77777777" w:rsidR="002F3077" w:rsidRPr="00363F53" w:rsidRDefault="002F3077" w:rsidP="002F3077">
            <w:pPr>
              <w:autoSpaceDE w:val="0"/>
              <w:autoSpaceDN w:val="0"/>
              <w:adjustRightInd w:val="0"/>
              <w:ind w:left="0" w:firstLine="0"/>
              <w:rPr>
                <w:rFonts w:eastAsia="AvenirNextLTPro-Regular" w:cstheme="minorHAnsi"/>
                <w:color w:val="FF0000"/>
                <w:sz w:val="20"/>
                <w:szCs w:val="20"/>
              </w:rPr>
            </w:pPr>
            <w:r w:rsidRPr="00363F53">
              <w:rPr>
                <w:rFonts w:eastAsia="AvenirNextLTPro-Regular" w:cstheme="minorHAnsi"/>
                <w:color w:val="FF0000"/>
                <w:sz w:val="20"/>
                <w:szCs w:val="20"/>
              </w:rPr>
              <w:t>evidence)</w:t>
            </w:r>
          </w:p>
          <w:p w14:paraId="0CF49B36" w14:textId="42B5420B" w:rsidR="002F3077" w:rsidRPr="00363F53" w:rsidRDefault="002F3077" w:rsidP="002F3077">
            <w:pPr>
              <w:autoSpaceDE w:val="0"/>
              <w:autoSpaceDN w:val="0"/>
              <w:adjustRightInd w:val="0"/>
              <w:ind w:left="0" w:firstLine="0"/>
              <w:rPr>
                <w:rFonts w:eastAsia="AvenirNextLTPro-Regular" w:cstheme="minorHAnsi"/>
                <w:color w:val="FF0000"/>
                <w:sz w:val="20"/>
                <w:szCs w:val="20"/>
              </w:rPr>
            </w:pPr>
            <w:r w:rsidRPr="00363F53">
              <w:rPr>
                <w:rFonts w:cstheme="minorHAnsi"/>
                <w:b/>
                <w:bCs/>
                <w:color w:val="FF0000"/>
                <w:sz w:val="20"/>
                <w:szCs w:val="20"/>
              </w:rPr>
              <w:t xml:space="preserve">Recommendation 2: </w:t>
            </w:r>
            <w:r w:rsidRPr="00363F53">
              <w:rPr>
                <w:rFonts w:eastAsia="AvenirNextLTPro-Regular" w:cstheme="minorHAnsi"/>
                <w:color w:val="FF0000"/>
                <w:sz w:val="20"/>
                <w:szCs w:val="20"/>
              </w:rPr>
              <w:t>ACP recommends that clinicians use hydrocolloid</w:t>
            </w:r>
            <w:r w:rsidR="00570938" w:rsidRPr="00363F53">
              <w:rPr>
                <w:rFonts w:eastAsia="AvenirNextLTPro-Regular" w:cstheme="minorHAnsi"/>
                <w:color w:val="FF0000"/>
                <w:sz w:val="20"/>
                <w:szCs w:val="20"/>
              </w:rPr>
              <w:t xml:space="preserve"> </w:t>
            </w:r>
            <w:r w:rsidRPr="00363F53">
              <w:rPr>
                <w:rFonts w:eastAsia="AvenirNextLTPro-Regular" w:cstheme="minorHAnsi"/>
                <w:color w:val="FF0000"/>
                <w:sz w:val="20"/>
                <w:szCs w:val="20"/>
              </w:rPr>
              <w:t>or foam dressings in p</w:t>
            </w:r>
            <w:r w:rsidR="00570938" w:rsidRPr="00363F53">
              <w:rPr>
                <w:rFonts w:eastAsia="AvenirNextLTPro-Regular" w:cstheme="minorHAnsi"/>
                <w:color w:val="FF0000"/>
                <w:sz w:val="20"/>
                <w:szCs w:val="20"/>
              </w:rPr>
              <w:t xml:space="preserve">atients with pressure ulcers to </w:t>
            </w:r>
            <w:r w:rsidRPr="00363F53">
              <w:rPr>
                <w:rFonts w:eastAsia="AvenirNextLTPro-Regular" w:cstheme="minorHAnsi"/>
                <w:color w:val="FF0000"/>
                <w:sz w:val="20"/>
                <w:szCs w:val="20"/>
              </w:rPr>
              <w:t>reduce wound size. (Grade: weak recommendation, low-quality</w:t>
            </w:r>
          </w:p>
          <w:p w14:paraId="1EF32868" w14:textId="77777777" w:rsidR="002F3077" w:rsidRPr="00363F53" w:rsidRDefault="002F3077" w:rsidP="002F3077">
            <w:pPr>
              <w:autoSpaceDE w:val="0"/>
              <w:autoSpaceDN w:val="0"/>
              <w:adjustRightInd w:val="0"/>
              <w:ind w:left="0" w:firstLine="0"/>
              <w:rPr>
                <w:rFonts w:eastAsia="AvenirNextLTPro-Regular" w:cstheme="minorHAnsi"/>
                <w:color w:val="FF0000"/>
                <w:sz w:val="20"/>
                <w:szCs w:val="20"/>
              </w:rPr>
            </w:pPr>
            <w:r w:rsidRPr="00363F53">
              <w:rPr>
                <w:rFonts w:eastAsia="AvenirNextLTPro-Regular" w:cstheme="minorHAnsi"/>
                <w:color w:val="FF0000"/>
                <w:sz w:val="20"/>
                <w:szCs w:val="20"/>
              </w:rPr>
              <w:t>evidence)</w:t>
            </w:r>
          </w:p>
          <w:p w14:paraId="750754CB" w14:textId="7B7F1BA5" w:rsidR="002F3077" w:rsidRPr="00363F53" w:rsidRDefault="002F3077" w:rsidP="002F3077">
            <w:pPr>
              <w:autoSpaceDE w:val="0"/>
              <w:autoSpaceDN w:val="0"/>
              <w:adjustRightInd w:val="0"/>
              <w:ind w:left="0" w:firstLine="0"/>
              <w:rPr>
                <w:rFonts w:eastAsia="AvenirNextLTPro-Regular" w:cstheme="minorHAnsi"/>
                <w:color w:val="FF0000"/>
                <w:sz w:val="20"/>
                <w:szCs w:val="20"/>
              </w:rPr>
            </w:pPr>
            <w:r w:rsidRPr="00363F53">
              <w:rPr>
                <w:rFonts w:cstheme="minorHAnsi"/>
                <w:b/>
                <w:bCs/>
                <w:color w:val="FF0000"/>
                <w:sz w:val="20"/>
                <w:szCs w:val="20"/>
              </w:rPr>
              <w:t xml:space="preserve">Recommendation 3: </w:t>
            </w:r>
            <w:r w:rsidRPr="00363F53">
              <w:rPr>
                <w:rFonts w:eastAsia="AvenirNextLTPro-Regular" w:cstheme="minorHAnsi"/>
                <w:color w:val="FF0000"/>
                <w:sz w:val="20"/>
                <w:szCs w:val="20"/>
              </w:rPr>
              <w:t>ACP recommends</w:t>
            </w:r>
            <w:r w:rsidR="00570938" w:rsidRPr="00363F53">
              <w:rPr>
                <w:rFonts w:eastAsia="AvenirNextLTPro-Regular" w:cstheme="minorHAnsi"/>
                <w:color w:val="FF0000"/>
                <w:sz w:val="20"/>
                <w:szCs w:val="20"/>
              </w:rPr>
              <w:t xml:space="preserve"> that clinicians use electrical </w:t>
            </w:r>
            <w:r w:rsidRPr="00363F53">
              <w:rPr>
                <w:rFonts w:eastAsia="AvenirNextLTPro-Regular" w:cstheme="minorHAnsi"/>
                <w:color w:val="FF0000"/>
                <w:sz w:val="20"/>
                <w:szCs w:val="20"/>
              </w:rPr>
              <w:t>stimulation as adjunctive th</w:t>
            </w:r>
            <w:r w:rsidR="00570938" w:rsidRPr="00363F53">
              <w:rPr>
                <w:rFonts w:eastAsia="AvenirNextLTPro-Regular" w:cstheme="minorHAnsi"/>
                <w:color w:val="FF0000"/>
                <w:sz w:val="20"/>
                <w:szCs w:val="20"/>
              </w:rPr>
              <w:t xml:space="preserve">erapy in patients with pressure </w:t>
            </w:r>
            <w:r w:rsidRPr="00363F53">
              <w:rPr>
                <w:rFonts w:eastAsia="AvenirNextLTPro-Regular" w:cstheme="minorHAnsi"/>
                <w:color w:val="FF0000"/>
                <w:sz w:val="20"/>
                <w:szCs w:val="20"/>
              </w:rPr>
              <w:t>ulcers to accelerate wound healing. (Grade: weak recommendation,</w:t>
            </w:r>
          </w:p>
          <w:p w14:paraId="5C911437" w14:textId="354CF3C5" w:rsidR="00552F57" w:rsidRPr="00363F53" w:rsidRDefault="002F3077" w:rsidP="002F3077">
            <w:pPr>
              <w:ind w:left="0" w:firstLine="0"/>
              <w:rPr>
                <w:rFonts w:eastAsia="Calibri" w:cstheme="minorHAnsi"/>
                <w:color w:val="FF0000"/>
                <w:sz w:val="20"/>
                <w:szCs w:val="20"/>
              </w:rPr>
            </w:pPr>
            <w:r w:rsidRPr="00363F53">
              <w:rPr>
                <w:rFonts w:eastAsia="AvenirNextLTPro-Regular" w:cstheme="minorHAnsi"/>
                <w:color w:val="FF0000"/>
                <w:sz w:val="20"/>
                <w:szCs w:val="20"/>
              </w:rPr>
              <w:t>moderate-quality evidence)</w:t>
            </w:r>
          </w:p>
        </w:tc>
      </w:tr>
      <w:tr w:rsidR="00552F57" w14:paraId="48C7D5F7" w14:textId="77777777" w:rsidTr="00552F57">
        <w:tc>
          <w:tcPr>
            <w:tcW w:w="3595" w:type="dxa"/>
          </w:tcPr>
          <w:p w14:paraId="4C6D309C" w14:textId="7817A341" w:rsidR="00552F57" w:rsidRPr="00552F57" w:rsidRDefault="00552F57" w:rsidP="002E2177">
            <w:pPr>
              <w:ind w:left="0" w:firstLine="0"/>
              <w:rPr>
                <w:rFonts w:ascii="Calibri" w:eastAsia="Calibri" w:hAnsi="Calibri" w:cs="Times New Roman"/>
                <w:sz w:val="20"/>
                <w:szCs w:val="20"/>
              </w:rPr>
            </w:pPr>
            <w:r w:rsidRPr="00552F57">
              <w:rPr>
                <w:sz w:val="20"/>
                <w:szCs w:val="20"/>
              </w:rPr>
              <w:t xml:space="preserve">Grade assigned to the </w:t>
            </w:r>
            <w:r w:rsidRPr="00552F57">
              <w:rPr>
                <w:b/>
                <w:bCs/>
                <w:sz w:val="20"/>
                <w:szCs w:val="20"/>
              </w:rPr>
              <w:t xml:space="preserve">evidence </w:t>
            </w:r>
            <w:r w:rsidRPr="00552F57">
              <w:rPr>
                <w:sz w:val="20"/>
                <w:szCs w:val="20"/>
              </w:rPr>
              <w:t>associated with the recommendation with the definition of the grade.</w:t>
            </w:r>
          </w:p>
        </w:tc>
        <w:tc>
          <w:tcPr>
            <w:tcW w:w="5755" w:type="dxa"/>
          </w:tcPr>
          <w:p w14:paraId="1346F54C" w14:textId="77777777" w:rsidR="002F3077" w:rsidRPr="00363F53" w:rsidRDefault="002F3077" w:rsidP="002F3077">
            <w:pPr>
              <w:ind w:left="0" w:firstLine="0"/>
              <w:rPr>
                <w:rFonts w:ascii="Calibri" w:eastAsia="Calibri" w:hAnsi="Calibri" w:cs="Times New Roman"/>
                <w:color w:val="FF0000"/>
                <w:sz w:val="20"/>
                <w:szCs w:val="20"/>
              </w:rPr>
            </w:pPr>
            <w:r w:rsidRPr="00363F53">
              <w:rPr>
                <w:rFonts w:ascii="Calibri" w:eastAsia="Calibri" w:hAnsi="Calibri" w:cs="Times New Roman"/>
                <w:color w:val="FF0000"/>
                <w:sz w:val="20"/>
                <w:szCs w:val="20"/>
              </w:rPr>
              <w:t xml:space="preserve">The ACP has a grading system that was adopted from the GRADE (Grading of Recommendations Assessment, Development, and Evaluation) workgroup. The ACP’s guideline grading system is outlined in the table below. </w:t>
            </w:r>
          </w:p>
          <w:p w14:paraId="243D1517" w14:textId="40419216" w:rsidR="002F3077" w:rsidRPr="00363F53" w:rsidRDefault="002F3077" w:rsidP="002F3077">
            <w:pPr>
              <w:ind w:left="0" w:firstLine="0"/>
              <w:rPr>
                <w:rFonts w:ascii="Calibri" w:eastAsia="Calibri" w:hAnsi="Calibri" w:cs="Times New Roman"/>
                <w:color w:val="FF0000"/>
                <w:sz w:val="20"/>
                <w:szCs w:val="20"/>
              </w:rPr>
            </w:pPr>
          </w:p>
          <w:p w14:paraId="2E8E299D" w14:textId="6558AFAB" w:rsidR="006334C5" w:rsidRPr="00363F53" w:rsidRDefault="006334C5" w:rsidP="002F3077">
            <w:pPr>
              <w:ind w:left="0" w:firstLine="0"/>
              <w:rPr>
                <w:rFonts w:ascii="Calibri" w:eastAsia="Calibri" w:hAnsi="Calibri" w:cs="Times New Roman"/>
                <w:color w:val="FF0000"/>
                <w:sz w:val="20"/>
                <w:szCs w:val="20"/>
              </w:rPr>
            </w:pPr>
            <w:r w:rsidRPr="00363F53">
              <w:rPr>
                <w:rFonts w:ascii="Calibri" w:eastAsia="Calibri" w:hAnsi="Calibri" w:cs="Times New Roman"/>
                <w:b/>
                <w:color w:val="FF0000"/>
                <w:sz w:val="20"/>
                <w:szCs w:val="20"/>
              </w:rPr>
              <w:t>Table 1</w:t>
            </w:r>
            <w:r w:rsidRPr="00363F53">
              <w:rPr>
                <w:rFonts w:ascii="Calibri" w:eastAsia="Calibri" w:hAnsi="Calibri" w:cs="Times New Roman"/>
                <w:color w:val="FF0000"/>
                <w:sz w:val="20"/>
                <w:szCs w:val="20"/>
              </w:rPr>
              <w:t>: American College of Physicians’ Guideline Grading System</w:t>
            </w:r>
          </w:p>
          <w:tbl>
            <w:tblPr>
              <w:tblStyle w:val="TableGrid"/>
              <w:tblW w:w="0" w:type="auto"/>
              <w:tblLook w:val="04A0" w:firstRow="1" w:lastRow="0" w:firstColumn="1" w:lastColumn="0" w:noHBand="0" w:noVBand="1"/>
            </w:tblPr>
            <w:tblGrid>
              <w:gridCol w:w="1843"/>
              <w:gridCol w:w="1843"/>
              <w:gridCol w:w="1843"/>
            </w:tblGrid>
            <w:tr w:rsidR="00363F53" w:rsidRPr="00363F53" w14:paraId="24655BEC" w14:textId="77777777" w:rsidTr="006179D1">
              <w:tc>
                <w:tcPr>
                  <w:tcW w:w="1843" w:type="dxa"/>
                  <w:vMerge w:val="restart"/>
                </w:tcPr>
                <w:p w14:paraId="565EDAD6" w14:textId="77777777" w:rsidR="002F3077" w:rsidRPr="00363F53" w:rsidRDefault="002F3077" w:rsidP="002F3077">
                  <w:pPr>
                    <w:ind w:left="0" w:firstLine="0"/>
                    <w:jc w:val="center"/>
                    <w:rPr>
                      <w:rFonts w:ascii="Calibri" w:eastAsia="Calibri" w:hAnsi="Calibri" w:cs="Times New Roman"/>
                      <w:b/>
                      <w:color w:val="FF0000"/>
                      <w:sz w:val="20"/>
                      <w:szCs w:val="20"/>
                    </w:rPr>
                  </w:pPr>
                  <w:r w:rsidRPr="00363F53">
                    <w:rPr>
                      <w:rFonts w:ascii="Calibri" w:eastAsia="Calibri" w:hAnsi="Calibri" w:cs="Times New Roman"/>
                      <w:b/>
                      <w:color w:val="FF0000"/>
                      <w:sz w:val="20"/>
                      <w:szCs w:val="20"/>
                    </w:rPr>
                    <w:t>Quality of Evidence</w:t>
                  </w:r>
                </w:p>
              </w:tc>
              <w:tc>
                <w:tcPr>
                  <w:tcW w:w="3686" w:type="dxa"/>
                  <w:gridSpan w:val="2"/>
                </w:tcPr>
                <w:p w14:paraId="0FFE2886" w14:textId="77777777" w:rsidR="002F3077" w:rsidRPr="00363F53" w:rsidRDefault="002F3077" w:rsidP="002F3077">
                  <w:pPr>
                    <w:ind w:left="0" w:firstLine="0"/>
                    <w:jc w:val="center"/>
                    <w:rPr>
                      <w:rFonts w:ascii="Calibri" w:eastAsia="Calibri" w:hAnsi="Calibri" w:cs="Times New Roman"/>
                      <w:b/>
                      <w:color w:val="FF0000"/>
                      <w:sz w:val="20"/>
                      <w:szCs w:val="20"/>
                    </w:rPr>
                  </w:pPr>
                  <w:r w:rsidRPr="00363F53">
                    <w:rPr>
                      <w:rFonts w:ascii="Calibri" w:eastAsia="Calibri" w:hAnsi="Calibri" w:cs="Times New Roman"/>
                      <w:b/>
                      <w:color w:val="FF0000"/>
                      <w:sz w:val="20"/>
                      <w:szCs w:val="20"/>
                    </w:rPr>
                    <w:t>Strength of Recommendation</w:t>
                  </w:r>
                </w:p>
              </w:tc>
            </w:tr>
            <w:tr w:rsidR="00363F53" w:rsidRPr="00363F53" w14:paraId="03EEEC5E" w14:textId="77777777" w:rsidTr="006179D1">
              <w:tc>
                <w:tcPr>
                  <w:tcW w:w="1843" w:type="dxa"/>
                  <w:vMerge/>
                </w:tcPr>
                <w:p w14:paraId="5F842BE6" w14:textId="77777777" w:rsidR="002F3077" w:rsidRPr="00363F53" w:rsidRDefault="002F3077" w:rsidP="002F3077">
                  <w:pPr>
                    <w:ind w:left="0" w:firstLine="0"/>
                    <w:jc w:val="center"/>
                    <w:rPr>
                      <w:rFonts w:ascii="Calibri" w:eastAsia="Calibri" w:hAnsi="Calibri" w:cs="Times New Roman"/>
                      <w:b/>
                      <w:color w:val="FF0000"/>
                      <w:sz w:val="20"/>
                      <w:szCs w:val="20"/>
                    </w:rPr>
                  </w:pPr>
                </w:p>
              </w:tc>
              <w:tc>
                <w:tcPr>
                  <w:tcW w:w="1843" w:type="dxa"/>
                </w:tcPr>
                <w:p w14:paraId="6C94F51D" w14:textId="77777777" w:rsidR="002F3077" w:rsidRPr="00363F53" w:rsidRDefault="002F3077" w:rsidP="002F3077">
                  <w:pPr>
                    <w:ind w:left="0" w:firstLine="0"/>
                    <w:jc w:val="center"/>
                    <w:rPr>
                      <w:rFonts w:ascii="Calibri" w:eastAsia="Calibri" w:hAnsi="Calibri" w:cs="Times New Roman"/>
                      <w:b/>
                      <w:color w:val="FF0000"/>
                      <w:sz w:val="20"/>
                      <w:szCs w:val="20"/>
                    </w:rPr>
                  </w:pPr>
                  <w:r w:rsidRPr="00363F53">
                    <w:rPr>
                      <w:rFonts w:ascii="Calibri" w:eastAsia="Calibri" w:hAnsi="Calibri" w:cs="Times New Roman"/>
                      <w:b/>
                      <w:color w:val="FF0000"/>
                      <w:sz w:val="20"/>
                      <w:szCs w:val="20"/>
                    </w:rPr>
                    <w:t>Benefits clearly outweigh risks and burden or risks and burden clearly outweigh benefits</w:t>
                  </w:r>
                </w:p>
              </w:tc>
              <w:tc>
                <w:tcPr>
                  <w:tcW w:w="1843" w:type="dxa"/>
                </w:tcPr>
                <w:p w14:paraId="298C3C38" w14:textId="77777777" w:rsidR="002F3077" w:rsidRPr="00363F53" w:rsidRDefault="002F3077" w:rsidP="002F3077">
                  <w:pPr>
                    <w:ind w:left="0" w:firstLine="0"/>
                    <w:jc w:val="center"/>
                    <w:rPr>
                      <w:rFonts w:ascii="Calibri" w:eastAsia="Calibri" w:hAnsi="Calibri" w:cs="Times New Roman"/>
                      <w:b/>
                      <w:color w:val="FF0000"/>
                      <w:sz w:val="20"/>
                      <w:szCs w:val="20"/>
                    </w:rPr>
                  </w:pPr>
                  <w:r w:rsidRPr="00363F53">
                    <w:rPr>
                      <w:rFonts w:ascii="Calibri" w:eastAsia="Calibri" w:hAnsi="Calibri" w:cs="Times New Roman"/>
                      <w:b/>
                      <w:color w:val="FF0000"/>
                      <w:sz w:val="20"/>
                      <w:szCs w:val="20"/>
                    </w:rPr>
                    <w:t>Benefits finely balanced with risks and burden</w:t>
                  </w:r>
                </w:p>
              </w:tc>
            </w:tr>
            <w:tr w:rsidR="00363F53" w:rsidRPr="00363F53" w14:paraId="7AE89327" w14:textId="77777777" w:rsidTr="006179D1">
              <w:tc>
                <w:tcPr>
                  <w:tcW w:w="1843" w:type="dxa"/>
                </w:tcPr>
                <w:p w14:paraId="7FEE7237" w14:textId="77777777" w:rsidR="002F3077" w:rsidRPr="00363F53" w:rsidRDefault="002F3077" w:rsidP="002F3077">
                  <w:pPr>
                    <w:ind w:left="0" w:firstLine="0"/>
                    <w:jc w:val="center"/>
                    <w:rPr>
                      <w:rFonts w:ascii="Calibri" w:eastAsia="Calibri" w:hAnsi="Calibri" w:cs="Times New Roman"/>
                      <w:color w:val="FF0000"/>
                      <w:sz w:val="20"/>
                      <w:szCs w:val="20"/>
                    </w:rPr>
                  </w:pPr>
                  <w:r w:rsidRPr="00363F53">
                    <w:rPr>
                      <w:rFonts w:ascii="Calibri" w:eastAsia="Calibri" w:hAnsi="Calibri" w:cs="Times New Roman"/>
                      <w:color w:val="FF0000"/>
                      <w:sz w:val="20"/>
                      <w:szCs w:val="20"/>
                    </w:rPr>
                    <w:t>High</w:t>
                  </w:r>
                </w:p>
              </w:tc>
              <w:tc>
                <w:tcPr>
                  <w:tcW w:w="1843" w:type="dxa"/>
                </w:tcPr>
                <w:p w14:paraId="79A09E4A" w14:textId="77777777" w:rsidR="002F3077" w:rsidRPr="00363F53" w:rsidRDefault="002F3077" w:rsidP="002F3077">
                  <w:pPr>
                    <w:ind w:left="0" w:firstLine="0"/>
                    <w:jc w:val="center"/>
                    <w:rPr>
                      <w:rFonts w:ascii="Calibri" w:eastAsia="Calibri" w:hAnsi="Calibri" w:cs="Times New Roman"/>
                      <w:color w:val="FF0000"/>
                      <w:sz w:val="20"/>
                      <w:szCs w:val="20"/>
                    </w:rPr>
                  </w:pPr>
                  <w:r w:rsidRPr="00363F53">
                    <w:rPr>
                      <w:rFonts w:ascii="Calibri" w:eastAsia="Calibri" w:hAnsi="Calibri" w:cs="Times New Roman"/>
                      <w:color w:val="FF0000"/>
                      <w:sz w:val="20"/>
                      <w:szCs w:val="20"/>
                    </w:rPr>
                    <w:t>Strong</w:t>
                  </w:r>
                </w:p>
              </w:tc>
              <w:tc>
                <w:tcPr>
                  <w:tcW w:w="1843" w:type="dxa"/>
                </w:tcPr>
                <w:p w14:paraId="21E575E5" w14:textId="77777777" w:rsidR="002F3077" w:rsidRPr="00363F53" w:rsidRDefault="002F3077" w:rsidP="002F3077">
                  <w:pPr>
                    <w:ind w:left="0" w:firstLine="0"/>
                    <w:jc w:val="center"/>
                    <w:rPr>
                      <w:rFonts w:ascii="Calibri" w:eastAsia="Calibri" w:hAnsi="Calibri" w:cs="Times New Roman"/>
                      <w:color w:val="FF0000"/>
                      <w:sz w:val="20"/>
                      <w:szCs w:val="20"/>
                    </w:rPr>
                  </w:pPr>
                  <w:r w:rsidRPr="00363F53">
                    <w:rPr>
                      <w:rFonts w:ascii="Calibri" w:eastAsia="Calibri" w:hAnsi="Calibri" w:cs="Times New Roman"/>
                      <w:color w:val="FF0000"/>
                      <w:sz w:val="20"/>
                      <w:szCs w:val="20"/>
                    </w:rPr>
                    <w:t>Weak</w:t>
                  </w:r>
                </w:p>
              </w:tc>
            </w:tr>
            <w:tr w:rsidR="00363F53" w:rsidRPr="00363F53" w14:paraId="1E757E82" w14:textId="77777777" w:rsidTr="006179D1">
              <w:tc>
                <w:tcPr>
                  <w:tcW w:w="1843" w:type="dxa"/>
                </w:tcPr>
                <w:p w14:paraId="47622B84" w14:textId="77777777" w:rsidR="002F3077" w:rsidRPr="00363F53" w:rsidRDefault="002F3077" w:rsidP="002F3077">
                  <w:pPr>
                    <w:ind w:left="0" w:firstLine="0"/>
                    <w:jc w:val="center"/>
                    <w:rPr>
                      <w:rFonts w:ascii="Calibri" w:eastAsia="Calibri" w:hAnsi="Calibri" w:cs="Times New Roman"/>
                      <w:color w:val="FF0000"/>
                      <w:sz w:val="20"/>
                      <w:szCs w:val="20"/>
                    </w:rPr>
                  </w:pPr>
                  <w:r w:rsidRPr="00363F53">
                    <w:rPr>
                      <w:rFonts w:ascii="Calibri" w:eastAsia="Calibri" w:hAnsi="Calibri" w:cs="Times New Roman"/>
                      <w:color w:val="FF0000"/>
                      <w:sz w:val="20"/>
                      <w:szCs w:val="20"/>
                    </w:rPr>
                    <w:t>Moderate</w:t>
                  </w:r>
                </w:p>
              </w:tc>
              <w:tc>
                <w:tcPr>
                  <w:tcW w:w="1843" w:type="dxa"/>
                </w:tcPr>
                <w:p w14:paraId="1C2C339B" w14:textId="77777777" w:rsidR="002F3077" w:rsidRPr="00363F53" w:rsidRDefault="002F3077" w:rsidP="002F3077">
                  <w:pPr>
                    <w:ind w:left="0" w:firstLine="0"/>
                    <w:jc w:val="center"/>
                    <w:rPr>
                      <w:rFonts w:ascii="Calibri" w:eastAsia="Calibri" w:hAnsi="Calibri" w:cs="Times New Roman"/>
                      <w:color w:val="FF0000"/>
                      <w:sz w:val="20"/>
                      <w:szCs w:val="20"/>
                    </w:rPr>
                  </w:pPr>
                  <w:r w:rsidRPr="00363F53">
                    <w:rPr>
                      <w:rFonts w:ascii="Calibri" w:eastAsia="Calibri" w:hAnsi="Calibri" w:cs="Times New Roman"/>
                      <w:color w:val="FF0000"/>
                      <w:sz w:val="20"/>
                      <w:szCs w:val="20"/>
                    </w:rPr>
                    <w:t>Strong</w:t>
                  </w:r>
                </w:p>
              </w:tc>
              <w:tc>
                <w:tcPr>
                  <w:tcW w:w="1843" w:type="dxa"/>
                </w:tcPr>
                <w:p w14:paraId="66C4942D" w14:textId="77777777" w:rsidR="002F3077" w:rsidRPr="00363F53" w:rsidRDefault="002F3077" w:rsidP="002F3077">
                  <w:pPr>
                    <w:ind w:left="0" w:firstLine="0"/>
                    <w:jc w:val="center"/>
                    <w:rPr>
                      <w:rFonts w:ascii="Calibri" w:eastAsia="Calibri" w:hAnsi="Calibri" w:cs="Times New Roman"/>
                      <w:color w:val="FF0000"/>
                      <w:sz w:val="20"/>
                      <w:szCs w:val="20"/>
                    </w:rPr>
                  </w:pPr>
                  <w:r w:rsidRPr="00363F53">
                    <w:rPr>
                      <w:rFonts w:ascii="Calibri" w:eastAsia="Calibri" w:hAnsi="Calibri" w:cs="Times New Roman"/>
                      <w:color w:val="FF0000"/>
                      <w:sz w:val="20"/>
                      <w:szCs w:val="20"/>
                    </w:rPr>
                    <w:t>Weak</w:t>
                  </w:r>
                </w:p>
              </w:tc>
            </w:tr>
            <w:tr w:rsidR="00363F53" w:rsidRPr="00363F53" w14:paraId="2FFD30E3" w14:textId="77777777" w:rsidTr="006179D1">
              <w:tc>
                <w:tcPr>
                  <w:tcW w:w="1843" w:type="dxa"/>
                </w:tcPr>
                <w:p w14:paraId="1C82F3E1" w14:textId="77777777" w:rsidR="002F3077" w:rsidRPr="00363F53" w:rsidRDefault="002F3077" w:rsidP="002F3077">
                  <w:pPr>
                    <w:ind w:left="0" w:firstLine="0"/>
                    <w:jc w:val="center"/>
                    <w:rPr>
                      <w:rFonts w:ascii="Calibri" w:eastAsia="Calibri" w:hAnsi="Calibri" w:cs="Times New Roman"/>
                      <w:color w:val="FF0000"/>
                      <w:sz w:val="20"/>
                      <w:szCs w:val="20"/>
                    </w:rPr>
                  </w:pPr>
                  <w:r w:rsidRPr="00363F53">
                    <w:rPr>
                      <w:rFonts w:ascii="Calibri" w:eastAsia="Calibri" w:hAnsi="Calibri" w:cs="Times New Roman"/>
                      <w:color w:val="FF0000"/>
                      <w:sz w:val="20"/>
                      <w:szCs w:val="20"/>
                    </w:rPr>
                    <w:t>Low</w:t>
                  </w:r>
                </w:p>
              </w:tc>
              <w:tc>
                <w:tcPr>
                  <w:tcW w:w="1843" w:type="dxa"/>
                </w:tcPr>
                <w:p w14:paraId="66D2D07C" w14:textId="77777777" w:rsidR="002F3077" w:rsidRPr="00363F53" w:rsidRDefault="002F3077" w:rsidP="002F3077">
                  <w:pPr>
                    <w:ind w:left="0" w:firstLine="0"/>
                    <w:jc w:val="center"/>
                    <w:rPr>
                      <w:rFonts w:ascii="Calibri" w:eastAsia="Calibri" w:hAnsi="Calibri" w:cs="Times New Roman"/>
                      <w:color w:val="FF0000"/>
                      <w:sz w:val="20"/>
                      <w:szCs w:val="20"/>
                    </w:rPr>
                  </w:pPr>
                  <w:r w:rsidRPr="00363F53">
                    <w:rPr>
                      <w:rFonts w:ascii="Calibri" w:eastAsia="Calibri" w:hAnsi="Calibri" w:cs="Times New Roman"/>
                      <w:color w:val="FF0000"/>
                      <w:sz w:val="20"/>
                      <w:szCs w:val="20"/>
                    </w:rPr>
                    <w:t>Strong</w:t>
                  </w:r>
                </w:p>
              </w:tc>
              <w:tc>
                <w:tcPr>
                  <w:tcW w:w="1843" w:type="dxa"/>
                </w:tcPr>
                <w:p w14:paraId="40950568" w14:textId="77777777" w:rsidR="002F3077" w:rsidRPr="00363F53" w:rsidRDefault="002F3077" w:rsidP="002F3077">
                  <w:pPr>
                    <w:ind w:left="0" w:firstLine="0"/>
                    <w:jc w:val="center"/>
                    <w:rPr>
                      <w:rFonts w:ascii="Calibri" w:eastAsia="Calibri" w:hAnsi="Calibri" w:cs="Times New Roman"/>
                      <w:color w:val="FF0000"/>
                      <w:sz w:val="20"/>
                      <w:szCs w:val="20"/>
                    </w:rPr>
                  </w:pPr>
                  <w:r w:rsidRPr="00363F53">
                    <w:rPr>
                      <w:rFonts w:ascii="Calibri" w:eastAsia="Calibri" w:hAnsi="Calibri" w:cs="Times New Roman"/>
                      <w:color w:val="FF0000"/>
                      <w:sz w:val="20"/>
                      <w:szCs w:val="20"/>
                    </w:rPr>
                    <w:t>Weak</w:t>
                  </w:r>
                </w:p>
              </w:tc>
            </w:tr>
            <w:tr w:rsidR="00363F53" w:rsidRPr="00363F53" w14:paraId="583FCFAC" w14:textId="77777777" w:rsidTr="006179D1">
              <w:tc>
                <w:tcPr>
                  <w:tcW w:w="5529" w:type="dxa"/>
                  <w:gridSpan w:val="3"/>
                </w:tcPr>
                <w:p w14:paraId="1F494098" w14:textId="77777777" w:rsidR="002F3077" w:rsidRPr="00363F53" w:rsidRDefault="002F3077" w:rsidP="002F3077">
                  <w:pPr>
                    <w:ind w:left="0" w:firstLine="0"/>
                    <w:jc w:val="center"/>
                    <w:rPr>
                      <w:rFonts w:ascii="Calibri" w:eastAsia="Calibri" w:hAnsi="Calibri" w:cs="Times New Roman"/>
                      <w:color w:val="FF0000"/>
                      <w:sz w:val="20"/>
                      <w:szCs w:val="20"/>
                    </w:rPr>
                  </w:pPr>
                  <w:r w:rsidRPr="00363F53">
                    <w:rPr>
                      <w:rFonts w:ascii="Calibri" w:eastAsia="Calibri" w:hAnsi="Calibri" w:cs="Times New Roman"/>
                      <w:color w:val="FF0000"/>
                      <w:sz w:val="20"/>
                      <w:szCs w:val="20"/>
                    </w:rPr>
                    <w:t>Insufficient evidence to determine net benefits or risks</w:t>
                  </w:r>
                </w:p>
              </w:tc>
            </w:tr>
          </w:tbl>
          <w:p w14:paraId="7C373E7F" w14:textId="77777777" w:rsidR="00552F57" w:rsidRPr="00363F53" w:rsidRDefault="00552F57" w:rsidP="002E2177">
            <w:pPr>
              <w:ind w:left="0" w:firstLine="0"/>
              <w:rPr>
                <w:rFonts w:ascii="Calibri" w:eastAsia="Calibri" w:hAnsi="Calibri" w:cs="Times New Roman"/>
                <w:color w:val="FF0000"/>
              </w:rPr>
            </w:pPr>
          </w:p>
          <w:p w14:paraId="01976F9D" w14:textId="4E264387" w:rsidR="002F3077" w:rsidRPr="00363F53" w:rsidRDefault="002F3077" w:rsidP="002F3077">
            <w:pPr>
              <w:ind w:left="0" w:firstLine="0"/>
              <w:rPr>
                <w:rFonts w:ascii="Calibri" w:eastAsia="Calibri" w:hAnsi="Calibri" w:cs="Times New Roman"/>
                <w:color w:val="FF0000"/>
                <w:sz w:val="20"/>
                <w:szCs w:val="20"/>
              </w:rPr>
            </w:pPr>
            <w:r w:rsidRPr="00363F53">
              <w:rPr>
                <w:rFonts w:ascii="Calibri" w:eastAsia="Calibri" w:hAnsi="Calibri" w:cs="Times New Roman"/>
                <w:color w:val="FF0000"/>
                <w:sz w:val="20"/>
                <w:szCs w:val="20"/>
              </w:rPr>
              <w:t xml:space="preserve">Using this grading system, recommendation 1 was graded with low-quality evidence, recommendation 2 was graded with low-quality evidence, and recommendation 3 was graded with moderate-quality evidence. </w:t>
            </w:r>
          </w:p>
          <w:p w14:paraId="13EEBCA6" w14:textId="66C05985" w:rsidR="002F3077" w:rsidRPr="00363F53" w:rsidRDefault="002F3077" w:rsidP="002E2177">
            <w:pPr>
              <w:ind w:left="0" w:firstLine="0"/>
              <w:rPr>
                <w:rFonts w:ascii="Calibri" w:eastAsia="Calibri" w:hAnsi="Calibri" w:cs="Times New Roman"/>
                <w:color w:val="FF0000"/>
              </w:rPr>
            </w:pPr>
          </w:p>
        </w:tc>
      </w:tr>
      <w:tr w:rsidR="002F3077" w14:paraId="0AB3CFF3" w14:textId="77777777" w:rsidTr="00552F57">
        <w:tc>
          <w:tcPr>
            <w:tcW w:w="3595" w:type="dxa"/>
          </w:tcPr>
          <w:p w14:paraId="35683E45" w14:textId="3E44063F" w:rsidR="002F3077" w:rsidRPr="00552F57" w:rsidRDefault="002F3077" w:rsidP="002F3077">
            <w:pPr>
              <w:ind w:left="0" w:firstLine="0"/>
              <w:rPr>
                <w:rFonts w:ascii="Calibri" w:eastAsia="Calibri" w:hAnsi="Calibri" w:cs="Times New Roman"/>
                <w:sz w:val="20"/>
                <w:szCs w:val="20"/>
              </w:rPr>
            </w:pPr>
            <w:r w:rsidRPr="00552F57">
              <w:rPr>
                <w:sz w:val="20"/>
                <w:szCs w:val="20"/>
              </w:rPr>
              <w:t>Provide all other grades and definitions from the evidence grading system.</w:t>
            </w:r>
          </w:p>
        </w:tc>
        <w:tc>
          <w:tcPr>
            <w:tcW w:w="5755" w:type="dxa"/>
          </w:tcPr>
          <w:p w14:paraId="7B29B93A" w14:textId="2C60121A" w:rsidR="002F3077" w:rsidRPr="00363F53" w:rsidRDefault="002F3077" w:rsidP="002F3077">
            <w:pPr>
              <w:ind w:left="0" w:firstLine="0"/>
              <w:rPr>
                <w:rFonts w:ascii="Calibri" w:eastAsia="Calibri" w:hAnsi="Calibri" w:cs="Times New Roman"/>
                <w:color w:val="FF0000"/>
              </w:rPr>
            </w:pPr>
            <w:r w:rsidRPr="00363F53">
              <w:rPr>
                <w:rFonts w:ascii="Calibri" w:eastAsia="Calibri" w:hAnsi="Calibri" w:cs="Times New Roman"/>
                <w:color w:val="FF0000"/>
                <w:sz w:val="20"/>
                <w:szCs w:val="20"/>
              </w:rPr>
              <w:t>Not applicable.</w:t>
            </w:r>
          </w:p>
        </w:tc>
      </w:tr>
      <w:tr w:rsidR="002F3077" w14:paraId="42BA786F" w14:textId="77777777" w:rsidTr="00552F57">
        <w:tc>
          <w:tcPr>
            <w:tcW w:w="3595" w:type="dxa"/>
          </w:tcPr>
          <w:p w14:paraId="2F3D43B8" w14:textId="09CD1B2D" w:rsidR="002F3077" w:rsidRPr="00552F57" w:rsidRDefault="002F3077" w:rsidP="002F3077">
            <w:pPr>
              <w:ind w:left="0" w:firstLine="0"/>
              <w:rPr>
                <w:rFonts w:ascii="Calibri" w:eastAsia="Calibri" w:hAnsi="Calibri" w:cs="Times New Roman"/>
                <w:sz w:val="20"/>
                <w:szCs w:val="20"/>
              </w:rPr>
            </w:pPr>
            <w:r w:rsidRPr="00552F57">
              <w:rPr>
                <w:rFonts w:ascii="Calibri" w:eastAsia="Calibri" w:hAnsi="Calibri" w:cs="Times New Roman"/>
                <w:sz w:val="20"/>
                <w:szCs w:val="20"/>
              </w:rPr>
              <w:t>Grade assigned to the recommendation with definition of the grade.</w:t>
            </w:r>
          </w:p>
        </w:tc>
        <w:tc>
          <w:tcPr>
            <w:tcW w:w="5755" w:type="dxa"/>
          </w:tcPr>
          <w:p w14:paraId="5C5BA449" w14:textId="5CDF9FF1" w:rsidR="002F3077" w:rsidRPr="00363F53" w:rsidRDefault="002F3077" w:rsidP="002F3077">
            <w:pPr>
              <w:ind w:left="0" w:firstLine="0"/>
              <w:rPr>
                <w:rFonts w:eastAsia="Calibri" w:cstheme="minorHAnsi"/>
                <w:color w:val="FF0000"/>
                <w:sz w:val="20"/>
                <w:szCs w:val="20"/>
              </w:rPr>
            </w:pPr>
            <w:r w:rsidRPr="00363F53">
              <w:rPr>
                <w:rFonts w:eastAsia="Calibri" w:cstheme="minorHAnsi"/>
                <w:color w:val="FF0000"/>
                <w:sz w:val="20"/>
                <w:szCs w:val="20"/>
              </w:rPr>
              <w:t xml:space="preserve">All three recommendations were graded as weak. </w:t>
            </w:r>
            <w:r w:rsidR="009D568E" w:rsidRPr="00363F53">
              <w:rPr>
                <w:rFonts w:eastAsia="Calibri" w:cstheme="minorHAnsi"/>
                <w:color w:val="FF0000"/>
                <w:sz w:val="20"/>
                <w:szCs w:val="20"/>
              </w:rPr>
              <w:t>Refer to Table 1 for grading definitions.</w:t>
            </w:r>
          </w:p>
        </w:tc>
      </w:tr>
      <w:tr w:rsidR="002F3077" w14:paraId="4F19F9F6" w14:textId="77777777" w:rsidTr="00552F57">
        <w:tc>
          <w:tcPr>
            <w:tcW w:w="3595" w:type="dxa"/>
          </w:tcPr>
          <w:p w14:paraId="06AB1418" w14:textId="3FBD0275" w:rsidR="002F3077" w:rsidRPr="00552F57" w:rsidRDefault="002F3077" w:rsidP="002F3077">
            <w:pPr>
              <w:ind w:left="0" w:firstLine="0"/>
              <w:rPr>
                <w:rFonts w:ascii="Calibri" w:eastAsia="Calibri" w:hAnsi="Calibri" w:cs="Times New Roman"/>
                <w:sz w:val="20"/>
                <w:szCs w:val="20"/>
              </w:rPr>
            </w:pPr>
            <w:r w:rsidRPr="00552F57">
              <w:rPr>
                <w:rFonts w:ascii="Calibri" w:eastAsia="Calibri" w:hAnsi="Calibri" w:cs="Times New Roman"/>
                <w:sz w:val="20"/>
                <w:szCs w:val="20"/>
              </w:rPr>
              <w:t>Provide all other grades and definitions from the recommendation grading system.</w:t>
            </w:r>
          </w:p>
        </w:tc>
        <w:tc>
          <w:tcPr>
            <w:tcW w:w="5755" w:type="dxa"/>
          </w:tcPr>
          <w:p w14:paraId="6C2E810E" w14:textId="5B4BB2C6" w:rsidR="002F3077" w:rsidRPr="00363F53" w:rsidRDefault="002F3077" w:rsidP="002F3077">
            <w:pPr>
              <w:ind w:left="0" w:firstLine="0"/>
              <w:rPr>
                <w:rFonts w:ascii="Calibri" w:eastAsia="Calibri" w:hAnsi="Calibri" w:cs="Times New Roman"/>
                <w:color w:val="FF0000"/>
              </w:rPr>
            </w:pPr>
            <w:r w:rsidRPr="00363F53">
              <w:rPr>
                <w:rFonts w:ascii="Calibri" w:eastAsia="Calibri" w:hAnsi="Calibri" w:cs="Times New Roman"/>
                <w:color w:val="FF0000"/>
                <w:sz w:val="20"/>
                <w:szCs w:val="20"/>
              </w:rPr>
              <w:t>Not applicable.</w:t>
            </w:r>
          </w:p>
        </w:tc>
      </w:tr>
      <w:tr w:rsidR="002F3077" w14:paraId="42B234FB" w14:textId="77777777" w:rsidTr="00552F57">
        <w:tc>
          <w:tcPr>
            <w:tcW w:w="3595" w:type="dxa"/>
          </w:tcPr>
          <w:p w14:paraId="6BBC8019" w14:textId="4786F57D" w:rsidR="002F3077" w:rsidRPr="00552F57" w:rsidRDefault="002F3077" w:rsidP="002F3077">
            <w:pPr>
              <w:ind w:left="0" w:firstLine="0"/>
              <w:rPr>
                <w:rFonts w:ascii="Calibri" w:eastAsia="Calibri" w:hAnsi="Calibri" w:cs="Times New Roman"/>
                <w:sz w:val="20"/>
                <w:szCs w:val="20"/>
              </w:rPr>
            </w:pPr>
            <w:r w:rsidRPr="00552F57">
              <w:rPr>
                <w:rFonts w:ascii="Calibri" w:eastAsia="Calibri" w:hAnsi="Calibri" w:cs="Times New Roman"/>
                <w:sz w:val="20"/>
                <w:szCs w:val="20"/>
              </w:rPr>
              <w:t>Body of evidence:</w:t>
            </w:r>
          </w:p>
          <w:p w14:paraId="29505B96" w14:textId="731FC1C7" w:rsidR="002F3077" w:rsidRPr="00552F57" w:rsidRDefault="002F3077" w:rsidP="002B5113">
            <w:pPr>
              <w:pStyle w:val="ListParagraph"/>
              <w:numPr>
                <w:ilvl w:val="0"/>
                <w:numId w:val="5"/>
              </w:numPr>
              <w:rPr>
                <w:rFonts w:ascii="Calibri" w:eastAsia="Calibri" w:hAnsi="Calibri" w:cs="Times New Roman"/>
                <w:sz w:val="20"/>
                <w:szCs w:val="20"/>
              </w:rPr>
            </w:pPr>
            <w:r w:rsidRPr="00552F57">
              <w:rPr>
                <w:rFonts w:ascii="Calibri" w:eastAsia="Calibri" w:hAnsi="Calibri" w:cs="Times New Roman"/>
                <w:sz w:val="20"/>
                <w:szCs w:val="20"/>
              </w:rPr>
              <w:t>Quantity – how many studies?</w:t>
            </w:r>
          </w:p>
          <w:p w14:paraId="32972038" w14:textId="0AD647FC" w:rsidR="002F3077" w:rsidRPr="00552F57" w:rsidRDefault="002F3077" w:rsidP="002B5113">
            <w:pPr>
              <w:pStyle w:val="ListParagraph"/>
              <w:numPr>
                <w:ilvl w:val="0"/>
                <w:numId w:val="5"/>
              </w:numPr>
              <w:rPr>
                <w:rFonts w:ascii="Calibri" w:eastAsia="Calibri" w:hAnsi="Calibri" w:cs="Times New Roman"/>
              </w:rPr>
            </w:pPr>
            <w:r w:rsidRPr="00552F57">
              <w:rPr>
                <w:rFonts w:ascii="Calibri" w:eastAsia="Calibri" w:hAnsi="Calibri" w:cs="Times New Roman"/>
                <w:sz w:val="20"/>
                <w:szCs w:val="20"/>
              </w:rPr>
              <w:t>Quality – what type of studies?</w:t>
            </w:r>
          </w:p>
        </w:tc>
        <w:tc>
          <w:tcPr>
            <w:tcW w:w="5755" w:type="dxa"/>
          </w:tcPr>
          <w:p w14:paraId="6ABBD39E" w14:textId="5733BD43" w:rsidR="002F3077" w:rsidRPr="00363F53" w:rsidRDefault="00BC77CD" w:rsidP="00570938">
            <w:pPr>
              <w:ind w:left="0" w:firstLine="0"/>
              <w:rPr>
                <w:rFonts w:ascii="Calibri" w:eastAsia="Calibri" w:hAnsi="Calibri" w:cs="Times New Roman"/>
                <w:color w:val="FF0000"/>
                <w:sz w:val="20"/>
                <w:szCs w:val="20"/>
              </w:rPr>
            </w:pPr>
            <w:r w:rsidRPr="00363F53">
              <w:rPr>
                <w:rFonts w:ascii="Calibri" w:eastAsia="Calibri" w:hAnsi="Calibri" w:cs="Times New Roman"/>
                <w:color w:val="FF0000"/>
                <w:sz w:val="20"/>
                <w:szCs w:val="20"/>
              </w:rPr>
              <w:t xml:space="preserve">This set of guidelines referenced 110 sources in their review. Authors searched for articles related to pressure ulcer treatment strategies and harms in treatment. Quality of evidence is evaluated using the ACP’s Guideline Grading System, displayed in </w:t>
            </w:r>
            <w:r w:rsidR="006334C5" w:rsidRPr="00363F53">
              <w:rPr>
                <w:rFonts w:ascii="Calibri" w:eastAsia="Calibri" w:hAnsi="Calibri" w:cs="Times New Roman"/>
                <w:color w:val="FF0000"/>
                <w:sz w:val="20"/>
                <w:szCs w:val="20"/>
              </w:rPr>
              <w:t>Table 1</w:t>
            </w:r>
            <w:r w:rsidRPr="00363F53">
              <w:rPr>
                <w:rFonts w:ascii="Calibri" w:eastAsia="Calibri" w:hAnsi="Calibri" w:cs="Times New Roman"/>
                <w:color w:val="FF0000"/>
                <w:sz w:val="20"/>
                <w:szCs w:val="20"/>
              </w:rPr>
              <w:t>. This set of guidelines cites more low-quality evidence than moderate-quality</w:t>
            </w:r>
            <w:r w:rsidR="00570938" w:rsidRPr="00363F53">
              <w:rPr>
                <w:rFonts w:ascii="Calibri" w:eastAsia="Calibri" w:hAnsi="Calibri" w:cs="Times New Roman"/>
                <w:color w:val="FF0000"/>
                <w:sz w:val="20"/>
                <w:szCs w:val="20"/>
              </w:rPr>
              <w:t xml:space="preserve"> evidence</w:t>
            </w:r>
            <w:r w:rsidRPr="00363F53">
              <w:rPr>
                <w:rFonts w:ascii="Calibri" w:eastAsia="Calibri" w:hAnsi="Calibri" w:cs="Times New Roman"/>
                <w:color w:val="FF0000"/>
                <w:sz w:val="20"/>
                <w:szCs w:val="20"/>
              </w:rPr>
              <w:t xml:space="preserve">, and it does not reference any high-quality evidence. Evidence is reviewed by the ACP’s Clinical </w:t>
            </w:r>
            <w:r w:rsidR="00570938" w:rsidRPr="00363F53">
              <w:rPr>
                <w:rFonts w:ascii="Calibri" w:eastAsia="Calibri" w:hAnsi="Calibri" w:cs="Times New Roman"/>
                <w:color w:val="FF0000"/>
                <w:sz w:val="20"/>
                <w:szCs w:val="20"/>
              </w:rPr>
              <w:t xml:space="preserve">Guidelines Committee. Additionally, </w:t>
            </w:r>
            <w:r w:rsidR="009D568E" w:rsidRPr="00363F53">
              <w:rPr>
                <w:rFonts w:ascii="Calibri" w:eastAsia="Calibri" w:hAnsi="Calibri" w:cs="Times New Roman"/>
                <w:color w:val="FF0000"/>
                <w:sz w:val="20"/>
                <w:szCs w:val="20"/>
              </w:rPr>
              <w:t>t</w:t>
            </w:r>
            <w:r w:rsidRPr="00363F53">
              <w:rPr>
                <w:rFonts w:ascii="Calibri" w:eastAsia="Calibri" w:hAnsi="Calibri" w:cs="Times New Roman"/>
                <w:color w:val="FF0000"/>
                <w:sz w:val="20"/>
                <w:szCs w:val="20"/>
              </w:rPr>
              <w:t>he Anna</w:t>
            </w:r>
            <w:r w:rsidR="009D568E" w:rsidRPr="00363F53">
              <w:rPr>
                <w:rFonts w:ascii="Calibri" w:eastAsia="Calibri" w:hAnsi="Calibri" w:cs="Times New Roman"/>
                <w:color w:val="FF0000"/>
                <w:sz w:val="20"/>
                <w:szCs w:val="20"/>
              </w:rPr>
              <w:t>ls of Internal Medicine conducted</w:t>
            </w:r>
            <w:r w:rsidRPr="00363F53">
              <w:rPr>
                <w:rFonts w:ascii="Calibri" w:eastAsia="Calibri" w:hAnsi="Calibri" w:cs="Times New Roman"/>
                <w:color w:val="FF0000"/>
                <w:sz w:val="20"/>
                <w:szCs w:val="20"/>
              </w:rPr>
              <w:t xml:space="preserve"> a statistical peer-review process</w:t>
            </w:r>
            <w:r w:rsidR="00570938" w:rsidRPr="00363F53">
              <w:rPr>
                <w:rFonts w:ascii="Calibri" w:eastAsia="Calibri" w:hAnsi="Calibri" w:cs="Times New Roman"/>
                <w:color w:val="FF0000"/>
                <w:sz w:val="20"/>
                <w:szCs w:val="20"/>
              </w:rPr>
              <w:t xml:space="preserve"> on the evidence. </w:t>
            </w:r>
          </w:p>
        </w:tc>
      </w:tr>
      <w:tr w:rsidR="002F3077" w14:paraId="78E2FD0A" w14:textId="77777777" w:rsidTr="00552F57">
        <w:tc>
          <w:tcPr>
            <w:tcW w:w="3595" w:type="dxa"/>
          </w:tcPr>
          <w:p w14:paraId="49A76031" w14:textId="03259FC7" w:rsidR="002F3077" w:rsidRPr="00552F57" w:rsidRDefault="002F3077" w:rsidP="002F3077">
            <w:pPr>
              <w:ind w:left="0" w:firstLine="0"/>
              <w:rPr>
                <w:rFonts w:ascii="Calibri" w:eastAsia="Calibri" w:hAnsi="Calibri" w:cs="Times New Roman"/>
                <w:sz w:val="20"/>
                <w:szCs w:val="20"/>
              </w:rPr>
            </w:pPr>
            <w:r w:rsidRPr="00552F57">
              <w:rPr>
                <w:rFonts w:ascii="Calibri" w:eastAsia="Calibri" w:hAnsi="Calibri" w:cs="Times New Roman"/>
                <w:sz w:val="20"/>
                <w:szCs w:val="20"/>
              </w:rPr>
              <w:t>Estimates of benefit and consistency across studies.</w:t>
            </w:r>
          </w:p>
        </w:tc>
        <w:tc>
          <w:tcPr>
            <w:tcW w:w="5755" w:type="dxa"/>
          </w:tcPr>
          <w:p w14:paraId="35221DEE" w14:textId="67A3E722" w:rsidR="002F3077" w:rsidRPr="00363F53" w:rsidRDefault="009D568E" w:rsidP="00570938">
            <w:pPr>
              <w:ind w:left="0" w:firstLine="0"/>
              <w:rPr>
                <w:rFonts w:ascii="Calibri" w:eastAsia="Calibri" w:hAnsi="Calibri" w:cs="Times New Roman"/>
                <w:color w:val="FF0000"/>
                <w:sz w:val="20"/>
                <w:szCs w:val="20"/>
              </w:rPr>
            </w:pPr>
            <w:r w:rsidRPr="00363F53">
              <w:rPr>
                <w:rFonts w:ascii="Calibri" w:eastAsia="Calibri" w:hAnsi="Calibri" w:cs="Times New Roman"/>
                <w:color w:val="FF0000"/>
                <w:sz w:val="20"/>
                <w:szCs w:val="20"/>
              </w:rPr>
              <w:t xml:space="preserve">Several benefits were mentioned in this guideline. </w:t>
            </w:r>
            <w:r w:rsidR="00ED62A5" w:rsidRPr="00363F53">
              <w:rPr>
                <w:rFonts w:ascii="Calibri" w:eastAsia="Calibri" w:hAnsi="Calibri" w:cs="Times New Roman"/>
                <w:color w:val="FF0000"/>
                <w:sz w:val="20"/>
                <w:szCs w:val="20"/>
              </w:rPr>
              <w:t xml:space="preserve">Moderate-quality evidence showed that air-fluidized beds reduced pressure ulcer size compared to the use of other surfaces. Moderate-quality evidence showed that protein-containing supplements also improved wound healing. Low-quality evidence showed that hydrocolloid dressings reduced pressure ulcer size compared with gauze dressings. Additionally, low-quality evidence showed that platelet-driven growth factor improved wound healing. Low-quality evidence showed that </w:t>
            </w:r>
            <w:proofErr w:type="spellStart"/>
            <w:r w:rsidR="00ED62A5" w:rsidRPr="00363F53">
              <w:rPr>
                <w:rFonts w:ascii="Calibri" w:eastAsia="Calibri" w:hAnsi="Calibri" w:cs="Times New Roman"/>
                <w:color w:val="FF0000"/>
                <w:sz w:val="20"/>
                <w:szCs w:val="20"/>
              </w:rPr>
              <w:t>dextranomer</w:t>
            </w:r>
            <w:proofErr w:type="spellEnd"/>
            <w:r w:rsidR="00ED62A5" w:rsidRPr="00363F53">
              <w:rPr>
                <w:rFonts w:ascii="Calibri" w:eastAsia="Calibri" w:hAnsi="Calibri" w:cs="Times New Roman"/>
                <w:color w:val="FF0000"/>
                <w:sz w:val="20"/>
                <w:szCs w:val="20"/>
              </w:rPr>
              <w:t xml:space="preserve"> paste was inferior to other wound dressings for reducing pressure ulcer area. Moderate-quality evidence supported electrical stimulation as a method to accelerate wound healing. Low-quality evidence showed no difference between adjunctive therapies (e.g., electromagnetic therapy, therapeutic ultrasounds, negative-pressure wound therapy, light therapy, and laser therapy)</w:t>
            </w:r>
            <w:r w:rsidR="00570938" w:rsidRPr="00363F53">
              <w:rPr>
                <w:rFonts w:ascii="Calibri" w:eastAsia="Calibri" w:hAnsi="Calibri" w:cs="Times New Roman"/>
                <w:color w:val="FF0000"/>
                <w:sz w:val="20"/>
                <w:szCs w:val="20"/>
              </w:rPr>
              <w:t xml:space="preserve"> in improving wound healing</w:t>
            </w:r>
            <w:r w:rsidR="00ED62A5" w:rsidRPr="00363F53">
              <w:rPr>
                <w:rFonts w:ascii="Calibri" w:eastAsia="Calibri" w:hAnsi="Calibri" w:cs="Times New Roman"/>
                <w:color w:val="FF0000"/>
                <w:sz w:val="20"/>
                <w:szCs w:val="20"/>
              </w:rPr>
              <w:t xml:space="preserve">. </w:t>
            </w:r>
          </w:p>
        </w:tc>
      </w:tr>
      <w:tr w:rsidR="002F3077" w14:paraId="2C9DFFCC" w14:textId="77777777" w:rsidTr="00552F57">
        <w:tc>
          <w:tcPr>
            <w:tcW w:w="3595" w:type="dxa"/>
          </w:tcPr>
          <w:p w14:paraId="35769FCF" w14:textId="72250753" w:rsidR="002F3077" w:rsidRPr="00552F57" w:rsidRDefault="002F3077" w:rsidP="002F3077">
            <w:pPr>
              <w:ind w:left="0" w:firstLine="0"/>
              <w:rPr>
                <w:rFonts w:ascii="Calibri" w:eastAsia="Calibri" w:hAnsi="Calibri" w:cs="Times New Roman"/>
                <w:sz w:val="20"/>
                <w:szCs w:val="20"/>
              </w:rPr>
            </w:pPr>
            <w:r w:rsidRPr="00552F57">
              <w:rPr>
                <w:rFonts w:ascii="Calibri" w:eastAsia="Calibri" w:hAnsi="Calibri" w:cs="Times New Roman"/>
                <w:sz w:val="20"/>
                <w:szCs w:val="20"/>
              </w:rPr>
              <w:t>What harms were identified?</w:t>
            </w:r>
          </w:p>
        </w:tc>
        <w:tc>
          <w:tcPr>
            <w:tcW w:w="5755" w:type="dxa"/>
          </w:tcPr>
          <w:p w14:paraId="22DDA8B5" w14:textId="121208B2" w:rsidR="002F3077" w:rsidRPr="00363F53" w:rsidRDefault="00336ED0" w:rsidP="00570938">
            <w:pPr>
              <w:ind w:left="0" w:firstLine="0"/>
              <w:rPr>
                <w:rFonts w:ascii="Calibri" w:eastAsia="Calibri" w:hAnsi="Calibri" w:cs="Times New Roman"/>
                <w:color w:val="FF0000"/>
                <w:sz w:val="20"/>
                <w:szCs w:val="20"/>
              </w:rPr>
            </w:pPr>
            <w:r w:rsidRPr="00363F53">
              <w:rPr>
                <w:rFonts w:ascii="Calibri" w:eastAsia="Calibri" w:hAnsi="Calibri" w:cs="Times New Roman"/>
                <w:color w:val="FF0000"/>
                <w:sz w:val="20"/>
                <w:szCs w:val="20"/>
              </w:rPr>
              <w:t xml:space="preserve">The guidelines state that the reporting of harms was sparse, and comparison among trials was difficult because of the heterogeneity of studies. Overall, there was insufficient evidence to conclude harms about various support surfaces and nutritional supplementation. One harm was associated with medications as more patients had elevated liver enzyme levels when taking </w:t>
            </w:r>
            <w:proofErr w:type="spellStart"/>
            <w:r w:rsidRPr="00363F53">
              <w:rPr>
                <w:rFonts w:ascii="Calibri" w:eastAsia="Calibri" w:hAnsi="Calibri" w:cs="Times New Roman"/>
                <w:color w:val="FF0000"/>
                <w:sz w:val="20"/>
                <w:szCs w:val="20"/>
              </w:rPr>
              <w:t>oxandrolone</w:t>
            </w:r>
            <w:proofErr w:type="spellEnd"/>
            <w:r w:rsidRPr="00363F53">
              <w:rPr>
                <w:rFonts w:ascii="Calibri" w:eastAsia="Calibri" w:hAnsi="Calibri" w:cs="Times New Roman"/>
                <w:color w:val="FF0000"/>
                <w:sz w:val="20"/>
                <w:szCs w:val="20"/>
              </w:rPr>
              <w:t xml:space="preserve"> than with the placebo. Harms </w:t>
            </w:r>
            <w:r w:rsidR="009D568E" w:rsidRPr="00363F53">
              <w:rPr>
                <w:rFonts w:ascii="Calibri" w:eastAsia="Calibri" w:hAnsi="Calibri" w:cs="Times New Roman"/>
                <w:color w:val="FF0000"/>
                <w:sz w:val="20"/>
                <w:szCs w:val="20"/>
              </w:rPr>
              <w:t xml:space="preserve">associated with various wound dressings and topical therapies </w:t>
            </w:r>
            <w:r w:rsidR="00570938" w:rsidRPr="00363F53">
              <w:rPr>
                <w:rFonts w:ascii="Calibri" w:eastAsia="Calibri" w:hAnsi="Calibri" w:cs="Times New Roman"/>
                <w:color w:val="FF0000"/>
                <w:sz w:val="20"/>
                <w:szCs w:val="20"/>
              </w:rPr>
              <w:t>include</w:t>
            </w:r>
            <w:r w:rsidR="009D568E" w:rsidRPr="00363F53">
              <w:rPr>
                <w:rFonts w:ascii="Calibri" w:eastAsia="Calibri" w:hAnsi="Calibri" w:cs="Times New Roman"/>
                <w:color w:val="FF0000"/>
                <w:sz w:val="20"/>
                <w:szCs w:val="20"/>
              </w:rPr>
              <w:t xml:space="preserve"> </w:t>
            </w:r>
            <w:r w:rsidRPr="00363F53">
              <w:rPr>
                <w:rFonts w:ascii="Calibri" w:eastAsia="Calibri" w:hAnsi="Calibri" w:cs="Times New Roman"/>
                <w:color w:val="FF0000"/>
                <w:sz w:val="20"/>
                <w:szCs w:val="20"/>
              </w:rPr>
              <w:t>skin irritation, inflammation, tissue damage, and maceration. Lastly, the most commonly reported harm from surge</w:t>
            </w:r>
            <w:r w:rsidR="0081014E" w:rsidRPr="00363F53">
              <w:rPr>
                <w:rFonts w:ascii="Calibri" w:eastAsia="Calibri" w:hAnsi="Calibri" w:cs="Times New Roman"/>
                <w:color w:val="FF0000"/>
                <w:sz w:val="20"/>
                <w:szCs w:val="20"/>
              </w:rPr>
              <w:t xml:space="preserve">ry was dehiscence. </w:t>
            </w:r>
          </w:p>
        </w:tc>
      </w:tr>
      <w:tr w:rsidR="002F3077" w14:paraId="7F18FEA7" w14:textId="77777777" w:rsidTr="00552F57">
        <w:tc>
          <w:tcPr>
            <w:tcW w:w="3595" w:type="dxa"/>
          </w:tcPr>
          <w:p w14:paraId="4D9B7B8D" w14:textId="227C3938" w:rsidR="002F3077" w:rsidRPr="00552F57" w:rsidRDefault="002F3077" w:rsidP="002F3077">
            <w:pPr>
              <w:ind w:left="0" w:firstLine="0"/>
              <w:rPr>
                <w:rFonts w:ascii="Calibri" w:eastAsia="Calibri" w:hAnsi="Calibri" w:cs="Times New Roman"/>
                <w:sz w:val="20"/>
                <w:szCs w:val="20"/>
              </w:rPr>
            </w:pPr>
            <w:r w:rsidRPr="00552F57">
              <w:rPr>
                <w:rFonts w:ascii="Calibri" w:eastAsia="Calibri" w:hAnsi="Calibri" w:cs="Times New Roman"/>
                <w:sz w:val="20"/>
                <w:szCs w:val="20"/>
              </w:rPr>
              <w:t>Identify any new studies conducted since the SR. Do the new studies change the conclusions from the SR?</w:t>
            </w:r>
          </w:p>
        </w:tc>
        <w:tc>
          <w:tcPr>
            <w:tcW w:w="5755" w:type="dxa"/>
          </w:tcPr>
          <w:p w14:paraId="32F911C1" w14:textId="77777777" w:rsidR="00FA4D5A" w:rsidRPr="00363F53" w:rsidRDefault="00FA4D5A" w:rsidP="00FA4D5A">
            <w:pPr>
              <w:ind w:left="0" w:firstLine="0"/>
              <w:rPr>
                <w:rFonts w:ascii="Calibri" w:eastAsia="Calibri" w:hAnsi="Calibri" w:cs="Times New Roman"/>
                <w:color w:val="FF0000"/>
                <w:sz w:val="20"/>
                <w:szCs w:val="20"/>
              </w:rPr>
            </w:pPr>
            <w:r w:rsidRPr="00363F53">
              <w:rPr>
                <w:rFonts w:ascii="Calibri" w:eastAsia="Calibri" w:hAnsi="Calibri" w:cs="Times New Roman"/>
                <w:color w:val="FF0000"/>
                <w:sz w:val="20"/>
                <w:szCs w:val="20"/>
              </w:rPr>
              <w:t xml:space="preserve">Although not mentioned as a primary recommendation, this set of ACP guidelines found moderate-quality evidence to show that air-fluidized beds reduced pressure ulcer size. One 2018 study supported this benefit, stating that low-air-loss and air fluidized beds reduce humidity adjacent to the skin, improving skin microclimate and therefore reducing pressure ulcers. This study supports the benefit mentioned in this set of guidelines and does not change any of its conclusions. </w:t>
            </w:r>
          </w:p>
          <w:p w14:paraId="60DFA710" w14:textId="4BE8996B" w:rsidR="00FA4D5A" w:rsidRPr="00363F53" w:rsidRDefault="00FA4D5A" w:rsidP="00CE76A3">
            <w:pPr>
              <w:pStyle w:val="NormalWeb"/>
              <w:spacing w:before="0" w:beforeAutospacing="0" w:after="120" w:afterAutospacing="0"/>
              <w:rPr>
                <w:color w:val="FF0000"/>
                <w:sz w:val="20"/>
                <w:szCs w:val="20"/>
              </w:rPr>
            </w:pPr>
            <w:r w:rsidRPr="00363F53">
              <w:rPr>
                <w:b/>
                <w:color w:val="FF0000"/>
                <w:sz w:val="20"/>
                <w:szCs w:val="20"/>
              </w:rPr>
              <w:t xml:space="preserve">Source: </w:t>
            </w:r>
            <w:proofErr w:type="spellStart"/>
            <w:r w:rsidRPr="00363F53">
              <w:rPr>
                <w:color w:val="FF0000"/>
                <w:sz w:val="20"/>
                <w:szCs w:val="20"/>
              </w:rPr>
              <w:t>Kottner</w:t>
            </w:r>
            <w:proofErr w:type="spellEnd"/>
            <w:r w:rsidRPr="00363F53">
              <w:rPr>
                <w:color w:val="FF0000"/>
                <w:sz w:val="20"/>
                <w:szCs w:val="20"/>
              </w:rPr>
              <w:t xml:space="preserve">, Jan, Joyce Black, Evan Call, Amit </w:t>
            </w:r>
            <w:proofErr w:type="spellStart"/>
            <w:r w:rsidRPr="00363F53">
              <w:rPr>
                <w:color w:val="FF0000"/>
                <w:sz w:val="20"/>
                <w:szCs w:val="20"/>
              </w:rPr>
              <w:t>Gefen</w:t>
            </w:r>
            <w:proofErr w:type="spellEnd"/>
            <w:r w:rsidRPr="00363F53">
              <w:rPr>
                <w:color w:val="FF0000"/>
                <w:sz w:val="20"/>
                <w:szCs w:val="20"/>
              </w:rPr>
              <w:t xml:space="preserve">, and Nick Santamaria. 2018. “Microclimate: A Critical Review in the Context of Pressure Ulcer Prevention.” </w:t>
            </w:r>
            <w:r w:rsidRPr="00363F53">
              <w:rPr>
                <w:i/>
                <w:iCs/>
                <w:color w:val="FF0000"/>
                <w:sz w:val="20"/>
                <w:szCs w:val="20"/>
              </w:rPr>
              <w:t>Clinical Biomechanics</w:t>
            </w:r>
            <w:r w:rsidRPr="00363F53">
              <w:rPr>
                <w:color w:val="FF0000"/>
                <w:sz w:val="20"/>
                <w:szCs w:val="20"/>
              </w:rPr>
              <w:t xml:space="preserve">. 59 (November): 62–70. </w:t>
            </w:r>
            <w:hyperlink r:id="rId20" w:history="1">
              <w:r w:rsidRPr="00363F53">
                <w:rPr>
                  <w:rStyle w:val="Hyperlink"/>
                  <w:color w:val="FF0000"/>
                  <w:sz w:val="20"/>
                  <w:szCs w:val="20"/>
                </w:rPr>
                <w:t>https://doi.org/10.1016/j.clinbiomech.2018.09.010</w:t>
              </w:r>
            </w:hyperlink>
            <w:r w:rsidRPr="00363F53">
              <w:rPr>
                <w:color w:val="FF0000"/>
                <w:sz w:val="20"/>
                <w:szCs w:val="20"/>
              </w:rPr>
              <w:t>.</w:t>
            </w:r>
          </w:p>
        </w:tc>
      </w:tr>
    </w:tbl>
    <w:p w14:paraId="7570975C" w14:textId="06C88476" w:rsidR="00552F57" w:rsidRDefault="00552F57" w:rsidP="002E2177">
      <w:pPr>
        <w:ind w:left="0" w:firstLine="0"/>
        <w:rPr>
          <w:rFonts w:ascii="Calibri" w:eastAsia="Calibri" w:hAnsi="Calibri" w:cs="Times New Roman"/>
        </w:rPr>
      </w:pPr>
    </w:p>
    <w:tbl>
      <w:tblPr>
        <w:tblStyle w:val="TableGrid"/>
        <w:tblW w:w="0" w:type="auto"/>
        <w:tblLook w:val="04A0" w:firstRow="1" w:lastRow="0" w:firstColumn="1" w:lastColumn="0" w:noHBand="0" w:noVBand="1"/>
      </w:tblPr>
      <w:tblGrid>
        <w:gridCol w:w="3595"/>
        <w:gridCol w:w="5755"/>
      </w:tblGrid>
      <w:tr w:rsidR="00A26C89" w14:paraId="7441EBF9" w14:textId="77777777" w:rsidTr="006179D1">
        <w:tc>
          <w:tcPr>
            <w:tcW w:w="3595" w:type="dxa"/>
          </w:tcPr>
          <w:p w14:paraId="3390F5D0" w14:textId="77777777" w:rsidR="00A26C89" w:rsidRPr="00552F57" w:rsidRDefault="00A26C89" w:rsidP="006179D1">
            <w:pPr>
              <w:rPr>
                <w:rFonts w:ascii="Calibri" w:eastAsia="Calibri" w:hAnsi="Calibri" w:cs="Times New Roman"/>
                <w:b/>
                <w:sz w:val="20"/>
                <w:szCs w:val="20"/>
              </w:rPr>
            </w:pPr>
            <w:r w:rsidRPr="00552F57">
              <w:rPr>
                <w:rFonts w:ascii="Calibri" w:eastAsia="Calibri" w:hAnsi="Calibri" w:cs="Times New Roman"/>
                <w:b/>
                <w:sz w:val="20"/>
                <w:szCs w:val="20"/>
              </w:rPr>
              <w:t>Source of Systematic Review:</w:t>
            </w:r>
          </w:p>
          <w:p w14:paraId="5B32F0E5" w14:textId="77777777" w:rsidR="00A26C89" w:rsidRPr="00552F57" w:rsidRDefault="00A26C89" w:rsidP="002B5113">
            <w:pPr>
              <w:pStyle w:val="ListParagraph"/>
              <w:numPr>
                <w:ilvl w:val="0"/>
                <w:numId w:val="4"/>
              </w:numPr>
              <w:rPr>
                <w:rFonts w:ascii="Calibri" w:eastAsia="Calibri" w:hAnsi="Calibri" w:cs="Times New Roman"/>
                <w:b/>
                <w:sz w:val="20"/>
                <w:szCs w:val="20"/>
              </w:rPr>
            </w:pPr>
            <w:r w:rsidRPr="00552F57">
              <w:rPr>
                <w:rFonts w:ascii="Calibri" w:eastAsia="Calibri" w:hAnsi="Calibri" w:cs="Times New Roman"/>
                <w:b/>
                <w:sz w:val="20"/>
                <w:szCs w:val="20"/>
              </w:rPr>
              <w:t>Title</w:t>
            </w:r>
          </w:p>
          <w:p w14:paraId="4C507435" w14:textId="77777777" w:rsidR="00A26C89" w:rsidRPr="00552F57" w:rsidRDefault="00A26C89" w:rsidP="002B5113">
            <w:pPr>
              <w:pStyle w:val="ListParagraph"/>
              <w:numPr>
                <w:ilvl w:val="0"/>
                <w:numId w:val="4"/>
              </w:numPr>
              <w:rPr>
                <w:rFonts w:ascii="Calibri" w:eastAsia="Calibri" w:hAnsi="Calibri" w:cs="Times New Roman"/>
                <w:b/>
                <w:sz w:val="20"/>
                <w:szCs w:val="20"/>
              </w:rPr>
            </w:pPr>
            <w:r w:rsidRPr="00552F57">
              <w:rPr>
                <w:rFonts w:ascii="Calibri" w:eastAsia="Calibri" w:hAnsi="Calibri" w:cs="Times New Roman"/>
                <w:b/>
                <w:sz w:val="20"/>
                <w:szCs w:val="20"/>
              </w:rPr>
              <w:t>Author</w:t>
            </w:r>
          </w:p>
          <w:p w14:paraId="4586E820" w14:textId="77777777" w:rsidR="00A26C89" w:rsidRPr="00552F57" w:rsidRDefault="00A26C89" w:rsidP="002B5113">
            <w:pPr>
              <w:pStyle w:val="ListParagraph"/>
              <w:numPr>
                <w:ilvl w:val="0"/>
                <w:numId w:val="4"/>
              </w:numPr>
              <w:rPr>
                <w:rFonts w:ascii="Calibri" w:eastAsia="Calibri" w:hAnsi="Calibri" w:cs="Times New Roman"/>
                <w:b/>
                <w:sz w:val="20"/>
                <w:szCs w:val="20"/>
              </w:rPr>
            </w:pPr>
            <w:r w:rsidRPr="00552F57">
              <w:rPr>
                <w:rFonts w:ascii="Calibri" w:eastAsia="Calibri" w:hAnsi="Calibri" w:cs="Times New Roman"/>
                <w:b/>
                <w:sz w:val="20"/>
                <w:szCs w:val="20"/>
              </w:rPr>
              <w:t>Date</w:t>
            </w:r>
          </w:p>
          <w:p w14:paraId="6383E96B" w14:textId="77777777" w:rsidR="00A26C89" w:rsidRPr="00552F57" w:rsidRDefault="00A26C89" w:rsidP="002B5113">
            <w:pPr>
              <w:pStyle w:val="ListParagraph"/>
              <w:numPr>
                <w:ilvl w:val="0"/>
                <w:numId w:val="4"/>
              </w:numPr>
              <w:rPr>
                <w:rFonts w:ascii="Calibri" w:eastAsia="Calibri" w:hAnsi="Calibri" w:cs="Times New Roman"/>
                <w:b/>
                <w:sz w:val="20"/>
                <w:szCs w:val="20"/>
              </w:rPr>
            </w:pPr>
            <w:r w:rsidRPr="00552F57">
              <w:rPr>
                <w:rFonts w:ascii="Calibri" w:eastAsia="Calibri" w:hAnsi="Calibri" w:cs="Times New Roman"/>
                <w:b/>
                <w:sz w:val="20"/>
                <w:szCs w:val="20"/>
              </w:rPr>
              <w:t xml:space="preserve">Citation, including page number </w:t>
            </w:r>
          </w:p>
          <w:p w14:paraId="569E86E3" w14:textId="77777777" w:rsidR="00A26C89" w:rsidRPr="00552F57" w:rsidRDefault="00A26C89" w:rsidP="002B5113">
            <w:pPr>
              <w:pStyle w:val="ListParagraph"/>
              <w:numPr>
                <w:ilvl w:val="0"/>
                <w:numId w:val="4"/>
              </w:numPr>
              <w:rPr>
                <w:rFonts w:ascii="Calibri" w:eastAsia="Calibri" w:hAnsi="Calibri" w:cs="Times New Roman"/>
                <w:b/>
              </w:rPr>
            </w:pPr>
            <w:r w:rsidRPr="00552F57">
              <w:rPr>
                <w:rFonts w:ascii="Calibri" w:eastAsia="Calibri" w:hAnsi="Calibri" w:cs="Times New Roman"/>
                <w:b/>
                <w:sz w:val="20"/>
                <w:szCs w:val="20"/>
              </w:rPr>
              <w:t>URL</w:t>
            </w:r>
          </w:p>
        </w:tc>
        <w:tc>
          <w:tcPr>
            <w:tcW w:w="5755" w:type="dxa"/>
          </w:tcPr>
          <w:p w14:paraId="0A0AE2A0" w14:textId="77777777" w:rsidR="00362787" w:rsidRPr="00363F53" w:rsidRDefault="00BD3D6A" w:rsidP="00974574">
            <w:pPr>
              <w:rPr>
                <w:rFonts w:ascii="Calibri" w:eastAsia="Calibri" w:hAnsi="Calibri" w:cs="Times New Roman"/>
                <w:color w:val="FF0000"/>
                <w:sz w:val="20"/>
                <w:szCs w:val="20"/>
              </w:rPr>
            </w:pPr>
            <w:r w:rsidRPr="00363F53">
              <w:rPr>
                <w:rFonts w:ascii="Calibri" w:eastAsia="Calibri" w:hAnsi="Calibri" w:cs="Times New Roman"/>
                <w:b/>
                <w:color w:val="FF0000"/>
                <w:sz w:val="20"/>
                <w:szCs w:val="20"/>
              </w:rPr>
              <w:t>Title</w:t>
            </w:r>
            <w:r w:rsidRPr="00363F53">
              <w:rPr>
                <w:rFonts w:ascii="Calibri" w:eastAsia="Calibri" w:hAnsi="Calibri" w:cs="Times New Roman"/>
                <w:color w:val="FF0000"/>
                <w:sz w:val="20"/>
                <w:szCs w:val="20"/>
              </w:rPr>
              <w:t>: Risk Assessment and Prevention of Pressure Ulcers: A Clinical</w:t>
            </w:r>
            <w:r w:rsidR="00362787" w:rsidRPr="00363F53">
              <w:rPr>
                <w:rFonts w:ascii="Calibri" w:eastAsia="Calibri" w:hAnsi="Calibri" w:cs="Times New Roman"/>
                <w:color w:val="FF0000"/>
                <w:sz w:val="20"/>
                <w:szCs w:val="20"/>
              </w:rPr>
              <w:t xml:space="preserve"> </w:t>
            </w:r>
          </w:p>
          <w:p w14:paraId="40827115" w14:textId="06BFE041" w:rsidR="00A26C89" w:rsidRPr="00363F53" w:rsidRDefault="00BD3D6A" w:rsidP="00974574">
            <w:pPr>
              <w:rPr>
                <w:rFonts w:ascii="Calibri" w:eastAsia="Calibri" w:hAnsi="Calibri" w:cs="Times New Roman"/>
                <w:color w:val="FF0000"/>
                <w:sz w:val="20"/>
                <w:szCs w:val="20"/>
              </w:rPr>
            </w:pPr>
            <w:r w:rsidRPr="00363F53">
              <w:rPr>
                <w:rFonts w:ascii="Calibri" w:eastAsia="Calibri" w:hAnsi="Calibri" w:cs="Times New Roman"/>
                <w:color w:val="FF0000"/>
                <w:sz w:val="20"/>
                <w:szCs w:val="20"/>
              </w:rPr>
              <w:t>Practice Guideline from the American College of Physicians</w:t>
            </w:r>
          </w:p>
          <w:p w14:paraId="2D208EEB" w14:textId="77777777" w:rsidR="00362787" w:rsidRPr="00363F53" w:rsidRDefault="00BD3D6A" w:rsidP="00974574">
            <w:pPr>
              <w:rPr>
                <w:rFonts w:ascii="Calibri" w:eastAsia="Calibri" w:hAnsi="Calibri" w:cs="Times New Roman"/>
                <w:color w:val="FF0000"/>
                <w:sz w:val="20"/>
                <w:szCs w:val="20"/>
              </w:rPr>
            </w:pPr>
            <w:r w:rsidRPr="00363F53">
              <w:rPr>
                <w:rFonts w:ascii="Calibri" w:eastAsia="Calibri" w:hAnsi="Calibri" w:cs="Times New Roman"/>
                <w:b/>
                <w:color w:val="FF0000"/>
                <w:sz w:val="20"/>
                <w:szCs w:val="20"/>
              </w:rPr>
              <w:t>Author</w:t>
            </w:r>
            <w:r w:rsidRPr="00363F53">
              <w:rPr>
                <w:rFonts w:ascii="Calibri" w:eastAsia="Calibri" w:hAnsi="Calibri" w:cs="Times New Roman"/>
                <w:color w:val="FF0000"/>
                <w:sz w:val="20"/>
                <w:szCs w:val="20"/>
              </w:rPr>
              <w:t xml:space="preserve">: Amir </w:t>
            </w:r>
            <w:proofErr w:type="spellStart"/>
            <w:r w:rsidRPr="00363F53">
              <w:rPr>
                <w:rFonts w:ascii="Calibri" w:eastAsia="Calibri" w:hAnsi="Calibri" w:cs="Times New Roman"/>
                <w:color w:val="FF0000"/>
                <w:sz w:val="20"/>
                <w:szCs w:val="20"/>
              </w:rPr>
              <w:t>Qaseem</w:t>
            </w:r>
            <w:proofErr w:type="spellEnd"/>
            <w:r w:rsidRPr="00363F53">
              <w:rPr>
                <w:rFonts w:ascii="Calibri" w:eastAsia="Calibri" w:hAnsi="Calibri" w:cs="Times New Roman"/>
                <w:color w:val="FF0000"/>
                <w:sz w:val="20"/>
                <w:szCs w:val="20"/>
              </w:rPr>
              <w:t xml:space="preserve">, MD, PhD, MHA; </w:t>
            </w:r>
            <w:proofErr w:type="spellStart"/>
            <w:r w:rsidRPr="00363F53">
              <w:rPr>
                <w:rFonts w:ascii="Calibri" w:eastAsia="Calibri" w:hAnsi="Calibri" w:cs="Times New Roman"/>
                <w:color w:val="FF0000"/>
                <w:sz w:val="20"/>
                <w:szCs w:val="20"/>
              </w:rPr>
              <w:t>Tanveer</w:t>
            </w:r>
            <w:proofErr w:type="spellEnd"/>
            <w:r w:rsidRPr="00363F53">
              <w:rPr>
                <w:rFonts w:ascii="Calibri" w:eastAsia="Calibri" w:hAnsi="Calibri" w:cs="Times New Roman"/>
                <w:color w:val="FF0000"/>
                <w:sz w:val="20"/>
                <w:szCs w:val="20"/>
              </w:rPr>
              <w:t xml:space="preserve"> P. Mir, MD, </w:t>
            </w:r>
          </w:p>
          <w:p w14:paraId="12496509" w14:textId="77777777" w:rsidR="00362787" w:rsidRPr="00363F53" w:rsidRDefault="00BD3D6A" w:rsidP="00974574">
            <w:pPr>
              <w:rPr>
                <w:rFonts w:ascii="Calibri" w:eastAsia="Calibri" w:hAnsi="Calibri" w:cs="Times New Roman"/>
                <w:color w:val="FF0000"/>
                <w:sz w:val="20"/>
                <w:szCs w:val="20"/>
              </w:rPr>
            </w:pPr>
            <w:proofErr w:type="spellStart"/>
            <w:r w:rsidRPr="00363F53">
              <w:rPr>
                <w:rFonts w:ascii="Calibri" w:eastAsia="Calibri" w:hAnsi="Calibri" w:cs="Times New Roman"/>
                <w:color w:val="FF0000"/>
                <w:sz w:val="20"/>
                <w:szCs w:val="20"/>
              </w:rPr>
              <w:t>Melisssa</w:t>
            </w:r>
            <w:proofErr w:type="spellEnd"/>
            <w:r w:rsidRPr="00363F53">
              <w:rPr>
                <w:rFonts w:ascii="Calibri" w:eastAsia="Calibri" w:hAnsi="Calibri" w:cs="Times New Roman"/>
                <w:color w:val="FF0000"/>
                <w:sz w:val="20"/>
                <w:szCs w:val="20"/>
              </w:rPr>
              <w:t xml:space="preserve"> Starkey, PhD; and Thomas D. </w:t>
            </w:r>
            <w:proofErr w:type="spellStart"/>
            <w:r w:rsidRPr="00363F53">
              <w:rPr>
                <w:rFonts w:ascii="Calibri" w:eastAsia="Calibri" w:hAnsi="Calibri" w:cs="Times New Roman"/>
                <w:color w:val="FF0000"/>
                <w:sz w:val="20"/>
                <w:szCs w:val="20"/>
              </w:rPr>
              <w:t>Denberg</w:t>
            </w:r>
            <w:proofErr w:type="spellEnd"/>
            <w:r w:rsidRPr="00363F53">
              <w:rPr>
                <w:rFonts w:ascii="Calibri" w:eastAsia="Calibri" w:hAnsi="Calibri" w:cs="Times New Roman"/>
                <w:color w:val="FF0000"/>
                <w:sz w:val="20"/>
                <w:szCs w:val="20"/>
              </w:rPr>
              <w:t xml:space="preserve">, MD, PhD, for the </w:t>
            </w:r>
          </w:p>
          <w:p w14:paraId="4EE31CF8" w14:textId="15BD17DE" w:rsidR="00BD3D6A" w:rsidRPr="00363F53" w:rsidRDefault="00BD3D6A" w:rsidP="00974574">
            <w:pPr>
              <w:rPr>
                <w:rFonts w:ascii="Calibri" w:eastAsia="Calibri" w:hAnsi="Calibri" w:cs="Times New Roman"/>
                <w:color w:val="FF0000"/>
                <w:sz w:val="20"/>
                <w:szCs w:val="20"/>
              </w:rPr>
            </w:pPr>
            <w:r w:rsidRPr="00363F53">
              <w:rPr>
                <w:rFonts w:ascii="Calibri" w:eastAsia="Calibri" w:hAnsi="Calibri" w:cs="Times New Roman"/>
                <w:color w:val="FF0000"/>
                <w:sz w:val="20"/>
                <w:szCs w:val="20"/>
              </w:rPr>
              <w:t xml:space="preserve">Clinical Guidelines Committee of the American College of Physicians </w:t>
            </w:r>
          </w:p>
          <w:p w14:paraId="797063AE" w14:textId="77777777" w:rsidR="00BD3D6A" w:rsidRPr="00363F53" w:rsidRDefault="00BD3D6A" w:rsidP="00974574">
            <w:pPr>
              <w:ind w:left="0" w:firstLine="0"/>
              <w:rPr>
                <w:rFonts w:ascii="Calibri" w:eastAsia="Calibri" w:hAnsi="Calibri" w:cs="Times New Roman"/>
                <w:color w:val="FF0000"/>
                <w:sz w:val="20"/>
                <w:szCs w:val="20"/>
              </w:rPr>
            </w:pPr>
            <w:r w:rsidRPr="00363F53">
              <w:rPr>
                <w:rFonts w:ascii="Calibri" w:eastAsia="Calibri" w:hAnsi="Calibri" w:cs="Times New Roman"/>
                <w:b/>
                <w:color w:val="FF0000"/>
                <w:sz w:val="20"/>
                <w:szCs w:val="20"/>
              </w:rPr>
              <w:t>Date</w:t>
            </w:r>
            <w:r w:rsidRPr="00363F53">
              <w:rPr>
                <w:rFonts w:ascii="Calibri" w:eastAsia="Calibri" w:hAnsi="Calibri" w:cs="Times New Roman"/>
                <w:color w:val="FF0000"/>
                <w:sz w:val="20"/>
                <w:szCs w:val="20"/>
              </w:rPr>
              <w:t>: 2015</w:t>
            </w:r>
          </w:p>
          <w:p w14:paraId="78D32660" w14:textId="77777777" w:rsidR="00362787" w:rsidRPr="00363F53" w:rsidRDefault="00BD3D6A" w:rsidP="00974574">
            <w:pPr>
              <w:rPr>
                <w:color w:val="FF0000"/>
                <w:sz w:val="20"/>
                <w:szCs w:val="20"/>
              </w:rPr>
            </w:pPr>
            <w:r w:rsidRPr="00363F53">
              <w:rPr>
                <w:rFonts w:ascii="Calibri" w:eastAsia="Calibri" w:hAnsi="Calibri" w:cs="Times New Roman"/>
                <w:b/>
                <w:color w:val="FF0000"/>
                <w:sz w:val="20"/>
                <w:szCs w:val="20"/>
              </w:rPr>
              <w:t>Citation</w:t>
            </w:r>
            <w:r w:rsidRPr="00363F53">
              <w:rPr>
                <w:rFonts w:ascii="Calibri" w:eastAsia="Calibri" w:hAnsi="Calibri" w:cs="Times New Roman"/>
                <w:color w:val="FF0000"/>
                <w:sz w:val="20"/>
                <w:szCs w:val="20"/>
              </w:rPr>
              <w:t xml:space="preserve">: </w:t>
            </w:r>
            <w:proofErr w:type="spellStart"/>
            <w:r w:rsidRPr="00363F53">
              <w:rPr>
                <w:color w:val="FF0000"/>
                <w:sz w:val="20"/>
                <w:szCs w:val="20"/>
              </w:rPr>
              <w:t>Qaseem</w:t>
            </w:r>
            <w:proofErr w:type="spellEnd"/>
            <w:r w:rsidRPr="00363F53">
              <w:rPr>
                <w:color w:val="FF0000"/>
                <w:sz w:val="20"/>
                <w:szCs w:val="20"/>
              </w:rPr>
              <w:t xml:space="preserve">, Amir, </w:t>
            </w:r>
            <w:proofErr w:type="spellStart"/>
            <w:r w:rsidRPr="00363F53">
              <w:rPr>
                <w:color w:val="FF0000"/>
                <w:sz w:val="20"/>
                <w:szCs w:val="20"/>
              </w:rPr>
              <w:t>Tanveer</w:t>
            </w:r>
            <w:proofErr w:type="spellEnd"/>
            <w:r w:rsidRPr="00363F53">
              <w:rPr>
                <w:color w:val="FF0000"/>
                <w:sz w:val="20"/>
                <w:szCs w:val="20"/>
              </w:rPr>
              <w:t xml:space="preserve"> P. Mir, Melissa Starkey, and </w:t>
            </w:r>
          </w:p>
          <w:p w14:paraId="5C4C989A" w14:textId="77777777" w:rsidR="00362787" w:rsidRPr="00363F53" w:rsidRDefault="00BD3D6A" w:rsidP="00974574">
            <w:pPr>
              <w:rPr>
                <w:color w:val="FF0000"/>
                <w:sz w:val="20"/>
                <w:szCs w:val="20"/>
              </w:rPr>
            </w:pPr>
            <w:r w:rsidRPr="00363F53">
              <w:rPr>
                <w:color w:val="FF0000"/>
                <w:sz w:val="20"/>
                <w:szCs w:val="20"/>
              </w:rPr>
              <w:t xml:space="preserve">Thomas D. </w:t>
            </w:r>
            <w:proofErr w:type="spellStart"/>
            <w:r w:rsidRPr="00363F53">
              <w:rPr>
                <w:color w:val="FF0000"/>
                <w:sz w:val="20"/>
                <w:szCs w:val="20"/>
              </w:rPr>
              <w:t>Denberg</w:t>
            </w:r>
            <w:proofErr w:type="spellEnd"/>
            <w:r w:rsidRPr="00363F53">
              <w:rPr>
                <w:color w:val="FF0000"/>
                <w:sz w:val="20"/>
                <w:szCs w:val="20"/>
              </w:rPr>
              <w:t xml:space="preserve">. 2015. “Risk Assessment and Prevention of </w:t>
            </w:r>
          </w:p>
          <w:p w14:paraId="294A1CCF" w14:textId="77777777" w:rsidR="00362787" w:rsidRPr="00363F53" w:rsidRDefault="00BD3D6A" w:rsidP="00974574">
            <w:pPr>
              <w:rPr>
                <w:color w:val="FF0000"/>
                <w:sz w:val="20"/>
                <w:szCs w:val="20"/>
              </w:rPr>
            </w:pPr>
            <w:r w:rsidRPr="00363F53">
              <w:rPr>
                <w:color w:val="FF0000"/>
                <w:sz w:val="20"/>
                <w:szCs w:val="20"/>
              </w:rPr>
              <w:t xml:space="preserve">Pressure Ulcers: A Clinical Practice Guideline from the American </w:t>
            </w:r>
          </w:p>
          <w:p w14:paraId="4BF5E854" w14:textId="77777777" w:rsidR="00362787" w:rsidRPr="00363F53" w:rsidRDefault="00BD3D6A" w:rsidP="00974574">
            <w:pPr>
              <w:rPr>
                <w:color w:val="FF0000"/>
                <w:sz w:val="20"/>
                <w:szCs w:val="20"/>
              </w:rPr>
            </w:pPr>
            <w:r w:rsidRPr="00363F53">
              <w:rPr>
                <w:color w:val="FF0000"/>
                <w:sz w:val="20"/>
                <w:szCs w:val="20"/>
              </w:rPr>
              <w:t xml:space="preserve">College of Physicians.” </w:t>
            </w:r>
            <w:r w:rsidRPr="00363F53">
              <w:rPr>
                <w:i/>
                <w:iCs/>
                <w:color w:val="FF0000"/>
                <w:sz w:val="20"/>
                <w:szCs w:val="20"/>
              </w:rPr>
              <w:t>Annals of Internal Medicine</w:t>
            </w:r>
            <w:r w:rsidRPr="00363F53">
              <w:rPr>
                <w:color w:val="FF0000"/>
                <w:sz w:val="20"/>
                <w:szCs w:val="20"/>
              </w:rPr>
              <w:t xml:space="preserve"> 162 (5): 359–69. </w:t>
            </w:r>
          </w:p>
          <w:p w14:paraId="643C2714" w14:textId="6BE85AF2" w:rsidR="00BD3D6A" w:rsidRPr="00363F53" w:rsidRDefault="00544B54" w:rsidP="00974574">
            <w:pPr>
              <w:rPr>
                <w:rFonts w:ascii="Calibri" w:eastAsia="Calibri" w:hAnsi="Calibri" w:cs="Times New Roman"/>
                <w:color w:val="FF0000"/>
                <w:sz w:val="20"/>
                <w:szCs w:val="20"/>
              </w:rPr>
            </w:pPr>
            <w:hyperlink r:id="rId21" w:history="1">
              <w:r w:rsidR="00BD3D6A" w:rsidRPr="00363F53">
                <w:rPr>
                  <w:rStyle w:val="Hyperlink"/>
                  <w:color w:val="FF0000"/>
                  <w:sz w:val="20"/>
                  <w:szCs w:val="20"/>
                </w:rPr>
                <w:t>https://doi.org/10.7326/M14-1567</w:t>
              </w:r>
            </w:hyperlink>
            <w:r w:rsidR="00BD3D6A" w:rsidRPr="00363F53">
              <w:rPr>
                <w:color w:val="FF0000"/>
                <w:sz w:val="20"/>
                <w:szCs w:val="20"/>
              </w:rPr>
              <w:t>.</w:t>
            </w:r>
          </w:p>
          <w:p w14:paraId="1AA98437" w14:textId="2E9422A5" w:rsidR="00BD3D6A" w:rsidRPr="00363F53" w:rsidRDefault="00BD3D6A" w:rsidP="00974574">
            <w:pPr>
              <w:rPr>
                <w:rFonts w:ascii="Calibri" w:eastAsia="Calibri" w:hAnsi="Calibri" w:cs="Times New Roman"/>
                <w:color w:val="FF0000"/>
                <w:sz w:val="20"/>
                <w:szCs w:val="20"/>
              </w:rPr>
            </w:pPr>
            <w:r w:rsidRPr="00363F53">
              <w:rPr>
                <w:rFonts w:ascii="Calibri" w:eastAsia="Calibri" w:hAnsi="Calibri" w:cs="Times New Roman"/>
                <w:b/>
                <w:color w:val="FF0000"/>
                <w:sz w:val="20"/>
                <w:szCs w:val="20"/>
              </w:rPr>
              <w:t xml:space="preserve">URL: </w:t>
            </w:r>
            <w:hyperlink r:id="rId22" w:history="1">
              <w:r w:rsidRPr="00363F53">
                <w:rPr>
                  <w:rStyle w:val="Hyperlink"/>
                  <w:color w:val="FF0000"/>
                  <w:sz w:val="20"/>
                  <w:szCs w:val="20"/>
                </w:rPr>
                <w:t>https://doi.org/10.7326/M14-1567</w:t>
              </w:r>
            </w:hyperlink>
          </w:p>
        </w:tc>
      </w:tr>
      <w:tr w:rsidR="00A26C89" w14:paraId="511B4065" w14:textId="77777777" w:rsidTr="006179D1">
        <w:tc>
          <w:tcPr>
            <w:tcW w:w="3595" w:type="dxa"/>
          </w:tcPr>
          <w:p w14:paraId="20069FED" w14:textId="77777777" w:rsidR="00A26C89" w:rsidRPr="00552F57" w:rsidRDefault="00A26C89" w:rsidP="006179D1">
            <w:pPr>
              <w:ind w:left="0" w:firstLine="0"/>
              <w:rPr>
                <w:rFonts w:ascii="Calibri" w:eastAsia="Calibri" w:hAnsi="Calibri" w:cs="Times New Roman"/>
                <w:sz w:val="20"/>
                <w:szCs w:val="20"/>
              </w:rPr>
            </w:pPr>
            <w:r w:rsidRPr="00552F57">
              <w:rPr>
                <w:sz w:val="20"/>
                <w:szCs w:val="20"/>
              </w:rPr>
              <w:t>Quote the guideline or recommendation verbatim about the process, structure or intermediate outcome being measured. If not a guideline, summarize the conclusions from the SR.</w:t>
            </w:r>
          </w:p>
        </w:tc>
        <w:tc>
          <w:tcPr>
            <w:tcW w:w="5755" w:type="dxa"/>
          </w:tcPr>
          <w:p w14:paraId="29BC43B0" w14:textId="2CE147CF" w:rsidR="00974574" w:rsidRPr="00363F53" w:rsidRDefault="00974574" w:rsidP="00974574">
            <w:pPr>
              <w:autoSpaceDE w:val="0"/>
              <w:autoSpaceDN w:val="0"/>
              <w:adjustRightInd w:val="0"/>
              <w:ind w:left="0" w:firstLine="0"/>
              <w:rPr>
                <w:rFonts w:eastAsia="AvenirNextLTPro-Regular" w:cstheme="minorHAnsi"/>
                <w:color w:val="FF0000"/>
                <w:sz w:val="20"/>
                <w:szCs w:val="20"/>
              </w:rPr>
            </w:pPr>
            <w:r w:rsidRPr="00363F53">
              <w:rPr>
                <w:rFonts w:cstheme="minorHAnsi"/>
                <w:b/>
                <w:bCs/>
                <w:color w:val="FF0000"/>
                <w:sz w:val="20"/>
                <w:szCs w:val="20"/>
              </w:rPr>
              <w:t xml:space="preserve">Recommendation 1: </w:t>
            </w:r>
            <w:r w:rsidRPr="00363F53">
              <w:rPr>
                <w:rFonts w:eastAsia="AvenirNextLTPro-Regular" w:cstheme="minorHAnsi"/>
                <w:color w:val="FF0000"/>
                <w:sz w:val="20"/>
                <w:szCs w:val="20"/>
              </w:rPr>
              <w:t>ACP re</w:t>
            </w:r>
            <w:r w:rsidR="00570938" w:rsidRPr="00363F53">
              <w:rPr>
                <w:rFonts w:eastAsia="AvenirNextLTPro-Regular" w:cstheme="minorHAnsi"/>
                <w:color w:val="FF0000"/>
                <w:sz w:val="20"/>
                <w:szCs w:val="20"/>
              </w:rPr>
              <w:t xml:space="preserve">commends that clinicians should </w:t>
            </w:r>
            <w:r w:rsidRPr="00363F53">
              <w:rPr>
                <w:rFonts w:eastAsia="AvenirNextLTPro-Regular" w:cstheme="minorHAnsi"/>
                <w:color w:val="FF0000"/>
                <w:sz w:val="20"/>
                <w:szCs w:val="20"/>
              </w:rPr>
              <w:t>perform a risk assessment to ident</w:t>
            </w:r>
            <w:r w:rsidR="00570938" w:rsidRPr="00363F53">
              <w:rPr>
                <w:rFonts w:eastAsia="AvenirNextLTPro-Regular" w:cstheme="minorHAnsi"/>
                <w:color w:val="FF0000"/>
                <w:sz w:val="20"/>
                <w:szCs w:val="20"/>
              </w:rPr>
              <w:t xml:space="preserve">ify patients who are at risk of </w:t>
            </w:r>
            <w:r w:rsidRPr="00363F53">
              <w:rPr>
                <w:rFonts w:eastAsia="AvenirNextLTPro-Regular" w:cstheme="minorHAnsi"/>
                <w:color w:val="FF0000"/>
                <w:sz w:val="20"/>
                <w:szCs w:val="20"/>
              </w:rPr>
              <w:t>developing pressure ulcers. (Grade: weak recommendation,</w:t>
            </w:r>
          </w:p>
          <w:p w14:paraId="367D6EE9" w14:textId="77777777" w:rsidR="00974574" w:rsidRPr="00363F53" w:rsidRDefault="00974574" w:rsidP="00974574">
            <w:pPr>
              <w:autoSpaceDE w:val="0"/>
              <w:autoSpaceDN w:val="0"/>
              <w:adjustRightInd w:val="0"/>
              <w:ind w:left="0" w:firstLine="0"/>
              <w:rPr>
                <w:rFonts w:eastAsia="AvenirNextLTPro-Regular" w:cstheme="minorHAnsi"/>
                <w:color w:val="FF0000"/>
                <w:sz w:val="20"/>
                <w:szCs w:val="20"/>
              </w:rPr>
            </w:pPr>
            <w:r w:rsidRPr="00363F53">
              <w:rPr>
                <w:rFonts w:eastAsia="AvenirNextLTPro-Regular" w:cstheme="minorHAnsi"/>
                <w:color w:val="FF0000"/>
                <w:sz w:val="20"/>
                <w:szCs w:val="20"/>
              </w:rPr>
              <w:t>low-quality evidence)</w:t>
            </w:r>
          </w:p>
          <w:p w14:paraId="127B4F61" w14:textId="6DB8A990" w:rsidR="00974574" w:rsidRPr="00363F53" w:rsidRDefault="00974574" w:rsidP="00974574">
            <w:pPr>
              <w:autoSpaceDE w:val="0"/>
              <w:autoSpaceDN w:val="0"/>
              <w:adjustRightInd w:val="0"/>
              <w:ind w:left="0" w:firstLine="0"/>
              <w:rPr>
                <w:rFonts w:eastAsia="AvenirNextLTPro-Regular" w:cstheme="minorHAnsi"/>
                <w:color w:val="FF0000"/>
                <w:sz w:val="20"/>
                <w:szCs w:val="20"/>
              </w:rPr>
            </w:pPr>
            <w:r w:rsidRPr="00363F53">
              <w:rPr>
                <w:rFonts w:cstheme="minorHAnsi"/>
                <w:b/>
                <w:bCs/>
                <w:color w:val="FF0000"/>
                <w:sz w:val="20"/>
                <w:szCs w:val="20"/>
              </w:rPr>
              <w:t xml:space="preserve">Recommendation 2: </w:t>
            </w:r>
            <w:r w:rsidRPr="00363F53">
              <w:rPr>
                <w:rFonts w:eastAsia="AvenirNextLTPro-Regular" w:cstheme="minorHAnsi"/>
                <w:color w:val="FF0000"/>
                <w:sz w:val="20"/>
                <w:szCs w:val="20"/>
              </w:rPr>
              <w:t>ACP re</w:t>
            </w:r>
            <w:r w:rsidR="00570938" w:rsidRPr="00363F53">
              <w:rPr>
                <w:rFonts w:eastAsia="AvenirNextLTPro-Regular" w:cstheme="minorHAnsi"/>
                <w:color w:val="FF0000"/>
                <w:sz w:val="20"/>
                <w:szCs w:val="20"/>
              </w:rPr>
              <w:t xml:space="preserve">commends that clinicians should </w:t>
            </w:r>
            <w:r w:rsidRPr="00363F53">
              <w:rPr>
                <w:rFonts w:eastAsia="AvenirNextLTPro-Regular" w:cstheme="minorHAnsi"/>
                <w:color w:val="FF0000"/>
                <w:sz w:val="20"/>
                <w:szCs w:val="20"/>
              </w:rPr>
              <w:t>choose advanced static mattres</w:t>
            </w:r>
            <w:r w:rsidR="00570938" w:rsidRPr="00363F53">
              <w:rPr>
                <w:rFonts w:eastAsia="AvenirNextLTPro-Regular" w:cstheme="minorHAnsi"/>
                <w:color w:val="FF0000"/>
                <w:sz w:val="20"/>
                <w:szCs w:val="20"/>
              </w:rPr>
              <w:t xml:space="preserve">ses or advanced static overlays </w:t>
            </w:r>
            <w:r w:rsidRPr="00363F53">
              <w:rPr>
                <w:rFonts w:eastAsia="AvenirNextLTPro-Regular" w:cstheme="minorHAnsi"/>
                <w:color w:val="FF0000"/>
                <w:sz w:val="20"/>
                <w:szCs w:val="20"/>
              </w:rPr>
              <w:t>in patients who are at an increa</w:t>
            </w:r>
            <w:r w:rsidR="00570938" w:rsidRPr="00363F53">
              <w:rPr>
                <w:rFonts w:eastAsia="AvenirNextLTPro-Regular" w:cstheme="minorHAnsi"/>
                <w:color w:val="FF0000"/>
                <w:sz w:val="20"/>
                <w:szCs w:val="20"/>
              </w:rPr>
              <w:t xml:space="preserve">sed risk of developing pressure </w:t>
            </w:r>
            <w:r w:rsidRPr="00363F53">
              <w:rPr>
                <w:rFonts w:eastAsia="AvenirNextLTPro-Regular" w:cstheme="minorHAnsi"/>
                <w:color w:val="FF0000"/>
                <w:sz w:val="20"/>
                <w:szCs w:val="20"/>
              </w:rPr>
              <w:t>ulcers. (Grade: strong recommendation, moderate-quality</w:t>
            </w:r>
          </w:p>
          <w:p w14:paraId="1FA0FF87" w14:textId="77777777" w:rsidR="00974574" w:rsidRPr="00363F53" w:rsidRDefault="00974574" w:rsidP="00974574">
            <w:pPr>
              <w:autoSpaceDE w:val="0"/>
              <w:autoSpaceDN w:val="0"/>
              <w:adjustRightInd w:val="0"/>
              <w:ind w:left="0" w:firstLine="0"/>
              <w:rPr>
                <w:rFonts w:eastAsia="AvenirNextLTPro-Regular" w:cstheme="minorHAnsi"/>
                <w:color w:val="FF0000"/>
                <w:sz w:val="20"/>
                <w:szCs w:val="20"/>
              </w:rPr>
            </w:pPr>
            <w:r w:rsidRPr="00363F53">
              <w:rPr>
                <w:rFonts w:eastAsia="AvenirNextLTPro-Regular" w:cstheme="minorHAnsi"/>
                <w:color w:val="FF0000"/>
                <w:sz w:val="20"/>
                <w:szCs w:val="20"/>
              </w:rPr>
              <w:t>evidence)</w:t>
            </w:r>
          </w:p>
          <w:p w14:paraId="0F53FCF6" w14:textId="3DE25365" w:rsidR="00974574" w:rsidRPr="00363F53" w:rsidRDefault="00974574" w:rsidP="00974574">
            <w:pPr>
              <w:autoSpaceDE w:val="0"/>
              <w:autoSpaceDN w:val="0"/>
              <w:adjustRightInd w:val="0"/>
              <w:ind w:left="0" w:firstLine="0"/>
              <w:rPr>
                <w:rFonts w:eastAsia="AvenirNextLTPro-Regular" w:cstheme="minorHAnsi"/>
                <w:color w:val="FF0000"/>
                <w:sz w:val="20"/>
                <w:szCs w:val="20"/>
              </w:rPr>
            </w:pPr>
            <w:r w:rsidRPr="00363F53">
              <w:rPr>
                <w:rFonts w:cstheme="minorHAnsi"/>
                <w:b/>
                <w:bCs/>
                <w:color w:val="FF0000"/>
                <w:sz w:val="20"/>
                <w:szCs w:val="20"/>
              </w:rPr>
              <w:t xml:space="preserve">Recommendation 3: </w:t>
            </w:r>
            <w:r w:rsidRPr="00363F53">
              <w:rPr>
                <w:rFonts w:eastAsia="AvenirNextLTPro-Regular" w:cstheme="minorHAnsi"/>
                <w:color w:val="FF0000"/>
                <w:sz w:val="20"/>
                <w:szCs w:val="20"/>
              </w:rPr>
              <w:t>ACP recomm</w:t>
            </w:r>
            <w:r w:rsidR="00570938" w:rsidRPr="00363F53">
              <w:rPr>
                <w:rFonts w:eastAsia="AvenirNextLTPro-Regular" w:cstheme="minorHAnsi"/>
                <w:color w:val="FF0000"/>
                <w:sz w:val="20"/>
                <w:szCs w:val="20"/>
              </w:rPr>
              <w:t xml:space="preserve">ends against using </w:t>
            </w:r>
            <w:r w:rsidRPr="00363F53">
              <w:rPr>
                <w:rFonts w:eastAsia="AvenirNextLTPro-Regular" w:cstheme="minorHAnsi"/>
                <w:color w:val="FF0000"/>
                <w:sz w:val="20"/>
                <w:szCs w:val="20"/>
              </w:rPr>
              <w:t>alternating-air mattresses or alter</w:t>
            </w:r>
            <w:r w:rsidR="00570938" w:rsidRPr="00363F53">
              <w:rPr>
                <w:rFonts w:eastAsia="AvenirNextLTPro-Regular" w:cstheme="minorHAnsi"/>
                <w:color w:val="FF0000"/>
                <w:sz w:val="20"/>
                <w:szCs w:val="20"/>
              </w:rPr>
              <w:t xml:space="preserve">nating-air overlays in patients </w:t>
            </w:r>
            <w:r w:rsidRPr="00363F53">
              <w:rPr>
                <w:rFonts w:eastAsia="AvenirNextLTPro-Regular" w:cstheme="minorHAnsi"/>
                <w:color w:val="FF0000"/>
                <w:sz w:val="20"/>
                <w:szCs w:val="20"/>
              </w:rPr>
              <w:t>who are at an increased risk of developing pressure ulcers.</w:t>
            </w:r>
          </w:p>
          <w:p w14:paraId="3932134D" w14:textId="0DF8BD93" w:rsidR="00A26C89" w:rsidRPr="00363F53" w:rsidRDefault="00974574" w:rsidP="00974574">
            <w:pPr>
              <w:ind w:left="0" w:firstLine="0"/>
              <w:rPr>
                <w:rFonts w:ascii="Calibri" w:eastAsia="Calibri" w:hAnsi="Calibri" w:cs="Times New Roman"/>
                <w:color w:val="FF0000"/>
              </w:rPr>
            </w:pPr>
            <w:r w:rsidRPr="00363F53">
              <w:rPr>
                <w:rFonts w:eastAsia="AvenirNextLTPro-Regular" w:cstheme="minorHAnsi"/>
                <w:color w:val="FF0000"/>
                <w:sz w:val="20"/>
                <w:szCs w:val="20"/>
              </w:rPr>
              <w:t>(Grade: weak recommendation, moderate-quality evidence)</w:t>
            </w:r>
          </w:p>
        </w:tc>
      </w:tr>
      <w:tr w:rsidR="00A26C89" w14:paraId="5D28A57A" w14:textId="77777777" w:rsidTr="006179D1">
        <w:tc>
          <w:tcPr>
            <w:tcW w:w="3595" w:type="dxa"/>
          </w:tcPr>
          <w:p w14:paraId="1D825137" w14:textId="77777777" w:rsidR="00A26C89" w:rsidRPr="00974574" w:rsidRDefault="00A26C89" w:rsidP="006179D1">
            <w:pPr>
              <w:ind w:left="0" w:firstLine="0"/>
              <w:rPr>
                <w:rFonts w:ascii="Calibri" w:eastAsia="Calibri" w:hAnsi="Calibri" w:cs="Times New Roman"/>
                <w:sz w:val="20"/>
                <w:szCs w:val="20"/>
              </w:rPr>
            </w:pPr>
            <w:r w:rsidRPr="00974574">
              <w:rPr>
                <w:sz w:val="20"/>
                <w:szCs w:val="20"/>
              </w:rPr>
              <w:t xml:space="preserve">Grade assigned to the </w:t>
            </w:r>
            <w:r w:rsidRPr="00974574">
              <w:rPr>
                <w:b/>
                <w:bCs/>
                <w:sz w:val="20"/>
                <w:szCs w:val="20"/>
              </w:rPr>
              <w:t xml:space="preserve">evidence </w:t>
            </w:r>
            <w:r w:rsidRPr="00974574">
              <w:rPr>
                <w:sz w:val="20"/>
                <w:szCs w:val="20"/>
              </w:rPr>
              <w:t>associated with the recommendation with the definition of the grade.</w:t>
            </w:r>
          </w:p>
        </w:tc>
        <w:tc>
          <w:tcPr>
            <w:tcW w:w="5755" w:type="dxa"/>
          </w:tcPr>
          <w:p w14:paraId="347DBC65" w14:textId="4AB4EB4F" w:rsidR="00974574" w:rsidRPr="00363F53" w:rsidRDefault="00974574" w:rsidP="00974574">
            <w:pPr>
              <w:ind w:left="0" w:firstLine="0"/>
              <w:rPr>
                <w:rFonts w:ascii="Calibri" w:eastAsia="Calibri" w:hAnsi="Calibri" w:cs="Times New Roman"/>
                <w:color w:val="FF0000"/>
                <w:sz w:val="20"/>
                <w:szCs w:val="20"/>
              </w:rPr>
            </w:pPr>
            <w:r w:rsidRPr="00363F53">
              <w:rPr>
                <w:rFonts w:ascii="Calibri" w:eastAsia="Calibri" w:hAnsi="Calibri" w:cs="Times New Roman"/>
                <w:color w:val="FF0000"/>
                <w:sz w:val="20"/>
                <w:szCs w:val="20"/>
              </w:rPr>
              <w:t xml:space="preserve">The ACP has a grading system that was adopted from the GRADE (Grading of Recommendations Assessment, Development, and Evaluation) workgroup. The ACP’s guideline grading system is outlined in the table below. </w:t>
            </w:r>
          </w:p>
          <w:p w14:paraId="19B42113" w14:textId="77777777" w:rsidR="006334C5" w:rsidRPr="00363F53" w:rsidRDefault="006334C5" w:rsidP="00974574">
            <w:pPr>
              <w:ind w:left="0" w:firstLine="0"/>
              <w:rPr>
                <w:rFonts w:ascii="Calibri" w:eastAsia="Calibri" w:hAnsi="Calibri" w:cs="Times New Roman"/>
                <w:color w:val="FF0000"/>
                <w:sz w:val="20"/>
                <w:szCs w:val="20"/>
              </w:rPr>
            </w:pPr>
          </w:p>
          <w:p w14:paraId="296B1D19" w14:textId="2D72FA7C" w:rsidR="00974574" w:rsidRPr="00363F53" w:rsidRDefault="006334C5" w:rsidP="00974574">
            <w:pPr>
              <w:ind w:left="0" w:firstLine="0"/>
              <w:rPr>
                <w:rFonts w:ascii="Calibri" w:eastAsia="Calibri" w:hAnsi="Calibri" w:cs="Times New Roman"/>
                <w:color w:val="FF0000"/>
                <w:sz w:val="20"/>
                <w:szCs w:val="20"/>
              </w:rPr>
            </w:pPr>
            <w:r w:rsidRPr="00363F53">
              <w:rPr>
                <w:rFonts w:ascii="Calibri" w:eastAsia="Calibri" w:hAnsi="Calibri" w:cs="Times New Roman"/>
                <w:b/>
                <w:color w:val="FF0000"/>
                <w:sz w:val="20"/>
                <w:szCs w:val="20"/>
              </w:rPr>
              <w:t>Table 2</w:t>
            </w:r>
            <w:r w:rsidRPr="00363F53">
              <w:rPr>
                <w:rFonts w:ascii="Calibri" w:eastAsia="Calibri" w:hAnsi="Calibri" w:cs="Times New Roman"/>
                <w:color w:val="FF0000"/>
                <w:sz w:val="20"/>
                <w:szCs w:val="20"/>
              </w:rPr>
              <w:t>: American College of Physicians’ Guideline Grading System</w:t>
            </w:r>
          </w:p>
          <w:tbl>
            <w:tblPr>
              <w:tblStyle w:val="TableGrid"/>
              <w:tblW w:w="0" w:type="auto"/>
              <w:tblLook w:val="04A0" w:firstRow="1" w:lastRow="0" w:firstColumn="1" w:lastColumn="0" w:noHBand="0" w:noVBand="1"/>
            </w:tblPr>
            <w:tblGrid>
              <w:gridCol w:w="1843"/>
              <w:gridCol w:w="1843"/>
              <w:gridCol w:w="1843"/>
            </w:tblGrid>
            <w:tr w:rsidR="00363F53" w:rsidRPr="00363F53" w14:paraId="1334D9A1" w14:textId="77777777" w:rsidTr="006179D1">
              <w:tc>
                <w:tcPr>
                  <w:tcW w:w="1843" w:type="dxa"/>
                  <w:vMerge w:val="restart"/>
                </w:tcPr>
                <w:p w14:paraId="2F208BA1" w14:textId="2C6358FD" w:rsidR="00974574" w:rsidRPr="00363F53" w:rsidRDefault="00974574" w:rsidP="00974574">
                  <w:pPr>
                    <w:ind w:left="0" w:firstLine="0"/>
                    <w:jc w:val="center"/>
                    <w:rPr>
                      <w:rFonts w:ascii="Calibri" w:eastAsia="Calibri" w:hAnsi="Calibri" w:cs="Times New Roman"/>
                      <w:b/>
                      <w:color w:val="FF0000"/>
                      <w:sz w:val="20"/>
                      <w:szCs w:val="20"/>
                    </w:rPr>
                  </w:pPr>
                  <w:r w:rsidRPr="00363F53">
                    <w:rPr>
                      <w:rFonts w:ascii="Calibri" w:eastAsia="Calibri" w:hAnsi="Calibri" w:cs="Times New Roman"/>
                      <w:b/>
                      <w:color w:val="FF0000"/>
                      <w:sz w:val="20"/>
                      <w:szCs w:val="20"/>
                    </w:rPr>
                    <w:t>Quality of Evidence</w:t>
                  </w:r>
                </w:p>
              </w:tc>
              <w:tc>
                <w:tcPr>
                  <w:tcW w:w="3686" w:type="dxa"/>
                  <w:gridSpan w:val="2"/>
                </w:tcPr>
                <w:p w14:paraId="31A7F37D" w14:textId="6C8F142D" w:rsidR="00974574" w:rsidRPr="00363F53" w:rsidRDefault="00974574" w:rsidP="00974574">
                  <w:pPr>
                    <w:ind w:left="0" w:firstLine="0"/>
                    <w:jc w:val="center"/>
                    <w:rPr>
                      <w:rFonts w:ascii="Calibri" w:eastAsia="Calibri" w:hAnsi="Calibri" w:cs="Times New Roman"/>
                      <w:b/>
                      <w:color w:val="FF0000"/>
                      <w:sz w:val="20"/>
                      <w:szCs w:val="20"/>
                    </w:rPr>
                  </w:pPr>
                  <w:r w:rsidRPr="00363F53">
                    <w:rPr>
                      <w:rFonts w:ascii="Calibri" w:eastAsia="Calibri" w:hAnsi="Calibri" w:cs="Times New Roman"/>
                      <w:b/>
                      <w:color w:val="FF0000"/>
                      <w:sz w:val="20"/>
                      <w:szCs w:val="20"/>
                    </w:rPr>
                    <w:t>Strength of Recommendation</w:t>
                  </w:r>
                </w:p>
              </w:tc>
            </w:tr>
            <w:tr w:rsidR="00363F53" w:rsidRPr="00363F53" w14:paraId="53222CD9" w14:textId="77777777" w:rsidTr="00974574">
              <w:tc>
                <w:tcPr>
                  <w:tcW w:w="1843" w:type="dxa"/>
                  <w:vMerge/>
                </w:tcPr>
                <w:p w14:paraId="6D8DB972" w14:textId="77777777" w:rsidR="00974574" w:rsidRPr="00363F53" w:rsidRDefault="00974574" w:rsidP="00974574">
                  <w:pPr>
                    <w:ind w:left="0" w:firstLine="0"/>
                    <w:jc w:val="center"/>
                    <w:rPr>
                      <w:rFonts w:ascii="Calibri" w:eastAsia="Calibri" w:hAnsi="Calibri" w:cs="Times New Roman"/>
                      <w:b/>
                      <w:color w:val="FF0000"/>
                      <w:sz w:val="20"/>
                      <w:szCs w:val="20"/>
                    </w:rPr>
                  </w:pPr>
                </w:p>
              </w:tc>
              <w:tc>
                <w:tcPr>
                  <w:tcW w:w="1843" w:type="dxa"/>
                </w:tcPr>
                <w:p w14:paraId="711040F3" w14:textId="2825A597" w:rsidR="00974574" w:rsidRPr="00363F53" w:rsidRDefault="00974574" w:rsidP="00974574">
                  <w:pPr>
                    <w:ind w:left="0" w:firstLine="0"/>
                    <w:jc w:val="center"/>
                    <w:rPr>
                      <w:rFonts w:ascii="Calibri" w:eastAsia="Calibri" w:hAnsi="Calibri" w:cs="Times New Roman"/>
                      <w:b/>
                      <w:color w:val="FF0000"/>
                      <w:sz w:val="20"/>
                      <w:szCs w:val="20"/>
                    </w:rPr>
                  </w:pPr>
                  <w:r w:rsidRPr="00363F53">
                    <w:rPr>
                      <w:rFonts w:ascii="Calibri" w:eastAsia="Calibri" w:hAnsi="Calibri" w:cs="Times New Roman"/>
                      <w:b/>
                      <w:color w:val="FF0000"/>
                      <w:sz w:val="20"/>
                      <w:szCs w:val="20"/>
                    </w:rPr>
                    <w:t>Benefits clearly outweigh risks and burden or risks and burden clearly outweigh benefits</w:t>
                  </w:r>
                </w:p>
              </w:tc>
              <w:tc>
                <w:tcPr>
                  <w:tcW w:w="1843" w:type="dxa"/>
                </w:tcPr>
                <w:p w14:paraId="179891E8" w14:textId="76ABAEF2" w:rsidR="00974574" w:rsidRPr="00363F53" w:rsidRDefault="00974574" w:rsidP="00974574">
                  <w:pPr>
                    <w:ind w:left="0" w:firstLine="0"/>
                    <w:jc w:val="center"/>
                    <w:rPr>
                      <w:rFonts w:ascii="Calibri" w:eastAsia="Calibri" w:hAnsi="Calibri" w:cs="Times New Roman"/>
                      <w:b/>
                      <w:color w:val="FF0000"/>
                      <w:sz w:val="20"/>
                      <w:szCs w:val="20"/>
                    </w:rPr>
                  </w:pPr>
                  <w:r w:rsidRPr="00363F53">
                    <w:rPr>
                      <w:rFonts w:ascii="Calibri" w:eastAsia="Calibri" w:hAnsi="Calibri" w:cs="Times New Roman"/>
                      <w:b/>
                      <w:color w:val="FF0000"/>
                      <w:sz w:val="20"/>
                      <w:szCs w:val="20"/>
                    </w:rPr>
                    <w:t>Benefits finely balanced with risks and burden</w:t>
                  </w:r>
                </w:p>
              </w:tc>
            </w:tr>
            <w:tr w:rsidR="00363F53" w:rsidRPr="00363F53" w14:paraId="31193AEF" w14:textId="77777777" w:rsidTr="00974574">
              <w:tc>
                <w:tcPr>
                  <w:tcW w:w="1843" w:type="dxa"/>
                </w:tcPr>
                <w:p w14:paraId="611F6A2E" w14:textId="085DD8C0" w:rsidR="00974574" w:rsidRPr="00363F53" w:rsidRDefault="00974574" w:rsidP="00974574">
                  <w:pPr>
                    <w:ind w:left="0" w:firstLine="0"/>
                    <w:jc w:val="center"/>
                    <w:rPr>
                      <w:rFonts w:ascii="Calibri" w:eastAsia="Calibri" w:hAnsi="Calibri" w:cs="Times New Roman"/>
                      <w:color w:val="FF0000"/>
                      <w:sz w:val="20"/>
                      <w:szCs w:val="20"/>
                    </w:rPr>
                  </w:pPr>
                  <w:r w:rsidRPr="00363F53">
                    <w:rPr>
                      <w:rFonts w:ascii="Calibri" w:eastAsia="Calibri" w:hAnsi="Calibri" w:cs="Times New Roman"/>
                      <w:color w:val="FF0000"/>
                      <w:sz w:val="20"/>
                      <w:szCs w:val="20"/>
                    </w:rPr>
                    <w:t>High</w:t>
                  </w:r>
                </w:p>
              </w:tc>
              <w:tc>
                <w:tcPr>
                  <w:tcW w:w="1843" w:type="dxa"/>
                </w:tcPr>
                <w:p w14:paraId="0D394F64" w14:textId="7B5DFF55" w:rsidR="00974574" w:rsidRPr="00363F53" w:rsidRDefault="00974574" w:rsidP="00974574">
                  <w:pPr>
                    <w:ind w:left="0" w:firstLine="0"/>
                    <w:jc w:val="center"/>
                    <w:rPr>
                      <w:rFonts w:ascii="Calibri" w:eastAsia="Calibri" w:hAnsi="Calibri" w:cs="Times New Roman"/>
                      <w:color w:val="FF0000"/>
                      <w:sz w:val="20"/>
                      <w:szCs w:val="20"/>
                    </w:rPr>
                  </w:pPr>
                  <w:r w:rsidRPr="00363F53">
                    <w:rPr>
                      <w:rFonts w:ascii="Calibri" w:eastAsia="Calibri" w:hAnsi="Calibri" w:cs="Times New Roman"/>
                      <w:color w:val="FF0000"/>
                      <w:sz w:val="20"/>
                      <w:szCs w:val="20"/>
                    </w:rPr>
                    <w:t>Strong</w:t>
                  </w:r>
                </w:p>
              </w:tc>
              <w:tc>
                <w:tcPr>
                  <w:tcW w:w="1843" w:type="dxa"/>
                </w:tcPr>
                <w:p w14:paraId="6AA75949" w14:textId="70478C3C" w:rsidR="00974574" w:rsidRPr="00363F53" w:rsidRDefault="00974574" w:rsidP="00974574">
                  <w:pPr>
                    <w:ind w:left="0" w:firstLine="0"/>
                    <w:jc w:val="center"/>
                    <w:rPr>
                      <w:rFonts w:ascii="Calibri" w:eastAsia="Calibri" w:hAnsi="Calibri" w:cs="Times New Roman"/>
                      <w:color w:val="FF0000"/>
                      <w:sz w:val="20"/>
                      <w:szCs w:val="20"/>
                    </w:rPr>
                  </w:pPr>
                  <w:r w:rsidRPr="00363F53">
                    <w:rPr>
                      <w:rFonts w:ascii="Calibri" w:eastAsia="Calibri" w:hAnsi="Calibri" w:cs="Times New Roman"/>
                      <w:color w:val="FF0000"/>
                      <w:sz w:val="20"/>
                      <w:szCs w:val="20"/>
                    </w:rPr>
                    <w:t>Weak</w:t>
                  </w:r>
                </w:p>
              </w:tc>
            </w:tr>
            <w:tr w:rsidR="00363F53" w:rsidRPr="00363F53" w14:paraId="122A849A" w14:textId="77777777" w:rsidTr="00974574">
              <w:tc>
                <w:tcPr>
                  <w:tcW w:w="1843" w:type="dxa"/>
                </w:tcPr>
                <w:p w14:paraId="2FF6AE81" w14:textId="27DF3755" w:rsidR="00974574" w:rsidRPr="00363F53" w:rsidRDefault="00974574" w:rsidP="00974574">
                  <w:pPr>
                    <w:ind w:left="0" w:firstLine="0"/>
                    <w:jc w:val="center"/>
                    <w:rPr>
                      <w:rFonts w:ascii="Calibri" w:eastAsia="Calibri" w:hAnsi="Calibri" w:cs="Times New Roman"/>
                      <w:color w:val="FF0000"/>
                      <w:sz w:val="20"/>
                      <w:szCs w:val="20"/>
                    </w:rPr>
                  </w:pPr>
                  <w:r w:rsidRPr="00363F53">
                    <w:rPr>
                      <w:rFonts w:ascii="Calibri" w:eastAsia="Calibri" w:hAnsi="Calibri" w:cs="Times New Roman"/>
                      <w:color w:val="FF0000"/>
                      <w:sz w:val="20"/>
                      <w:szCs w:val="20"/>
                    </w:rPr>
                    <w:t>Moderate</w:t>
                  </w:r>
                </w:p>
              </w:tc>
              <w:tc>
                <w:tcPr>
                  <w:tcW w:w="1843" w:type="dxa"/>
                </w:tcPr>
                <w:p w14:paraId="25914FE0" w14:textId="0395CD3D" w:rsidR="00974574" w:rsidRPr="00363F53" w:rsidRDefault="00974574" w:rsidP="00974574">
                  <w:pPr>
                    <w:ind w:left="0" w:firstLine="0"/>
                    <w:jc w:val="center"/>
                    <w:rPr>
                      <w:rFonts w:ascii="Calibri" w:eastAsia="Calibri" w:hAnsi="Calibri" w:cs="Times New Roman"/>
                      <w:color w:val="FF0000"/>
                      <w:sz w:val="20"/>
                      <w:szCs w:val="20"/>
                    </w:rPr>
                  </w:pPr>
                  <w:r w:rsidRPr="00363F53">
                    <w:rPr>
                      <w:rFonts w:ascii="Calibri" w:eastAsia="Calibri" w:hAnsi="Calibri" w:cs="Times New Roman"/>
                      <w:color w:val="FF0000"/>
                      <w:sz w:val="20"/>
                      <w:szCs w:val="20"/>
                    </w:rPr>
                    <w:t>Strong</w:t>
                  </w:r>
                </w:p>
              </w:tc>
              <w:tc>
                <w:tcPr>
                  <w:tcW w:w="1843" w:type="dxa"/>
                </w:tcPr>
                <w:p w14:paraId="52B20304" w14:textId="34D51625" w:rsidR="00974574" w:rsidRPr="00363F53" w:rsidRDefault="00974574" w:rsidP="00974574">
                  <w:pPr>
                    <w:ind w:left="0" w:firstLine="0"/>
                    <w:jc w:val="center"/>
                    <w:rPr>
                      <w:rFonts w:ascii="Calibri" w:eastAsia="Calibri" w:hAnsi="Calibri" w:cs="Times New Roman"/>
                      <w:color w:val="FF0000"/>
                      <w:sz w:val="20"/>
                      <w:szCs w:val="20"/>
                    </w:rPr>
                  </w:pPr>
                  <w:r w:rsidRPr="00363F53">
                    <w:rPr>
                      <w:rFonts w:ascii="Calibri" w:eastAsia="Calibri" w:hAnsi="Calibri" w:cs="Times New Roman"/>
                      <w:color w:val="FF0000"/>
                      <w:sz w:val="20"/>
                      <w:szCs w:val="20"/>
                    </w:rPr>
                    <w:t>Weak</w:t>
                  </w:r>
                </w:p>
              </w:tc>
            </w:tr>
            <w:tr w:rsidR="00363F53" w:rsidRPr="00363F53" w14:paraId="11D372E3" w14:textId="77777777" w:rsidTr="00974574">
              <w:tc>
                <w:tcPr>
                  <w:tcW w:w="1843" w:type="dxa"/>
                </w:tcPr>
                <w:p w14:paraId="042DBAC0" w14:textId="5ED6F4A5" w:rsidR="00974574" w:rsidRPr="00363F53" w:rsidRDefault="00974574" w:rsidP="00974574">
                  <w:pPr>
                    <w:ind w:left="0" w:firstLine="0"/>
                    <w:jc w:val="center"/>
                    <w:rPr>
                      <w:rFonts w:ascii="Calibri" w:eastAsia="Calibri" w:hAnsi="Calibri" w:cs="Times New Roman"/>
                      <w:color w:val="FF0000"/>
                      <w:sz w:val="20"/>
                      <w:szCs w:val="20"/>
                    </w:rPr>
                  </w:pPr>
                  <w:r w:rsidRPr="00363F53">
                    <w:rPr>
                      <w:rFonts w:ascii="Calibri" w:eastAsia="Calibri" w:hAnsi="Calibri" w:cs="Times New Roman"/>
                      <w:color w:val="FF0000"/>
                      <w:sz w:val="20"/>
                      <w:szCs w:val="20"/>
                    </w:rPr>
                    <w:t>Low</w:t>
                  </w:r>
                </w:p>
              </w:tc>
              <w:tc>
                <w:tcPr>
                  <w:tcW w:w="1843" w:type="dxa"/>
                </w:tcPr>
                <w:p w14:paraId="69621111" w14:textId="29F4E142" w:rsidR="00974574" w:rsidRPr="00363F53" w:rsidRDefault="00974574" w:rsidP="00974574">
                  <w:pPr>
                    <w:ind w:left="0" w:firstLine="0"/>
                    <w:jc w:val="center"/>
                    <w:rPr>
                      <w:rFonts w:ascii="Calibri" w:eastAsia="Calibri" w:hAnsi="Calibri" w:cs="Times New Roman"/>
                      <w:color w:val="FF0000"/>
                      <w:sz w:val="20"/>
                      <w:szCs w:val="20"/>
                    </w:rPr>
                  </w:pPr>
                  <w:r w:rsidRPr="00363F53">
                    <w:rPr>
                      <w:rFonts w:ascii="Calibri" w:eastAsia="Calibri" w:hAnsi="Calibri" w:cs="Times New Roman"/>
                      <w:color w:val="FF0000"/>
                      <w:sz w:val="20"/>
                      <w:szCs w:val="20"/>
                    </w:rPr>
                    <w:t>Strong</w:t>
                  </w:r>
                </w:p>
              </w:tc>
              <w:tc>
                <w:tcPr>
                  <w:tcW w:w="1843" w:type="dxa"/>
                </w:tcPr>
                <w:p w14:paraId="7235B7A7" w14:textId="377813D1" w:rsidR="00974574" w:rsidRPr="00363F53" w:rsidRDefault="00974574" w:rsidP="00974574">
                  <w:pPr>
                    <w:ind w:left="0" w:firstLine="0"/>
                    <w:jc w:val="center"/>
                    <w:rPr>
                      <w:rFonts w:ascii="Calibri" w:eastAsia="Calibri" w:hAnsi="Calibri" w:cs="Times New Roman"/>
                      <w:color w:val="FF0000"/>
                      <w:sz w:val="20"/>
                      <w:szCs w:val="20"/>
                    </w:rPr>
                  </w:pPr>
                  <w:r w:rsidRPr="00363F53">
                    <w:rPr>
                      <w:rFonts w:ascii="Calibri" w:eastAsia="Calibri" w:hAnsi="Calibri" w:cs="Times New Roman"/>
                      <w:color w:val="FF0000"/>
                      <w:sz w:val="20"/>
                      <w:szCs w:val="20"/>
                    </w:rPr>
                    <w:t>Weak</w:t>
                  </w:r>
                </w:p>
              </w:tc>
            </w:tr>
            <w:tr w:rsidR="00363F53" w:rsidRPr="00363F53" w14:paraId="304BDCE7" w14:textId="77777777" w:rsidTr="006179D1">
              <w:tc>
                <w:tcPr>
                  <w:tcW w:w="5529" w:type="dxa"/>
                  <w:gridSpan w:val="3"/>
                </w:tcPr>
                <w:p w14:paraId="4639BE71" w14:textId="3BBA660C" w:rsidR="00974574" w:rsidRPr="00363F53" w:rsidRDefault="00974574" w:rsidP="00974574">
                  <w:pPr>
                    <w:ind w:left="0" w:firstLine="0"/>
                    <w:jc w:val="center"/>
                    <w:rPr>
                      <w:rFonts w:ascii="Calibri" w:eastAsia="Calibri" w:hAnsi="Calibri" w:cs="Times New Roman"/>
                      <w:color w:val="FF0000"/>
                      <w:sz w:val="20"/>
                      <w:szCs w:val="20"/>
                    </w:rPr>
                  </w:pPr>
                  <w:r w:rsidRPr="00363F53">
                    <w:rPr>
                      <w:rFonts w:ascii="Calibri" w:eastAsia="Calibri" w:hAnsi="Calibri" w:cs="Times New Roman"/>
                      <w:color w:val="FF0000"/>
                      <w:sz w:val="20"/>
                      <w:szCs w:val="20"/>
                    </w:rPr>
                    <w:t>Insufficient evidence to determine net benefits or risks</w:t>
                  </w:r>
                </w:p>
              </w:tc>
            </w:tr>
          </w:tbl>
          <w:p w14:paraId="455E2A1E" w14:textId="77777777" w:rsidR="00974574" w:rsidRPr="00363F53" w:rsidRDefault="00974574" w:rsidP="00974574">
            <w:pPr>
              <w:ind w:left="0" w:firstLine="0"/>
              <w:rPr>
                <w:rFonts w:ascii="Calibri" w:eastAsia="Calibri" w:hAnsi="Calibri" w:cs="Times New Roman"/>
                <w:color w:val="FF0000"/>
                <w:sz w:val="20"/>
                <w:szCs w:val="20"/>
              </w:rPr>
            </w:pPr>
          </w:p>
          <w:p w14:paraId="618704B4" w14:textId="3C025824" w:rsidR="00974574" w:rsidRPr="00363F53" w:rsidRDefault="00974574" w:rsidP="00974574">
            <w:pPr>
              <w:ind w:left="0" w:firstLine="0"/>
              <w:rPr>
                <w:rFonts w:ascii="Calibri" w:eastAsia="Calibri" w:hAnsi="Calibri" w:cs="Times New Roman"/>
                <w:color w:val="FF0000"/>
                <w:sz w:val="20"/>
                <w:szCs w:val="20"/>
              </w:rPr>
            </w:pPr>
            <w:r w:rsidRPr="00363F53">
              <w:rPr>
                <w:rFonts w:ascii="Calibri" w:eastAsia="Calibri" w:hAnsi="Calibri" w:cs="Times New Roman"/>
                <w:color w:val="FF0000"/>
                <w:sz w:val="20"/>
                <w:szCs w:val="20"/>
              </w:rPr>
              <w:t xml:space="preserve">Using this grading system, recommendation 1 was graded with low-quality evidence, recommendation 2 was graded with moderate-quality evidence, and recommendation 3 was graded with moderate-quality evidence. </w:t>
            </w:r>
          </w:p>
          <w:p w14:paraId="2B725B63" w14:textId="64B0C764" w:rsidR="00974574" w:rsidRPr="00363F53" w:rsidRDefault="00974574" w:rsidP="00974574">
            <w:pPr>
              <w:ind w:left="0" w:firstLine="0"/>
              <w:rPr>
                <w:rFonts w:ascii="Calibri" w:eastAsia="Calibri" w:hAnsi="Calibri" w:cs="Times New Roman"/>
                <w:color w:val="FF0000"/>
                <w:sz w:val="20"/>
                <w:szCs w:val="20"/>
              </w:rPr>
            </w:pPr>
          </w:p>
        </w:tc>
      </w:tr>
      <w:tr w:rsidR="00A26C89" w14:paraId="0E12012B" w14:textId="77777777" w:rsidTr="006179D1">
        <w:tc>
          <w:tcPr>
            <w:tcW w:w="3595" w:type="dxa"/>
          </w:tcPr>
          <w:p w14:paraId="7B612237" w14:textId="77777777" w:rsidR="00A26C89" w:rsidRPr="00552F57" w:rsidRDefault="00A26C89" w:rsidP="006179D1">
            <w:pPr>
              <w:ind w:left="0" w:firstLine="0"/>
              <w:rPr>
                <w:rFonts w:ascii="Calibri" w:eastAsia="Calibri" w:hAnsi="Calibri" w:cs="Times New Roman"/>
                <w:sz w:val="20"/>
                <w:szCs w:val="20"/>
              </w:rPr>
            </w:pPr>
            <w:r w:rsidRPr="00552F57">
              <w:rPr>
                <w:sz w:val="20"/>
                <w:szCs w:val="20"/>
              </w:rPr>
              <w:t>Provide all other grades and definitions from the evidence grading system.</w:t>
            </w:r>
          </w:p>
        </w:tc>
        <w:tc>
          <w:tcPr>
            <w:tcW w:w="5755" w:type="dxa"/>
          </w:tcPr>
          <w:p w14:paraId="586AA392" w14:textId="7D7A4680" w:rsidR="00A26C89" w:rsidRPr="00363F53" w:rsidRDefault="00362787" w:rsidP="006179D1">
            <w:pPr>
              <w:ind w:left="0" w:firstLine="0"/>
              <w:rPr>
                <w:rFonts w:ascii="Calibri" w:eastAsia="Calibri" w:hAnsi="Calibri" w:cs="Times New Roman"/>
                <w:color w:val="FF0000"/>
                <w:sz w:val="20"/>
                <w:szCs w:val="20"/>
              </w:rPr>
            </w:pPr>
            <w:r w:rsidRPr="00363F53">
              <w:rPr>
                <w:rFonts w:ascii="Calibri" w:eastAsia="Calibri" w:hAnsi="Calibri" w:cs="Times New Roman"/>
                <w:color w:val="FF0000"/>
                <w:sz w:val="20"/>
                <w:szCs w:val="20"/>
              </w:rPr>
              <w:t>Not applicable.</w:t>
            </w:r>
          </w:p>
        </w:tc>
      </w:tr>
      <w:tr w:rsidR="00A26C89" w14:paraId="2AC1A65C" w14:textId="77777777" w:rsidTr="006179D1">
        <w:tc>
          <w:tcPr>
            <w:tcW w:w="3595" w:type="dxa"/>
          </w:tcPr>
          <w:p w14:paraId="63C37C07" w14:textId="77777777" w:rsidR="00A26C89" w:rsidRPr="00552F57" w:rsidRDefault="00A26C89" w:rsidP="006179D1">
            <w:pPr>
              <w:ind w:left="0" w:firstLine="0"/>
              <w:rPr>
                <w:rFonts w:ascii="Calibri" w:eastAsia="Calibri" w:hAnsi="Calibri" w:cs="Times New Roman"/>
                <w:sz w:val="20"/>
                <w:szCs w:val="20"/>
              </w:rPr>
            </w:pPr>
            <w:r w:rsidRPr="00552F57">
              <w:rPr>
                <w:rFonts w:ascii="Calibri" w:eastAsia="Calibri" w:hAnsi="Calibri" w:cs="Times New Roman"/>
                <w:sz w:val="20"/>
                <w:szCs w:val="20"/>
              </w:rPr>
              <w:t>Grade assigned to the recommendation with definition of the grade.</w:t>
            </w:r>
          </w:p>
        </w:tc>
        <w:tc>
          <w:tcPr>
            <w:tcW w:w="5755" w:type="dxa"/>
          </w:tcPr>
          <w:p w14:paraId="5D79F53A" w14:textId="76BBC998" w:rsidR="00A26C89" w:rsidRPr="00363F53" w:rsidRDefault="00362787" w:rsidP="006179D1">
            <w:pPr>
              <w:ind w:left="0" w:firstLine="0"/>
              <w:rPr>
                <w:rFonts w:ascii="Calibri" w:eastAsia="Calibri" w:hAnsi="Calibri" w:cs="Times New Roman"/>
                <w:color w:val="FF0000"/>
                <w:sz w:val="20"/>
                <w:szCs w:val="20"/>
              </w:rPr>
            </w:pPr>
            <w:r w:rsidRPr="00363F53">
              <w:rPr>
                <w:rFonts w:ascii="Calibri" w:eastAsia="Calibri" w:hAnsi="Calibri" w:cs="Times New Roman"/>
                <w:color w:val="FF0000"/>
                <w:sz w:val="20"/>
                <w:szCs w:val="20"/>
              </w:rPr>
              <w:t xml:space="preserve">Recommendation 1 was graded weak, recommendation 2 was graded strong, and recommendation three was graded weak. </w:t>
            </w:r>
          </w:p>
        </w:tc>
      </w:tr>
      <w:tr w:rsidR="00A26C89" w14:paraId="2A8896BB" w14:textId="77777777" w:rsidTr="006179D1">
        <w:tc>
          <w:tcPr>
            <w:tcW w:w="3595" w:type="dxa"/>
          </w:tcPr>
          <w:p w14:paraId="6217EDAA" w14:textId="77777777" w:rsidR="00A26C89" w:rsidRPr="00552F57" w:rsidRDefault="00A26C89" w:rsidP="006179D1">
            <w:pPr>
              <w:ind w:left="0" w:firstLine="0"/>
              <w:rPr>
                <w:rFonts w:ascii="Calibri" w:eastAsia="Calibri" w:hAnsi="Calibri" w:cs="Times New Roman"/>
                <w:sz w:val="20"/>
                <w:szCs w:val="20"/>
              </w:rPr>
            </w:pPr>
            <w:r w:rsidRPr="00552F57">
              <w:rPr>
                <w:rFonts w:ascii="Calibri" w:eastAsia="Calibri" w:hAnsi="Calibri" w:cs="Times New Roman"/>
                <w:sz w:val="20"/>
                <w:szCs w:val="20"/>
              </w:rPr>
              <w:t>Provide all other grades and definitions from the recommendation grading system.</w:t>
            </w:r>
          </w:p>
        </w:tc>
        <w:tc>
          <w:tcPr>
            <w:tcW w:w="5755" w:type="dxa"/>
          </w:tcPr>
          <w:p w14:paraId="4B056F38" w14:textId="58F56B59" w:rsidR="00A26C89" w:rsidRPr="00363F53" w:rsidRDefault="00362787" w:rsidP="006179D1">
            <w:pPr>
              <w:ind w:left="0" w:firstLine="0"/>
              <w:rPr>
                <w:rFonts w:ascii="Calibri" w:eastAsia="Calibri" w:hAnsi="Calibri" w:cs="Times New Roman"/>
                <w:color w:val="FF0000"/>
                <w:sz w:val="20"/>
                <w:szCs w:val="20"/>
              </w:rPr>
            </w:pPr>
            <w:r w:rsidRPr="00363F53">
              <w:rPr>
                <w:rFonts w:ascii="Calibri" w:eastAsia="Calibri" w:hAnsi="Calibri" w:cs="Times New Roman"/>
                <w:color w:val="FF0000"/>
                <w:sz w:val="20"/>
                <w:szCs w:val="20"/>
              </w:rPr>
              <w:t xml:space="preserve">Not applicable. </w:t>
            </w:r>
          </w:p>
        </w:tc>
      </w:tr>
      <w:tr w:rsidR="00A26C89" w14:paraId="12EA3899" w14:textId="77777777" w:rsidTr="006179D1">
        <w:tc>
          <w:tcPr>
            <w:tcW w:w="3595" w:type="dxa"/>
          </w:tcPr>
          <w:p w14:paraId="550B402D" w14:textId="77777777" w:rsidR="00A26C89" w:rsidRPr="00552F57" w:rsidRDefault="00A26C89" w:rsidP="006179D1">
            <w:pPr>
              <w:ind w:left="0" w:firstLine="0"/>
              <w:rPr>
                <w:rFonts w:ascii="Calibri" w:eastAsia="Calibri" w:hAnsi="Calibri" w:cs="Times New Roman"/>
                <w:sz w:val="20"/>
                <w:szCs w:val="20"/>
              </w:rPr>
            </w:pPr>
            <w:r w:rsidRPr="00552F57">
              <w:rPr>
                <w:rFonts w:ascii="Calibri" w:eastAsia="Calibri" w:hAnsi="Calibri" w:cs="Times New Roman"/>
                <w:sz w:val="20"/>
                <w:szCs w:val="20"/>
              </w:rPr>
              <w:t>Body of evidence:</w:t>
            </w:r>
          </w:p>
          <w:p w14:paraId="2BA9D9B0" w14:textId="77777777" w:rsidR="00A26C89" w:rsidRPr="00552F57" w:rsidRDefault="00A26C89" w:rsidP="002B5113">
            <w:pPr>
              <w:pStyle w:val="ListParagraph"/>
              <w:numPr>
                <w:ilvl w:val="0"/>
                <w:numId w:val="5"/>
              </w:numPr>
              <w:rPr>
                <w:rFonts w:ascii="Calibri" w:eastAsia="Calibri" w:hAnsi="Calibri" w:cs="Times New Roman"/>
                <w:sz w:val="20"/>
                <w:szCs w:val="20"/>
              </w:rPr>
            </w:pPr>
            <w:r w:rsidRPr="00552F57">
              <w:rPr>
                <w:rFonts w:ascii="Calibri" w:eastAsia="Calibri" w:hAnsi="Calibri" w:cs="Times New Roman"/>
                <w:sz w:val="20"/>
                <w:szCs w:val="20"/>
              </w:rPr>
              <w:t>Quantity – how many studies?</w:t>
            </w:r>
          </w:p>
          <w:p w14:paraId="2E10F886" w14:textId="77777777" w:rsidR="00A26C89" w:rsidRPr="00552F57" w:rsidRDefault="00A26C89" w:rsidP="002B5113">
            <w:pPr>
              <w:pStyle w:val="ListParagraph"/>
              <w:numPr>
                <w:ilvl w:val="0"/>
                <w:numId w:val="5"/>
              </w:numPr>
              <w:rPr>
                <w:rFonts w:ascii="Calibri" w:eastAsia="Calibri" w:hAnsi="Calibri" w:cs="Times New Roman"/>
              </w:rPr>
            </w:pPr>
            <w:r w:rsidRPr="00552F57">
              <w:rPr>
                <w:rFonts w:ascii="Calibri" w:eastAsia="Calibri" w:hAnsi="Calibri" w:cs="Times New Roman"/>
                <w:sz w:val="20"/>
                <w:szCs w:val="20"/>
              </w:rPr>
              <w:t>Quality – what type of studies?</w:t>
            </w:r>
          </w:p>
        </w:tc>
        <w:tc>
          <w:tcPr>
            <w:tcW w:w="5755" w:type="dxa"/>
          </w:tcPr>
          <w:p w14:paraId="5C1B0060" w14:textId="7886EE40" w:rsidR="00BC77CD" w:rsidRPr="00363F53" w:rsidRDefault="002F3077" w:rsidP="00570938">
            <w:pPr>
              <w:ind w:left="0" w:firstLine="0"/>
              <w:rPr>
                <w:rFonts w:ascii="Calibri" w:eastAsia="Calibri" w:hAnsi="Calibri" w:cs="Times New Roman"/>
                <w:color w:val="FF0000"/>
                <w:sz w:val="20"/>
                <w:szCs w:val="20"/>
              </w:rPr>
            </w:pPr>
            <w:r w:rsidRPr="00363F53">
              <w:rPr>
                <w:rFonts w:ascii="Calibri" w:eastAsia="Calibri" w:hAnsi="Calibri" w:cs="Times New Roman"/>
                <w:color w:val="FF0000"/>
                <w:sz w:val="20"/>
                <w:szCs w:val="20"/>
              </w:rPr>
              <w:t xml:space="preserve">This guideline referenced 120 studies/articles. Studies discussed pressure ulcer incidence and severity, resource use, diagnostic accuracy, measures of risk, discrimination, and harms. This guideline additionally reviewed multicomponent strategies for </w:t>
            </w:r>
            <w:r w:rsidR="00570938" w:rsidRPr="00363F53">
              <w:rPr>
                <w:rFonts w:ascii="Calibri" w:eastAsia="Calibri" w:hAnsi="Calibri" w:cs="Times New Roman"/>
                <w:color w:val="FF0000"/>
                <w:sz w:val="20"/>
                <w:szCs w:val="20"/>
              </w:rPr>
              <w:t xml:space="preserve">reducing </w:t>
            </w:r>
            <w:r w:rsidRPr="00363F53">
              <w:rPr>
                <w:rFonts w:ascii="Calibri" w:eastAsia="Calibri" w:hAnsi="Calibri" w:cs="Times New Roman"/>
                <w:color w:val="FF0000"/>
                <w:sz w:val="20"/>
                <w:szCs w:val="20"/>
              </w:rPr>
              <w:t xml:space="preserve">facility-acquired pressure ulcers. </w:t>
            </w:r>
            <w:r w:rsidR="00BC77CD" w:rsidRPr="00363F53">
              <w:rPr>
                <w:rFonts w:ascii="Calibri" w:eastAsia="Calibri" w:hAnsi="Calibri" w:cs="Times New Roman"/>
                <w:color w:val="FF0000"/>
                <w:sz w:val="20"/>
                <w:szCs w:val="20"/>
              </w:rPr>
              <w:t>The ACP evaluates quality of evidence using the Guideline Grading S</w:t>
            </w:r>
            <w:r w:rsidR="006334C5" w:rsidRPr="00363F53">
              <w:rPr>
                <w:rFonts w:ascii="Calibri" w:eastAsia="Calibri" w:hAnsi="Calibri" w:cs="Times New Roman"/>
                <w:color w:val="FF0000"/>
                <w:sz w:val="20"/>
                <w:szCs w:val="20"/>
              </w:rPr>
              <w:t>ystem mentioned in Table 2</w:t>
            </w:r>
            <w:r w:rsidR="00BC77CD" w:rsidRPr="00363F53">
              <w:rPr>
                <w:rFonts w:ascii="Calibri" w:eastAsia="Calibri" w:hAnsi="Calibri" w:cs="Times New Roman"/>
                <w:color w:val="FF0000"/>
                <w:sz w:val="20"/>
                <w:szCs w:val="20"/>
              </w:rPr>
              <w:t>. This set of guidelines cites low-and mode</w:t>
            </w:r>
            <w:r w:rsidR="00570938" w:rsidRPr="00363F53">
              <w:rPr>
                <w:rFonts w:ascii="Calibri" w:eastAsia="Calibri" w:hAnsi="Calibri" w:cs="Times New Roman"/>
                <w:color w:val="FF0000"/>
                <w:sz w:val="20"/>
                <w:szCs w:val="20"/>
              </w:rPr>
              <w:t>rate-quality evidence equally, and</w:t>
            </w:r>
            <w:r w:rsidR="00BC77CD" w:rsidRPr="00363F53">
              <w:rPr>
                <w:rFonts w:ascii="Calibri" w:eastAsia="Calibri" w:hAnsi="Calibri" w:cs="Times New Roman"/>
                <w:color w:val="FF0000"/>
                <w:sz w:val="20"/>
                <w:szCs w:val="20"/>
              </w:rPr>
              <w:t xml:space="preserve"> does not cite any evidence of high-quality. Evidence used in this guideline </w:t>
            </w:r>
            <w:r w:rsidR="00570938" w:rsidRPr="00363F53">
              <w:rPr>
                <w:rFonts w:ascii="Calibri" w:eastAsia="Calibri" w:hAnsi="Calibri" w:cs="Times New Roman"/>
                <w:color w:val="FF0000"/>
                <w:sz w:val="20"/>
                <w:szCs w:val="20"/>
              </w:rPr>
              <w:t>were</w:t>
            </w:r>
            <w:r w:rsidR="00BC77CD" w:rsidRPr="00363F53">
              <w:rPr>
                <w:rFonts w:ascii="Calibri" w:eastAsia="Calibri" w:hAnsi="Calibri" w:cs="Times New Roman"/>
                <w:color w:val="FF0000"/>
                <w:sz w:val="20"/>
                <w:szCs w:val="20"/>
              </w:rPr>
              <w:t xml:space="preserve"> reviewed by </w:t>
            </w:r>
            <w:r w:rsidR="00570938" w:rsidRPr="00363F53">
              <w:rPr>
                <w:rFonts w:ascii="Calibri" w:eastAsia="Calibri" w:hAnsi="Calibri" w:cs="Times New Roman"/>
                <w:color w:val="FF0000"/>
                <w:sz w:val="20"/>
                <w:szCs w:val="20"/>
              </w:rPr>
              <w:t xml:space="preserve">the </w:t>
            </w:r>
            <w:r w:rsidR="00BC77CD" w:rsidRPr="00363F53">
              <w:rPr>
                <w:rFonts w:ascii="Calibri" w:eastAsia="Calibri" w:hAnsi="Calibri" w:cs="Times New Roman"/>
                <w:color w:val="FF0000"/>
                <w:sz w:val="20"/>
                <w:szCs w:val="20"/>
              </w:rPr>
              <w:t>ACP’s Clinical Guidelines Committee. Additionally, the Anna</w:t>
            </w:r>
            <w:r w:rsidR="009D568E" w:rsidRPr="00363F53">
              <w:rPr>
                <w:rFonts w:ascii="Calibri" w:eastAsia="Calibri" w:hAnsi="Calibri" w:cs="Times New Roman"/>
                <w:color w:val="FF0000"/>
                <w:sz w:val="20"/>
                <w:szCs w:val="20"/>
              </w:rPr>
              <w:t>ls of Internal Medicine conducted</w:t>
            </w:r>
            <w:r w:rsidR="00BC77CD" w:rsidRPr="00363F53">
              <w:rPr>
                <w:rFonts w:ascii="Calibri" w:eastAsia="Calibri" w:hAnsi="Calibri" w:cs="Times New Roman"/>
                <w:color w:val="FF0000"/>
                <w:sz w:val="20"/>
                <w:szCs w:val="20"/>
              </w:rPr>
              <w:t xml:space="preserve"> a statistical peer-review process</w:t>
            </w:r>
            <w:r w:rsidR="00570938" w:rsidRPr="00363F53">
              <w:rPr>
                <w:rFonts w:ascii="Calibri" w:eastAsia="Calibri" w:hAnsi="Calibri" w:cs="Times New Roman"/>
                <w:color w:val="FF0000"/>
                <w:sz w:val="20"/>
                <w:szCs w:val="20"/>
              </w:rPr>
              <w:t xml:space="preserve"> on the evidence</w:t>
            </w:r>
            <w:r w:rsidR="00BC77CD" w:rsidRPr="00363F53">
              <w:rPr>
                <w:rFonts w:ascii="Calibri" w:eastAsia="Calibri" w:hAnsi="Calibri" w:cs="Times New Roman"/>
                <w:color w:val="FF0000"/>
                <w:sz w:val="20"/>
                <w:szCs w:val="20"/>
              </w:rPr>
              <w:t xml:space="preserve">. </w:t>
            </w:r>
          </w:p>
        </w:tc>
      </w:tr>
      <w:tr w:rsidR="00A26C89" w14:paraId="1D9F2806" w14:textId="77777777" w:rsidTr="006179D1">
        <w:tc>
          <w:tcPr>
            <w:tcW w:w="3595" w:type="dxa"/>
          </w:tcPr>
          <w:p w14:paraId="3E89F144" w14:textId="77777777" w:rsidR="00A26C89" w:rsidRPr="00552F57" w:rsidRDefault="00A26C89" w:rsidP="006179D1">
            <w:pPr>
              <w:ind w:left="0" w:firstLine="0"/>
              <w:rPr>
                <w:rFonts w:ascii="Calibri" w:eastAsia="Calibri" w:hAnsi="Calibri" w:cs="Times New Roman"/>
                <w:sz w:val="20"/>
                <w:szCs w:val="20"/>
              </w:rPr>
            </w:pPr>
            <w:r w:rsidRPr="00552F57">
              <w:rPr>
                <w:rFonts w:ascii="Calibri" w:eastAsia="Calibri" w:hAnsi="Calibri" w:cs="Times New Roman"/>
                <w:sz w:val="20"/>
                <w:szCs w:val="20"/>
              </w:rPr>
              <w:t>Estimates of benefit and consistency across studies.</w:t>
            </w:r>
          </w:p>
        </w:tc>
        <w:tc>
          <w:tcPr>
            <w:tcW w:w="5755" w:type="dxa"/>
          </w:tcPr>
          <w:p w14:paraId="4CF99392" w14:textId="00AFC8A5" w:rsidR="00A26C89" w:rsidRPr="00363F53" w:rsidRDefault="002F3077" w:rsidP="009D568E">
            <w:pPr>
              <w:ind w:left="0" w:firstLine="0"/>
              <w:rPr>
                <w:rFonts w:ascii="Calibri" w:eastAsia="Calibri" w:hAnsi="Calibri" w:cs="Times New Roman"/>
                <w:color w:val="FF0000"/>
                <w:sz w:val="20"/>
                <w:szCs w:val="20"/>
              </w:rPr>
            </w:pPr>
            <w:r w:rsidRPr="00363F53">
              <w:rPr>
                <w:rFonts w:ascii="Calibri" w:eastAsia="Calibri" w:hAnsi="Calibri" w:cs="Times New Roman"/>
                <w:color w:val="FF0000"/>
                <w:sz w:val="20"/>
                <w:szCs w:val="20"/>
              </w:rPr>
              <w:t xml:space="preserve">Moderate-quality evidence from a review of 26 implementation studies showed that multicomponent interventions can improve skin care and reduce pressure ulcer rates in long-term care settings. The review found that key components of successful interventions include simplification and standardization of pressure ulcer-specified interventions and documentation, involvement of multidisciplinary teams and leadership, </w:t>
            </w:r>
            <w:r w:rsidR="00570938" w:rsidRPr="00363F53">
              <w:rPr>
                <w:rFonts w:ascii="Calibri" w:eastAsia="Calibri" w:hAnsi="Calibri" w:cs="Times New Roman"/>
                <w:color w:val="FF0000"/>
                <w:sz w:val="20"/>
                <w:szCs w:val="20"/>
              </w:rPr>
              <w:t xml:space="preserve">the inclusion of </w:t>
            </w:r>
            <w:r w:rsidRPr="00363F53">
              <w:rPr>
                <w:rFonts w:ascii="Calibri" w:eastAsia="Calibri" w:hAnsi="Calibri" w:cs="Times New Roman"/>
                <w:color w:val="FF0000"/>
                <w:sz w:val="20"/>
                <w:szCs w:val="20"/>
              </w:rPr>
              <w:t xml:space="preserve">designated skin champions who educate staff about skin care and pressure ulcer prevention, ongoing staff education, sustained audit and feedback prevalence reports, </w:t>
            </w:r>
            <w:r w:rsidR="00327C16" w:rsidRPr="00363F53">
              <w:rPr>
                <w:rFonts w:ascii="Calibri" w:eastAsia="Calibri" w:hAnsi="Calibri" w:cs="Times New Roman"/>
                <w:color w:val="FF0000"/>
                <w:sz w:val="20"/>
                <w:szCs w:val="20"/>
              </w:rPr>
              <w:t xml:space="preserve">the receipt of </w:t>
            </w:r>
            <w:r w:rsidRPr="00363F53">
              <w:rPr>
                <w:rFonts w:ascii="Calibri" w:eastAsia="Calibri" w:hAnsi="Calibri" w:cs="Times New Roman"/>
                <w:color w:val="FF0000"/>
                <w:sz w:val="20"/>
                <w:szCs w:val="20"/>
              </w:rPr>
              <w:t xml:space="preserve">formal and informal feedback, and </w:t>
            </w:r>
            <w:r w:rsidR="00327C16" w:rsidRPr="00363F53">
              <w:rPr>
                <w:rFonts w:ascii="Calibri" w:eastAsia="Calibri" w:hAnsi="Calibri" w:cs="Times New Roman"/>
                <w:color w:val="FF0000"/>
                <w:sz w:val="20"/>
                <w:szCs w:val="20"/>
              </w:rPr>
              <w:t xml:space="preserve">the gathering </w:t>
            </w:r>
            <w:r w:rsidRPr="00363F53">
              <w:rPr>
                <w:rFonts w:ascii="Calibri" w:eastAsia="Calibri" w:hAnsi="Calibri" w:cs="Times New Roman"/>
                <w:color w:val="FF0000"/>
                <w:sz w:val="20"/>
                <w:szCs w:val="20"/>
              </w:rPr>
              <w:t xml:space="preserve">all-facility meetings. Successful interventions also incorporated evidence-based guidelines into their practices. </w:t>
            </w:r>
            <w:r w:rsidR="009D568E" w:rsidRPr="00363F53">
              <w:rPr>
                <w:rFonts w:ascii="Calibri" w:eastAsia="Calibri" w:hAnsi="Calibri" w:cs="Times New Roman"/>
                <w:color w:val="FF0000"/>
                <w:sz w:val="20"/>
                <w:szCs w:val="20"/>
              </w:rPr>
              <w:t xml:space="preserve">Additionally, the </w:t>
            </w:r>
            <w:r w:rsidRPr="00363F53">
              <w:rPr>
                <w:rFonts w:ascii="Calibri" w:eastAsia="Calibri" w:hAnsi="Calibri" w:cs="Times New Roman"/>
                <w:color w:val="FF0000"/>
                <w:sz w:val="20"/>
                <w:szCs w:val="20"/>
              </w:rPr>
              <w:t xml:space="preserve">use of risk assessment instruments allowed for the prediction of patients </w:t>
            </w:r>
            <w:r w:rsidR="0081014E" w:rsidRPr="00363F53">
              <w:rPr>
                <w:rFonts w:ascii="Calibri" w:eastAsia="Calibri" w:hAnsi="Calibri" w:cs="Times New Roman"/>
                <w:color w:val="FF0000"/>
                <w:sz w:val="20"/>
                <w:szCs w:val="20"/>
              </w:rPr>
              <w:t>at high risk for pressure ulcer development</w:t>
            </w:r>
            <w:r w:rsidRPr="00363F53">
              <w:rPr>
                <w:rFonts w:ascii="Calibri" w:eastAsia="Calibri" w:hAnsi="Calibri" w:cs="Times New Roman"/>
                <w:color w:val="FF0000"/>
                <w:sz w:val="20"/>
                <w:szCs w:val="20"/>
              </w:rPr>
              <w:t xml:space="preserve">, and preventive interventions reduced pressure ulcer incidence and severity. </w:t>
            </w:r>
          </w:p>
        </w:tc>
      </w:tr>
      <w:tr w:rsidR="00A26C89" w14:paraId="43A55DB2" w14:textId="77777777" w:rsidTr="006179D1">
        <w:tc>
          <w:tcPr>
            <w:tcW w:w="3595" w:type="dxa"/>
          </w:tcPr>
          <w:p w14:paraId="7DCF3BCD" w14:textId="77777777" w:rsidR="00A26C89" w:rsidRPr="00552F57" w:rsidRDefault="00A26C89" w:rsidP="006179D1">
            <w:pPr>
              <w:ind w:left="0" w:firstLine="0"/>
              <w:rPr>
                <w:rFonts w:ascii="Calibri" w:eastAsia="Calibri" w:hAnsi="Calibri" w:cs="Times New Roman"/>
                <w:sz w:val="20"/>
                <w:szCs w:val="20"/>
              </w:rPr>
            </w:pPr>
            <w:r w:rsidRPr="00552F57">
              <w:rPr>
                <w:rFonts w:ascii="Calibri" w:eastAsia="Calibri" w:hAnsi="Calibri" w:cs="Times New Roman"/>
                <w:sz w:val="20"/>
                <w:szCs w:val="20"/>
              </w:rPr>
              <w:t>What harms were identified?</w:t>
            </w:r>
          </w:p>
        </w:tc>
        <w:tc>
          <w:tcPr>
            <w:tcW w:w="5755" w:type="dxa"/>
          </w:tcPr>
          <w:p w14:paraId="12362E92" w14:textId="4553E5E0" w:rsidR="00A26C89" w:rsidRPr="00363F53" w:rsidRDefault="002F3077" w:rsidP="009D568E">
            <w:pPr>
              <w:ind w:left="0" w:firstLine="0"/>
              <w:rPr>
                <w:rFonts w:ascii="Calibri" w:eastAsia="Calibri" w:hAnsi="Calibri" w:cs="Times New Roman"/>
                <w:color w:val="FF0000"/>
                <w:sz w:val="20"/>
                <w:szCs w:val="20"/>
              </w:rPr>
            </w:pPr>
            <w:r w:rsidRPr="00363F53">
              <w:rPr>
                <w:rFonts w:ascii="Calibri" w:eastAsia="Calibri" w:hAnsi="Calibri" w:cs="Times New Roman"/>
                <w:color w:val="FF0000"/>
                <w:sz w:val="20"/>
                <w:szCs w:val="20"/>
              </w:rPr>
              <w:t>A total of 16 trials included in the</w:t>
            </w:r>
            <w:r w:rsidR="009D568E" w:rsidRPr="00363F53">
              <w:rPr>
                <w:rFonts w:ascii="Calibri" w:eastAsia="Calibri" w:hAnsi="Calibri" w:cs="Times New Roman"/>
                <w:color w:val="FF0000"/>
                <w:sz w:val="20"/>
                <w:szCs w:val="20"/>
              </w:rPr>
              <w:t>se guidelines reported harms from interventions used to</w:t>
            </w:r>
            <w:r w:rsidRPr="00363F53">
              <w:rPr>
                <w:rFonts w:ascii="Calibri" w:eastAsia="Calibri" w:hAnsi="Calibri" w:cs="Times New Roman"/>
                <w:color w:val="FF0000"/>
                <w:sz w:val="20"/>
                <w:szCs w:val="20"/>
              </w:rPr>
              <w:t xml:space="preserve"> prevent pressure ulcers. No serious treatment-related harms were reported. Evidence was insufficient to determine how harms of preventive interventions vary according to the type of intervention, care setting, or patient characteristics. Low-quality evidence from 9 studies of support surfaces reported harms relating to heat discomfort, and pain and sleep disturbances associated with dynamic mattresses. Low-quality evidence from one nutritional supplementation study reported tube feeds were poorly tolerated. Low-quality evidence from two repositioning studies reported increased non-adherence due to intolerability of repositioning at a 30-degree tilt position compared with standard positioning. Low-quality evidence from one</w:t>
            </w:r>
            <w:r w:rsidR="00327C16" w:rsidRPr="00363F53">
              <w:rPr>
                <w:rFonts w:ascii="Calibri" w:eastAsia="Calibri" w:hAnsi="Calibri" w:cs="Times New Roman"/>
                <w:color w:val="FF0000"/>
                <w:sz w:val="20"/>
                <w:szCs w:val="20"/>
              </w:rPr>
              <w:t xml:space="preserve"> dressings study </w:t>
            </w:r>
            <w:r w:rsidRPr="00363F53">
              <w:rPr>
                <w:rFonts w:ascii="Calibri" w:eastAsia="Calibri" w:hAnsi="Calibri" w:cs="Times New Roman"/>
                <w:color w:val="FF0000"/>
                <w:sz w:val="20"/>
                <w:szCs w:val="20"/>
              </w:rPr>
              <w:t xml:space="preserve">showed that the application of the </w:t>
            </w:r>
            <w:proofErr w:type="spellStart"/>
            <w:r w:rsidRPr="00363F53">
              <w:rPr>
                <w:rFonts w:ascii="Calibri" w:eastAsia="Calibri" w:hAnsi="Calibri" w:cs="Times New Roman"/>
                <w:color w:val="FF0000"/>
                <w:sz w:val="20"/>
                <w:szCs w:val="20"/>
              </w:rPr>
              <w:t>Remois</w:t>
            </w:r>
            <w:proofErr w:type="spellEnd"/>
            <w:r w:rsidRPr="00363F53">
              <w:rPr>
                <w:rFonts w:ascii="Calibri" w:eastAsia="Calibri" w:hAnsi="Calibri" w:cs="Times New Roman"/>
                <w:color w:val="FF0000"/>
                <w:sz w:val="20"/>
                <w:szCs w:val="20"/>
              </w:rPr>
              <w:t xml:space="preserve"> Pad (</w:t>
            </w:r>
            <w:proofErr w:type="spellStart"/>
            <w:r w:rsidRPr="00363F53">
              <w:rPr>
                <w:rFonts w:ascii="Calibri" w:eastAsia="Calibri" w:hAnsi="Calibri" w:cs="Times New Roman"/>
                <w:color w:val="FF0000"/>
                <w:sz w:val="20"/>
                <w:szCs w:val="20"/>
              </w:rPr>
              <w:t>Alcare</w:t>
            </w:r>
            <w:proofErr w:type="spellEnd"/>
            <w:r w:rsidRPr="00363F53">
              <w:rPr>
                <w:rFonts w:ascii="Calibri" w:eastAsia="Calibri" w:hAnsi="Calibri" w:cs="Times New Roman"/>
                <w:color w:val="FF0000"/>
                <w:sz w:val="20"/>
                <w:szCs w:val="20"/>
              </w:rPr>
              <w:t xml:space="preserve">) resulted in pruritus in one patient out of 37 total. Low-quality evidence from three studies reported harms for lotions or creams. Additionally, no harms were found in the systematic review of multicomponent strategies used to prevent pressure ulcers. </w:t>
            </w:r>
          </w:p>
        </w:tc>
      </w:tr>
      <w:tr w:rsidR="00A26C89" w14:paraId="31BB0416" w14:textId="77777777" w:rsidTr="006179D1">
        <w:tc>
          <w:tcPr>
            <w:tcW w:w="3595" w:type="dxa"/>
          </w:tcPr>
          <w:p w14:paraId="3A085A85" w14:textId="77777777" w:rsidR="00A26C89" w:rsidRPr="00552F57" w:rsidRDefault="00A26C89" w:rsidP="006179D1">
            <w:pPr>
              <w:ind w:left="0" w:firstLine="0"/>
              <w:rPr>
                <w:rFonts w:ascii="Calibri" w:eastAsia="Calibri" w:hAnsi="Calibri" w:cs="Times New Roman"/>
                <w:sz w:val="20"/>
                <w:szCs w:val="20"/>
              </w:rPr>
            </w:pPr>
            <w:r w:rsidRPr="00552F57">
              <w:rPr>
                <w:rFonts w:ascii="Calibri" w:eastAsia="Calibri" w:hAnsi="Calibri" w:cs="Times New Roman"/>
                <w:sz w:val="20"/>
                <w:szCs w:val="20"/>
              </w:rPr>
              <w:t>Identify any new studies conducted since the SR. Do the new studies change the conclusions from the SR?</w:t>
            </w:r>
          </w:p>
        </w:tc>
        <w:tc>
          <w:tcPr>
            <w:tcW w:w="5755" w:type="dxa"/>
          </w:tcPr>
          <w:p w14:paraId="137B8457" w14:textId="4793AF52" w:rsidR="002F3077" w:rsidRPr="00363F53" w:rsidRDefault="002F3077" w:rsidP="006179D1">
            <w:pPr>
              <w:ind w:left="0" w:firstLine="0"/>
              <w:rPr>
                <w:rFonts w:ascii="Calibri" w:eastAsia="Calibri" w:hAnsi="Calibri" w:cs="Times New Roman"/>
                <w:color w:val="FF0000"/>
                <w:sz w:val="20"/>
                <w:szCs w:val="20"/>
              </w:rPr>
            </w:pPr>
            <w:r w:rsidRPr="00363F53">
              <w:rPr>
                <w:rFonts w:ascii="Calibri" w:eastAsia="Calibri" w:hAnsi="Calibri" w:cs="Times New Roman"/>
                <w:color w:val="FF0000"/>
                <w:sz w:val="20"/>
                <w:szCs w:val="20"/>
              </w:rPr>
              <w:t xml:space="preserve">One 2016 study assessed support surfaces to determine the cost-effectiveness and effectiveness of using static air support surfaces compared to alternating pressure surfaces to reduce pressure ulcers. The study found that </w:t>
            </w:r>
            <w:r w:rsidR="002A329C" w:rsidRPr="00363F53">
              <w:rPr>
                <w:rFonts w:ascii="Calibri" w:eastAsia="Calibri" w:hAnsi="Calibri" w:cs="Times New Roman"/>
                <w:color w:val="FF0000"/>
                <w:sz w:val="20"/>
                <w:szCs w:val="20"/>
              </w:rPr>
              <w:t xml:space="preserve">residents using </w:t>
            </w:r>
            <w:r w:rsidRPr="00363F53">
              <w:rPr>
                <w:rFonts w:ascii="Calibri" w:eastAsia="Calibri" w:hAnsi="Calibri" w:cs="Times New Roman"/>
                <w:color w:val="FF0000"/>
                <w:sz w:val="20"/>
                <w:szCs w:val="20"/>
              </w:rPr>
              <w:t xml:space="preserve">static air support surfaces had lower odds of developing </w:t>
            </w:r>
            <w:r w:rsidR="002A329C" w:rsidRPr="00363F53">
              <w:rPr>
                <w:rFonts w:ascii="Calibri" w:eastAsia="Calibri" w:hAnsi="Calibri" w:cs="Times New Roman"/>
                <w:color w:val="FF0000"/>
                <w:sz w:val="20"/>
                <w:szCs w:val="20"/>
              </w:rPr>
              <w:t>pressure ulcers</w:t>
            </w:r>
            <w:r w:rsidRPr="00363F53">
              <w:rPr>
                <w:rFonts w:ascii="Calibri" w:eastAsia="Calibri" w:hAnsi="Calibri" w:cs="Times New Roman"/>
                <w:color w:val="FF0000"/>
                <w:sz w:val="20"/>
                <w:szCs w:val="20"/>
              </w:rPr>
              <w:t xml:space="preserve"> than residents </w:t>
            </w:r>
            <w:r w:rsidR="002A329C" w:rsidRPr="00363F53">
              <w:rPr>
                <w:rFonts w:ascii="Calibri" w:eastAsia="Calibri" w:hAnsi="Calibri" w:cs="Times New Roman"/>
                <w:color w:val="FF0000"/>
                <w:sz w:val="20"/>
                <w:szCs w:val="20"/>
              </w:rPr>
              <w:t>who were allocated</w:t>
            </w:r>
            <w:r w:rsidRPr="00363F53">
              <w:rPr>
                <w:rFonts w:ascii="Calibri" w:eastAsia="Calibri" w:hAnsi="Calibri" w:cs="Times New Roman"/>
                <w:color w:val="FF0000"/>
                <w:sz w:val="20"/>
                <w:szCs w:val="20"/>
              </w:rPr>
              <w:t xml:space="preserve"> alternating pressure air mattress</w:t>
            </w:r>
            <w:r w:rsidR="002A329C" w:rsidRPr="00363F53">
              <w:rPr>
                <w:rFonts w:ascii="Calibri" w:eastAsia="Calibri" w:hAnsi="Calibri" w:cs="Times New Roman"/>
                <w:color w:val="FF0000"/>
                <w:sz w:val="20"/>
                <w:szCs w:val="20"/>
              </w:rPr>
              <w:t>es</w:t>
            </w:r>
            <w:r w:rsidRPr="00363F53">
              <w:rPr>
                <w:rFonts w:ascii="Calibri" w:eastAsia="Calibri" w:hAnsi="Calibri" w:cs="Times New Roman"/>
                <w:color w:val="FF0000"/>
                <w:sz w:val="20"/>
                <w:szCs w:val="20"/>
              </w:rPr>
              <w:t>. However, these results were not statistically significant. Other studies that compare the effectiveness of the two surfaces also did not find significant differences in effectiveness. Therefore, there is insufficient evidence about which pressure-redistributing support surface is superior over another. The ACP recommends to use advanced static air mattress</w:t>
            </w:r>
            <w:r w:rsidR="002A329C" w:rsidRPr="00363F53">
              <w:rPr>
                <w:rFonts w:ascii="Calibri" w:eastAsia="Calibri" w:hAnsi="Calibri" w:cs="Times New Roman"/>
                <w:color w:val="FF0000"/>
                <w:sz w:val="20"/>
                <w:szCs w:val="20"/>
              </w:rPr>
              <w:t>es</w:t>
            </w:r>
            <w:r w:rsidRPr="00363F53">
              <w:rPr>
                <w:rFonts w:ascii="Calibri" w:eastAsia="Calibri" w:hAnsi="Calibri" w:cs="Times New Roman"/>
                <w:color w:val="FF0000"/>
                <w:sz w:val="20"/>
                <w:szCs w:val="20"/>
              </w:rPr>
              <w:t xml:space="preserve"> (recommendation 2) and recommends against using alternating-air mattresses (recommendation 3); however, the </w:t>
            </w:r>
            <w:r w:rsidR="002A329C" w:rsidRPr="00363F53">
              <w:rPr>
                <w:rFonts w:ascii="Calibri" w:eastAsia="Calibri" w:hAnsi="Calibri" w:cs="Times New Roman"/>
                <w:color w:val="FF0000"/>
                <w:sz w:val="20"/>
                <w:szCs w:val="20"/>
              </w:rPr>
              <w:t>2016 study mentioned above</w:t>
            </w:r>
            <w:r w:rsidRPr="00363F53">
              <w:rPr>
                <w:rFonts w:ascii="Calibri" w:eastAsia="Calibri" w:hAnsi="Calibri" w:cs="Times New Roman"/>
                <w:color w:val="FF0000"/>
                <w:sz w:val="20"/>
                <w:szCs w:val="20"/>
              </w:rPr>
              <w:t xml:space="preserve"> </w:t>
            </w:r>
            <w:r w:rsidR="002A329C" w:rsidRPr="00363F53">
              <w:rPr>
                <w:rFonts w:ascii="Calibri" w:eastAsia="Calibri" w:hAnsi="Calibri" w:cs="Times New Roman"/>
                <w:color w:val="FF0000"/>
                <w:sz w:val="20"/>
                <w:szCs w:val="20"/>
              </w:rPr>
              <w:t>finds</w:t>
            </w:r>
            <w:r w:rsidRPr="00363F53">
              <w:rPr>
                <w:rFonts w:ascii="Calibri" w:eastAsia="Calibri" w:hAnsi="Calibri" w:cs="Times New Roman"/>
                <w:color w:val="FF0000"/>
                <w:sz w:val="20"/>
                <w:szCs w:val="20"/>
              </w:rPr>
              <w:t xml:space="preserve"> insufficient evidence as to wh</w:t>
            </w:r>
            <w:r w:rsidR="002A329C" w:rsidRPr="00363F53">
              <w:rPr>
                <w:rFonts w:ascii="Calibri" w:eastAsia="Calibri" w:hAnsi="Calibri" w:cs="Times New Roman"/>
                <w:color w:val="FF0000"/>
                <w:sz w:val="20"/>
                <w:szCs w:val="20"/>
              </w:rPr>
              <w:t>ich support surface</w:t>
            </w:r>
            <w:r w:rsidRPr="00363F53">
              <w:rPr>
                <w:rFonts w:ascii="Calibri" w:eastAsia="Calibri" w:hAnsi="Calibri" w:cs="Times New Roman"/>
                <w:color w:val="FF0000"/>
                <w:sz w:val="20"/>
                <w:szCs w:val="20"/>
              </w:rPr>
              <w:t xml:space="preserve"> is more beneficial in preventing pressure ulcers. </w:t>
            </w:r>
          </w:p>
          <w:p w14:paraId="6D856686" w14:textId="02A8E4AE" w:rsidR="002F3077" w:rsidRPr="00363F53" w:rsidRDefault="002F3077" w:rsidP="002F3077">
            <w:pPr>
              <w:pStyle w:val="NormalWeb"/>
              <w:spacing w:before="0" w:beforeAutospacing="0" w:after="120" w:afterAutospacing="0"/>
              <w:rPr>
                <w:color w:val="FF0000"/>
                <w:sz w:val="20"/>
                <w:szCs w:val="20"/>
              </w:rPr>
            </w:pPr>
            <w:r w:rsidRPr="00363F53">
              <w:rPr>
                <w:b/>
                <w:color w:val="FF0000"/>
                <w:sz w:val="20"/>
                <w:szCs w:val="20"/>
              </w:rPr>
              <w:t xml:space="preserve">Source: </w:t>
            </w:r>
            <w:proofErr w:type="spellStart"/>
            <w:r w:rsidRPr="00363F53">
              <w:rPr>
                <w:color w:val="FF0000"/>
                <w:sz w:val="20"/>
                <w:szCs w:val="20"/>
              </w:rPr>
              <w:t>Anrys</w:t>
            </w:r>
            <w:proofErr w:type="spellEnd"/>
            <w:r w:rsidRPr="00363F53">
              <w:rPr>
                <w:color w:val="FF0000"/>
                <w:sz w:val="20"/>
                <w:szCs w:val="20"/>
              </w:rPr>
              <w:t xml:space="preserve">, Charlotte, Hanne Van </w:t>
            </w:r>
            <w:proofErr w:type="spellStart"/>
            <w:r w:rsidRPr="00363F53">
              <w:rPr>
                <w:color w:val="FF0000"/>
                <w:sz w:val="20"/>
                <w:szCs w:val="20"/>
              </w:rPr>
              <w:t>Tiggelen</w:t>
            </w:r>
            <w:proofErr w:type="spellEnd"/>
            <w:r w:rsidRPr="00363F53">
              <w:rPr>
                <w:color w:val="FF0000"/>
                <w:sz w:val="20"/>
                <w:szCs w:val="20"/>
              </w:rPr>
              <w:t xml:space="preserve">, </w:t>
            </w:r>
            <w:proofErr w:type="spellStart"/>
            <w:r w:rsidRPr="00363F53">
              <w:rPr>
                <w:color w:val="FF0000"/>
                <w:sz w:val="20"/>
                <w:szCs w:val="20"/>
              </w:rPr>
              <w:t>Sofie</w:t>
            </w:r>
            <w:proofErr w:type="spellEnd"/>
            <w:r w:rsidRPr="00363F53">
              <w:rPr>
                <w:color w:val="FF0000"/>
                <w:sz w:val="20"/>
                <w:szCs w:val="20"/>
              </w:rPr>
              <w:t xml:space="preserve"> </w:t>
            </w:r>
            <w:proofErr w:type="spellStart"/>
            <w:r w:rsidRPr="00363F53">
              <w:rPr>
                <w:color w:val="FF0000"/>
                <w:sz w:val="20"/>
                <w:szCs w:val="20"/>
              </w:rPr>
              <w:t>Verhaeghe</w:t>
            </w:r>
            <w:proofErr w:type="spellEnd"/>
            <w:r w:rsidRPr="00363F53">
              <w:rPr>
                <w:color w:val="FF0000"/>
                <w:sz w:val="20"/>
                <w:szCs w:val="20"/>
              </w:rPr>
              <w:t xml:space="preserve">, Ann Van </w:t>
            </w:r>
            <w:proofErr w:type="spellStart"/>
            <w:r w:rsidRPr="00363F53">
              <w:rPr>
                <w:color w:val="FF0000"/>
                <w:sz w:val="20"/>
                <w:szCs w:val="20"/>
              </w:rPr>
              <w:t>Hecke</w:t>
            </w:r>
            <w:proofErr w:type="spellEnd"/>
            <w:r w:rsidRPr="00363F53">
              <w:rPr>
                <w:color w:val="FF0000"/>
                <w:sz w:val="20"/>
                <w:szCs w:val="20"/>
              </w:rPr>
              <w:t xml:space="preserve">, and Dimitri </w:t>
            </w:r>
            <w:proofErr w:type="spellStart"/>
            <w:r w:rsidRPr="00363F53">
              <w:rPr>
                <w:color w:val="FF0000"/>
                <w:sz w:val="20"/>
                <w:szCs w:val="20"/>
              </w:rPr>
              <w:t>Beeckman</w:t>
            </w:r>
            <w:proofErr w:type="spellEnd"/>
            <w:r w:rsidRPr="00363F53">
              <w:rPr>
                <w:color w:val="FF0000"/>
                <w:sz w:val="20"/>
                <w:szCs w:val="20"/>
              </w:rPr>
              <w:t xml:space="preserve">. 2019. “Independent Risk Factors for Pressure Ulcer Development in a High-Risk Nursing Home Population Receiving Evidence-Based Pressure Ulcer Prevention: Results from a Study in 26 Nursing Homes in Belgium.” </w:t>
            </w:r>
            <w:r w:rsidRPr="00363F53">
              <w:rPr>
                <w:i/>
                <w:iCs/>
                <w:color w:val="FF0000"/>
                <w:sz w:val="20"/>
                <w:szCs w:val="20"/>
              </w:rPr>
              <w:t>International Wound Journal</w:t>
            </w:r>
            <w:r w:rsidRPr="00363F53">
              <w:rPr>
                <w:color w:val="FF0000"/>
                <w:sz w:val="20"/>
                <w:szCs w:val="20"/>
              </w:rPr>
              <w:t xml:space="preserve"> 16 (2): 325–33. </w:t>
            </w:r>
            <w:hyperlink r:id="rId23" w:history="1">
              <w:r w:rsidRPr="00363F53">
                <w:rPr>
                  <w:rStyle w:val="Hyperlink"/>
                  <w:color w:val="FF0000"/>
                  <w:sz w:val="20"/>
                  <w:szCs w:val="20"/>
                </w:rPr>
                <w:t>https://doi.org/10.1111/iwj.13032</w:t>
              </w:r>
            </w:hyperlink>
            <w:r w:rsidRPr="00363F53">
              <w:rPr>
                <w:color w:val="FF0000"/>
                <w:sz w:val="20"/>
                <w:szCs w:val="20"/>
              </w:rPr>
              <w:t>.</w:t>
            </w:r>
          </w:p>
        </w:tc>
      </w:tr>
    </w:tbl>
    <w:p w14:paraId="558E54B2" w14:textId="77777777" w:rsidR="00A26C89" w:rsidRDefault="00A26C89" w:rsidP="002E2177">
      <w:pPr>
        <w:ind w:left="0" w:firstLine="0"/>
        <w:rPr>
          <w:rFonts w:ascii="Calibri" w:eastAsia="Calibri" w:hAnsi="Calibri" w:cs="Times New Roman"/>
        </w:rPr>
      </w:pPr>
    </w:p>
    <w:tbl>
      <w:tblPr>
        <w:tblStyle w:val="TableGrid"/>
        <w:tblW w:w="0" w:type="auto"/>
        <w:tblLook w:val="04A0" w:firstRow="1" w:lastRow="0" w:firstColumn="1" w:lastColumn="0" w:noHBand="0" w:noVBand="1"/>
      </w:tblPr>
      <w:tblGrid>
        <w:gridCol w:w="3595"/>
        <w:gridCol w:w="5755"/>
      </w:tblGrid>
      <w:tr w:rsidR="00362787" w14:paraId="73405C6E" w14:textId="77777777" w:rsidTr="006179D1">
        <w:tc>
          <w:tcPr>
            <w:tcW w:w="3595" w:type="dxa"/>
          </w:tcPr>
          <w:p w14:paraId="4E6CD9A1" w14:textId="77777777" w:rsidR="00362787" w:rsidRPr="00552F57" w:rsidRDefault="00362787" w:rsidP="006179D1">
            <w:pPr>
              <w:rPr>
                <w:rFonts w:ascii="Calibri" w:eastAsia="Calibri" w:hAnsi="Calibri" w:cs="Times New Roman"/>
                <w:b/>
                <w:sz w:val="20"/>
                <w:szCs w:val="20"/>
              </w:rPr>
            </w:pPr>
            <w:r w:rsidRPr="00552F57">
              <w:rPr>
                <w:rFonts w:ascii="Calibri" w:eastAsia="Calibri" w:hAnsi="Calibri" w:cs="Times New Roman"/>
                <w:b/>
                <w:sz w:val="20"/>
                <w:szCs w:val="20"/>
              </w:rPr>
              <w:t>Source of Systematic Review:</w:t>
            </w:r>
          </w:p>
          <w:p w14:paraId="40E5E43C" w14:textId="77777777" w:rsidR="00362787" w:rsidRPr="00552F57" w:rsidRDefault="00362787" w:rsidP="002B5113">
            <w:pPr>
              <w:pStyle w:val="ListParagraph"/>
              <w:numPr>
                <w:ilvl w:val="0"/>
                <w:numId w:val="4"/>
              </w:numPr>
              <w:rPr>
                <w:rFonts w:ascii="Calibri" w:eastAsia="Calibri" w:hAnsi="Calibri" w:cs="Times New Roman"/>
                <w:b/>
                <w:sz w:val="20"/>
                <w:szCs w:val="20"/>
              </w:rPr>
            </w:pPr>
            <w:r w:rsidRPr="00552F57">
              <w:rPr>
                <w:rFonts w:ascii="Calibri" w:eastAsia="Calibri" w:hAnsi="Calibri" w:cs="Times New Roman"/>
                <w:b/>
                <w:sz w:val="20"/>
                <w:szCs w:val="20"/>
              </w:rPr>
              <w:t>Title</w:t>
            </w:r>
          </w:p>
          <w:p w14:paraId="4E71971B" w14:textId="77777777" w:rsidR="00362787" w:rsidRPr="00552F57" w:rsidRDefault="00362787" w:rsidP="002B5113">
            <w:pPr>
              <w:pStyle w:val="ListParagraph"/>
              <w:numPr>
                <w:ilvl w:val="0"/>
                <w:numId w:val="4"/>
              </w:numPr>
              <w:rPr>
                <w:rFonts w:ascii="Calibri" w:eastAsia="Calibri" w:hAnsi="Calibri" w:cs="Times New Roman"/>
                <w:b/>
                <w:sz w:val="20"/>
                <w:szCs w:val="20"/>
              </w:rPr>
            </w:pPr>
            <w:r w:rsidRPr="00552F57">
              <w:rPr>
                <w:rFonts w:ascii="Calibri" w:eastAsia="Calibri" w:hAnsi="Calibri" w:cs="Times New Roman"/>
                <w:b/>
                <w:sz w:val="20"/>
                <w:szCs w:val="20"/>
              </w:rPr>
              <w:t>Author</w:t>
            </w:r>
          </w:p>
          <w:p w14:paraId="76BEC152" w14:textId="77777777" w:rsidR="00362787" w:rsidRPr="00552F57" w:rsidRDefault="00362787" w:rsidP="002B5113">
            <w:pPr>
              <w:pStyle w:val="ListParagraph"/>
              <w:numPr>
                <w:ilvl w:val="0"/>
                <w:numId w:val="4"/>
              </w:numPr>
              <w:rPr>
                <w:rFonts w:ascii="Calibri" w:eastAsia="Calibri" w:hAnsi="Calibri" w:cs="Times New Roman"/>
                <w:b/>
                <w:sz w:val="20"/>
                <w:szCs w:val="20"/>
              </w:rPr>
            </w:pPr>
            <w:r w:rsidRPr="00552F57">
              <w:rPr>
                <w:rFonts w:ascii="Calibri" w:eastAsia="Calibri" w:hAnsi="Calibri" w:cs="Times New Roman"/>
                <w:b/>
                <w:sz w:val="20"/>
                <w:szCs w:val="20"/>
              </w:rPr>
              <w:t>Date</w:t>
            </w:r>
          </w:p>
          <w:p w14:paraId="0F0B50D1" w14:textId="77777777" w:rsidR="00362787" w:rsidRPr="00552F57" w:rsidRDefault="00362787" w:rsidP="002B5113">
            <w:pPr>
              <w:pStyle w:val="ListParagraph"/>
              <w:numPr>
                <w:ilvl w:val="0"/>
                <w:numId w:val="4"/>
              </w:numPr>
              <w:rPr>
                <w:rFonts w:ascii="Calibri" w:eastAsia="Calibri" w:hAnsi="Calibri" w:cs="Times New Roman"/>
                <w:b/>
                <w:sz w:val="20"/>
                <w:szCs w:val="20"/>
              </w:rPr>
            </w:pPr>
            <w:r w:rsidRPr="00552F57">
              <w:rPr>
                <w:rFonts w:ascii="Calibri" w:eastAsia="Calibri" w:hAnsi="Calibri" w:cs="Times New Roman"/>
                <w:b/>
                <w:sz w:val="20"/>
                <w:szCs w:val="20"/>
              </w:rPr>
              <w:t xml:space="preserve">Citation, including page number </w:t>
            </w:r>
          </w:p>
          <w:p w14:paraId="4028164D" w14:textId="77777777" w:rsidR="00362787" w:rsidRPr="00552F57" w:rsidRDefault="00362787" w:rsidP="002B5113">
            <w:pPr>
              <w:pStyle w:val="ListParagraph"/>
              <w:numPr>
                <w:ilvl w:val="0"/>
                <w:numId w:val="4"/>
              </w:numPr>
              <w:rPr>
                <w:rFonts w:ascii="Calibri" w:eastAsia="Calibri" w:hAnsi="Calibri" w:cs="Times New Roman"/>
                <w:b/>
              </w:rPr>
            </w:pPr>
            <w:r w:rsidRPr="00552F57">
              <w:rPr>
                <w:rFonts w:ascii="Calibri" w:eastAsia="Calibri" w:hAnsi="Calibri" w:cs="Times New Roman"/>
                <w:b/>
                <w:sz w:val="20"/>
                <w:szCs w:val="20"/>
              </w:rPr>
              <w:t>URL</w:t>
            </w:r>
          </w:p>
        </w:tc>
        <w:tc>
          <w:tcPr>
            <w:tcW w:w="5755" w:type="dxa"/>
          </w:tcPr>
          <w:p w14:paraId="6E811ED6" w14:textId="77777777" w:rsidR="00362787" w:rsidRPr="00EE53F2" w:rsidRDefault="003B104D" w:rsidP="006179D1">
            <w:pPr>
              <w:ind w:left="0" w:firstLine="0"/>
              <w:rPr>
                <w:rFonts w:eastAsia="Calibri" w:cstheme="minorHAnsi"/>
                <w:color w:val="0000FF"/>
                <w:sz w:val="20"/>
                <w:szCs w:val="20"/>
              </w:rPr>
            </w:pPr>
            <w:r w:rsidRPr="00EE53F2">
              <w:rPr>
                <w:rFonts w:eastAsia="Calibri" w:cstheme="minorHAnsi"/>
                <w:b/>
                <w:color w:val="0000FF"/>
                <w:sz w:val="20"/>
                <w:szCs w:val="20"/>
              </w:rPr>
              <w:t>Title</w:t>
            </w:r>
            <w:r w:rsidRPr="00EE53F2">
              <w:rPr>
                <w:rFonts w:eastAsia="Calibri" w:cstheme="minorHAnsi"/>
                <w:color w:val="0000FF"/>
                <w:sz w:val="20"/>
                <w:szCs w:val="20"/>
              </w:rPr>
              <w:t xml:space="preserve">: WOCN </w:t>
            </w:r>
            <w:r w:rsidRPr="003A7025">
              <w:rPr>
                <w:rFonts w:eastAsia="Calibri" w:cstheme="minorHAnsi"/>
                <w:color w:val="FF0000"/>
                <w:sz w:val="20"/>
                <w:szCs w:val="20"/>
              </w:rPr>
              <w:t>2016</w:t>
            </w:r>
            <w:r w:rsidRPr="00EE53F2">
              <w:rPr>
                <w:rFonts w:eastAsia="Calibri" w:cstheme="minorHAnsi"/>
                <w:color w:val="0000FF"/>
                <w:sz w:val="20"/>
                <w:szCs w:val="20"/>
              </w:rPr>
              <w:t xml:space="preserve"> Guideline for Prevention and Management of Pressure Injuries (Ulcers): </w:t>
            </w:r>
            <w:r w:rsidRPr="003A7025">
              <w:rPr>
                <w:rFonts w:eastAsia="Calibri" w:cstheme="minorHAnsi"/>
                <w:color w:val="FF0000"/>
                <w:sz w:val="20"/>
                <w:szCs w:val="20"/>
              </w:rPr>
              <w:t>An Executive summary</w:t>
            </w:r>
          </w:p>
          <w:p w14:paraId="53A1266D" w14:textId="77777777" w:rsidR="003B104D" w:rsidRPr="00EE53F2" w:rsidRDefault="003B104D" w:rsidP="006179D1">
            <w:pPr>
              <w:ind w:left="0" w:firstLine="0"/>
              <w:rPr>
                <w:rFonts w:cstheme="minorHAnsi"/>
                <w:color w:val="0000FF"/>
                <w:sz w:val="20"/>
                <w:szCs w:val="20"/>
              </w:rPr>
            </w:pPr>
            <w:r w:rsidRPr="00EE53F2">
              <w:rPr>
                <w:rFonts w:eastAsia="Calibri" w:cstheme="minorHAnsi"/>
                <w:b/>
                <w:color w:val="0000FF"/>
                <w:sz w:val="20"/>
                <w:szCs w:val="20"/>
              </w:rPr>
              <w:t>Author</w:t>
            </w:r>
            <w:r w:rsidRPr="00EE53F2">
              <w:rPr>
                <w:rFonts w:eastAsia="Calibri" w:cstheme="minorHAnsi"/>
                <w:color w:val="0000FF"/>
                <w:sz w:val="20"/>
                <w:szCs w:val="20"/>
              </w:rPr>
              <w:t xml:space="preserve">: Wound, Ostomy and Continence Nurses Society – Wound Guidelines Task Force, </w:t>
            </w:r>
            <w:r w:rsidRPr="00EE53F2">
              <w:rPr>
                <w:rFonts w:cstheme="minorHAnsi"/>
                <w:color w:val="0000FF"/>
                <w:sz w:val="20"/>
                <w:szCs w:val="20"/>
              </w:rPr>
              <w:t xml:space="preserve">Catherine R. Ratliff, Linda R. </w:t>
            </w:r>
            <w:proofErr w:type="spellStart"/>
            <w:r w:rsidRPr="00EE53F2">
              <w:rPr>
                <w:rFonts w:cstheme="minorHAnsi"/>
                <w:color w:val="0000FF"/>
                <w:sz w:val="20"/>
                <w:szCs w:val="20"/>
              </w:rPr>
              <w:t>Droste</w:t>
            </w:r>
            <w:proofErr w:type="spellEnd"/>
            <w:r w:rsidRPr="00EE53F2">
              <w:rPr>
                <w:rFonts w:cstheme="minorHAnsi"/>
                <w:color w:val="0000FF"/>
                <w:sz w:val="20"/>
                <w:szCs w:val="20"/>
              </w:rPr>
              <w:t xml:space="preserve">, Phyllis Bonham, Lea </w:t>
            </w:r>
            <w:proofErr w:type="spellStart"/>
            <w:r w:rsidRPr="00EE53F2">
              <w:rPr>
                <w:rFonts w:cstheme="minorHAnsi"/>
                <w:color w:val="0000FF"/>
                <w:sz w:val="20"/>
                <w:szCs w:val="20"/>
              </w:rPr>
              <w:t>Crestodina</w:t>
            </w:r>
            <w:proofErr w:type="spellEnd"/>
            <w:r w:rsidRPr="00EE53F2">
              <w:rPr>
                <w:rFonts w:cstheme="minorHAnsi"/>
                <w:color w:val="0000FF"/>
                <w:sz w:val="20"/>
                <w:szCs w:val="20"/>
              </w:rPr>
              <w:t xml:space="preserve">, Jan J. Johnson, Teresa Kelechi, Myra F. </w:t>
            </w:r>
            <w:proofErr w:type="spellStart"/>
            <w:r w:rsidRPr="00EE53F2">
              <w:rPr>
                <w:rFonts w:cstheme="minorHAnsi"/>
                <w:color w:val="0000FF"/>
                <w:sz w:val="20"/>
                <w:szCs w:val="20"/>
              </w:rPr>
              <w:t>Varnado</w:t>
            </w:r>
            <w:proofErr w:type="spellEnd"/>
            <w:r w:rsidRPr="00EE53F2">
              <w:rPr>
                <w:rFonts w:cstheme="minorHAnsi"/>
                <w:color w:val="0000FF"/>
                <w:sz w:val="20"/>
                <w:szCs w:val="20"/>
              </w:rPr>
              <w:t>, Ronald Palmer, and Becky Carroll</w:t>
            </w:r>
          </w:p>
          <w:p w14:paraId="75B98BD1" w14:textId="17E60ECD" w:rsidR="003B104D" w:rsidRPr="00B043C4" w:rsidRDefault="003B104D" w:rsidP="006179D1">
            <w:pPr>
              <w:ind w:left="0" w:firstLine="0"/>
              <w:rPr>
                <w:rFonts w:cstheme="minorHAnsi"/>
                <w:color w:val="FF0000"/>
                <w:sz w:val="20"/>
                <w:szCs w:val="20"/>
              </w:rPr>
            </w:pPr>
            <w:r w:rsidRPr="00B043C4">
              <w:rPr>
                <w:rFonts w:cstheme="minorHAnsi"/>
                <w:b/>
                <w:color w:val="FF0000"/>
                <w:sz w:val="20"/>
                <w:szCs w:val="20"/>
              </w:rPr>
              <w:t xml:space="preserve">Date: </w:t>
            </w:r>
            <w:r w:rsidRPr="00B043C4">
              <w:rPr>
                <w:rFonts w:cstheme="minorHAnsi"/>
                <w:color w:val="FF0000"/>
                <w:sz w:val="20"/>
                <w:szCs w:val="20"/>
              </w:rPr>
              <w:t>2016</w:t>
            </w:r>
          </w:p>
          <w:p w14:paraId="6FD293DB" w14:textId="085344C6" w:rsidR="003B104D" w:rsidRPr="00B043C4" w:rsidRDefault="003B104D" w:rsidP="006179D1">
            <w:pPr>
              <w:ind w:left="0" w:firstLine="0"/>
              <w:rPr>
                <w:rFonts w:cstheme="minorHAnsi"/>
                <w:color w:val="FF0000"/>
                <w:sz w:val="20"/>
                <w:szCs w:val="20"/>
              </w:rPr>
            </w:pPr>
            <w:r w:rsidRPr="00B043C4">
              <w:rPr>
                <w:rFonts w:cstheme="minorHAnsi"/>
                <w:b/>
                <w:color w:val="FF0000"/>
                <w:sz w:val="20"/>
                <w:szCs w:val="20"/>
              </w:rPr>
              <w:t>Citation</w:t>
            </w:r>
            <w:r w:rsidRPr="00B043C4">
              <w:rPr>
                <w:rFonts w:cstheme="minorHAnsi"/>
                <w:color w:val="FF0000"/>
                <w:sz w:val="20"/>
                <w:szCs w:val="20"/>
              </w:rPr>
              <w:t xml:space="preserve">: Wound, Ostomy and Continence Nurses Society-Wound Guidelines Task Force, Catherine R. Ratliff, Linda R. </w:t>
            </w:r>
            <w:proofErr w:type="spellStart"/>
            <w:r w:rsidRPr="00B043C4">
              <w:rPr>
                <w:rFonts w:cstheme="minorHAnsi"/>
                <w:color w:val="FF0000"/>
                <w:sz w:val="20"/>
                <w:szCs w:val="20"/>
              </w:rPr>
              <w:t>Droste</w:t>
            </w:r>
            <w:proofErr w:type="spellEnd"/>
            <w:r w:rsidRPr="00B043C4">
              <w:rPr>
                <w:rFonts w:cstheme="minorHAnsi"/>
                <w:color w:val="FF0000"/>
                <w:sz w:val="20"/>
                <w:szCs w:val="20"/>
              </w:rPr>
              <w:t xml:space="preserve">, Phyllis Bonham, Lea </w:t>
            </w:r>
            <w:proofErr w:type="spellStart"/>
            <w:r w:rsidRPr="00B043C4">
              <w:rPr>
                <w:rFonts w:cstheme="minorHAnsi"/>
                <w:color w:val="FF0000"/>
                <w:sz w:val="20"/>
                <w:szCs w:val="20"/>
              </w:rPr>
              <w:t>Crestodina</w:t>
            </w:r>
            <w:proofErr w:type="spellEnd"/>
            <w:r w:rsidRPr="00B043C4">
              <w:rPr>
                <w:rFonts w:cstheme="minorHAnsi"/>
                <w:color w:val="FF0000"/>
                <w:sz w:val="20"/>
                <w:szCs w:val="20"/>
              </w:rPr>
              <w:t xml:space="preserve">, Jan J. Johnson, Teresa Kelechi, Myra F. </w:t>
            </w:r>
            <w:proofErr w:type="spellStart"/>
            <w:r w:rsidRPr="00B043C4">
              <w:rPr>
                <w:rFonts w:cstheme="minorHAnsi"/>
                <w:color w:val="FF0000"/>
                <w:sz w:val="20"/>
                <w:szCs w:val="20"/>
              </w:rPr>
              <w:t>Varnado</w:t>
            </w:r>
            <w:proofErr w:type="spellEnd"/>
            <w:r w:rsidRPr="00B043C4">
              <w:rPr>
                <w:rFonts w:cstheme="minorHAnsi"/>
                <w:color w:val="FF0000"/>
                <w:sz w:val="20"/>
                <w:szCs w:val="20"/>
              </w:rPr>
              <w:t xml:space="preserve">, Ronald Palmer, and Becky Carroll. 2017. “WOCN 2016 Guideline for Prevention and Management of Pressure Injuries (Ulcers): An Executive Summary.” </w:t>
            </w:r>
            <w:r w:rsidRPr="00B043C4">
              <w:rPr>
                <w:rFonts w:cstheme="minorHAnsi"/>
                <w:i/>
                <w:iCs/>
                <w:color w:val="FF0000"/>
                <w:sz w:val="20"/>
                <w:szCs w:val="20"/>
              </w:rPr>
              <w:t>Journal of Wound, Ostomy and Continence Nursing</w:t>
            </w:r>
            <w:r w:rsidRPr="00B043C4">
              <w:rPr>
                <w:rFonts w:cstheme="minorHAnsi"/>
                <w:color w:val="FF0000"/>
                <w:sz w:val="20"/>
                <w:szCs w:val="20"/>
              </w:rPr>
              <w:t xml:space="preserve"> 44 (3): 241–46. </w:t>
            </w:r>
            <w:hyperlink r:id="rId24" w:history="1">
              <w:r w:rsidRPr="00B043C4">
                <w:rPr>
                  <w:rStyle w:val="Hyperlink"/>
                  <w:rFonts w:cstheme="minorHAnsi"/>
                  <w:color w:val="FF0000"/>
                  <w:sz w:val="20"/>
                  <w:szCs w:val="20"/>
                </w:rPr>
                <w:t>https://doi.org/10.1097/WON.0000000000000321</w:t>
              </w:r>
            </w:hyperlink>
            <w:r w:rsidRPr="00B043C4">
              <w:rPr>
                <w:rFonts w:cstheme="minorHAnsi"/>
                <w:color w:val="FF0000"/>
                <w:sz w:val="20"/>
                <w:szCs w:val="20"/>
              </w:rPr>
              <w:t>.</w:t>
            </w:r>
          </w:p>
          <w:p w14:paraId="5CEC6089" w14:textId="77B1B38B" w:rsidR="003B104D" w:rsidRPr="00EE53F2" w:rsidRDefault="003B104D" w:rsidP="003B104D">
            <w:pPr>
              <w:ind w:left="0" w:firstLine="0"/>
              <w:rPr>
                <w:color w:val="0000FF"/>
              </w:rPr>
            </w:pPr>
            <w:r w:rsidRPr="00B043C4">
              <w:rPr>
                <w:rFonts w:cstheme="minorHAnsi"/>
                <w:b/>
                <w:color w:val="FF0000"/>
                <w:sz w:val="20"/>
                <w:szCs w:val="20"/>
              </w:rPr>
              <w:t>URL</w:t>
            </w:r>
            <w:r w:rsidRPr="00B043C4">
              <w:rPr>
                <w:rFonts w:cstheme="minorHAnsi"/>
                <w:color w:val="FF0000"/>
                <w:sz w:val="20"/>
                <w:szCs w:val="20"/>
              </w:rPr>
              <w:t xml:space="preserve">: </w:t>
            </w:r>
            <w:hyperlink r:id="rId25" w:history="1">
              <w:r w:rsidRPr="00B043C4">
                <w:rPr>
                  <w:rStyle w:val="Hyperlink"/>
                  <w:rFonts w:cstheme="minorHAnsi"/>
                  <w:color w:val="FF0000"/>
                  <w:sz w:val="20"/>
                  <w:szCs w:val="20"/>
                </w:rPr>
                <w:t>https://doi.org/10.1097/WON.0000000000000321</w:t>
              </w:r>
            </w:hyperlink>
          </w:p>
        </w:tc>
      </w:tr>
      <w:tr w:rsidR="00362787" w14:paraId="49FC8C3D" w14:textId="77777777" w:rsidTr="006179D1">
        <w:tc>
          <w:tcPr>
            <w:tcW w:w="3595" w:type="dxa"/>
          </w:tcPr>
          <w:p w14:paraId="0726E10D" w14:textId="77777777" w:rsidR="00362787" w:rsidRPr="00552F57" w:rsidRDefault="00362787" w:rsidP="006179D1">
            <w:pPr>
              <w:ind w:left="0" w:firstLine="0"/>
              <w:rPr>
                <w:rFonts w:ascii="Calibri" w:eastAsia="Calibri" w:hAnsi="Calibri" w:cs="Times New Roman"/>
                <w:sz w:val="20"/>
                <w:szCs w:val="20"/>
              </w:rPr>
            </w:pPr>
            <w:r w:rsidRPr="00552F57">
              <w:rPr>
                <w:sz w:val="20"/>
                <w:szCs w:val="20"/>
              </w:rPr>
              <w:t>Quote the guideline or recommendation verbatim about the process, structure or intermediate outcome being measured. If not a guideline, summarize the conclusions from the SR.</w:t>
            </w:r>
          </w:p>
        </w:tc>
        <w:tc>
          <w:tcPr>
            <w:tcW w:w="5755" w:type="dxa"/>
          </w:tcPr>
          <w:p w14:paraId="33FD65E9" w14:textId="33E2EEEB" w:rsidR="00362787" w:rsidRPr="00B043C4" w:rsidRDefault="006334C5" w:rsidP="006179D1">
            <w:pPr>
              <w:ind w:left="0" w:firstLine="0"/>
              <w:rPr>
                <w:rFonts w:eastAsia="Calibri" w:cstheme="minorHAnsi"/>
                <w:b/>
                <w:color w:val="FF0000"/>
                <w:sz w:val="20"/>
                <w:szCs w:val="20"/>
              </w:rPr>
            </w:pPr>
            <w:r w:rsidRPr="00B043C4">
              <w:rPr>
                <w:rFonts w:eastAsia="Calibri" w:cstheme="minorHAnsi"/>
                <w:b/>
                <w:color w:val="FF0000"/>
                <w:sz w:val="20"/>
                <w:szCs w:val="20"/>
              </w:rPr>
              <w:t>Recommendations related t</w:t>
            </w:r>
            <w:r w:rsidR="008E22D6" w:rsidRPr="00B043C4">
              <w:rPr>
                <w:rFonts w:eastAsia="Calibri" w:cstheme="minorHAnsi"/>
                <w:b/>
                <w:color w:val="FF0000"/>
                <w:sz w:val="20"/>
                <w:szCs w:val="20"/>
              </w:rPr>
              <w:t>o assessment of pressure ulcers</w:t>
            </w:r>
          </w:p>
          <w:p w14:paraId="7CA7C8F5" w14:textId="13195A7E"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1. Perform a risk assessmen</w:t>
            </w:r>
            <w:r w:rsidR="002A329C" w:rsidRPr="00B043C4">
              <w:rPr>
                <w:rFonts w:cstheme="minorHAnsi"/>
                <w:color w:val="FF0000"/>
                <w:sz w:val="20"/>
                <w:szCs w:val="20"/>
              </w:rPr>
              <w:t xml:space="preserve">t upon the patient’s entry to a </w:t>
            </w:r>
            <w:r w:rsidRPr="00B043C4">
              <w:rPr>
                <w:rFonts w:cstheme="minorHAnsi"/>
                <w:color w:val="FF0000"/>
                <w:sz w:val="20"/>
                <w:szCs w:val="20"/>
              </w:rPr>
              <w:t>healthcare setting, and repea</w:t>
            </w:r>
            <w:r w:rsidR="002A329C" w:rsidRPr="00B043C4">
              <w:rPr>
                <w:rFonts w:cstheme="minorHAnsi"/>
                <w:color w:val="FF0000"/>
                <w:sz w:val="20"/>
                <w:szCs w:val="20"/>
              </w:rPr>
              <w:t xml:space="preserve">t the assessment on a regularly </w:t>
            </w:r>
            <w:r w:rsidRPr="00B043C4">
              <w:rPr>
                <w:rFonts w:cstheme="minorHAnsi"/>
                <w:color w:val="FF0000"/>
                <w:sz w:val="20"/>
                <w:szCs w:val="20"/>
              </w:rPr>
              <w:t>scheduled basis, or when there is a signifi</w:t>
            </w:r>
            <w:r w:rsidR="002A329C" w:rsidRPr="00B043C4">
              <w:rPr>
                <w:rFonts w:cstheme="minorHAnsi"/>
                <w:color w:val="FF0000"/>
                <w:sz w:val="20"/>
                <w:szCs w:val="20"/>
              </w:rPr>
              <w:t xml:space="preserve">cant </w:t>
            </w:r>
            <w:r w:rsidRPr="00B043C4">
              <w:rPr>
                <w:rFonts w:cstheme="minorHAnsi"/>
                <w:color w:val="FF0000"/>
                <w:sz w:val="20"/>
                <w:szCs w:val="20"/>
              </w:rPr>
              <w:t xml:space="preserve">change in the individual’s condition. Level of Evidence </w:t>
            </w:r>
            <w:r w:rsidRPr="00B043C4">
              <w:rPr>
                <w:rFonts w:eastAsia="MathematicalPiLTStd" w:cstheme="minorHAnsi"/>
                <w:color w:val="FF0000"/>
                <w:sz w:val="20"/>
                <w:szCs w:val="20"/>
              </w:rPr>
              <w:t>=</w:t>
            </w:r>
            <w:r w:rsidR="00B566D1" w:rsidRPr="00B043C4">
              <w:rPr>
                <w:rFonts w:cstheme="minorHAnsi"/>
                <w:color w:val="FF0000"/>
                <w:sz w:val="20"/>
                <w:szCs w:val="20"/>
              </w:rPr>
              <w:t xml:space="preserve"> </w:t>
            </w:r>
            <w:r w:rsidRPr="00B043C4">
              <w:rPr>
                <w:rFonts w:cstheme="minorHAnsi"/>
                <w:color w:val="FF0000"/>
                <w:sz w:val="20"/>
                <w:szCs w:val="20"/>
              </w:rPr>
              <w:t xml:space="preserve">C (Benefit/Effectiveness/Harm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6023430C" w14:textId="5CC693AA"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2. Use a valid/reliable risk</w:t>
            </w:r>
            <w:r w:rsidR="002A329C" w:rsidRPr="00B043C4">
              <w:rPr>
                <w:rFonts w:cstheme="minorHAnsi"/>
                <w:color w:val="FF0000"/>
                <w:sz w:val="20"/>
                <w:szCs w:val="20"/>
              </w:rPr>
              <w:t xml:space="preserve"> assessment tool in conjunction </w:t>
            </w:r>
            <w:r w:rsidRPr="00B043C4">
              <w:rPr>
                <w:rFonts w:cstheme="minorHAnsi"/>
                <w:color w:val="FF0000"/>
                <w:sz w:val="20"/>
                <w:szCs w:val="20"/>
              </w:rPr>
              <w:t>with the identification of additio</w:t>
            </w:r>
            <w:r w:rsidR="002A329C" w:rsidRPr="00B043C4">
              <w:rPr>
                <w:rFonts w:cstheme="minorHAnsi"/>
                <w:color w:val="FF0000"/>
                <w:sz w:val="20"/>
                <w:szCs w:val="20"/>
              </w:rPr>
              <w:t>nal risk factors (</w:t>
            </w:r>
            <w:proofErr w:type="spellStart"/>
            <w:r w:rsidR="002A329C" w:rsidRPr="00B043C4">
              <w:rPr>
                <w:rFonts w:cstheme="minorHAnsi"/>
                <w:color w:val="FF0000"/>
                <w:sz w:val="20"/>
                <w:szCs w:val="20"/>
              </w:rPr>
              <w:t>eg</w:t>
            </w:r>
            <w:proofErr w:type="spellEnd"/>
            <w:r w:rsidR="002A329C" w:rsidRPr="00B043C4">
              <w:rPr>
                <w:rFonts w:cstheme="minorHAnsi"/>
                <w:color w:val="FF0000"/>
                <w:sz w:val="20"/>
                <w:szCs w:val="20"/>
              </w:rPr>
              <w:t xml:space="preserve">, perfusion </w:t>
            </w:r>
            <w:r w:rsidRPr="00B043C4">
              <w:rPr>
                <w:rFonts w:cstheme="minorHAnsi"/>
                <w:color w:val="FF0000"/>
                <w:sz w:val="20"/>
                <w:szCs w:val="20"/>
              </w:rPr>
              <w:t>and oxygenati</w:t>
            </w:r>
            <w:r w:rsidR="002A329C" w:rsidRPr="00B043C4">
              <w:rPr>
                <w:rFonts w:cstheme="minorHAnsi"/>
                <w:color w:val="FF0000"/>
                <w:sz w:val="20"/>
                <w:szCs w:val="20"/>
              </w:rPr>
              <w:t xml:space="preserve">on, increased body temperature, </w:t>
            </w:r>
            <w:r w:rsidRPr="00B043C4">
              <w:rPr>
                <w:rFonts w:cstheme="minorHAnsi"/>
                <w:color w:val="FF0000"/>
                <w:sz w:val="20"/>
                <w:szCs w:val="20"/>
              </w:rPr>
              <w:t>and advanced age), alon</w:t>
            </w:r>
            <w:r w:rsidR="00B566D1" w:rsidRPr="00B043C4">
              <w:rPr>
                <w:rFonts w:cstheme="minorHAnsi"/>
                <w:color w:val="FF0000"/>
                <w:sz w:val="20"/>
                <w:szCs w:val="20"/>
              </w:rPr>
              <w:t xml:space="preserve">g with clinical judgment. Level </w:t>
            </w:r>
            <w:r w:rsidRPr="00B043C4">
              <w:rPr>
                <w:rFonts w:cstheme="minorHAnsi"/>
                <w:color w:val="FF0000"/>
                <w:sz w:val="20"/>
                <w:szCs w:val="20"/>
              </w:rPr>
              <w:t xml:space="preserve">of Evidence </w:t>
            </w:r>
            <w:r w:rsidRPr="00B043C4">
              <w:rPr>
                <w:rFonts w:eastAsia="MathematicalPiLTStd" w:cstheme="minorHAnsi"/>
                <w:color w:val="FF0000"/>
                <w:sz w:val="20"/>
                <w:szCs w:val="20"/>
              </w:rPr>
              <w:t xml:space="preserve">= </w:t>
            </w:r>
            <w:r w:rsidRPr="00B043C4">
              <w:rPr>
                <w:rFonts w:cstheme="minorHAnsi"/>
                <w:color w:val="FF0000"/>
                <w:sz w:val="20"/>
                <w:szCs w:val="20"/>
              </w:rPr>
              <w:t xml:space="preserve">C (Benefit/Effectiveness/Harm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07C6019A" w14:textId="27E41779"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3. Assess for intrinsic/extrinsic</w:t>
            </w:r>
            <w:r w:rsidR="002A329C" w:rsidRPr="00B043C4">
              <w:rPr>
                <w:rFonts w:cstheme="minorHAnsi"/>
                <w:color w:val="FF0000"/>
                <w:sz w:val="20"/>
                <w:szCs w:val="20"/>
              </w:rPr>
              <w:t xml:space="preserve"> risk factors. Risk factors can </w:t>
            </w:r>
            <w:r w:rsidRPr="00B043C4">
              <w:rPr>
                <w:rFonts w:cstheme="minorHAnsi"/>
                <w:color w:val="FF0000"/>
                <w:sz w:val="20"/>
                <w:szCs w:val="20"/>
              </w:rPr>
              <w:t>be defined as anything that inc</w:t>
            </w:r>
            <w:r w:rsidR="002A329C" w:rsidRPr="00B043C4">
              <w:rPr>
                <w:rFonts w:cstheme="minorHAnsi"/>
                <w:color w:val="FF0000"/>
                <w:sz w:val="20"/>
                <w:szCs w:val="20"/>
              </w:rPr>
              <w:t xml:space="preserve">reases the chance of developing </w:t>
            </w:r>
            <w:r w:rsidRPr="00B043C4">
              <w:rPr>
                <w:rFonts w:cstheme="minorHAnsi"/>
                <w:color w:val="FF0000"/>
                <w:sz w:val="20"/>
                <w:szCs w:val="20"/>
              </w:rPr>
              <w:t xml:space="preserve">a pressure ulcer.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C (Benefi</w:t>
            </w:r>
            <w:r w:rsidR="00B566D1" w:rsidRPr="00B043C4">
              <w:rPr>
                <w:rFonts w:cstheme="minorHAnsi"/>
                <w:color w:val="FF0000"/>
                <w:sz w:val="20"/>
                <w:szCs w:val="20"/>
              </w:rPr>
              <w:t>t/</w:t>
            </w:r>
            <w:r w:rsidRPr="00B043C4">
              <w:rPr>
                <w:rFonts w:cstheme="minorHAnsi"/>
                <w:color w:val="FF0000"/>
                <w:sz w:val="20"/>
                <w:szCs w:val="20"/>
              </w:rPr>
              <w:t xml:space="preserve">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4D3387EB" w14:textId="4DB74E53"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4. Identify high-risk settin</w:t>
            </w:r>
            <w:r w:rsidR="002A329C" w:rsidRPr="00B043C4">
              <w:rPr>
                <w:rFonts w:cstheme="minorHAnsi"/>
                <w:color w:val="FF0000"/>
                <w:sz w:val="20"/>
                <w:szCs w:val="20"/>
              </w:rPr>
              <w:t xml:space="preserve">gs and groups to identify where </w:t>
            </w:r>
            <w:r w:rsidRPr="00B043C4">
              <w:rPr>
                <w:rFonts w:cstheme="minorHAnsi"/>
                <w:color w:val="FF0000"/>
                <w:sz w:val="20"/>
                <w:szCs w:val="20"/>
              </w:rPr>
              <w:t>to target prevention eff orts to minimize risk. Level of</w:t>
            </w:r>
          </w:p>
          <w:p w14:paraId="4CF213BE" w14:textId="6A9BE4B1"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 xml:space="preserve">Evidence </w:t>
            </w:r>
            <w:r w:rsidRPr="00B043C4">
              <w:rPr>
                <w:rFonts w:eastAsia="MathematicalPiLTStd" w:cstheme="minorHAnsi"/>
                <w:color w:val="FF0000"/>
                <w:sz w:val="20"/>
                <w:szCs w:val="20"/>
              </w:rPr>
              <w:t xml:space="preserve">= </w:t>
            </w:r>
            <w:r w:rsidRPr="00B043C4">
              <w:rPr>
                <w:rFonts w:cstheme="minorHAnsi"/>
                <w:color w:val="FF0000"/>
                <w:sz w:val="20"/>
                <w:szCs w:val="20"/>
              </w:rPr>
              <w:t xml:space="preserve">C (Benefit/Effectiveness/Harm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7DEC43E6" w14:textId="77777777"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 xml:space="preserve">5. Assess and inspect skin regularly.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C</w:t>
            </w:r>
          </w:p>
          <w:p w14:paraId="6BF5D3A0" w14:textId="3DC2C60C"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 xml:space="preserve">(Benefit/Effectiveness/Harm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2018002A" w14:textId="0746D0C4"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6. Monitor patients who</w:t>
            </w:r>
            <w:r w:rsidR="002A329C" w:rsidRPr="00B043C4">
              <w:rPr>
                <w:rFonts w:cstheme="minorHAnsi"/>
                <w:color w:val="FF0000"/>
                <w:sz w:val="20"/>
                <w:szCs w:val="20"/>
              </w:rPr>
              <w:t xml:space="preserve"> have some degree of immobility </w:t>
            </w:r>
            <w:r w:rsidRPr="00B043C4">
              <w:rPr>
                <w:rFonts w:cstheme="minorHAnsi"/>
                <w:color w:val="FF0000"/>
                <w:sz w:val="20"/>
                <w:szCs w:val="20"/>
              </w:rPr>
              <w:t>frequently to minimize the risk of pressure ulcer formation.</w:t>
            </w:r>
          </w:p>
          <w:p w14:paraId="308F41F5" w14:textId="0068E74B"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 xml:space="preserve">Level of Evidence </w:t>
            </w:r>
            <w:r w:rsidRPr="00B043C4">
              <w:rPr>
                <w:rFonts w:eastAsia="MathematicalPiLTStd" w:cstheme="minorHAnsi"/>
                <w:color w:val="FF0000"/>
                <w:sz w:val="20"/>
                <w:szCs w:val="20"/>
              </w:rPr>
              <w:t xml:space="preserve">= </w:t>
            </w:r>
            <w:r w:rsidRPr="00B043C4">
              <w:rPr>
                <w:rFonts w:cstheme="minorHAnsi"/>
                <w:color w:val="FF0000"/>
                <w:sz w:val="20"/>
                <w:szCs w:val="20"/>
              </w:rPr>
              <w:t>C (Benefit/Eff</w:t>
            </w:r>
            <w:r w:rsidR="00B566D1" w:rsidRPr="00B043C4">
              <w:rPr>
                <w:rFonts w:cstheme="minorHAnsi"/>
                <w:color w:val="FF0000"/>
                <w:sz w:val="20"/>
                <w:szCs w:val="20"/>
              </w:rPr>
              <w:t>ectiveness/</w:t>
            </w:r>
            <w:r w:rsidRPr="00B043C4">
              <w:rPr>
                <w:rFonts w:cstheme="minorHAnsi"/>
                <w:color w:val="FF0000"/>
                <w:sz w:val="20"/>
                <w:szCs w:val="20"/>
              </w:rPr>
              <w:t xml:space="preserve">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4432AC73" w14:textId="783BE255"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7. Differentiate pressure ulcers from other types of wo</w:t>
            </w:r>
            <w:r w:rsidR="002A329C" w:rsidRPr="00B043C4">
              <w:rPr>
                <w:rFonts w:cstheme="minorHAnsi"/>
                <w:color w:val="FF0000"/>
                <w:sz w:val="20"/>
                <w:szCs w:val="20"/>
              </w:rPr>
              <w:t xml:space="preserve">unds </w:t>
            </w:r>
            <w:r w:rsidRPr="00B043C4">
              <w:rPr>
                <w:rFonts w:cstheme="minorHAnsi"/>
                <w:color w:val="FF0000"/>
                <w:sz w:val="20"/>
                <w:szCs w:val="20"/>
              </w:rPr>
              <w:t>and moisture-associated skin</w:t>
            </w:r>
            <w:r w:rsidR="002A329C" w:rsidRPr="00B043C4">
              <w:rPr>
                <w:rFonts w:cstheme="minorHAnsi"/>
                <w:color w:val="FF0000"/>
                <w:sz w:val="20"/>
                <w:szCs w:val="20"/>
              </w:rPr>
              <w:t xml:space="preserve"> damage caused by incontinence- </w:t>
            </w:r>
            <w:r w:rsidRPr="00B043C4">
              <w:rPr>
                <w:rFonts w:cstheme="minorHAnsi"/>
                <w:color w:val="FF0000"/>
                <w:sz w:val="20"/>
                <w:szCs w:val="20"/>
              </w:rPr>
              <w:t>associated dermatiti</w:t>
            </w:r>
            <w:r w:rsidR="002A329C" w:rsidRPr="00B043C4">
              <w:rPr>
                <w:rFonts w:cstheme="minorHAnsi"/>
                <w:color w:val="FF0000"/>
                <w:sz w:val="20"/>
                <w:szCs w:val="20"/>
              </w:rPr>
              <w:t xml:space="preserve">s due to exposure to urine and/ </w:t>
            </w:r>
            <w:r w:rsidRPr="00B043C4">
              <w:rPr>
                <w:rFonts w:cstheme="minorHAnsi"/>
                <w:color w:val="FF0000"/>
                <w:sz w:val="20"/>
                <w:szCs w:val="20"/>
              </w:rPr>
              <w:t>or stool, or intertriginous dermatitis due to trapped perspiration.</w:t>
            </w:r>
          </w:p>
          <w:p w14:paraId="33BEBA0A" w14:textId="29370215"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 xml:space="preserve">Level of Evidence </w:t>
            </w:r>
            <w:r w:rsidRPr="00B043C4">
              <w:rPr>
                <w:rFonts w:eastAsia="MathematicalPiLTStd" w:cstheme="minorHAnsi"/>
                <w:color w:val="FF0000"/>
                <w:sz w:val="20"/>
                <w:szCs w:val="20"/>
              </w:rPr>
              <w:t xml:space="preserve">= </w:t>
            </w:r>
            <w:r w:rsidRPr="00B043C4">
              <w:rPr>
                <w:rFonts w:cstheme="minorHAnsi"/>
                <w:color w:val="FF0000"/>
                <w:sz w:val="20"/>
                <w:szCs w:val="20"/>
              </w:rPr>
              <w:t>C (Benefit/Eff</w:t>
            </w:r>
            <w:r w:rsidR="00B566D1" w:rsidRPr="00B043C4">
              <w:rPr>
                <w:rFonts w:cstheme="minorHAnsi"/>
                <w:color w:val="FF0000"/>
                <w:sz w:val="20"/>
                <w:szCs w:val="20"/>
              </w:rPr>
              <w:t>ectiveness/</w:t>
            </w:r>
            <w:r w:rsidRPr="00B043C4">
              <w:rPr>
                <w:rFonts w:cstheme="minorHAnsi"/>
                <w:color w:val="FF0000"/>
                <w:sz w:val="20"/>
                <w:szCs w:val="20"/>
              </w:rPr>
              <w:t xml:space="preserve">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05089263" w14:textId="44277847"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8. Assess for incontinence and based on assessment fi</w:t>
            </w:r>
            <w:r w:rsidR="002A329C" w:rsidRPr="00B043C4">
              <w:rPr>
                <w:rFonts w:cstheme="minorHAnsi"/>
                <w:color w:val="FF0000"/>
                <w:sz w:val="20"/>
                <w:szCs w:val="20"/>
              </w:rPr>
              <w:t xml:space="preserve">ndings, </w:t>
            </w:r>
            <w:r w:rsidRPr="00B043C4">
              <w:rPr>
                <w:rFonts w:cstheme="minorHAnsi"/>
                <w:color w:val="FF0000"/>
                <w:sz w:val="20"/>
                <w:szCs w:val="20"/>
              </w:rPr>
              <w:t>implement an ind</w:t>
            </w:r>
            <w:r w:rsidR="002A329C" w:rsidRPr="00B043C4">
              <w:rPr>
                <w:rFonts w:cstheme="minorHAnsi"/>
                <w:color w:val="FF0000"/>
                <w:sz w:val="20"/>
                <w:szCs w:val="20"/>
              </w:rPr>
              <w:t xml:space="preserve">ividualized plan for management </w:t>
            </w:r>
            <w:r w:rsidRPr="00B043C4">
              <w:rPr>
                <w:rFonts w:cstheme="minorHAnsi"/>
                <w:color w:val="FF0000"/>
                <w:sz w:val="20"/>
                <w:szCs w:val="20"/>
              </w:rPr>
              <w:t xml:space="preserve">of incontinence.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C (Benefit/Eff</w:t>
            </w:r>
            <w:r w:rsidR="00B566D1" w:rsidRPr="00B043C4">
              <w:rPr>
                <w:rFonts w:cstheme="minorHAnsi"/>
                <w:color w:val="FF0000"/>
                <w:sz w:val="20"/>
                <w:szCs w:val="20"/>
              </w:rPr>
              <w:t>ectiveness/</w:t>
            </w:r>
            <w:r w:rsidRPr="00B043C4">
              <w:rPr>
                <w:rFonts w:cstheme="minorHAnsi"/>
                <w:color w:val="FF0000"/>
                <w:sz w:val="20"/>
                <w:szCs w:val="20"/>
              </w:rPr>
              <w:t xml:space="preserve">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2C40FB7B" w14:textId="3C898FBB"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9. Perform a nutritional asse</w:t>
            </w:r>
            <w:r w:rsidR="002A329C" w:rsidRPr="00B043C4">
              <w:rPr>
                <w:rFonts w:cstheme="minorHAnsi"/>
                <w:color w:val="FF0000"/>
                <w:sz w:val="20"/>
                <w:szCs w:val="20"/>
              </w:rPr>
              <w:t xml:space="preserve">ssment upon the patient’s entry </w:t>
            </w:r>
            <w:r w:rsidRPr="00B043C4">
              <w:rPr>
                <w:rFonts w:cstheme="minorHAnsi"/>
                <w:color w:val="FF0000"/>
                <w:sz w:val="20"/>
                <w:szCs w:val="20"/>
              </w:rPr>
              <w:t>to a new healthcare s</w:t>
            </w:r>
            <w:r w:rsidR="002A329C" w:rsidRPr="00B043C4">
              <w:rPr>
                <w:rFonts w:cstheme="minorHAnsi"/>
                <w:color w:val="FF0000"/>
                <w:sz w:val="20"/>
                <w:szCs w:val="20"/>
              </w:rPr>
              <w:t xml:space="preserve">etting, and whenever there is a </w:t>
            </w:r>
            <w:r w:rsidRPr="00B043C4">
              <w:rPr>
                <w:rFonts w:cstheme="minorHAnsi"/>
                <w:color w:val="FF0000"/>
                <w:sz w:val="20"/>
                <w:szCs w:val="20"/>
              </w:rPr>
              <w:t xml:space="preserve">change in the individual’s condition. Level of Evidence </w:t>
            </w:r>
            <w:r w:rsidRPr="00B043C4">
              <w:rPr>
                <w:rFonts w:eastAsia="MathematicalPiLTStd" w:cstheme="minorHAnsi"/>
                <w:color w:val="FF0000"/>
                <w:sz w:val="20"/>
                <w:szCs w:val="20"/>
              </w:rPr>
              <w:t>=</w:t>
            </w:r>
            <w:r w:rsidR="00B566D1" w:rsidRPr="00B043C4">
              <w:rPr>
                <w:rFonts w:cstheme="minorHAnsi"/>
                <w:color w:val="FF0000"/>
                <w:sz w:val="20"/>
                <w:szCs w:val="20"/>
              </w:rPr>
              <w:t xml:space="preserve"> </w:t>
            </w:r>
            <w:r w:rsidRPr="00B043C4">
              <w:rPr>
                <w:rFonts w:cstheme="minorHAnsi"/>
                <w:color w:val="FF0000"/>
                <w:sz w:val="20"/>
                <w:szCs w:val="20"/>
              </w:rPr>
              <w:t xml:space="preserve">C (Benefit/Effectiveness/Harm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0EDF1237" w14:textId="0060EF57"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10. Utilize laboratory parameters as o</w:t>
            </w:r>
            <w:r w:rsidR="002A329C" w:rsidRPr="00B043C4">
              <w:rPr>
                <w:rFonts w:cstheme="minorHAnsi"/>
                <w:color w:val="FF0000"/>
                <w:sz w:val="20"/>
                <w:szCs w:val="20"/>
              </w:rPr>
              <w:t xml:space="preserve">nly one part of the nutritional </w:t>
            </w:r>
            <w:r w:rsidRPr="00B043C4">
              <w:rPr>
                <w:rFonts w:cstheme="minorHAnsi"/>
                <w:color w:val="FF0000"/>
                <w:sz w:val="20"/>
                <w:szCs w:val="20"/>
              </w:rPr>
              <w:t>assessment proc</w:t>
            </w:r>
            <w:r w:rsidR="002A329C" w:rsidRPr="00B043C4">
              <w:rPr>
                <w:rFonts w:cstheme="minorHAnsi"/>
                <w:color w:val="FF0000"/>
                <w:sz w:val="20"/>
                <w:szCs w:val="20"/>
              </w:rPr>
              <w:t xml:space="preserve">ess, because they should not be </w:t>
            </w:r>
            <w:r w:rsidRPr="00B043C4">
              <w:rPr>
                <w:rFonts w:cstheme="minorHAnsi"/>
                <w:color w:val="FF0000"/>
                <w:sz w:val="20"/>
                <w:szCs w:val="20"/>
              </w:rPr>
              <w:t xml:space="preserve">considered in isolation.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C (Benefi</w:t>
            </w:r>
            <w:r w:rsidR="00B566D1" w:rsidRPr="00B043C4">
              <w:rPr>
                <w:rFonts w:cstheme="minorHAnsi"/>
                <w:color w:val="FF0000"/>
                <w:sz w:val="20"/>
                <w:szCs w:val="20"/>
              </w:rPr>
              <w:t>t/</w:t>
            </w:r>
            <w:r w:rsidRPr="00B043C4">
              <w:rPr>
                <w:rFonts w:cstheme="minorHAnsi"/>
                <w:color w:val="FF0000"/>
                <w:sz w:val="20"/>
                <w:szCs w:val="20"/>
              </w:rPr>
              <w:t xml:space="preserve">Effectiveness/Harm </w:t>
            </w:r>
            <w:r w:rsidRPr="00B043C4">
              <w:rPr>
                <w:rFonts w:eastAsia="MathematicalPiLTStd" w:cstheme="minorHAnsi"/>
                <w:color w:val="FF0000"/>
                <w:sz w:val="20"/>
                <w:szCs w:val="20"/>
              </w:rPr>
              <w:t xml:space="preserve">= </w:t>
            </w:r>
            <w:r w:rsidR="00B566D1" w:rsidRPr="00B043C4">
              <w:rPr>
                <w:rFonts w:cstheme="minorHAnsi"/>
                <w:color w:val="FF0000"/>
                <w:sz w:val="20"/>
                <w:szCs w:val="20"/>
              </w:rPr>
              <w:t xml:space="preserve">Class </w:t>
            </w:r>
            <w:r w:rsidRPr="00B043C4">
              <w:rPr>
                <w:rFonts w:cstheme="minorHAnsi"/>
                <w:color w:val="FF0000"/>
                <w:sz w:val="20"/>
                <w:szCs w:val="20"/>
              </w:rPr>
              <w:t>I)</w:t>
            </w:r>
          </w:p>
          <w:p w14:paraId="5B61ACFB" w14:textId="7C024122"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11. Assess for history of a p</w:t>
            </w:r>
            <w:r w:rsidR="002A329C" w:rsidRPr="00B043C4">
              <w:rPr>
                <w:rFonts w:cstheme="minorHAnsi"/>
                <w:color w:val="FF0000"/>
                <w:sz w:val="20"/>
                <w:szCs w:val="20"/>
              </w:rPr>
              <w:t xml:space="preserve">rior ulcer and/or presence of a </w:t>
            </w:r>
            <w:r w:rsidRPr="00B043C4">
              <w:rPr>
                <w:rFonts w:cstheme="minorHAnsi"/>
                <w:color w:val="FF0000"/>
                <w:sz w:val="20"/>
                <w:szCs w:val="20"/>
              </w:rPr>
              <w:t>current ulcer, previous treatments, and/or surgical interventions.</w:t>
            </w:r>
          </w:p>
          <w:p w14:paraId="2D005917" w14:textId="236784F7"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 xml:space="preserve">Level of Evidence </w:t>
            </w:r>
            <w:r w:rsidRPr="00B043C4">
              <w:rPr>
                <w:rFonts w:eastAsia="MathematicalPiLTStd" w:cstheme="minorHAnsi"/>
                <w:color w:val="FF0000"/>
                <w:sz w:val="20"/>
                <w:szCs w:val="20"/>
              </w:rPr>
              <w:t xml:space="preserve">= </w:t>
            </w:r>
            <w:r w:rsidRPr="00B043C4">
              <w:rPr>
                <w:rFonts w:cstheme="minorHAnsi"/>
                <w:color w:val="FF0000"/>
                <w:sz w:val="20"/>
                <w:szCs w:val="20"/>
              </w:rPr>
              <w:t>C (Benefit/Eff</w:t>
            </w:r>
            <w:r w:rsidR="00B566D1" w:rsidRPr="00B043C4">
              <w:rPr>
                <w:rFonts w:cstheme="minorHAnsi"/>
                <w:color w:val="FF0000"/>
                <w:sz w:val="20"/>
                <w:szCs w:val="20"/>
              </w:rPr>
              <w:t>ectiveness/</w:t>
            </w:r>
            <w:r w:rsidRPr="00B043C4">
              <w:rPr>
                <w:rFonts w:cstheme="minorHAnsi"/>
                <w:color w:val="FF0000"/>
                <w:sz w:val="20"/>
                <w:szCs w:val="20"/>
              </w:rPr>
              <w:t xml:space="preserve">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3F7EB5B4" w14:textId="28F8C0EB"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 xml:space="preserve">12. Assess pressure ulcer(s) </w:t>
            </w:r>
            <w:r w:rsidR="002A329C" w:rsidRPr="00B043C4">
              <w:rPr>
                <w:rFonts w:cstheme="minorHAnsi"/>
                <w:color w:val="FF0000"/>
                <w:sz w:val="20"/>
                <w:szCs w:val="20"/>
              </w:rPr>
              <w:t xml:space="preserve">on admission to a care setting, </w:t>
            </w:r>
            <w:r w:rsidRPr="00B043C4">
              <w:rPr>
                <w:rFonts w:cstheme="minorHAnsi"/>
                <w:color w:val="FF0000"/>
                <w:sz w:val="20"/>
                <w:szCs w:val="20"/>
              </w:rPr>
              <w:t>and regularly reassess an</w:t>
            </w:r>
            <w:r w:rsidR="002A329C" w:rsidRPr="00B043C4">
              <w:rPr>
                <w:rFonts w:cstheme="minorHAnsi"/>
                <w:color w:val="FF0000"/>
                <w:sz w:val="20"/>
                <w:szCs w:val="20"/>
              </w:rPr>
              <w:t xml:space="preserve">d monitor for any signs of skin </w:t>
            </w:r>
            <w:r w:rsidRPr="00B043C4">
              <w:rPr>
                <w:rFonts w:cstheme="minorHAnsi"/>
                <w:color w:val="FF0000"/>
                <w:sz w:val="20"/>
                <w:szCs w:val="20"/>
              </w:rPr>
              <w:t xml:space="preserve">or wound deterioration.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C (Benefi</w:t>
            </w:r>
            <w:r w:rsidR="00B566D1" w:rsidRPr="00B043C4">
              <w:rPr>
                <w:rFonts w:cstheme="minorHAnsi"/>
                <w:color w:val="FF0000"/>
                <w:sz w:val="20"/>
                <w:szCs w:val="20"/>
              </w:rPr>
              <w:t>t/</w:t>
            </w:r>
            <w:r w:rsidRPr="00B043C4">
              <w:rPr>
                <w:rFonts w:cstheme="minorHAnsi"/>
                <w:color w:val="FF0000"/>
                <w:sz w:val="20"/>
                <w:szCs w:val="20"/>
              </w:rPr>
              <w:t xml:space="preserve">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7B0D9D25" w14:textId="77777777"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13. Assess for factors that impede healing status. Level of</w:t>
            </w:r>
          </w:p>
          <w:p w14:paraId="54527DB7" w14:textId="0017B4EF"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 xml:space="preserve">Evidence </w:t>
            </w:r>
            <w:r w:rsidRPr="00B043C4">
              <w:rPr>
                <w:rFonts w:eastAsia="MathematicalPiLTStd" w:cstheme="minorHAnsi"/>
                <w:color w:val="FF0000"/>
                <w:sz w:val="20"/>
                <w:szCs w:val="20"/>
              </w:rPr>
              <w:t xml:space="preserve">= </w:t>
            </w:r>
            <w:r w:rsidRPr="00B043C4">
              <w:rPr>
                <w:rFonts w:cstheme="minorHAnsi"/>
                <w:color w:val="FF0000"/>
                <w:sz w:val="20"/>
                <w:szCs w:val="20"/>
              </w:rPr>
              <w:t xml:space="preserve">C (Benefit/Effectiveness/Harm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3CF896AB" w14:textId="59CC5D7A"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 xml:space="preserve">14. Consider the impact of the </w:t>
            </w:r>
            <w:r w:rsidR="002A329C" w:rsidRPr="00B043C4">
              <w:rPr>
                <w:rFonts w:cstheme="minorHAnsi"/>
                <w:color w:val="FF0000"/>
                <w:sz w:val="20"/>
                <w:szCs w:val="20"/>
              </w:rPr>
              <w:t xml:space="preserve">pressure ulcer on the patient’s </w:t>
            </w:r>
            <w:r w:rsidRPr="00B043C4">
              <w:rPr>
                <w:rFonts w:cstheme="minorHAnsi"/>
                <w:color w:val="FF0000"/>
                <w:sz w:val="20"/>
                <w:szCs w:val="20"/>
              </w:rPr>
              <w:t xml:space="preserve">quality of life. Level of Evidence </w:t>
            </w:r>
            <w:r w:rsidRPr="00B043C4">
              <w:rPr>
                <w:rFonts w:eastAsia="MathematicalPiLTStd" w:cstheme="minorHAnsi"/>
                <w:color w:val="FF0000"/>
                <w:sz w:val="20"/>
                <w:szCs w:val="20"/>
              </w:rPr>
              <w:t xml:space="preserve">= </w:t>
            </w:r>
            <w:r w:rsidR="00B566D1" w:rsidRPr="00B043C4">
              <w:rPr>
                <w:rFonts w:cstheme="minorHAnsi"/>
                <w:color w:val="FF0000"/>
                <w:sz w:val="20"/>
                <w:szCs w:val="20"/>
              </w:rPr>
              <w:t>C (Benefit/</w:t>
            </w:r>
            <w:r w:rsidRPr="00B043C4">
              <w:rPr>
                <w:rFonts w:cstheme="minorHAnsi"/>
                <w:color w:val="FF0000"/>
                <w:sz w:val="20"/>
                <w:szCs w:val="20"/>
              </w:rPr>
              <w:t xml:space="preserve">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27B8EDB2" w14:textId="77777777"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15. Assess/evaluate healing using a valid and reliable tool.</w:t>
            </w:r>
          </w:p>
          <w:p w14:paraId="5B8A4E42" w14:textId="371BDC6F" w:rsidR="006334C5" w:rsidRPr="00B043C4" w:rsidRDefault="006334C5" w:rsidP="00B566D1">
            <w:pPr>
              <w:autoSpaceDE w:val="0"/>
              <w:autoSpaceDN w:val="0"/>
              <w:adjustRightInd w:val="0"/>
              <w:ind w:left="0" w:firstLine="0"/>
              <w:rPr>
                <w:rFonts w:eastAsia="MathematicalPiLTStd" w:cstheme="minorHAnsi"/>
                <w:color w:val="FF0000"/>
                <w:sz w:val="20"/>
                <w:szCs w:val="20"/>
              </w:rPr>
            </w:pPr>
            <w:r w:rsidRPr="00B043C4">
              <w:rPr>
                <w:rFonts w:cstheme="minorHAnsi"/>
                <w:color w:val="FF0000"/>
                <w:sz w:val="20"/>
                <w:szCs w:val="20"/>
              </w:rPr>
              <w:t xml:space="preserve">Level of Evidence </w:t>
            </w:r>
            <w:r w:rsidRPr="00B043C4">
              <w:rPr>
                <w:rFonts w:eastAsia="MathematicalPiLTStd" w:cstheme="minorHAnsi"/>
                <w:color w:val="FF0000"/>
                <w:sz w:val="20"/>
                <w:szCs w:val="20"/>
              </w:rPr>
              <w:t xml:space="preserve">= </w:t>
            </w:r>
            <w:r w:rsidRPr="00B043C4">
              <w:rPr>
                <w:rFonts w:cstheme="minorHAnsi"/>
                <w:color w:val="FF0000"/>
                <w:sz w:val="20"/>
                <w:szCs w:val="20"/>
              </w:rPr>
              <w:t xml:space="preserve">C (Benefit/Effectiveness/Harm </w:t>
            </w:r>
            <w:r w:rsidR="00B566D1"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01707272" w14:textId="4F68D4C7" w:rsidR="006334C5" w:rsidRPr="00B043C4" w:rsidRDefault="006334C5" w:rsidP="00B566D1">
            <w:pPr>
              <w:autoSpaceDE w:val="0"/>
              <w:autoSpaceDN w:val="0"/>
              <w:adjustRightInd w:val="0"/>
              <w:ind w:left="0" w:firstLine="0"/>
              <w:rPr>
                <w:rFonts w:cstheme="minorHAnsi"/>
                <w:color w:val="FF0000"/>
                <w:sz w:val="20"/>
                <w:szCs w:val="20"/>
              </w:rPr>
            </w:pPr>
            <w:r w:rsidRPr="00B043C4">
              <w:rPr>
                <w:rFonts w:cstheme="minorHAnsi"/>
                <w:color w:val="FF0000"/>
                <w:sz w:val="20"/>
                <w:szCs w:val="20"/>
              </w:rPr>
              <w:t>16. Assess for potential complic</w:t>
            </w:r>
            <w:r w:rsidR="002A329C" w:rsidRPr="00B043C4">
              <w:rPr>
                <w:rFonts w:cstheme="minorHAnsi"/>
                <w:color w:val="FF0000"/>
                <w:sz w:val="20"/>
                <w:szCs w:val="20"/>
              </w:rPr>
              <w:t xml:space="preserve">ations associated with pressure </w:t>
            </w:r>
            <w:r w:rsidRPr="00B043C4">
              <w:rPr>
                <w:rFonts w:cstheme="minorHAnsi"/>
                <w:color w:val="FF0000"/>
                <w:sz w:val="20"/>
                <w:szCs w:val="20"/>
              </w:rPr>
              <w:t xml:space="preserve">ulcer(s). Level of Evidence </w:t>
            </w:r>
            <w:r w:rsidRPr="00B043C4">
              <w:rPr>
                <w:rFonts w:eastAsia="MathematicalPiLTStd" w:cstheme="minorHAnsi"/>
                <w:color w:val="FF0000"/>
                <w:sz w:val="20"/>
                <w:szCs w:val="20"/>
              </w:rPr>
              <w:t xml:space="preserve">= </w:t>
            </w:r>
            <w:r w:rsidR="00B566D1" w:rsidRPr="00B043C4">
              <w:rPr>
                <w:rFonts w:cstheme="minorHAnsi"/>
                <w:color w:val="FF0000"/>
                <w:sz w:val="20"/>
                <w:szCs w:val="20"/>
              </w:rPr>
              <w:t>C (Benefit/Effectiveness/</w:t>
            </w:r>
            <w:r w:rsidRPr="00B043C4">
              <w:rPr>
                <w:rFonts w:cstheme="minorHAnsi"/>
                <w:color w:val="FF0000"/>
                <w:sz w:val="20"/>
                <w:szCs w:val="20"/>
              </w:rPr>
              <w:t xml:space="preserve">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739FF29D" w14:textId="0B1E6BBE" w:rsidR="006334C5" w:rsidRPr="00B043C4" w:rsidRDefault="006334C5" w:rsidP="006334C5">
            <w:pPr>
              <w:ind w:left="0" w:firstLine="0"/>
              <w:rPr>
                <w:rFonts w:eastAsia="Calibri" w:cstheme="minorHAnsi"/>
                <w:b/>
                <w:color w:val="FF0000"/>
                <w:sz w:val="20"/>
                <w:szCs w:val="20"/>
              </w:rPr>
            </w:pPr>
            <w:r w:rsidRPr="00B043C4">
              <w:rPr>
                <w:rFonts w:eastAsia="Calibri" w:cstheme="minorHAnsi"/>
                <w:b/>
                <w:color w:val="FF0000"/>
                <w:sz w:val="20"/>
                <w:szCs w:val="20"/>
              </w:rPr>
              <w:t>Recommendations related t</w:t>
            </w:r>
            <w:r w:rsidR="008E22D6" w:rsidRPr="00B043C4">
              <w:rPr>
                <w:rFonts w:eastAsia="Calibri" w:cstheme="minorHAnsi"/>
                <w:b/>
                <w:color w:val="FF0000"/>
                <w:sz w:val="20"/>
                <w:szCs w:val="20"/>
              </w:rPr>
              <w:t>o prevention of pressure ulcers</w:t>
            </w:r>
          </w:p>
          <w:p w14:paraId="084698BF" w14:textId="7EDBB636"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17. Implement measures t</w:t>
            </w:r>
            <w:r w:rsidR="002A329C" w:rsidRPr="00B043C4">
              <w:rPr>
                <w:rFonts w:cstheme="minorHAnsi"/>
                <w:color w:val="FF0000"/>
                <w:sz w:val="20"/>
                <w:szCs w:val="20"/>
              </w:rPr>
              <w:t xml:space="preserve">o reduce the risk of developing </w:t>
            </w:r>
            <w:r w:rsidRPr="00B043C4">
              <w:rPr>
                <w:rFonts w:cstheme="minorHAnsi"/>
                <w:color w:val="FF0000"/>
                <w:sz w:val="20"/>
                <w:szCs w:val="20"/>
              </w:rPr>
              <w:t>pressure ulcers: minimiz</w:t>
            </w:r>
            <w:r w:rsidR="002A329C" w:rsidRPr="00B043C4">
              <w:rPr>
                <w:rFonts w:cstheme="minorHAnsi"/>
                <w:color w:val="FF0000"/>
                <w:sz w:val="20"/>
                <w:szCs w:val="20"/>
              </w:rPr>
              <w:t xml:space="preserve">e/eliminate pressure, friction, </w:t>
            </w:r>
            <w:r w:rsidRPr="00B043C4">
              <w:rPr>
                <w:rFonts w:cstheme="minorHAnsi"/>
                <w:color w:val="FF0000"/>
                <w:sz w:val="20"/>
                <w:szCs w:val="20"/>
              </w:rPr>
              <w:t xml:space="preserve">and shear.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C (Benefit/Eff</w:t>
            </w:r>
            <w:r w:rsidR="00B566D1" w:rsidRPr="00B043C4">
              <w:rPr>
                <w:rFonts w:cstheme="minorHAnsi"/>
                <w:color w:val="FF0000"/>
                <w:sz w:val="20"/>
                <w:szCs w:val="20"/>
              </w:rPr>
              <w:t>ectiveness/</w:t>
            </w:r>
            <w:r w:rsidRPr="00B043C4">
              <w:rPr>
                <w:rFonts w:cstheme="minorHAnsi"/>
                <w:color w:val="FF0000"/>
                <w:sz w:val="20"/>
                <w:szCs w:val="20"/>
              </w:rPr>
              <w:t xml:space="preserve">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4C9E4E9E" w14:textId="67D46608"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18. Minimize/eliminate pressure from medical de</w:t>
            </w:r>
            <w:r w:rsidR="002A329C" w:rsidRPr="00B043C4">
              <w:rPr>
                <w:rFonts w:cstheme="minorHAnsi"/>
                <w:color w:val="FF0000"/>
                <w:sz w:val="20"/>
                <w:szCs w:val="20"/>
              </w:rPr>
              <w:t xml:space="preserve">vices such </w:t>
            </w:r>
            <w:r w:rsidRPr="00B043C4">
              <w:rPr>
                <w:rFonts w:cstheme="minorHAnsi"/>
                <w:color w:val="FF0000"/>
                <w:sz w:val="20"/>
                <w:szCs w:val="20"/>
              </w:rPr>
              <w:t>as oxygen tubing, catheter</w:t>
            </w:r>
            <w:r w:rsidR="002A329C" w:rsidRPr="00B043C4">
              <w:rPr>
                <w:rFonts w:cstheme="minorHAnsi"/>
                <w:color w:val="FF0000"/>
                <w:sz w:val="20"/>
                <w:szCs w:val="20"/>
              </w:rPr>
              <w:t xml:space="preserve">s, cervical collars, casts, and </w:t>
            </w:r>
            <w:r w:rsidRPr="00B043C4">
              <w:rPr>
                <w:rFonts w:cstheme="minorHAnsi"/>
                <w:color w:val="FF0000"/>
                <w:sz w:val="20"/>
                <w:szCs w:val="20"/>
              </w:rPr>
              <w:t xml:space="preserve">restraints.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C (Benefit/Eff</w:t>
            </w:r>
            <w:r w:rsidR="00B566D1" w:rsidRPr="00B043C4">
              <w:rPr>
                <w:rFonts w:cstheme="minorHAnsi"/>
                <w:color w:val="FF0000"/>
                <w:sz w:val="20"/>
                <w:szCs w:val="20"/>
              </w:rPr>
              <w:t>ectiveness/</w:t>
            </w:r>
            <w:r w:rsidRPr="00B043C4">
              <w:rPr>
                <w:rFonts w:cstheme="minorHAnsi"/>
                <w:color w:val="FF0000"/>
                <w:sz w:val="20"/>
                <w:szCs w:val="20"/>
              </w:rPr>
              <w:t xml:space="preserve">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177474B7" w14:textId="00096BF3"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19. Maintain the head-</w:t>
            </w:r>
            <w:r w:rsidR="002A329C" w:rsidRPr="00B043C4">
              <w:rPr>
                <w:rFonts w:cstheme="minorHAnsi"/>
                <w:color w:val="FF0000"/>
                <w:sz w:val="20"/>
                <w:szCs w:val="20"/>
              </w:rPr>
              <w:t>of-bed elevation at/or below 30</w:t>
            </w:r>
            <w:r w:rsidR="002A329C" w:rsidRPr="00B043C4">
              <w:rPr>
                <w:rFonts w:eastAsia="MathematicalPiLTStd" w:cstheme="minorHAnsi"/>
                <w:color w:val="FF0000"/>
                <w:sz w:val="20"/>
                <w:szCs w:val="20"/>
              </w:rPr>
              <w:t>°</w:t>
            </w:r>
            <w:r w:rsidR="002A329C" w:rsidRPr="00B043C4">
              <w:rPr>
                <w:rFonts w:cstheme="minorHAnsi"/>
                <w:color w:val="FF0000"/>
                <w:sz w:val="20"/>
                <w:szCs w:val="20"/>
              </w:rPr>
              <w:t xml:space="preserve">, or </w:t>
            </w:r>
            <w:r w:rsidRPr="00B043C4">
              <w:rPr>
                <w:rFonts w:cstheme="minorHAnsi"/>
                <w:color w:val="FF0000"/>
                <w:sz w:val="20"/>
                <w:szCs w:val="20"/>
              </w:rPr>
              <w:t>at the lowest degree of elevation consistent with th</w:t>
            </w:r>
            <w:r w:rsidR="002A329C" w:rsidRPr="00B043C4">
              <w:rPr>
                <w:rFonts w:cstheme="minorHAnsi"/>
                <w:color w:val="FF0000"/>
                <w:sz w:val="20"/>
                <w:szCs w:val="20"/>
              </w:rPr>
              <w:t xml:space="preserve">e patient’s </w:t>
            </w:r>
            <w:r w:rsidRPr="00B043C4">
              <w:rPr>
                <w:rFonts w:cstheme="minorHAnsi"/>
                <w:color w:val="FF0000"/>
                <w:sz w:val="20"/>
                <w:szCs w:val="20"/>
              </w:rPr>
              <w:t>medical condition t</w:t>
            </w:r>
            <w:r w:rsidR="002A329C" w:rsidRPr="00B043C4">
              <w:rPr>
                <w:rFonts w:cstheme="minorHAnsi"/>
                <w:color w:val="FF0000"/>
                <w:sz w:val="20"/>
                <w:szCs w:val="20"/>
              </w:rPr>
              <w:t>o prevent shear-related injury, and use a 30</w:t>
            </w:r>
            <w:r w:rsidRPr="00B043C4">
              <w:rPr>
                <w:rFonts w:eastAsia="MathematicalPiLTStd" w:cstheme="minorHAnsi"/>
                <w:color w:val="FF0000"/>
                <w:sz w:val="20"/>
                <w:szCs w:val="20"/>
              </w:rPr>
              <w:t xml:space="preserve">° </w:t>
            </w:r>
            <w:r w:rsidRPr="00B043C4">
              <w:rPr>
                <w:rFonts w:cstheme="minorHAnsi"/>
                <w:color w:val="FF0000"/>
                <w:sz w:val="20"/>
                <w:szCs w:val="20"/>
              </w:rPr>
              <w:t xml:space="preserve">side-lying position. Level of Evidence </w:t>
            </w:r>
            <w:r w:rsidRPr="00B043C4">
              <w:rPr>
                <w:rFonts w:eastAsia="MathematicalPiLTStd" w:cstheme="minorHAnsi"/>
                <w:color w:val="FF0000"/>
                <w:sz w:val="20"/>
                <w:szCs w:val="20"/>
              </w:rPr>
              <w:t>=</w:t>
            </w:r>
            <w:r w:rsidR="00B566D1" w:rsidRPr="00B043C4">
              <w:rPr>
                <w:rFonts w:cstheme="minorHAnsi"/>
                <w:color w:val="FF0000"/>
                <w:sz w:val="20"/>
                <w:szCs w:val="20"/>
              </w:rPr>
              <w:t xml:space="preserve"> </w:t>
            </w:r>
            <w:r w:rsidRPr="00B043C4">
              <w:rPr>
                <w:rFonts w:cstheme="minorHAnsi"/>
                <w:color w:val="FF0000"/>
                <w:sz w:val="20"/>
                <w:szCs w:val="20"/>
              </w:rPr>
              <w:t xml:space="preserve">C (Benefit/Effectiveness/Harm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352BF6B6" w14:textId="3A3E9EBE"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20. Schedule regular reposit</w:t>
            </w:r>
            <w:r w:rsidR="002A329C" w:rsidRPr="00B043C4">
              <w:rPr>
                <w:rFonts w:cstheme="minorHAnsi"/>
                <w:color w:val="FF0000"/>
                <w:sz w:val="20"/>
                <w:szCs w:val="20"/>
              </w:rPr>
              <w:t xml:space="preserve">ioning and turning for bedbound </w:t>
            </w:r>
            <w:r w:rsidRPr="00B043C4">
              <w:rPr>
                <w:rFonts w:cstheme="minorHAnsi"/>
                <w:color w:val="FF0000"/>
                <w:sz w:val="20"/>
                <w:szCs w:val="20"/>
              </w:rPr>
              <w:t xml:space="preserve">and </w:t>
            </w:r>
            <w:proofErr w:type="spellStart"/>
            <w:r w:rsidRPr="00B043C4">
              <w:rPr>
                <w:rFonts w:cstheme="minorHAnsi"/>
                <w:color w:val="FF0000"/>
                <w:sz w:val="20"/>
                <w:szCs w:val="20"/>
              </w:rPr>
              <w:t>chairbound</w:t>
            </w:r>
            <w:proofErr w:type="spellEnd"/>
            <w:r w:rsidRPr="00B043C4">
              <w:rPr>
                <w:rFonts w:cstheme="minorHAnsi"/>
                <w:color w:val="FF0000"/>
                <w:sz w:val="20"/>
                <w:szCs w:val="20"/>
              </w:rPr>
              <w:t xml:space="preserve"> individuals, taking i</w:t>
            </w:r>
            <w:r w:rsidR="002A329C" w:rsidRPr="00B043C4">
              <w:rPr>
                <w:rFonts w:cstheme="minorHAnsi"/>
                <w:color w:val="FF0000"/>
                <w:sz w:val="20"/>
                <w:szCs w:val="20"/>
              </w:rPr>
              <w:t xml:space="preserve">nto consideration </w:t>
            </w:r>
            <w:r w:rsidRPr="00B043C4">
              <w:rPr>
                <w:rFonts w:cstheme="minorHAnsi"/>
                <w:color w:val="FF0000"/>
                <w:sz w:val="20"/>
                <w:szCs w:val="20"/>
              </w:rPr>
              <w:t xml:space="preserve">the condition </w:t>
            </w:r>
            <w:r w:rsidR="002A329C" w:rsidRPr="00B043C4">
              <w:rPr>
                <w:rFonts w:cstheme="minorHAnsi"/>
                <w:color w:val="FF0000"/>
                <w:sz w:val="20"/>
                <w:szCs w:val="20"/>
              </w:rPr>
              <w:t xml:space="preserve">of the patient and the pressure </w:t>
            </w:r>
            <w:r w:rsidRPr="00B043C4">
              <w:rPr>
                <w:rFonts w:cstheme="minorHAnsi"/>
                <w:color w:val="FF0000"/>
                <w:sz w:val="20"/>
                <w:szCs w:val="20"/>
              </w:rPr>
              <w:t>redistribution support surface i</w:t>
            </w:r>
            <w:r w:rsidR="002A329C" w:rsidRPr="00B043C4">
              <w:rPr>
                <w:rFonts w:cstheme="minorHAnsi"/>
                <w:color w:val="FF0000"/>
                <w:sz w:val="20"/>
                <w:szCs w:val="20"/>
              </w:rPr>
              <w:t xml:space="preserve">n determining the repositioning </w:t>
            </w:r>
            <w:r w:rsidRPr="00B043C4">
              <w:rPr>
                <w:rFonts w:cstheme="minorHAnsi"/>
                <w:color w:val="FF0000"/>
                <w:sz w:val="20"/>
                <w:szCs w:val="20"/>
              </w:rPr>
              <w:t xml:space="preserve">strategy.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C (Benefi</w:t>
            </w:r>
            <w:r w:rsidR="00B566D1" w:rsidRPr="00B043C4">
              <w:rPr>
                <w:rFonts w:cstheme="minorHAnsi"/>
                <w:color w:val="FF0000"/>
                <w:sz w:val="20"/>
                <w:szCs w:val="20"/>
              </w:rPr>
              <w:t>t/</w:t>
            </w:r>
            <w:r w:rsidRPr="00B043C4">
              <w:rPr>
                <w:rFonts w:cstheme="minorHAnsi"/>
                <w:color w:val="FF0000"/>
                <w:sz w:val="20"/>
                <w:szCs w:val="20"/>
              </w:rPr>
              <w:t xml:space="preserve">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17176506" w14:textId="6E48968A"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 xml:space="preserve">21. Position sitting patients with special attention to </w:t>
            </w:r>
            <w:r w:rsidR="002A329C" w:rsidRPr="00B043C4">
              <w:rPr>
                <w:rFonts w:cstheme="minorHAnsi"/>
                <w:color w:val="FF0000"/>
                <w:sz w:val="20"/>
                <w:szCs w:val="20"/>
              </w:rPr>
              <w:t xml:space="preserve">the individual’s </w:t>
            </w:r>
            <w:r w:rsidRPr="00B043C4">
              <w:rPr>
                <w:rFonts w:cstheme="minorHAnsi"/>
                <w:color w:val="FF0000"/>
                <w:sz w:val="20"/>
                <w:szCs w:val="20"/>
              </w:rPr>
              <w:t>anatomy, post</w:t>
            </w:r>
            <w:r w:rsidR="002A329C" w:rsidRPr="00B043C4">
              <w:rPr>
                <w:rFonts w:cstheme="minorHAnsi"/>
                <w:color w:val="FF0000"/>
                <w:sz w:val="20"/>
                <w:szCs w:val="20"/>
              </w:rPr>
              <w:t xml:space="preserve">ural alignment, distribution of </w:t>
            </w:r>
            <w:r w:rsidRPr="00B043C4">
              <w:rPr>
                <w:rFonts w:cstheme="minorHAnsi"/>
                <w:color w:val="FF0000"/>
                <w:sz w:val="20"/>
                <w:szCs w:val="20"/>
              </w:rPr>
              <w:t xml:space="preserve">weight, and support of the feet. Level of Evidence </w:t>
            </w:r>
            <w:r w:rsidRPr="00B043C4">
              <w:rPr>
                <w:rFonts w:eastAsia="MathematicalPiLTStd" w:cstheme="minorHAnsi"/>
                <w:color w:val="FF0000"/>
                <w:sz w:val="20"/>
                <w:szCs w:val="20"/>
              </w:rPr>
              <w:t xml:space="preserve">= </w:t>
            </w:r>
            <w:r w:rsidR="00B566D1" w:rsidRPr="00B043C4">
              <w:rPr>
                <w:rFonts w:cstheme="minorHAnsi"/>
                <w:color w:val="FF0000"/>
                <w:sz w:val="20"/>
                <w:szCs w:val="20"/>
              </w:rPr>
              <w:t xml:space="preserve">C </w:t>
            </w:r>
            <w:r w:rsidRPr="00B043C4">
              <w:rPr>
                <w:rFonts w:cstheme="minorHAnsi"/>
                <w:color w:val="FF0000"/>
                <w:sz w:val="20"/>
                <w:szCs w:val="20"/>
              </w:rPr>
              <w:t xml:space="preserve">(Benefit/Effectiveness/Harm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7DF386BC" w14:textId="08498B3E"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22. Consider prophylactic dressings to prevent sacral and</w:t>
            </w:r>
            <w:r w:rsidR="002A329C" w:rsidRPr="00B043C4">
              <w:rPr>
                <w:rFonts w:cstheme="minorHAnsi"/>
                <w:color w:val="FF0000"/>
                <w:sz w:val="20"/>
                <w:szCs w:val="20"/>
              </w:rPr>
              <w:t xml:space="preserve"> </w:t>
            </w:r>
            <w:r w:rsidRPr="00B043C4">
              <w:rPr>
                <w:rFonts w:cstheme="minorHAnsi"/>
                <w:color w:val="FF0000"/>
                <w:sz w:val="20"/>
                <w:szCs w:val="20"/>
              </w:rPr>
              <w:t xml:space="preserve">heel ulcers in at-risk patients. Level of Evidence </w:t>
            </w:r>
            <w:r w:rsidRPr="00B043C4">
              <w:rPr>
                <w:rFonts w:eastAsia="MathematicalPiLTStd" w:cstheme="minorHAnsi"/>
                <w:color w:val="FF0000"/>
                <w:sz w:val="20"/>
                <w:szCs w:val="20"/>
              </w:rPr>
              <w:t xml:space="preserve">= </w:t>
            </w:r>
            <w:r w:rsidR="00B566D1" w:rsidRPr="00B043C4">
              <w:rPr>
                <w:rFonts w:cstheme="minorHAnsi"/>
                <w:color w:val="FF0000"/>
                <w:sz w:val="20"/>
                <w:szCs w:val="20"/>
              </w:rPr>
              <w:t xml:space="preserve">A </w:t>
            </w:r>
            <w:r w:rsidRPr="00B043C4">
              <w:rPr>
                <w:rFonts w:cstheme="minorHAnsi"/>
                <w:color w:val="FF0000"/>
                <w:sz w:val="20"/>
                <w:szCs w:val="20"/>
              </w:rPr>
              <w:t xml:space="preserve">(Benefit/Effectiveness/Harm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6AB5B165" w14:textId="7A3B8263"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23. Use heel suspension devic</w:t>
            </w:r>
            <w:r w:rsidR="002A329C" w:rsidRPr="00B043C4">
              <w:rPr>
                <w:rFonts w:cstheme="minorHAnsi"/>
                <w:color w:val="FF0000"/>
                <w:sz w:val="20"/>
                <w:szCs w:val="20"/>
              </w:rPr>
              <w:t xml:space="preserve">es for patients who are at risk </w:t>
            </w:r>
            <w:r w:rsidRPr="00B043C4">
              <w:rPr>
                <w:rFonts w:cstheme="minorHAnsi"/>
                <w:color w:val="FF0000"/>
                <w:sz w:val="20"/>
                <w:szCs w:val="20"/>
              </w:rPr>
              <w:t>for pressure ulcers that elevate (float) and offlo</w:t>
            </w:r>
            <w:r w:rsidR="002A329C" w:rsidRPr="00B043C4">
              <w:rPr>
                <w:rFonts w:cstheme="minorHAnsi"/>
                <w:color w:val="FF0000"/>
                <w:sz w:val="20"/>
                <w:szCs w:val="20"/>
              </w:rPr>
              <w:t xml:space="preserve">ad the </w:t>
            </w:r>
            <w:r w:rsidRPr="00B043C4">
              <w:rPr>
                <w:rFonts w:cstheme="minorHAnsi"/>
                <w:color w:val="FF0000"/>
                <w:sz w:val="20"/>
                <w:szCs w:val="20"/>
              </w:rPr>
              <w:t>heel completely, and red</w:t>
            </w:r>
            <w:r w:rsidR="002A329C" w:rsidRPr="00B043C4">
              <w:rPr>
                <w:rFonts w:cstheme="minorHAnsi"/>
                <w:color w:val="FF0000"/>
                <w:sz w:val="20"/>
                <w:szCs w:val="20"/>
              </w:rPr>
              <w:t xml:space="preserve">istribute the weight of the leg </w:t>
            </w:r>
            <w:r w:rsidRPr="00B043C4">
              <w:rPr>
                <w:rFonts w:cstheme="minorHAnsi"/>
                <w:color w:val="FF0000"/>
                <w:sz w:val="20"/>
                <w:szCs w:val="20"/>
              </w:rPr>
              <w:t>along the calf without putting</w:t>
            </w:r>
            <w:r w:rsidR="002A329C" w:rsidRPr="00B043C4">
              <w:rPr>
                <w:rFonts w:cstheme="minorHAnsi"/>
                <w:color w:val="FF0000"/>
                <w:sz w:val="20"/>
                <w:szCs w:val="20"/>
              </w:rPr>
              <w:t xml:space="preserve"> pressure on the Achilles </w:t>
            </w:r>
            <w:r w:rsidRPr="00B043C4">
              <w:rPr>
                <w:rFonts w:cstheme="minorHAnsi"/>
                <w:color w:val="FF0000"/>
                <w:sz w:val="20"/>
                <w:szCs w:val="20"/>
              </w:rPr>
              <w:t xml:space="preserve">tendon.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B (Benefit/Eff</w:t>
            </w:r>
            <w:r w:rsidR="00B566D1" w:rsidRPr="00B043C4">
              <w:rPr>
                <w:rFonts w:cstheme="minorHAnsi"/>
                <w:color w:val="FF0000"/>
                <w:sz w:val="20"/>
                <w:szCs w:val="20"/>
              </w:rPr>
              <w:t>ectiveness/</w:t>
            </w:r>
            <w:r w:rsidRPr="00B043C4">
              <w:rPr>
                <w:rFonts w:cstheme="minorHAnsi"/>
                <w:color w:val="FF0000"/>
                <w:sz w:val="20"/>
                <w:szCs w:val="20"/>
              </w:rPr>
              <w:t xml:space="preserve">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7DA66CB2" w14:textId="2A243FE7"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24. Utilize support surfaces (on b</w:t>
            </w:r>
            <w:r w:rsidR="002A329C" w:rsidRPr="00B043C4">
              <w:rPr>
                <w:rFonts w:cstheme="minorHAnsi"/>
                <w:color w:val="FF0000"/>
                <w:sz w:val="20"/>
                <w:szCs w:val="20"/>
              </w:rPr>
              <w:t xml:space="preserve">eds and chairs) to redistribute </w:t>
            </w:r>
            <w:r w:rsidRPr="00B043C4">
              <w:rPr>
                <w:rFonts w:cstheme="minorHAnsi"/>
                <w:color w:val="FF0000"/>
                <w:sz w:val="20"/>
                <w:szCs w:val="20"/>
              </w:rPr>
              <w:t>pressure. Pressur</w:t>
            </w:r>
            <w:r w:rsidR="002A329C" w:rsidRPr="00B043C4">
              <w:rPr>
                <w:rFonts w:cstheme="minorHAnsi"/>
                <w:color w:val="FF0000"/>
                <w:sz w:val="20"/>
                <w:szCs w:val="20"/>
              </w:rPr>
              <w:t xml:space="preserve">e redistribution devices should </w:t>
            </w:r>
            <w:r w:rsidRPr="00B043C4">
              <w:rPr>
                <w:rFonts w:cstheme="minorHAnsi"/>
                <w:color w:val="FF0000"/>
                <w:sz w:val="20"/>
                <w:szCs w:val="20"/>
              </w:rPr>
              <w:t>serve as adjuncts and not replacements for re</w:t>
            </w:r>
            <w:r w:rsidR="002A329C" w:rsidRPr="00B043C4">
              <w:rPr>
                <w:rFonts w:cstheme="minorHAnsi"/>
                <w:color w:val="FF0000"/>
                <w:sz w:val="20"/>
                <w:szCs w:val="20"/>
              </w:rPr>
              <w:t xml:space="preserve">positioning </w:t>
            </w:r>
            <w:r w:rsidR="00B566D1" w:rsidRPr="00B043C4">
              <w:rPr>
                <w:rFonts w:cstheme="minorHAnsi"/>
                <w:color w:val="FF0000"/>
                <w:sz w:val="20"/>
                <w:szCs w:val="20"/>
              </w:rPr>
              <w:t xml:space="preserve">protocols.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C (Benefit/Eff</w:t>
            </w:r>
            <w:r w:rsidR="00B566D1" w:rsidRPr="00B043C4">
              <w:rPr>
                <w:rFonts w:cstheme="minorHAnsi"/>
                <w:color w:val="FF0000"/>
                <w:sz w:val="20"/>
                <w:szCs w:val="20"/>
              </w:rPr>
              <w:t>ectiveness/</w:t>
            </w:r>
            <w:r w:rsidRPr="00B043C4">
              <w:rPr>
                <w:rFonts w:cstheme="minorHAnsi"/>
                <w:color w:val="FF0000"/>
                <w:sz w:val="20"/>
                <w:szCs w:val="20"/>
              </w:rPr>
              <w:t xml:space="preserve">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74754A9A" w14:textId="76E48472"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25. Place individuals who are a</w:t>
            </w:r>
            <w:r w:rsidR="002A329C" w:rsidRPr="00B043C4">
              <w:rPr>
                <w:rFonts w:cstheme="minorHAnsi"/>
                <w:color w:val="FF0000"/>
                <w:sz w:val="20"/>
                <w:szCs w:val="20"/>
              </w:rPr>
              <w:t xml:space="preserve">t risk for pressure ulcers on a </w:t>
            </w:r>
            <w:r w:rsidRPr="00B043C4">
              <w:rPr>
                <w:rFonts w:cstheme="minorHAnsi"/>
                <w:color w:val="FF0000"/>
                <w:sz w:val="20"/>
                <w:szCs w:val="20"/>
              </w:rPr>
              <w:t xml:space="preserve">pressure redistribution surface.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C</w:t>
            </w:r>
          </w:p>
          <w:p w14:paraId="52BBFDA4" w14:textId="7EB1DD18"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 xml:space="preserve">(Benefit/Effectiveness/Harm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10FE549F" w14:textId="77777777" w:rsidR="006334C5" w:rsidRPr="00B043C4" w:rsidRDefault="006334C5" w:rsidP="006334C5">
            <w:pPr>
              <w:autoSpaceDE w:val="0"/>
              <w:autoSpaceDN w:val="0"/>
              <w:adjustRightInd w:val="0"/>
              <w:ind w:left="0" w:firstLine="0"/>
              <w:rPr>
                <w:rFonts w:cstheme="minorHAnsi"/>
                <w:i/>
                <w:iCs/>
                <w:color w:val="FF0000"/>
                <w:sz w:val="20"/>
                <w:szCs w:val="20"/>
              </w:rPr>
            </w:pPr>
            <w:r w:rsidRPr="00B043C4">
              <w:rPr>
                <w:rFonts w:cstheme="minorHAnsi"/>
                <w:color w:val="FF0000"/>
                <w:sz w:val="20"/>
                <w:szCs w:val="20"/>
              </w:rPr>
              <w:t xml:space="preserve">26. Consider using the WOCN Society’s </w:t>
            </w:r>
            <w:r w:rsidRPr="00B043C4">
              <w:rPr>
                <w:rFonts w:cstheme="minorHAnsi"/>
                <w:i/>
                <w:iCs/>
                <w:color w:val="FF0000"/>
                <w:sz w:val="20"/>
                <w:szCs w:val="20"/>
              </w:rPr>
              <w:t>Evidence- and</w:t>
            </w:r>
          </w:p>
          <w:p w14:paraId="0A80131B" w14:textId="3D95599C"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i/>
                <w:iCs/>
                <w:color w:val="FF0000"/>
                <w:sz w:val="20"/>
                <w:szCs w:val="20"/>
              </w:rPr>
              <w:t xml:space="preserve">Consensus-Based Support Surface Algorithm </w:t>
            </w:r>
            <w:r w:rsidR="002A329C" w:rsidRPr="00B043C4">
              <w:rPr>
                <w:rFonts w:cstheme="minorHAnsi"/>
                <w:color w:val="FF0000"/>
                <w:sz w:val="20"/>
                <w:szCs w:val="20"/>
              </w:rPr>
              <w:t>(</w:t>
            </w:r>
            <w:hyperlink r:id="rId26" w:history="1">
              <w:r w:rsidR="002A329C" w:rsidRPr="00B043C4">
                <w:rPr>
                  <w:rStyle w:val="Hyperlink"/>
                  <w:rFonts w:cstheme="minorHAnsi"/>
                  <w:color w:val="FF0000"/>
                  <w:sz w:val="20"/>
                  <w:szCs w:val="20"/>
                </w:rPr>
                <w:t>http://algorithm.wocn.org</w:t>
              </w:r>
            </w:hyperlink>
            <w:r w:rsidRPr="00B043C4">
              <w:rPr>
                <w:rFonts w:cstheme="minorHAnsi"/>
                <w:color w:val="FF0000"/>
                <w:sz w:val="20"/>
                <w:szCs w:val="20"/>
              </w:rPr>
              <w:t>) to i</w:t>
            </w:r>
            <w:r w:rsidR="002A329C" w:rsidRPr="00B043C4">
              <w:rPr>
                <w:rFonts w:cstheme="minorHAnsi"/>
                <w:color w:val="FF0000"/>
                <w:sz w:val="20"/>
                <w:szCs w:val="20"/>
              </w:rPr>
              <w:t xml:space="preserve">dentify the appropriate support </w:t>
            </w:r>
            <w:r w:rsidRPr="00B043C4">
              <w:rPr>
                <w:rFonts w:cstheme="minorHAnsi"/>
                <w:color w:val="FF0000"/>
                <w:sz w:val="20"/>
                <w:szCs w:val="20"/>
              </w:rPr>
              <w:t>surface (</w:t>
            </w:r>
            <w:proofErr w:type="spellStart"/>
            <w:r w:rsidRPr="00B043C4">
              <w:rPr>
                <w:rFonts w:cstheme="minorHAnsi"/>
                <w:color w:val="FF0000"/>
                <w:sz w:val="20"/>
                <w:szCs w:val="20"/>
              </w:rPr>
              <w:t>ie</w:t>
            </w:r>
            <w:proofErr w:type="spellEnd"/>
            <w:r w:rsidRPr="00B043C4">
              <w:rPr>
                <w:rFonts w:cstheme="minorHAnsi"/>
                <w:color w:val="FF0000"/>
                <w:sz w:val="20"/>
                <w:szCs w:val="20"/>
              </w:rPr>
              <w:t>, overlay, mattr</w:t>
            </w:r>
            <w:r w:rsidR="002A329C" w:rsidRPr="00B043C4">
              <w:rPr>
                <w:rFonts w:cstheme="minorHAnsi"/>
                <w:color w:val="FF0000"/>
                <w:sz w:val="20"/>
                <w:szCs w:val="20"/>
              </w:rPr>
              <w:t>ess, and integrated bed system) for adults (</w:t>
            </w:r>
            <w:r w:rsidRPr="00B043C4">
              <w:rPr>
                <w:rFonts w:eastAsia="MathematicalPiLTStd" w:cstheme="minorHAnsi"/>
                <w:color w:val="FF0000"/>
                <w:sz w:val="20"/>
                <w:szCs w:val="20"/>
              </w:rPr>
              <w:t xml:space="preserve">≥ </w:t>
            </w:r>
            <w:r w:rsidRPr="00B043C4">
              <w:rPr>
                <w:rFonts w:cstheme="minorHAnsi"/>
                <w:color w:val="FF0000"/>
                <w:sz w:val="20"/>
                <w:szCs w:val="20"/>
              </w:rPr>
              <w:t>16 years of age) and bariatric pati</w:t>
            </w:r>
            <w:r w:rsidR="002A329C" w:rsidRPr="00B043C4">
              <w:rPr>
                <w:rFonts w:cstheme="minorHAnsi"/>
                <w:color w:val="FF0000"/>
                <w:sz w:val="20"/>
                <w:szCs w:val="20"/>
              </w:rPr>
              <w:t xml:space="preserve">ents in </w:t>
            </w:r>
            <w:r w:rsidRPr="00B043C4">
              <w:rPr>
                <w:rFonts w:cstheme="minorHAnsi"/>
                <w:color w:val="FF0000"/>
                <w:sz w:val="20"/>
                <w:szCs w:val="20"/>
              </w:rPr>
              <w:t>care settings where th</w:t>
            </w:r>
            <w:r w:rsidR="002A329C" w:rsidRPr="00B043C4">
              <w:rPr>
                <w:rFonts w:cstheme="minorHAnsi"/>
                <w:color w:val="FF0000"/>
                <w:sz w:val="20"/>
                <w:szCs w:val="20"/>
              </w:rPr>
              <w:t xml:space="preserve">e length of stay is 24 hours or </w:t>
            </w:r>
            <w:r w:rsidRPr="00B043C4">
              <w:rPr>
                <w:rFonts w:cstheme="minorHAnsi"/>
                <w:color w:val="FF0000"/>
                <w:sz w:val="20"/>
                <w:szCs w:val="20"/>
              </w:rPr>
              <w:t xml:space="preserve">more.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C (Benefit/Eff</w:t>
            </w:r>
            <w:r w:rsidR="00B566D1" w:rsidRPr="00B043C4">
              <w:rPr>
                <w:rFonts w:cstheme="minorHAnsi"/>
                <w:color w:val="FF0000"/>
                <w:sz w:val="20"/>
                <w:szCs w:val="20"/>
              </w:rPr>
              <w:t>ectiveness/</w:t>
            </w:r>
            <w:r w:rsidRPr="00B043C4">
              <w:rPr>
                <w:rFonts w:cstheme="minorHAnsi"/>
                <w:color w:val="FF0000"/>
                <w:sz w:val="20"/>
                <w:szCs w:val="20"/>
              </w:rPr>
              <w:t xml:space="preserve">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7984A970" w14:textId="00C8EED8"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27. Use a high-specification r</w:t>
            </w:r>
            <w:r w:rsidR="002A329C" w:rsidRPr="00B043C4">
              <w:rPr>
                <w:rFonts w:cstheme="minorHAnsi"/>
                <w:color w:val="FF0000"/>
                <w:sz w:val="20"/>
                <w:szCs w:val="20"/>
              </w:rPr>
              <w:t xml:space="preserve">eactive or alternating pressure </w:t>
            </w:r>
            <w:r w:rsidRPr="00B043C4">
              <w:rPr>
                <w:rFonts w:cstheme="minorHAnsi"/>
                <w:color w:val="FF0000"/>
                <w:sz w:val="20"/>
                <w:szCs w:val="20"/>
              </w:rPr>
              <w:t>support surface in the</w:t>
            </w:r>
            <w:r w:rsidR="002A329C" w:rsidRPr="00B043C4">
              <w:rPr>
                <w:rFonts w:cstheme="minorHAnsi"/>
                <w:color w:val="FF0000"/>
                <w:sz w:val="20"/>
                <w:szCs w:val="20"/>
              </w:rPr>
              <w:t xml:space="preserve"> operating room for individuals </w:t>
            </w:r>
            <w:r w:rsidRPr="00B043C4">
              <w:rPr>
                <w:rFonts w:cstheme="minorHAnsi"/>
                <w:color w:val="FF0000"/>
                <w:sz w:val="20"/>
                <w:szCs w:val="20"/>
              </w:rPr>
              <w:t>at high risk for developing pre</w:t>
            </w:r>
            <w:r w:rsidR="00B566D1" w:rsidRPr="00B043C4">
              <w:rPr>
                <w:rFonts w:cstheme="minorHAnsi"/>
                <w:color w:val="FF0000"/>
                <w:sz w:val="20"/>
                <w:szCs w:val="20"/>
              </w:rPr>
              <w:t xml:space="preserve">ssure ulcers.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 xml:space="preserve">B (Benefit/Effectiveness/Harm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6E939960" w14:textId="12165458"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 xml:space="preserve">28. Avoid foam rings, foam </w:t>
            </w:r>
            <w:r w:rsidR="002A329C" w:rsidRPr="00B043C4">
              <w:rPr>
                <w:rFonts w:cstheme="minorHAnsi"/>
                <w:color w:val="FF0000"/>
                <w:sz w:val="20"/>
                <w:szCs w:val="20"/>
              </w:rPr>
              <w:t xml:space="preserve">cut-outs, or donut-type devices </w:t>
            </w:r>
            <w:r w:rsidRPr="00B043C4">
              <w:rPr>
                <w:rFonts w:cstheme="minorHAnsi"/>
                <w:color w:val="FF0000"/>
                <w:sz w:val="20"/>
                <w:szCs w:val="20"/>
              </w:rPr>
              <w:t>for pressure redistri</w:t>
            </w:r>
            <w:r w:rsidR="002A329C" w:rsidRPr="00B043C4">
              <w:rPr>
                <w:rFonts w:cstheme="minorHAnsi"/>
                <w:color w:val="FF0000"/>
                <w:sz w:val="20"/>
                <w:szCs w:val="20"/>
              </w:rPr>
              <w:t xml:space="preserve">bution because they concentrate </w:t>
            </w:r>
            <w:r w:rsidRPr="00B043C4">
              <w:rPr>
                <w:rFonts w:cstheme="minorHAnsi"/>
                <w:color w:val="FF0000"/>
                <w:sz w:val="20"/>
                <w:szCs w:val="20"/>
              </w:rPr>
              <w:t xml:space="preserve">pressure on the surrounding tissue. Level of Evidence </w:t>
            </w:r>
            <w:r w:rsidRPr="00B043C4">
              <w:rPr>
                <w:rFonts w:eastAsia="MathematicalPiLTStd" w:cstheme="minorHAnsi"/>
                <w:color w:val="FF0000"/>
                <w:sz w:val="20"/>
                <w:szCs w:val="20"/>
              </w:rPr>
              <w:t>=</w:t>
            </w:r>
            <w:r w:rsidR="00B566D1" w:rsidRPr="00B043C4">
              <w:rPr>
                <w:rFonts w:cstheme="minorHAnsi"/>
                <w:color w:val="FF0000"/>
                <w:sz w:val="20"/>
                <w:szCs w:val="20"/>
              </w:rPr>
              <w:t xml:space="preserve"> </w:t>
            </w:r>
            <w:r w:rsidRPr="00B043C4">
              <w:rPr>
                <w:rFonts w:cstheme="minorHAnsi"/>
                <w:color w:val="FF0000"/>
                <w:sz w:val="20"/>
                <w:szCs w:val="20"/>
              </w:rPr>
              <w:t xml:space="preserve">C (Benefit/Effectiveness/Harm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776F3498" w14:textId="0667AF78"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29. Use incontinence skin barr</w:t>
            </w:r>
            <w:r w:rsidR="002A329C" w:rsidRPr="00B043C4">
              <w:rPr>
                <w:rFonts w:cstheme="minorHAnsi"/>
                <w:color w:val="FF0000"/>
                <w:sz w:val="20"/>
                <w:szCs w:val="20"/>
              </w:rPr>
              <w:t xml:space="preserve">iers such as creams, ointments, </w:t>
            </w:r>
            <w:r w:rsidRPr="00B043C4">
              <w:rPr>
                <w:rFonts w:cstheme="minorHAnsi"/>
                <w:color w:val="FF0000"/>
                <w:sz w:val="20"/>
                <w:szCs w:val="20"/>
              </w:rPr>
              <w:t>pastes, and fi</w:t>
            </w:r>
            <w:r w:rsidR="002A329C" w:rsidRPr="00B043C4">
              <w:rPr>
                <w:rFonts w:cstheme="minorHAnsi"/>
                <w:color w:val="FF0000"/>
                <w:sz w:val="20"/>
                <w:szCs w:val="20"/>
              </w:rPr>
              <w:t xml:space="preserve">lm-forming skin protectants as </w:t>
            </w:r>
            <w:r w:rsidRPr="00B043C4">
              <w:rPr>
                <w:rFonts w:cstheme="minorHAnsi"/>
                <w:color w:val="FF0000"/>
                <w:sz w:val="20"/>
                <w:szCs w:val="20"/>
              </w:rPr>
              <w:t>needed to protect and main</w:t>
            </w:r>
            <w:r w:rsidR="002A329C" w:rsidRPr="00B043C4">
              <w:rPr>
                <w:rFonts w:cstheme="minorHAnsi"/>
                <w:color w:val="FF0000"/>
                <w:sz w:val="20"/>
                <w:szCs w:val="20"/>
              </w:rPr>
              <w:t xml:space="preserve">tain intact skin in individuals </w:t>
            </w:r>
            <w:r w:rsidRPr="00B043C4">
              <w:rPr>
                <w:rFonts w:cstheme="minorHAnsi"/>
                <w:color w:val="FF0000"/>
                <w:sz w:val="20"/>
                <w:szCs w:val="20"/>
              </w:rPr>
              <w:t>who are incontinent a</w:t>
            </w:r>
            <w:r w:rsidR="00B566D1" w:rsidRPr="00B043C4">
              <w:rPr>
                <w:rFonts w:cstheme="minorHAnsi"/>
                <w:color w:val="FF0000"/>
                <w:sz w:val="20"/>
                <w:szCs w:val="20"/>
              </w:rPr>
              <w:t xml:space="preserve">nd at risk for pressure ulcers. </w:t>
            </w:r>
            <w:r w:rsidRPr="00B043C4">
              <w:rPr>
                <w:rFonts w:cstheme="minorHAnsi"/>
                <w:color w:val="FF0000"/>
                <w:sz w:val="20"/>
                <w:szCs w:val="20"/>
              </w:rPr>
              <w:t xml:space="preserve">Level of Evidence </w:t>
            </w:r>
            <w:r w:rsidRPr="00B043C4">
              <w:rPr>
                <w:rFonts w:eastAsia="MathematicalPiLTStd" w:cstheme="minorHAnsi"/>
                <w:color w:val="FF0000"/>
                <w:sz w:val="20"/>
                <w:szCs w:val="20"/>
              </w:rPr>
              <w:t xml:space="preserve">= </w:t>
            </w:r>
            <w:r w:rsidR="00B566D1" w:rsidRPr="00B043C4">
              <w:rPr>
                <w:rFonts w:cstheme="minorHAnsi"/>
                <w:color w:val="FF0000"/>
                <w:sz w:val="20"/>
                <w:szCs w:val="20"/>
              </w:rPr>
              <w:t xml:space="preserve">C </w:t>
            </w:r>
            <w:r w:rsidRPr="00B043C4">
              <w:rPr>
                <w:rFonts w:cstheme="minorHAnsi"/>
                <w:color w:val="FF0000"/>
                <w:sz w:val="20"/>
                <w:szCs w:val="20"/>
              </w:rPr>
              <w:t xml:space="preserve">(Benefit/Effectiveness/Harm </w:t>
            </w:r>
            <w:r w:rsidRPr="00B043C4">
              <w:rPr>
                <w:rFonts w:eastAsia="MathematicalPiLTStd" w:cstheme="minorHAnsi"/>
                <w:color w:val="FF0000"/>
                <w:sz w:val="20"/>
                <w:szCs w:val="20"/>
              </w:rPr>
              <w:t>=</w:t>
            </w:r>
            <w:r w:rsidR="00B566D1" w:rsidRPr="00B043C4">
              <w:rPr>
                <w:rFonts w:cstheme="minorHAnsi"/>
                <w:color w:val="FF0000"/>
                <w:sz w:val="20"/>
                <w:szCs w:val="20"/>
              </w:rPr>
              <w:t xml:space="preserve"> </w:t>
            </w:r>
            <w:r w:rsidRPr="00B043C4">
              <w:rPr>
                <w:rFonts w:cstheme="minorHAnsi"/>
                <w:color w:val="FF0000"/>
                <w:sz w:val="20"/>
                <w:szCs w:val="20"/>
              </w:rPr>
              <w:t>Class I)</w:t>
            </w:r>
          </w:p>
          <w:p w14:paraId="29F21E19" w14:textId="21B66EA4"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30. Offer individuals with</w:t>
            </w:r>
            <w:r w:rsidR="002A329C" w:rsidRPr="00B043C4">
              <w:rPr>
                <w:rFonts w:cstheme="minorHAnsi"/>
                <w:color w:val="FF0000"/>
                <w:sz w:val="20"/>
                <w:szCs w:val="20"/>
              </w:rPr>
              <w:t xml:space="preserve"> nutritional and pressure ulcer </w:t>
            </w:r>
            <w:r w:rsidRPr="00B043C4">
              <w:rPr>
                <w:rFonts w:cstheme="minorHAnsi"/>
                <w:color w:val="FF0000"/>
                <w:sz w:val="20"/>
                <w:szCs w:val="20"/>
              </w:rPr>
              <w:t>risks a minimum of 3</w:t>
            </w:r>
            <w:r w:rsidR="002A329C" w:rsidRPr="00B043C4">
              <w:rPr>
                <w:rFonts w:cstheme="minorHAnsi"/>
                <w:color w:val="FF0000"/>
                <w:sz w:val="20"/>
                <w:szCs w:val="20"/>
              </w:rPr>
              <w:t xml:space="preserve">0 to 35 kcal/kg body weight per </w:t>
            </w:r>
            <w:r w:rsidRPr="00B043C4">
              <w:rPr>
                <w:rFonts w:cstheme="minorHAnsi"/>
                <w:color w:val="FF0000"/>
                <w:sz w:val="20"/>
                <w:szCs w:val="20"/>
              </w:rPr>
              <w:t xml:space="preserve">day, 1.25 to 1.5 g of </w:t>
            </w:r>
            <w:r w:rsidR="002A329C" w:rsidRPr="00B043C4">
              <w:rPr>
                <w:rFonts w:cstheme="minorHAnsi"/>
                <w:color w:val="FF0000"/>
                <w:sz w:val="20"/>
                <w:szCs w:val="20"/>
              </w:rPr>
              <w:t xml:space="preserve">protein/kg body weight per day, </w:t>
            </w:r>
            <w:r w:rsidRPr="00B043C4">
              <w:rPr>
                <w:rFonts w:cstheme="minorHAnsi"/>
                <w:color w:val="FF0000"/>
                <w:sz w:val="20"/>
                <w:szCs w:val="20"/>
              </w:rPr>
              <w:t>and 1 mL of fluid intake pe</w:t>
            </w:r>
            <w:r w:rsidR="00B566D1" w:rsidRPr="00B043C4">
              <w:rPr>
                <w:rFonts w:cstheme="minorHAnsi"/>
                <w:color w:val="FF0000"/>
                <w:sz w:val="20"/>
                <w:szCs w:val="20"/>
              </w:rPr>
              <w:t xml:space="preserve">r kilocalorie per day. Level of </w:t>
            </w:r>
            <w:r w:rsidRPr="00B043C4">
              <w:rPr>
                <w:rFonts w:cstheme="minorHAnsi"/>
                <w:color w:val="FF0000"/>
                <w:sz w:val="20"/>
                <w:szCs w:val="20"/>
              </w:rPr>
              <w:t xml:space="preserve">Evidence </w:t>
            </w:r>
            <w:r w:rsidRPr="00B043C4">
              <w:rPr>
                <w:rFonts w:eastAsia="MathematicalPiLTStd" w:cstheme="minorHAnsi"/>
                <w:color w:val="FF0000"/>
                <w:sz w:val="20"/>
                <w:szCs w:val="20"/>
              </w:rPr>
              <w:t xml:space="preserve">= </w:t>
            </w:r>
            <w:r w:rsidRPr="00B043C4">
              <w:rPr>
                <w:rFonts w:cstheme="minorHAnsi"/>
                <w:color w:val="FF0000"/>
                <w:sz w:val="20"/>
                <w:szCs w:val="20"/>
              </w:rPr>
              <w:t xml:space="preserve">C (Benefit/Effectiveness/Harm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440BD7A5" w14:textId="1A886B3E" w:rsidR="006334C5" w:rsidRPr="00B043C4" w:rsidRDefault="006334C5" w:rsidP="00B566D1">
            <w:pPr>
              <w:autoSpaceDE w:val="0"/>
              <w:autoSpaceDN w:val="0"/>
              <w:adjustRightInd w:val="0"/>
              <w:ind w:left="0" w:firstLine="0"/>
              <w:rPr>
                <w:rFonts w:cstheme="minorHAnsi"/>
                <w:color w:val="FF0000"/>
                <w:sz w:val="20"/>
                <w:szCs w:val="20"/>
              </w:rPr>
            </w:pPr>
            <w:r w:rsidRPr="00B043C4">
              <w:rPr>
                <w:rFonts w:cstheme="minorHAnsi"/>
                <w:color w:val="FF0000"/>
                <w:sz w:val="20"/>
                <w:szCs w:val="20"/>
              </w:rPr>
              <w:t>31. Educate the patient/ca</w:t>
            </w:r>
            <w:r w:rsidR="002A329C" w:rsidRPr="00B043C4">
              <w:rPr>
                <w:rFonts w:cstheme="minorHAnsi"/>
                <w:color w:val="FF0000"/>
                <w:sz w:val="20"/>
                <w:szCs w:val="20"/>
              </w:rPr>
              <w:t xml:space="preserve">regiver(s) about the causes and </w:t>
            </w:r>
            <w:r w:rsidRPr="00B043C4">
              <w:rPr>
                <w:rFonts w:cstheme="minorHAnsi"/>
                <w:color w:val="FF0000"/>
                <w:sz w:val="20"/>
                <w:szCs w:val="20"/>
              </w:rPr>
              <w:t>risk factors for develop</w:t>
            </w:r>
            <w:r w:rsidR="002A329C" w:rsidRPr="00B043C4">
              <w:rPr>
                <w:rFonts w:cstheme="minorHAnsi"/>
                <w:color w:val="FF0000"/>
                <w:sz w:val="20"/>
                <w:szCs w:val="20"/>
              </w:rPr>
              <w:t xml:space="preserve">ing pressure ulcers and ways to </w:t>
            </w:r>
            <w:r w:rsidRPr="00B043C4">
              <w:rPr>
                <w:rFonts w:cstheme="minorHAnsi"/>
                <w:color w:val="FF0000"/>
                <w:sz w:val="20"/>
                <w:szCs w:val="20"/>
              </w:rPr>
              <w:t xml:space="preserve">minimize the risk. Level of Evidence </w:t>
            </w:r>
            <w:r w:rsidRPr="00B043C4">
              <w:rPr>
                <w:rFonts w:eastAsia="MathematicalPiLTStd" w:cstheme="minorHAnsi"/>
                <w:color w:val="FF0000"/>
                <w:sz w:val="20"/>
                <w:szCs w:val="20"/>
              </w:rPr>
              <w:t xml:space="preserve">= </w:t>
            </w:r>
            <w:r w:rsidR="00B566D1" w:rsidRPr="00B043C4">
              <w:rPr>
                <w:rFonts w:cstheme="minorHAnsi"/>
                <w:color w:val="FF0000"/>
                <w:sz w:val="20"/>
                <w:szCs w:val="20"/>
              </w:rPr>
              <w:t>C (Benefit/</w:t>
            </w:r>
            <w:r w:rsidRPr="00B043C4">
              <w:rPr>
                <w:rFonts w:cstheme="minorHAnsi"/>
                <w:color w:val="FF0000"/>
                <w:sz w:val="20"/>
                <w:szCs w:val="20"/>
              </w:rPr>
              <w:t xml:space="preserve">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13F9CC4B" w14:textId="226593B6" w:rsidR="006334C5" w:rsidRPr="00B043C4" w:rsidRDefault="006334C5" w:rsidP="006334C5">
            <w:pPr>
              <w:ind w:left="0" w:firstLine="0"/>
              <w:rPr>
                <w:rFonts w:eastAsia="Calibri" w:cstheme="minorHAnsi"/>
                <w:b/>
                <w:color w:val="FF0000"/>
                <w:sz w:val="20"/>
                <w:szCs w:val="20"/>
              </w:rPr>
            </w:pPr>
            <w:r w:rsidRPr="00B043C4">
              <w:rPr>
                <w:rFonts w:eastAsia="Calibri" w:cstheme="minorHAnsi"/>
                <w:b/>
                <w:color w:val="FF0000"/>
                <w:sz w:val="20"/>
                <w:szCs w:val="20"/>
              </w:rPr>
              <w:t xml:space="preserve">Recommendations related </w:t>
            </w:r>
            <w:r w:rsidR="008E22D6" w:rsidRPr="00B043C4">
              <w:rPr>
                <w:rFonts w:eastAsia="Calibri" w:cstheme="minorHAnsi"/>
                <w:b/>
                <w:color w:val="FF0000"/>
                <w:sz w:val="20"/>
                <w:szCs w:val="20"/>
              </w:rPr>
              <w:t>to treatment of pressure ulcers</w:t>
            </w:r>
          </w:p>
          <w:p w14:paraId="299B061A" w14:textId="77777777"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32. Float/elevate the heel(s) completely off the surface with</w:t>
            </w:r>
          </w:p>
          <w:p w14:paraId="3B45DC5A" w14:textId="77777777"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a pillow or heel suspension device for stage 1 and 2 pressure</w:t>
            </w:r>
          </w:p>
          <w:p w14:paraId="0223386C" w14:textId="77777777"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ulcers or a heel suspension device for stage 3 and</w:t>
            </w:r>
          </w:p>
          <w:p w14:paraId="35B81834" w14:textId="26866250"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 xml:space="preserve">4 heel pressure ulcers.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C (Benefi</w:t>
            </w:r>
            <w:r w:rsidR="00B566D1" w:rsidRPr="00B043C4">
              <w:rPr>
                <w:rFonts w:cstheme="minorHAnsi"/>
                <w:color w:val="FF0000"/>
                <w:sz w:val="20"/>
                <w:szCs w:val="20"/>
              </w:rPr>
              <w:t>t/</w:t>
            </w:r>
            <w:r w:rsidRPr="00B043C4">
              <w:rPr>
                <w:rFonts w:cstheme="minorHAnsi"/>
                <w:color w:val="FF0000"/>
                <w:sz w:val="20"/>
                <w:szCs w:val="20"/>
              </w:rPr>
              <w:t xml:space="preserve">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72855BE7" w14:textId="77777777"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33. Turn and reposition the patient, regularly and frequently.</w:t>
            </w:r>
          </w:p>
          <w:p w14:paraId="4F7EDDFA" w14:textId="3E205518" w:rsidR="006334C5" w:rsidRPr="00B043C4" w:rsidRDefault="006334C5" w:rsidP="006334C5">
            <w:pPr>
              <w:autoSpaceDE w:val="0"/>
              <w:autoSpaceDN w:val="0"/>
              <w:adjustRightInd w:val="0"/>
              <w:ind w:left="0" w:firstLine="0"/>
              <w:rPr>
                <w:rFonts w:eastAsia="MathematicalPiLTStd" w:cstheme="minorHAnsi"/>
                <w:color w:val="FF0000"/>
                <w:sz w:val="20"/>
                <w:szCs w:val="20"/>
              </w:rPr>
            </w:pPr>
            <w:r w:rsidRPr="00B043C4">
              <w:rPr>
                <w:rFonts w:cstheme="minorHAnsi"/>
                <w:color w:val="FF0000"/>
                <w:sz w:val="20"/>
                <w:szCs w:val="20"/>
              </w:rPr>
              <w:t xml:space="preserve">Level of Evidence </w:t>
            </w:r>
            <w:r w:rsidRPr="00B043C4">
              <w:rPr>
                <w:rFonts w:eastAsia="MathematicalPiLTStd" w:cstheme="minorHAnsi"/>
                <w:color w:val="FF0000"/>
                <w:sz w:val="20"/>
                <w:szCs w:val="20"/>
              </w:rPr>
              <w:t xml:space="preserve">= </w:t>
            </w:r>
            <w:r w:rsidRPr="00B043C4">
              <w:rPr>
                <w:rFonts w:cstheme="minorHAnsi"/>
                <w:color w:val="FF0000"/>
                <w:sz w:val="20"/>
                <w:szCs w:val="20"/>
              </w:rPr>
              <w:t xml:space="preserve">C (Benefit/Effectiveness/Harm </w:t>
            </w:r>
            <w:r w:rsidR="00B566D1"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511690E5" w14:textId="77777777"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34. Utilize support surfaces for patients with pressure ulcers</w:t>
            </w:r>
          </w:p>
          <w:p w14:paraId="416275DD" w14:textId="4965DA56"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w:t>
            </w:r>
            <w:proofErr w:type="spellStart"/>
            <w:proofErr w:type="gramStart"/>
            <w:r w:rsidRPr="00B043C4">
              <w:rPr>
                <w:rFonts w:cstheme="minorHAnsi"/>
                <w:color w:val="FF0000"/>
                <w:sz w:val="20"/>
                <w:szCs w:val="20"/>
              </w:rPr>
              <w:t>ie</w:t>
            </w:r>
            <w:proofErr w:type="spellEnd"/>
            <w:proofErr w:type="gramEnd"/>
            <w:r w:rsidRPr="00B043C4">
              <w:rPr>
                <w:rFonts w:cstheme="minorHAnsi"/>
                <w:color w:val="FF0000"/>
                <w:sz w:val="20"/>
                <w:szCs w:val="20"/>
              </w:rPr>
              <w:t>, mattresses, mattress ov</w:t>
            </w:r>
            <w:r w:rsidR="002A329C" w:rsidRPr="00B043C4">
              <w:rPr>
                <w:rFonts w:cstheme="minorHAnsi"/>
                <w:color w:val="FF0000"/>
                <w:sz w:val="20"/>
                <w:szCs w:val="20"/>
              </w:rPr>
              <w:t xml:space="preserve">erlays, integrated bed systems, </w:t>
            </w:r>
            <w:r w:rsidRPr="00B043C4">
              <w:rPr>
                <w:rFonts w:cstheme="minorHAnsi"/>
                <w:color w:val="FF0000"/>
                <w:sz w:val="20"/>
                <w:szCs w:val="20"/>
              </w:rPr>
              <w:t>seat cushions, or s</w:t>
            </w:r>
            <w:r w:rsidR="002A329C" w:rsidRPr="00B043C4">
              <w:rPr>
                <w:rFonts w:cstheme="minorHAnsi"/>
                <w:color w:val="FF0000"/>
                <w:sz w:val="20"/>
                <w:szCs w:val="20"/>
              </w:rPr>
              <w:t xml:space="preserve">eat cushion overlays) that meet </w:t>
            </w:r>
            <w:r w:rsidRPr="00B043C4">
              <w:rPr>
                <w:rFonts w:cstheme="minorHAnsi"/>
                <w:color w:val="FF0000"/>
                <w:sz w:val="20"/>
                <w:szCs w:val="20"/>
              </w:rPr>
              <w:t>the individual’s needs, a</w:t>
            </w:r>
            <w:r w:rsidR="002A329C" w:rsidRPr="00B043C4">
              <w:rPr>
                <w:rFonts w:cstheme="minorHAnsi"/>
                <w:color w:val="FF0000"/>
                <w:sz w:val="20"/>
                <w:szCs w:val="20"/>
              </w:rPr>
              <w:t xml:space="preserve">nd are compatible with the care </w:t>
            </w:r>
            <w:r w:rsidRPr="00B043C4">
              <w:rPr>
                <w:rFonts w:cstheme="minorHAnsi"/>
                <w:color w:val="FF0000"/>
                <w:sz w:val="20"/>
                <w:szCs w:val="20"/>
              </w:rPr>
              <w:t xml:space="preserve">setting.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C (Benefit/Eff</w:t>
            </w:r>
            <w:r w:rsidR="00B566D1" w:rsidRPr="00B043C4">
              <w:rPr>
                <w:rFonts w:cstheme="minorHAnsi"/>
                <w:color w:val="FF0000"/>
                <w:sz w:val="20"/>
                <w:szCs w:val="20"/>
              </w:rPr>
              <w:t xml:space="preserve">ectiveness/ </w:t>
            </w:r>
            <w:r w:rsidRPr="00B043C4">
              <w:rPr>
                <w:rFonts w:cstheme="minorHAnsi"/>
                <w:color w:val="FF0000"/>
                <w:sz w:val="20"/>
                <w:szCs w:val="20"/>
              </w:rPr>
              <w:t xml:space="preserve">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7950845C" w14:textId="77777777" w:rsidR="006334C5" w:rsidRPr="00B043C4" w:rsidRDefault="006334C5" w:rsidP="006334C5">
            <w:pPr>
              <w:autoSpaceDE w:val="0"/>
              <w:autoSpaceDN w:val="0"/>
              <w:adjustRightInd w:val="0"/>
              <w:ind w:left="0" w:firstLine="0"/>
              <w:rPr>
                <w:rFonts w:cstheme="minorHAnsi"/>
                <w:i/>
                <w:iCs/>
                <w:color w:val="FF0000"/>
                <w:sz w:val="20"/>
                <w:szCs w:val="20"/>
              </w:rPr>
            </w:pPr>
            <w:r w:rsidRPr="00B043C4">
              <w:rPr>
                <w:rFonts w:cstheme="minorHAnsi"/>
                <w:color w:val="FF0000"/>
                <w:sz w:val="20"/>
                <w:szCs w:val="20"/>
              </w:rPr>
              <w:t xml:space="preserve">35. Consider using the WOCN Society’s </w:t>
            </w:r>
            <w:r w:rsidRPr="00B043C4">
              <w:rPr>
                <w:rFonts w:cstheme="minorHAnsi"/>
                <w:i/>
                <w:iCs/>
                <w:color w:val="FF0000"/>
                <w:sz w:val="20"/>
                <w:szCs w:val="20"/>
              </w:rPr>
              <w:t>Evidence- and</w:t>
            </w:r>
          </w:p>
          <w:p w14:paraId="4E1A4F7F" w14:textId="7BAE7C76"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i/>
                <w:iCs/>
                <w:color w:val="FF0000"/>
                <w:sz w:val="20"/>
                <w:szCs w:val="20"/>
              </w:rPr>
              <w:t xml:space="preserve">Consensus-Based Support Surface Algorithm </w:t>
            </w:r>
            <w:r w:rsidR="002A329C" w:rsidRPr="00B043C4">
              <w:rPr>
                <w:rFonts w:cstheme="minorHAnsi"/>
                <w:color w:val="FF0000"/>
                <w:sz w:val="20"/>
                <w:szCs w:val="20"/>
              </w:rPr>
              <w:t>(</w:t>
            </w:r>
            <w:hyperlink r:id="rId27" w:history="1">
              <w:r w:rsidR="002A329C" w:rsidRPr="00B043C4">
                <w:rPr>
                  <w:rStyle w:val="Hyperlink"/>
                  <w:rFonts w:cstheme="minorHAnsi"/>
                  <w:color w:val="FF0000"/>
                  <w:sz w:val="20"/>
                  <w:szCs w:val="20"/>
                </w:rPr>
                <w:t>http://</w:t>
              </w:r>
              <w:r w:rsidRPr="00B043C4">
                <w:rPr>
                  <w:rStyle w:val="Hyperlink"/>
                  <w:rFonts w:cstheme="minorHAnsi"/>
                  <w:color w:val="FF0000"/>
                  <w:sz w:val="20"/>
                  <w:szCs w:val="20"/>
                </w:rPr>
                <w:t>algorithm.wocn.org</w:t>
              </w:r>
            </w:hyperlink>
            <w:r w:rsidRPr="00B043C4">
              <w:rPr>
                <w:rFonts w:cstheme="minorHAnsi"/>
                <w:color w:val="FF0000"/>
                <w:sz w:val="20"/>
                <w:szCs w:val="20"/>
              </w:rPr>
              <w:t>) to i</w:t>
            </w:r>
            <w:r w:rsidR="002A329C" w:rsidRPr="00B043C4">
              <w:rPr>
                <w:rFonts w:cstheme="minorHAnsi"/>
                <w:color w:val="FF0000"/>
                <w:sz w:val="20"/>
                <w:szCs w:val="20"/>
              </w:rPr>
              <w:t xml:space="preserve">dentify the appropriate support </w:t>
            </w:r>
            <w:r w:rsidRPr="00B043C4">
              <w:rPr>
                <w:rFonts w:cstheme="minorHAnsi"/>
                <w:color w:val="FF0000"/>
                <w:sz w:val="20"/>
                <w:szCs w:val="20"/>
              </w:rPr>
              <w:t>surface (</w:t>
            </w:r>
            <w:proofErr w:type="spellStart"/>
            <w:r w:rsidRPr="00B043C4">
              <w:rPr>
                <w:rFonts w:cstheme="minorHAnsi"/>
                <w:color w:val="FF0000"/>
                <w:sz w:val="20"/>
                <w:szCs w:val="20"/>
              </w:rPr>
              <w:t>ie</w:t>
            </w:r>
            <w:proofErr w:type="spellEnd"/>
            <w:r w:rsidRPr="00B043C4">
              <w:rPr>
                <w:rFonts w:cstheme="minorHAnsi"/>
                <w:color w:val="FF0000"/>
                <w:sz w:val="20"/>
                <w:szCs w:val="20"/>
              </w:rPr>
              <w:t>, overlay, mattr</w:t>
            </w:r>
            <w:r w:rsidR="002A329C" w:rsidRPr="00B043C4">
              <w:rPr>
                <w:rFonts w:cstheme="minorHAnsi"/>
                <w:color w:val="FF0000"/>
                <w:sz w:val="20"/>
                <w:szCs w:val="20"/>
              </w:rPr>
              <w:t>ess, and integrated bed system) for adults (</w:t>
            </w:r>
            <w:r w:rsidRPr="00B043C4">
              <w:rPr>
                <w:rFonts w:eastAsia="MathematicalPiLTStd" w:cstheme="minorHAnsi"/>
                <w:color w:val="FF0000"/>
                <w:sz w:val="20"/>
                <w:szCs w:val="20"/>
              </w:rPr>
              <w:t xml:space="preserve">≥ </w:t>
            </w:r>
            <w:r w:rsidRPr="00B043C4">
              <w:rPr>
                <w:rFonts w:cstheme="minorHAnsi"/>
                <w:color w:val="FF0000"/>
                <w:sz w:val="20"/>
                <w:szCs w:val="20"/>
              </w:rPr>
              <w:t>16 years of ag</w:t>
            </w:r>
            <w:r w:rsidR="002A329C" w:rsidRPr="00B043C4">
              <w:rPr>
                <w:rFonts w:cstheme="minorHAnsi"/>
                <w:color w:val="FF0000"/>
                <w:sz w:val="20"/>
                <w:szCs w:val="20"/>
              </w:rPr>
              <w:t xml:space="preserve">e) and bariatric patients in </w:t>
            </w:r>
            <w:r w:rsidRPr="00B043C4">
              <w:rPr>
                <w:rFonts w:cstheme="minorHAnsi"/>
                <w:color w:val="FF0000"/>
                <w:sz w:val="20"/>
                <w:szCs w:val="20"/>
              </w:rPr>
              <w:t>care settings where th</w:t>
            </w:r>
            <w:r w:rsidR="002A329C" w:rsidRPr="00B043C4">
              <w:rPr>
                <w:rFonts w:cstheme="minorHAnsi"/>
                <w:color w:val="FF0000"/>
                <w:sz w:val="20"/>
                <w:szCs w:val="20"/>
              </w:rPr>
              <w:t xml:space="preserve">e length of stay is 24 hours or </w:t>
            </w:r>
            <w:r w:rsidRPr="00B043C4">
              <w:rPr>
                <w:rFonts w:cstheme="minorHAnsi"/>
                <w:color w:val="FF0000"/>
                <w:sz w:val="20"/>
                <w:szCs w:val="20"/>
              </w:rPr>
              <w:t xml:space="preserve">more.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C (Benefit/Eff</w:t>
            </w:r>
            <w:r w:rsidR="00497933" w:rsidRPr="00B043C4">
              <w:rPr>
                <w:rFonts w:cstheme="minorHAnsi"/>
                <w:color w:val="FF0000"/>
                <w:sz w:val="20"/>
                <w:szCs w:val="20"/>
              </w:rPr>
              <w:t>ectiveness/</w:t>
            </w:r>
            <w:r w:rsidRPr="00B043C4">
              <w:rPr>
                <w:rFonts w:cstheme="minorHAnsi"/>
                <w:color w:val="FF0000"/>
                <w:sz w:val="20"/>
                <w:szCs w:val="20"/>
              </w:rPr>
              <w:t xml:space="preserve">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6184085A" w14:textId="7F3AE5CA"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36. Utilize seating redistribu</w:t>
            </w:r>
            <w:r w:rsidR="002A329C" w:rsidRPr="00B043C4">
              <w:rPr>
                <w:rFonts w:cstheme="minorHAnsi"/>
                <w:color w:val="FF0000"/>
                <w:sz w:val="20"/>
                <w:szCs w:val="20"/>
              </w:rPr>
              <w:t xml:space="preserve">tion support surfaces that meet </w:t>
            </w:r>
            <w:r w:rsidRPr="00B043C4">
              <w:rPr>
                <w:rFonts w:cstheme="minorHAnsi"/>
                <w:color w:val="FF0000"/>
                <w:sz w:val="20"/>
                <w:szCs w:val="20"/>
              </w:rPr>
              <w:t>the needs of sitting individuals who have a pressure ulcer.</w:t>
            </w:r>
          </w:p>
          <w:p w14:paraId="62337AF8" w14:textId="0EF803A9" w:rsidR="006334C5" w:rsidRPr="00B043C4" w:rsidRDefault="006334C5" w:rsidP="006334C5">
            <w:pPr>
              <w:autoSpaceDE w:val="0"/>
              <w:autoSpaceDN w:val="0"/>
              <w:adjustRightInd w:val="0"/>
              <w:ind w:left="0" w:firstLine="0"/>
              <w:rPr>
                <w:rFonts w:eastAsia="MathematicalPiLTStd" w:cstheme="minorHAnsi"/>
                <w:color w:val="FF0000"/>
                <w:sz w:val="20"/>
                <w:szCs w:val="20"/>
              </w:rPr>
            </w:pPr>
            <w:r w:rsidRPr="00B043C4">
              <w:rPr>
                <w:rFonts w:cstheme="minorHAnsi"/>
                <w:color w:val="FF0000"/>
                <w:sz w:val="20"/>
                <w:szCs w:val="20"/>
              </w:rPr>
              <w:t xml:space="preserve">Level of Evidence </w:t>
            </w:r>
            <w:r w:rsidRPr="00B043C4">
              <w:rPr>
                <w:rFonts w:eastAsia="MathematicalPiLTStd" w:cstheme="minorHAnsi"/>
                <w:color w:val="FF0000"/>
                <w:sz w:val="20"/>
                <w:szCs w:val="20"/>
              </w:rPr>
              <w:t xml:space="preserve">= </w:t>
            </w:r>
            <w:r w:rsidRPr="00B043C4">
              <w:rPr>
                <w:rFonts w:cstheme="minorHAnsi"/>
                <w:color w:val="FF0000"/>
                <w:sz w:val="20"/>
                <w:szCs w:val="20"/>
              </w:rPr>
              <w:t xml:space="preserve">C (Benefit/Effectiveness/Harm </w:t>
            </w:r>
            <w:r w:rsidR="00B566D1"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0E49D576" w14:textId="1F1C8FBC"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37. Establish an individu</w:t>
            </w:r>
            <w:r w:rsidR="002A329C" w:rsidRPr="00B043C4">
              <w:rPr>
                <w:rFonts w:cstheme="minorHAnsi"/>
                <w:color w:val="FF0000"/>
                <w:sz w:val="20"/>
                <w:szCs w:val="20"/>
              </w:rPr>
              <w:t xml:space="preserve">alized bowel/bladder management </w:t>
            </w:r>
            <w:r w:rsidRPr="00B043C4">
              <w:rPr>
                <w:rFonts w:cstheme="minorHAnsi"/>
                <w:color w:val="FF0000"/>
                <w:sz w:val="20"/>
                <w:szCs w:val="20"/>
              </w:rPr>
              <w:t>program for the patient with incontinence. Level of</w:t>
            </w:r>
          </w:p>
          <w:p w14:paraId="418EB9C1" w14:textId="26439492"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 xml:space="preserve">Evidence </w:t>
            </w:r>
            <w:r w:rsidRPr="00B043C4">
              <w:rPr>
                <w:rFonts w:eastAsia="MathematicalPiLTStd" w:cstheme="minorHAnsi"/>
                <w:color w:val="FF0000"/>
                <w:sz w:val="20"/>
                <w:szCs w:val="20"/>
              </w:rPr>
              <w:t xml:space="preserve">= </w:t>
            </w:r>
            <w:r w:rsidRPr="00B043C4">
              <w:rPr>
                <w:rFonts w:cstheme="minorHAnsi"/>
                <w:color w:val="FF0000"/>
                <w:sz w:val="20"/>
                <w:szCs w:val="20"/>
              </w:rPr>
              <w:t xml:space="preserve">C (Benefit/Effectiveness/Harm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1D0E8250" w14:textId="05939D04"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38. Screen for nutritional deficien</w:t>
            </w:r>
            <w:r w:rsidR="002A329C" w:rsidRPr="00B043C4">
              <w:rPr>
                <w:rFonts w:cstheme="minorHAnsi"/>
                <w:color w:val="FF0000"/>
                <w:sz w:val="20"/>
                <w:szCs w:val="20"/>
              </w:rPr>
              <w:t xml:space="preserve">cies at the patient’s admission </w:t>
            </w:r>
            <w:r w:rsidRPr="00B043C4">
              <w:rPr>
                <w:rFonts w:cstheme="minorHAnsi"/>
                <w:color w:val="FF0000"/>
                <w:sz w:val="20"/>
                <w:szCs w:val="20"/>
              </w:rPr>
              <w:t>to the care setting</w:t>
            </w:r>
            <w:r w:rsidR="002A329C" w:rsidRPr="00B043C4">
              <w:rPr>
                <w:rFonts w:cstheme="minorHAnsi"/>
                <w:color w:val="FF0000"/>
                <w:sz w:val="20"/>
                <w:szCs w:val="20"/>
              </w:rPr>
              <w:t xml:space="preserve">, when their condition changes, </w:t>
            </w:r>
            <w:r w:rsidRPr="00B043C4">
              <w:rPr>
                <w:rFonts w:cstheme="minorHAnsi"/>
                <w:color w:val="FF0000"/>
                <w:sz w:val="20"/>
                <w:szCs w:val="20"/>
              </w:rPr>
              <w:t>and/or if the pressure ulcer is</w:t>
            </w:r>
            <w:r w:rsidR="00B566D1" w:rsidRPr="00B043C4">
              <w:rPr>
                <w:rFonts w:cstheme="minorHAnsi"/>
                <w:color w:val="FF0000"/>
                <w:sz w:val="20"/>
                <w:szCs w:val="20"/>
              </w:rPr>
              <w:t xml:space="preserve"> not healing.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 xml:space="preserve">C (Benefit/Effectiveness/Harm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00CAF8A6" w14:textId="0BEC9EC6"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 xml:space="preserve">39. Provide daily calorie and protein intake for </w:t>
            </w:r>
            <w:r w:rsidR="002A329C" w:rsidRPr="00B043C4">
              <w:rPr>
                <w:rFonts w:cstheme="minorHAnsi"/>
                <w:color w:val="FF0000"/>
                <w:sz w:val="20"/>
                <w:szCs w:val="20"/>
              </w:rPr>
              <w:t xml:space="preserve">adult patients </w:t>
            </w:r>
            <w:r w:rsidRPr="00B043C4">
              <w:rPr>
                <w:rFonts w:cstheme="minorHAnsi"/>
                <w:color w:val="FF0000"/>
                <w:sz w:val="20"/>
                <w:szCs w:val="20"/>
              </w:rPr>
              <w:t>with pressure ulcer</w:t>
            </w:r>
            <w:r w:rsidR="002A329C" w:rsidRPr="00B043C4">
              <w:rPr>
                <w:rFonts w:cstheme="minorHAnsi"/>
                <w:color w:val="FF0000"/>
                <w:sz w:val="20"/>
                <w:szCs w:val="20"/>
              </w:rPr>
              <w:t xml:space="preserve">s: 30 to 35 kcal/kg body weight </w:t>
            </w:r>
            <w:r w:rsidRPr="00B043C4">
              <w:rPr>
                <w:rFonts w:cstheme="minorHAnsi"/>
                <w:color w:val="FF0000"/>
                <w:sz w:val="20"/>
                <w:szCs w:val="20"/>
              </w:rPr>
              <w:t>and 1.25 to 1.5 g of p</w:t>
            </w:r>
            <w:r w:rsidR="00B566D1" w:rsidRPr="00B043C4">
              <w:rPr>
                <w:rFonts w:cstheme="minorHAnsi"/>
                <w:color w:val="FF0000"/>
                <w:sz w:val="20"/>
                <w:szCs w:val="20"/>
              </w:rPr>
              <w:t xml:space="preserve">rotein/kg body weight. Level of </w:t>
            </w:r>
            <w:r w:rsidRPr="00B043C4">
              <w:rPr>
                <w:rFonts w:cstheme="minorHAnsi"/>
                <w:color w:val="FF0000"/>
                <w:sz w:val="20"/>
                <w:szCs w:val="20"/>
              </w:rPr>
              <w:t xml:space="preserve">Evidence </w:t>
            </w:r>
            <w:r w:rsidRPr="00B043C4">
              <w:rPr>
                <w:rFonts w:eastAsia="MathematicalPiLTStd" w:cstheme="minorHAnsi"/>
                <w:color w:val="FF0000"/>
                <w:sz w:val="20"/>
                <w:szCs w:val="20"/>
              </w:rPr>
              <w:t xml:space="preserve">= </w:t>
            </w:r>
            <w:r w:rsidR="00497933" w:rsidRPr="00B043C4">
              <w:rPr>
                <w:rFonts w:cstheme="minorHAnsi"/>
                <w:color w:val="FF0000"/>
                <w:sz w:val="20"/>
                <w:szCs w:val="20"/>
              </w:rPr>
              <w:t xml:space="preserve">B </w:t>
            </w:r>
            <w:r w:rsidRPr="00B043C4">
              <w:rPr>
                <w:rFonts w:cstheme="minorHAnsi"/>
                <w:color w:val="FF0000"/>
                <w:sz w:val="20"/>
                <w:szCs w:val="20"/>
              </w:rPr>
              <w:t xml:space="preserve">(Benefit/Effectiveness/Harm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21297A96" w14:textId="618DC449"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40. Consider evaluation of l</w:t>
            </w:r>
            <w:r w:rsidR="002A329C" w:rsidRPr="00B043C4">
              <w:rPr>
                <w:rFonts w:cstheme="minorHAnsi"/>
                <w:color w:val="FF0000"/>
                <w:sz w:val="20"/>
                <w:szCs w:val="20"/>
              </w:rPr>
              <w:t xml:space="preserve">aboratory tests such as albumin </w:t>
            </w:r>
            <w:r w:rsidRPr="00B043C4">
              <w:rPr>
                <w:rFonts w:cstheme="minorHAnsi"/>
                <w:color w:val="FF0000"/>
                <w:sz w:val="20"/>
                <w:szCs w:val="20"/>
              </w:rPr>
              <w:t xml:space="preserve">and </w:t>
            </w:r>
            <w:proofErr w:type="spellStart"/>
            <w:r w:rsidRPr="00B043C4">
              <w:rPr>
                <w:rFonts w:cstheme="minorHAnsi"/>
                <w:color w:val="FF0000"/>
                <w:sz w:val="20"/>
                <w:szCs w:val="20"/>
              </w:rPr>
              <w:t>prealbumin</w:t>
            </w:r>
            <w:proofErr w:type="spellEnd"/>
            <w:r w:rsidRPr="00B043C4">
              <w:rPr>
                <w:rFonts w:cstheme="minorHAnsi"/>
                <w:color w:val="FF0000"/>
                <w:sz w:val="20"/>
                <w:szCs w:val="20"/>
              </w:rPr>
              <w:t xml:space="preserve"> as only one</w:t>
            </w:r>
            <w:r w:rsidR="002A329C" w:rsidRPr="00B043C4">
              <w:rPr>
                <w:rFonts w:cstheme="minorHAnsi"/>
                <w:color w:val="FF0000"/>
                <w:sz w:val="20"/>
                <w:szCs w:val="20"/>
              </w:rPr>
              <w:t xml:space="preserve"> part of the ongoing assessment </w:t>
            </w:r>
            <w:r w:rsidRPr="00B043C4">
              <w:rPr>
                <w:rFonts w:cstheme="minorHAnsi"/>
                <w:color w:val="FF0000"/>
                <w:sz w:val="20"/>
                <w:szCs w:val="20"/>
              </w:rPr>
              <w:t xml:space="preserve">of nutritional status.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C (Benefi</w:t>
            </w:r>
            <w:r w:rsidR="00B566D1" w:rsidRPr="00B043C4">
              <w:rPr>
                <w:rFonts w:cstheme="minorHAnsi"/>
                <w:color w:val="FF0000"/>
                <w:sz w:val="20"/>
                <w:szCs w:val="20"/>
              </w:rPr>
              <w:t>t/</w:t>
            </w:r>
            <w:r w:rsidRPr="00B043C4">
              <w:rPr>
                <w:rFonts w:cstheme="minorHAnsi"/>
                <w:color w:val="FF0000"/>
                <w:sz w:val="20"/>
                <w:szCs w:val="20"/>
              </w:rPr>
              <w:t xml:space="preserve">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4E0C3E52" w14:textId="6D8163A7"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41. Cleanse the wound</w:t>
            </w:r>
            <w:r w:rsidR="002A329C" w:rsidRPr="00B043C4">
              <w:rPr>
                <w:rFonts w:cstheme="minorHAnsi"/>
                <w:color w:val="FF0000"/>
                <w:sz w:val="20"/>
                <w:szCs w:val="20"/>
              </w:rPr>
              <w:t xml:space="preserve"> and </w:t>
            </w:r>
            <w:proofErr w:type="spellStart"/>
            <w:r w:rsidR="002A329C" w:rsidRPr="00B043C4">
              <w:rPr>
                <w:rFonts w:cstheme="minorHAnsi"/>
                <w:color w:val="FF0000"/>
                <w:sz w:val="20"/>
                <w:szCs w:val="20"/>
              </w:rPr>
              <w:t>periwound</w:t>
            </w:r>
            <w:proofErr w:type="spellEnd"/>
            <w:r w:rsidR="002A329C" w:rsidRPr="00B043C4">
              <w:rPr>
                <w:rFonts w:cstheme="minorHAnsi"/>
                <w:color w:val="FF0000"/>
                <w:sz w:val="20"/>
                <w:szCs w:val="20"/>
              </w:rPr>
              <w:t xml:space="preserve"> at each dressing </w:t>
            </w:r>
            <w:r w:rsidRPr="00B043C4">
              <w:rPr>
                <w:rFonts w:cstheme="minorHAnsi"/>
                <w:color w:val="FF0000"/>
                <w:sz w:val="20"/>
                <w:szCs w:val="20"/>
              </w:rPr>
              <w:t xml:space="preserve">change, minimizing trauma </w:t>
            </w:r>
            <w:r w:rsidR="00B566D1" w:rsidRPr="00B043C4">
              <w:rPr>
                <w:rFonts w:cstheme="minorHAnsi"/>
                <w:color w:val="FF0000"/>
                <w:sz w:val="20"/>
                <w:szCs w:val="20"/>
              </w:rPr>
              <w:t xml:space="preserve">to the wound.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 xml:space="preserve">C (Benefit/Effectiveness/Harm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539308F9" w14:textId="3F676416"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 xml:space="preserve">42. Choose appropriate </w:t>
            </w:r>
            <w:r w:rsidR="002A329C" w:rsidRPr="00B043C4">
              <w:rPr>
                <w:rFonts w:cstheme="minorHAnsi"/>
                <w:color w:val="FF0000"/>
                <w:sz w:val="20"/>
                <w:szCs w:val="20"/>
              </w:rPr>
              <w:t xml:space="preserve">solutions for cleaning pressure </w:t>
            </w:r>
            <w:r w:rsidRPr="00B043C4">
              <w:rPr>
                <w:rFonts w:cstheme="minorHAnsi"/>
                <w:color w:val="FF0000"/>
                <w:sz w:val="20"/>
                <w:szCs w:val="20"/>
              </w:rPr>
              <w:t>ulcers, which may inclu</w:t>
            </w:r>
            <w:r w:rsidR="002A329C" w:rsidRPr="00B043C4">
              <w:rPr>
                <w:rFonts w:cstheme="minorHAnsi"/>
                <w:color w:val="FF0000"/>
                <w:sz w:val="20"/>
                <w:szCs w:val="20"/>
              </w:rPr>
              <w:t xml:space="preserve">de potable tap water, distilled </w:t>
            </w:r>
            <w:r w:rsidRPr="00B043C4">
              <w:rPr>
                <w:rFonts w:cstheme="minorHAnsi"/>
                <w:color w:val="FF0000"/>
                <w:sz w:val="20"/>
                <w:szCs w:val="20"/>
              </w:rPr>
              <w:t>water, cooled boiled water, or saline/salt water. Level of</w:t>
            </w:r>
          </w:p>
          <w:p w14:paraId="4ACC2328" w14:textId="6C578A31"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 xml:space="preserve">Evidence </w:t>
            </w:r>
            <w:r w:rsidRPr="00B043C4">
              <w:rPr>
                <w:rFonts w:eastAsia="MathematicalPiLTStd" w:cstheme="minorHAnsi"/>
                <w:color w:val="FF0000"/>
                <w:sz w:val="20"/>
                <w:szCs w:val="20"/>
              </w:rPr>
              <w:t xml:space="preserve">= </w:t>
            </w:r>
            <w:r w:rsidRPr="00B043C4">
              <w:rPr>
                <w:rFonts w:cstheme="minorHAnsi"/>
                <w:color w:val="FF0000"/>
                <w:sz w:val="20"/>
                <w:szCs w:val="20"/>
              </w:rPr>
              <w:t xml:space="preserve">B (Benefit/Effectiveness/Harm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146D8230" w14:textId="77777777"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43. Determine the bacterial bioburden by tissue biopsy or</w:t>
            </w:r>
          </w:p>
          <w:p w14:paraId="452B74B5" w14:textId="2F9E8D15" w:rsidR="006334C5" w:rsidRPr="00B043C4" w:rsidRDefault="006334C5" w:rsidP="006334C5">
            <w:pPr>
              <w:autoSpaceDE w:val="0"/>
              <w:autoSpaceDN w:val="0"/>
              <w:adjustRightInd w:val="0"/>
              <w:ind w:left="0" w:firstLine="0"/>
              <w:rPr>
                <w:rFonts w:eastAsia="MathematicalPiLTStd" w:cstheme="minorHAnsi"/>
                <w:color w:val="FF0000"/>
                <w:sz w:val="20"/>
                <w:szCs w:val="20"/>
              </w:rPr>
            </w:pPr>
            <w:r w:rsidRPr="00B043C4">
              <w:rPr>
                <w:rFonts w:cstheme="minorHAnsi"/>
                <w:color w:val="FF0000"/>
                <w:sz w:val="20"/>
                <w:szCs w:val="20"/>
              </w:rPr>
              <w:t xml:space="preserve">Levine quantitative swab technique. Level of Evidence </w:t>
            </w:r>
            <w:r w:rsidR="00B566D1" w:rsidRPr="00B043C4">
              <w:rPr>
                <w:rFonts w:eastAsia="MathematicalPiLTStd" w:cstheme="minorHAnsi"/>
                <w:color w:val="FF0000"/>
                <w:sz w:val="20"/>
                <w:szCs w:val="20"/>
              </w:rPr>
              <w:t xml:space="preserve">= </w:t>
            </w:r>
            <w:r w:rsidR="00B566D1" w:rsidRPr="00B043C4">
              <w:rPr>
                <w:rFonts w:cstheme="minorHAnsi"/>
                <w:color w:val="FF0000"/>
                <w:sz w:val="20"/>
                <w:szCs w:val="20"/>
              </w:rPr>
              <w:t xml:space="preserve">B </w:t>
            </w:r>
            <w:r w:rsidRPr="00B043C4">
              <w:rPr>
                <w:rFonts w:cstheme="minorHAnsi"/>
                <w:color w:val="FF0000"/>
                <w:sz w:val="20"/>
                <w:szCs w:val="20"/>
              </w:rPr>
              <w:t xml:space="preserve">(Benefit/Effectiveness/Harm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0757746D" w14:textId="37E8205B"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44. Consider a 2-week course of topi</w:t>
            </w:r>
            <w:r w:rsidR="002A329C" w:rsidRPr="00B043C4">
              <w:rPr>
                <w:rFonts w:cstheme="minorHAnsi"/>
                <w:color w:val="FF0000"/>
                <w:sz w:val="20"/>
                <w:szCs w:val="20"/>
              </w:rPr>
              <w:t xml:space="preserve">cal antibiotics for </w:t>
            </w:r>
            <w:proofErr w:type="spellStart"/>
            <w:r w:rsidR="002A329C" w:rsidRPr="00B043C4">
              <w:rPr>
                <w:rFonts w:cstheme="minorHAnsi"/>
                <w:color w:val="FF0000"/>
                <w:sz w:val="20"/>
                <w:szCs w:val="20"/>
              </w:rPr>
              <w:t>nonhealing</w:t>
            </w:r>
            <w:proofErr w:type="spellEnd"/>
            <w:r w:rsidR="002A329C" w:rsidRPr="00B043C4">
              <w:rPr>
                <w:rFonts w:cstheme="minorHAnsi"/>
                <w:color w:val="FF0000"/>
                <w:sz w:val="20"/>
                <w:szCs w:val="20"/>
              </w:rPr>
              <w:t xml:space="preserve">, </w:t>
            </w:r>
            <w:r w:rsidRPr="00B043C4">
              <w:rPr>
                <w:rFonts w:cstheme="minorHAnsi"/>
                <w:color w:val="FF0000"/>
                <w:sz w:val="20"/>
                <w:szCs w:val="20"/>
              </w:rPr>
              <w:t xml:space="preserve">clean pressure ulcers. Level of Evidence </w:t>
            </w:r>
            <w:r w:rsidRPr="00B043C4">
              <w:rPr>
                <w:rFonts w:eastAsia="MathematicalPiLTStd" w:cstheme="minorHAnsi"/>
                <w:color w:val="FF0000"/>
                <w:sz w:val="20"/>
                <w:szCs w:val="20"/>
              </w:rPr>
              <w:t xml:space="preserve">= </w:t>
            </w:r>
            <w:r w:rsidR="00B566D1" w:rsidRPr="00B043C4">
              <w:rPr>
                <w:rFonts w:cstheme="minorHAnsi"/>
                <w:color w:val="FF0000"/>
                <w:sz w:val="20"/>
                <w:szCs w:val="20"/>
              </w:rPr>
              <w:t xml:space="preserve">C </w:t>
            </w:r>
            <w:r w:rsidRPr="00B043C4">
              <w:rPr>
                <w:rFonts w:cstheme="minorHAnsi"/>
                <w:color w:val="FF0000"/>
                <w:sz w:val="20"/>
                <w:szCs w:val="20"/>
              </w:rPr>
              <w:t xml:space="preserve">(Benefit/Effectiveness/Harm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51131AC0" w14:textId="4CD413CB"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45. Consider use of antise</w:t>
            </w:r>
            <w:r w:rsidR="002A329C" w:rsidRPr="00B043C4">
              <w:rPr>
                <w:rFonts w:cstheme="minorHAnsi"/>
                <w:color w:val="FF0000"/>
                <w:sz w:val="20"/>
                <w:szCs w:val="20"/>
              </w:rPr>
              <w:t xml:space="preserve">ptics for “maintenance wounds,” </w:t>
            </w:r>
            <w:r w:rsidRPr="00B043C4">
              <w:rPr>
                <w:rFonts w:cstheme="minorHAnsi"/>
                <w:color w:val="FF0000"/>
                <w:sz w:val="20"/>
                <w:szCs w:val="20"/>
              </w:rPr>
              <w:t xml:space="preserve">which are defined as </w:t>
            </w:r>
            <w:r w:rsidR="002A329C" w:rsidRPr="00B043C4">
              <w:rPr>
                <w:rFonts w:cstheme="minorHAnsi"/>
                <w:color w:val="FF0000"/>
                <w:sz w:val="20"/>
                <w:szCs w:val="20"/>
              </w:rPr>
              <w:t xml:space="preserve">wounds that are not expected to </w:t>
            </w:r>
            <w:r w:rsidRPr="00B043C4">
              <w:rPr>
                <w:rFonts w:cstheme="minorHAnsi"/>
                <w:color w:val="FF0000"/>
                <w:sz w:val="20"/>
                <w:szCs w:val="20"/>
              </w:rPr>
              <w:t>heal, or for wounds that are critically colonized. Level</w:t>
            </w:r>
          </w:p>
          <w:p w14:paraId="52C514B8" w14:textId="51A5DC6E" w:rsidR="006334C5" w:rsidRPr="00B043C4" w:rsidRDefault="006334C5" w:rsidP="006334C5">
            <w:pPr>
              <w:autoSpaceDE w:val="0"/>
              <w:autoSpaceDN w:val="0"/>
              <w:adjustRightInd w:val="0"/>
              <w:ind w:left="0" w:firstLine="0"/>
              <w:rPr>
                <w:rFonts w:eastAsia="MathematicalPiLTStd" w:cstheme="minorHAnsi"/>
                <w:color w:val="FF0000"/>
                <w:sz w:val="20"/>
                <w:szCs w:val="20"/>
              </w:rPr>
            </w:pPr>
            <w:r w:rsidRPr="00B043C4">
              <w:rPr>
                <w:rFonts w:cstheme="minorHAnsi"/>
                <w:color w:val="FF0000"/>
                <w:sz w:val="20"/>
                <w:szCs w:val="20"/>
              </w:rPr>
              <w:t xml:space="preserve">of Evidence </w:t>
            </w:r>
            <w:r w:rsidRPr="00B043C4">
              <w:rPr>
                <w:rFonts w:eastAsia="MathematicalPiLTStd" w:cstheme="minorHAnsi"/>
                <w:color w:val="FF0000"/>
                <w:sz w:val="20"/>
                <w:szCs w:val="20"/>
              </w:rPr>
              <w:t xml:space="preserve">= </w:t>
            </w:r>
            <w:r w:rsidRPr="00B043C4">
              <w:rPr>
                <w:rFonts w:cstheme="minorHAnsi"/>
                <w:color w:val="FF0000"/>
                <w:sz w:val="20"/>
                <w:szCs w:val="20"/>
              </w:rPr>
              <w:t xml:space="preserve">C (Benefit/Effectiveness/Harm </w:t>
            </w:r>
            <w:r w:rsidR="00B566D1"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63DA3EAA" w14:textId="402CDBA7"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46. Use systemic antibiotics</w:t>
            </w:r>
            <w:r w:rsidR="002A329C" w:rsidRPr="00B043C4">
              <w:rPr>
                <w:rFonts w:cstheme="minorHAnsi"/>
                <w:color w:val="FF0000"/>
                <w:sz w:val="20"/>
                <w:szCs w:val="20"/>
              </w:rPr>
              <w:t xml:space="preserve"> in the presence of bacteremia, </w:t>
            </w:r>
            <w:r w:rsidRPr="00B043C4">
              <w:rPr>
                <w:rFonts w:cstheme="minorHAnsi"/>
                <w:color w:val="FF0000"/>
                <w:sz w:val="20"/>
                <w:szCs w:val="20"/>
              </w:rPr>
              <w:t>sepsis, advancing cellulitis, or osteomyelitis. Level</w:t>
            </w:r>
          </w:p>
          <w:p w14:paraId="71F283B3" w14:textId="0BC7F30A" w:rsidR="006334C5" w:rsidRPr="00B043C4" w:rsidRDefault="006334C5" w:rsidP="006334C5">
            <w:pPr>
              <w:autoSpaceDE w:val="0"/>
              <w:autoSpaceDN w:val="0"/>
              <w:adjustRightInd w:val="0"/>
              <w:ind w:left="0" w:firstLine="0"/>
              <w:rPr>
                <w:rFonts w:eastAsia="MathematicalPiLTStd" w:cstheme="minorHAnsi"/>
                <w:color w:val="FF0000"/>
                <w:sz w:val="20"/>
                <w:szCs w:val="20"/>
              </w:rPr>
            </w:pPr>
            <w:r w:rsidRPr="00B043C4">
              <w:rPr>
                <w:rFonts w:cstheme="minorHAnsi"/>
                <w:color w:val="FF0000"/>
                <w:sz w:val="20"/>
                <w:szCs w:val="20"/>
              </w:rPr>
              <w:t xml:space="preserve">of Evidence </w:t>
            </w:r>
            <w:r w:rsidRPr="00B043C4">
              <w:rPr>
                <w:rFonts w:eastAsia="MathematicalPiLTStd" w:cstheme="minorHAnsi"/>
                <w:color w:val="FF0000"/>
                <w:sz w:val="20"/>
                <w:szCs w:val="20"/>
              </w:rPr>
              <w:t xml:space="preserve">= </w:t>
            </w:r>
            <w:r w:rsidRPr="00B043C4">
              <w:rPr>
                <w:rFonts w:cstheme="minorHAnsi"/>
                <w:color w:val="FF0000"/>
                <w:sz w:val="20"/>
                <w:szCs w:val="20"/>
              </w:rPr>
              <w:t xml:space="preserve">C (Benefit/Effectiveness/Harm </w:t>
            </w:r>
            <w:r w:rsidRPr="00B043C4">
              <w:rPr>
                <w:rFonts w:eastAsia="MathematicalPiLTStd" w:cstheme="minorHAnsi"/>
                <w:color w:val="FF0000"/>
                <w:sz w:val="20"/>
                <w:szCs w:val="20"/>
              </w:rPr>
              <w:t>=</w:t>
            </w:r>
            <w:r w:rsidR="00B566D1"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6CB9B60B" w14:textId="0428B445"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 xml:space="preserve">47. Debride the pressure </w:t>
            </w:r>
            <w:r w:rsidR="002A329C" w:rsidRPr="00B043C4">
              <w:rPr>
                <w:rFonts w:cstheme="minorHAnsi"/>
                <w:color w:val="FF0000"/>
                <w:sz w:val="20"/>
                <w:szCs w:val="20"/>
              </w:rPr>
              <w:t xml:space="preserve">ulcer of devitalized tissue, or </w:t>
            </w:r>
            <w:r w:rsidRPr="00B043C4">
              <w:rPr>
                <w:rFonts w:cstheme="minorHAnsi"/>
                <w:color w:val="FF0000"/>
                <w:sz w:val="20"/>
                <w:szCs w:val="20"/>
              </w:rPr>
              <w:t>when there is a high index of suspicion that biofi</w:t>
            </w:r>
            <w:r w:rsidR="002A329C" w:rsidRPr="00B043C4">
              <w:rPr>
                <w:rFonts w:cstheme="minorHAnsi"/>
                <w:color w:val="FF0000"/>
                <w:sz w:val="20"/>
                <w:szCs w:val="20"/>
              </w:rPr>
              <w:t xml:space="preserve">lm is </w:t>
            </w:r>
            <w:r w:rsidRPr="00B043C4">
              <w:rPr>
                <w:rFonts w:cstheme="minorHAnsi"/>
                <w:color w:val="FF0000"/>
                <w:sz w:val="20"/>
                <w:szCs w:val="20"/>
              </w:rPr>
              <w:t>present (</w:t>
            </w:r>
            <w:proofErr w:type="spellStart"/>
            <w:r w:rsidRPr="00B043C4">
              <w:rPr>
                <w:rFonts w:cstheme="minorHAnsi"/>
                <w:color w:val="FF0000"/>
                <w:sz w:val="20"/>
                <w:szCs w:val="20"/>
              </w:rPr>
              <w:t>ie</w:t>
            </w:r>
            <w:proofErr w:type="spellEnd"/>
            <w:r w:rsidRPr="00B043C4">
              <w:rPr>
                <w:rFonts w:cstheme="minorHAnsi"/>
                <w:color w:val="FF0000"/>
                <w:sz w:val="20"/>
                <w:szCs w:val="20"/>
              </w:rPr>
              <w:t>, wound fai</w:t>
            </w:r>
            <w:r w:rsidR="002A329C" w:rsidRPr="00B043C4">
              <w:rPr>
                <w:rFonts w:cstheme="minorHAnsi"/>
                <w:color w:val="FF0000"/>
                <w:sz w:val="20"/>
                <w:szCs w:val="20"/>
              </w:rPr>
              <w:t xml:space="preserve">ls to heal despite proper wound </w:t>
            </w:r>
            <w:r w:rsidRPr="00B043C4">
              <w:rPr>
                <w:rFonts w:cstheme="minorHAnsi"/>
                <w:color w:val="FF0000"/>
                <w:sz w:val="20"/>
                <w:szCs w:val="20"/>
              </w:rPr>
              <w:t>care and antimicrobia</w:t>
            </w:r>
            <w:r w:rsidR="002A329C" w:rsidRPr="00B043C4">
              <w:rPr>
                <w:rFonts w:cstheme="minorHAnsi"/>
                <w:color w:val="FF0000"/>
                <w:sz w:val="20"/>
                <w:szCs w:val="20"/>
              </w:rPr>
              <w:t xml:space="preserve">l therapy), and when consistent </w:t>
            </w:r>
            <w:r w:rsidRPr="00B043C4">
              <w:rPr>
                <w:rFonts w:cstheme="minorHAnsi"/>
                <w:color w:val="FF0000"/>
                <w:sz w:val="20"/>
                <w:szCs w:val="20"/>
              </w:rPr>
              <w:t>with the patient’s condit</w:t>
            </w:r>
            <w:r w:rsidR="00B566D1" w:rsidRPr="00B043C4">
              <w:rPr>
                <w:rFonts w:cstheme="minorHAnsi"/>
                <w:color w:val="FF0000"/>
                <w:sz w:val="20"/>
                <w:szCs w:val="20"/>
              </w:rPr>
              <w:t xml:space="preserve">ion and goals of therapy. Level </w:t>
            </w:r>
            <w:r w:rsidRPr="00B043C4">
              <w:rPr>
                <w:rFonts w:cstheme="minorHAnsi"/>
                <w:color w:val="FF0000"/>
                <w:sz w:val="20"/>
                <w:szCs w:val="20"/>
              </w:rPr>
              <w:t xml:space="preserve">of Evidence </w:t>
            </w:r>
            <w:r w:rsidRPr="00B043C4">
              <w:rPr>
                <w:rFonts w:eastAsia="MathematicalPiLTStd" w:cstheme="minorHAnsi"/>
                <w:color w:val="FF0000"/>
                <w:sz w:val="20"/>
                <w:szCs w:val="20"/>
              </w:rPr>
              <w:t xml:space="preserve">= </w:t>
            </w:r>
            <w:r w:rsidRPr="00B043C4">
              <w:rPr>
                <w:rFonts w:cstheme="minorHAnsi"/>
                <w:color w:val="FF0000"/>
                <w:sz w:val="20"/>
                <w:szCs w:val="20"/>
              </w:rPr>
              <w:t xml:space="preserve">C (Benefit/Effectiveness/Harm </w:t>
            </w:r>
            <w:r w:rsidRPr="00B043C4">
              <w:rPr>
                <w:rFonts w:eastAsia="MathematicalPiLTStd" w:cstheme="minorHAnsi"/>
                <w:color w:val="FF0000"/>
                <w:sz w:val="20"/>
                <w:szCs w:val="20"/>
              </w:rPr>
              <w:t>=</w:t>
            </w:r>
            <w:r w:rsidR="00B566D1" w:rsidRPr="00B043C4">
              <w:rPr>
                <w:rFonts w:cstheme="minorHAnsi"/>
                <w:color w:val="FF0000"/>
                <w:sz w:val="20"/>
                <w:szCs w:val="20"/>
              </w:rPr>
              <w:t xml:space="preserve"> </w:t>
            </w:r>
            <w:r w:rsidRPr="00B043C4">
              <w:rPr>
                <w:rFonts w:cstheme="minorHAnsi"/>
                <w:color w:val="FF0000"/>
                <w:sz w:val="20"/>
                <w:szCs w:val="20"/>
              </w:rPr>
              <w:t>Class I)</w:t>
            </w:r>
          </w:p>
          <w:p w14:paraId="0F542FF5" w14:textId="4D34DFC7"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48. Modify the type of dressin</w:t>
            </w:r>
            <w:r w:rsidR="002A329C" w:rsidRPr="00B043C4">
              <w:rPr>
                <w:rFonts w:cstheme="minorHAnsi"/>
                <w:color w:val="FF0000"/>
                <w:sz w:val="20"/>
                <w:szCs w:val="20"/>
              </w:rPr>
              <w:t xml:space="preserve">g as appropriate due to changes </w:t>
            </w:r>
            <w:r w:rsidRPr="00B043C4">
              <w:rPr>
                <w:rFonts w:cstheme="minorHAnsi"/>
                <w:color w:val="FF0000"/>
                <w:sz w:val="20"/>
                <w:szCs w:val="20"/>
              </w:rPr>
              <w:t>in the wound during h</w:t>
            </w:r>
            <w:r w:rsidR="002A329C" w:rsidRPr="00B043C4">
              <w:rPr>
                <w:rFonts w:cstheme="minorHAnsi"/>
                <w:color w:val="FF0000"/>
                <w:sz w:val="20"/>
                <w:szCs w:val="20"/>
              </w:rPr>
              <w:t xml:space="preserve">ealing or if the pressure ulcer </w:t>
            </w:r>
            <w:r w:rsidRPr="00B043C4">
              <w:rPr>
                <w:rFonts w:cstheme="minorHAnsi"/>
                <w:color w:val="FF0000"/>
                <w:sz w:val="20"/>
                <w:szCs w:val="20"/>
              </w:rPr>
              <w:t>deteriorates. Monitor an</w:t>
            </w:r>
            <w:r w:rsidR="002A329C" w:rsidRPr="00B043C4">
              <w:rPr>
                <w:rFonts w:cstheme="minorHAnsi"/>
                <w:color w:val="FF0000"/>
                <w:sz w:val="20"/>
                <w:szCs w:val="20"/>
              </w:rPr>
              <w:t xml:space="preserve">d assess the wound on a regular </w:t>
            </w:r>
            <w:r w:rsidRPr="00B043C4">
              <w:rPr>
                <w:rFonts w:cstheme="minorHAnsi"/>
                <w:color w:val="FF0000"/>
                <w:sz w:val="20"/>
                <w:szCs w:val="20"/>
              </w:rPr>
              <w:t>basis and at every dress</w:t>
            </w:r>
            <w:r w:rsidR="002A329C" w:rsidRPr="00B043C4">
              <w:rPr>
                <w:rFonts w:cstheme="minorHAnsi"/>
                <w:color w:val="FF0000"/>
                <w:sz w:val="20"/>
                <w:szCs w:val="20"/>
              </w:rPr>
              <w:t xml:space="preserve">ing change to determine whether </w:t>
            </w:r>
            <w:r w:rsidRPr="00B043C4">
              <w:rPr>
                <w:rFonts w:cstheme="minorHAnsi"/>
                <w:color w:val="FF0000"/>
                <w:sz w:val="20"/>
                <w:szCs w:val="20"/>
              </w:rPr>
              <w:t xml:space="preserve">the type of dressing is appropriate or should be modified. Level of Evidence </w:t>
            </w:r>
            <w:r w:rsidRPr="00B043C4">
              <w:rPr>
                <w:rFonts w:eastAsia="MathematicalPiLTStd" w:cstheme="minorHAnsi"/>
                <w:color w:val="FF0000"/>
                <w:sz w:val="20"/>
                <w:szCs w:val="20"/>
              </w:rPr>
              <w:t xml:space="preserve">= </w:t>
            </w:r>
            <w:r w:rsidR="00B566D1" w:rsidRPr="00B043C4">
              <w:rPr>
                <w:rFonts w:cstheme="minorHAnsi"/>
                <w:color w:val="FF0000"/>
                <w:sz w:val="20"/>
                <w:szCs w:val="20"/>
              </w:rPr>
              <w:t xml:space="preserve">C </w:t>
            </w:r>
            <w:r w:rsidRPr="00B043C4">
              <w:rPr>
                <w:rFonts w:cstheme="minorHAnsi"/>
                <w:color w:val="FF0000"/>
                <w:sz w:val="20"/>
                <w:szCs w:val="20"/>
              </w:rPr>
              <w:t>(Benefit/Eff</w:t>
            </w:r>
            <w:r w:rsidR="00B566D1" w:rsidRPr="00B043C4">
              <w:rPr>
                <w:rFonts w:cstheme="minorHAnsi"/>
                <w:color w:val="FF0000"/>
                <w:sz w:val="20"/>
                <w:szCs w:val="20"/>
              </w:rPr>
              <w:t xml:space="preserve">ectiveness/ </w:t>
            </w:r>
            <w:r w:rsidRPr="00B043C4">
              <w:rPr>
                <w:rFonts w:cstheme="minorHAnsi"/>
                <w:color w:val="FF0000"/>
                <w:sz w:val="20"/>
                <w:szCs w:val="20"/>
              </w:rPr>
              <w:t xml:space="preserve">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2BC08845" w14:textId="77777777"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49. Consider adjunctive therapies as indicated:</w:t>
            </w:r>
          </w:p>
          <w:p w14:paraId="59FB71B4" w14:textId="01D9B44B"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 xml:space="preserve">a. Platelet-derived growth factor. Level of Evidence </w:t>
            </w:r>
            <w:r w:rsidRPr="00B043C4">
              <w:rPr>
                <w:rFonts w:eastAsia="MathematicalPiLTStd" w:cstheme="minorHAnsi"/>
                <w:color w:val="FF0000"/>
                <w:sz w:val="20"/>
                <w:szCs w:val="20"/>
              </w:rPr>
              <w:t xml:space="preserve">= </w:t>
            </w:r>
            <w:r w:rsidR="00B566D1" w:rsidRPr="00B043C4">
              <w:rPr>
                <w:rFonts w:cstheme="minorHAnsi"/>
                <w:color w:val="FF0000"/>
                <w:sz w:val="20"/>
                <w:szCs w:val="20"/>
              </w:rPr>
              <w:t xml:space="preserve">B </w:t>
            </w:r>
            <w:r w:rsidRPr="00B043C4">
              <w:rPr>
                <w:rFonts w:cstheme="minorHAnsi"/>
                <w:color w:val="FF0000"/>
                <w:sz w:val="20"/>
                <w:szCs w:val="20"/>
              </w:rPr>
              <w:t xml:space="preserve">(Benefit/Effectiveness/Harm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7A50623F" w14:textId="4E440C2D"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 xml:space="preserve">b. Electrical stimulation.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A (Benefit</w:t>
            </w:r>
            <w:r w:rsidR="00B566D1" w:rsidRPr="00B043C4">
              <w:rPr>
                <w:rFonts w:cstheme="minorHAnsi"/>
                <w:color w:val="FF0000"/>
                <w:sz w:val="20"/>
                <w:szCs w:val="20"/>
              </w:rPr>
              <w:t xml:space="preserve">/ </w:t>
            </w:r>
            <w:r w:rsidRPr="00B043C4">
              <w:rPr>
                <w:rFonts w:cstheme="minorHAnsi"/>
                <w:color w:val="FF0000"/>
                <w:sz w:val="20"/>
                <w:szCs w:val="20"/>
              </w:rPr>
              <w:t xml:space="preserve">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78D61666" w14:textId="77777777" w:rsidR="006334C5" w:rsidRPr="00B043C4" w:rsidRDefault="006334C5" w:rsidP="006334C5">
            <w:pPr>
              <w:autoSpaceDE w:val="0"/>
              <w:autoSpaceDN w:val="0"/>
              <w:adjustRightInd w:val="0"/>
              <w:ind w:left="0" w:firstLine="0"/>
              <w:rPr>
                <w:rFonts w:eastAsia="MathematicalPiLTStd" w:cstheme="minorHAnsi"/>
                <w:color w:val="FF0000"/>
                <w:sz w:val="20"/>
                <w:szCs w:val="20"/>
              </w:rPr>
            </w:pPr>
            <w:r w:rsidRPr="00B043C4">
              <w:rPr>
                <w:rFonts w:cstheme="minorHAnsi"/>
                <w:color w:val="FF0000"/>
                <w:sz w:val="20"/>
                <w:szCs w:val="20"/>
              </w:rPr>
              <w:t xml:space="preserve">c. Negative-pressure wound therapy. Level of Evidence </w:t>
            </w:r>
            <w:r w:rsidRPr="00B043C4">
              <w:rPr>
                <w:rFonts w:eastAsia="MathematicalPiLTStd" w:cstheme="minorHAnsi"/>
                <w:color w:val="FF0000"/>
                <w:sz w:val="20"/>
                <w:szCs w:val="20"/>
              </w:rPr>
              <w:t>=</w:t>
            </w:r>
          </w:p>
          <w:p w14:paraId="48264FA6" w14:textId="3D7F2D5E"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 xml:space="preserve">B (Benefit/Effectiveness/Harm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112A9EBA" w14:textId="449BC676"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50. Evaluate the need for ope</w:t>
            </w:r>
            <w:r w:rsidR="002A329C" w:rsidRPr="00B043C4">
              <w:rPr>
                <w:rFonts w:cstheme="minorHAnsi"/>
                <w:color w:val="FF0000"/>
                <w:sz w:val="20"/>
                <w:szCs w:val="20"/>
              </w:rPr>
              <w:t xml:space="preserve">rative repair for patients with </w:t>
            </w:r>
            <w:r w:rsidRPr="00B043C4">
              <w:rPr>
                <w:rFonts w:cstheme="minorHAnsi"/>
                <w:color w:val="FF0000"/>
                <w:sz w:val="20"/>
                <w:szCs w:val="20"/>
              </w:rPr>
              <w:t>stage 3 and 4 ulcers that do not respond</w:t>
            </w:r>
            <w:r w:rsidR="002A329C" w:rsidRPr="00B043C4">
              <w:rPr>
                <w:rFonts w:cstheme="minorHAnsi"/>
                <w:color w:val="FF0000"/>
                <w:sz w:val="20"/>
                <w:szCs w:val="20"/>
              </w:rPr>
              <w:t xml:space="preserve"> to conservative </w:t>
            </w:r>
            <w:r w:rsidRPr="00B043C4">
              <w:rPr>
                <w:rFonts w:cstheme="minorHAnsi"/>
                <w:color w:val="FF0000"/>
                <w:sz w:val="20"/>
                <w:szCs w:val="20"/>
              </w:rPr>
              <w:t xml:space="preserve">medical therapy.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C (Benefi</w:t>
            </w:r>
            <w:r w:rsidR="00B566D1" w:rsidRPr="00B043C4">
              <w:rPr>
                <w:rFonts w:cstheme="minorHAnsi"/>
                <w:color w:val="FF0000"/>
                <w:sz w:val="20"/>
                <w:szCs w:val="20"/>
              </w:rPr>
              <w:t xml:space="preserve">t/ </w:t>
            </w:r>
            <w:r w:rsidRPr="00B043C4">
              <w:rPr>
                <w:rFonts w:cstheme="minorHAnsi"/>
                <w:color w:val="FF0000"/>
                <w:sz w:val="20"/>
                <w:szCs w:val="20"/>
              </w:rPr>
              <w:t xml:space="preserve">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19365ACB" w14:textId="0FFFCC5E"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 xml:space="preserve">51. Implement measures to </w:t>
            </w:r>
            <w:r w:rsidR="002A329C" w:rsidRPr="00B043C4">
              <w:rPr>
                <w:rFonts w:cstheme="minorHAnsi"/>
                <w:color w:val="FF0000"/>
                <w:sz w:val="20"/>
                <w:szCs w:val="20"/>
              </w:rPr>
              <w:t xml:space="preserve">eliminate or control the source </w:t>
            </w:r>
            <w:r w:rsidRPr="00B043C4">
              <w:rPr>
                <w:rFonts w:cstheme="minorHAnsi"/>
                <w:color w:val="FF0000"/>
                <w:sz w:val="20"/>
                <w:szCs w:val="20"/>
              </w:rPr>
              <w:t xml:space="preserve">of pressure ulcer pain.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C (Benefi</w:t>
            </w:r>
            <w:r w:rsidR="00B566D1" w:rsidRPr="00B043C4">
              <w:rPr>
                <w:rFonts w:cstheme="minorHAnsi"/>
                <w:color w:val="FF0000"/>
                <w:sz w:val="20"/>
                <w:szCs w:val="20"/>
              </w:rPr>
              <w:t>t/</w:t>
            </w:r>
            <w:r w:rsidRPr="00B043C4">
              <w:rPr>
                <w:rFonts w:cstheme="minorHAnsi"/>
                <w:color w:val="FF0000"/>
                <w:sz w:val="20"/>
                <w:szCs w:val="20"/>
              </w:rPr>
              <w:t xml:space="preserve">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725D8595" w14:textId="709107CE" w:rsidR="006334C5" w:rsidRPr="00B043C4" w:rsidRDefault="006334C5" w:rsidP="006334C5">
            <w:pPr>
              <w:autoSpaceDE w:val="0"/>
              <w:autoSpaceDN w:val="0"/>
              <w:adjustRightInd w:val="0"/>
              <w:ind w:left="0" w:firstLine="0"/>
              <w:rPr>
                <w:rFonts w:cstheme="minorHAnsi"/>
                <w:color w:val="FF0000"/>
                <w:sz w:val="20"/>
                <w:szCs w:val="20"/>
              </w:rPr>
            </w:pPr>
            <w:r w:rsidRPr="00B043C4">
              <w:rPr>
                <w:rFonts w:cstheme="minorHAnsi"/>
                <w:color w:val="FF0000"/>
                <w:sz w:val="20"/>
                <w:szCs w:val="20"/>
              </w:rPr>
              <w:t xml:space="preserve">52. Implement appropriate </w:t>
            </w:r>
            <w:r w:rsidR="00BC3D97" w:rsidRPr="00B043C4">
              <w:rPr>
                <w:rFonts w:cstheme="minorHAnsi"/>
                <w:color w:val="FF0000"/>
                <w:sz w:val="20"/>
                <w:szCs w:val="20"/>
              </w:rPr>
              <w:t xml:space="preserve">treatment of pressure ulcers to </w:t>
            </w:r>
            <w:r w:rsidRPr="00B043C4">
              <w:rPr>
                <w:rFonts w:cstheme="minorHAnsi"/>
                <w:color w:val="FF0000"/>
                <w:sz w:val="20"/>
                <w:szCs w:val="20"/>
              </w:rPr>
              <w:t>optimize healing, re</w:t>
            </w:r>
            <w:r w:rsidR="00BC3D97" w:rsidRPr="00B043C4">
              <w:rPr>
                <w:rFonts w:cstheme="minorHAnsi"/>
                <w:color w:val="FF0000"/>
                <w:sz w:val="20"/>
                <w:szCs w:val="20"/>
              </w:rPr>
              <w:t xml:space="preserve">cognizing that complete healing </w:t>
            </w:r>
            <w:r w:rsidRPr="00B043C4">
              <w:rPr>
                <w:rFonts w:cstheme="minorHAnsi"/>
                <w:color w:val="FF0000"/>
                <w:sz w:val="20"/>
                <w:szCs w:val="20"/>
              </w:rPr>
              <w:t>may be unrealistic in s</w:t>
            </w:r>
            <w:r w:rsidR="00B566D1" w:rsidRPr="00B043C4">
              <w:rPr>
                <w:rFonts w:cstheme="minorHAnsi"/>
                <w:color w:val="FF0000"/>
                <w:sz w:val="20"/>
                <w:szCs w:val="20"/>
              </w:rPr>
              <w:t xml:space="preserve">ome patients.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 xml:space="preserve">C (Benefit/Effectiveness/Harm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p w14:paraId="79945136" w14:textId="7ED8EAD4" w:rsidR="006334C5" w:rsidRPr="00B043C4" w:rsidRDefault="006334C5" w:rsidP="00B566D1">
            <w:pPr>
              <w:autoSpaceDE w:val="0"/>
              <w:autoSpaceDN w:val="0"/>
              <w:adjustRightInd w:val="0"/>
              <w:ind w:left="0" w:firstLine="0"/>
              <w:rPr>
                <w:rFonts w:cstheme="minorHAnsi"/>
                <w:color w:val="FF0000"/>
                <w:sz w:val="20"/>
                <w:szCs w:val="20"/>
              </w:rPr>
            </w:pPr>
            <w:r w:rsidRPr="00B043C4">
              <w:rPr>
                <w:rFonts w:cstheme="minorHAnsi"/>
                <w:color w:val="FF0000"/>
                <w:sz w:val="20"/>
                <w:szCs w:val="20"/>
              </w:rPr>
              <w:t>53. Educate the patient/c</w:t>
            </w:r>
            <w:r w:rsidR="00BC3D97" w:rsidRPr="00B043C4">
              <w:rPr>
                <w:rFonts w:cstheme="minorHAnsi"/>
                <w:color w:val="FF0000"/>
                <w:sz w:val="20"/>
                <w:szCs w:val="20"/>
              </w:rPr>
              <w:t xml:space="preserve">aregiver(s) about strategies to </w:t>
            </w:r>
            <w:r w:rsidRPr="00B043C4">
              <w:rPr>
                <w:rFonts w:cstheme="minorHAnsi"/>
                <w:color w:val="FF0000"/>
                <w:sz w:val="20"/>
                <w:szCs w:val="20"/>
              </w:rPr>
              <w:t>prevent pressure ulcer</w:t>
            </w:r>
            <w:r w:rsidR="00BC3D97" w:rsidRPr="00B043C4">
              <w:rPr>
                <w:rFonts w:cstheme="minorHAnsi"/>
                <w:color w:val="FF0000"/>
                <w:sz w:val="20"/>
                <w:szCs w:val="20"/>
              </w:rPr>
              <w:t xml:space="preserve">s, promote healing, and prevent </w:t>
            </w:r>
            <w:r w:rsidRPr="00B043C4">
              <w:rPr>
                <w:rFonts w:cstheme="minorHAnsi"/>
                <w:color w:val="FF0000"/>
                <w:sz w:val="20"/>
                <w:szCs w:val="20"/>
              </w:rPr>
              <w:t>recurrences of ulcers; a</w:t>
            </w:r>
            <w:r w:rsidR="00BC3D97" w:rsidRPr="00B043C4">
              <w:rPr>
                <w:rFonts w:cstheme="minorHAnsi"/>
                <w:color w:val="FF0000"/>
                <w:sz w:val="20"/>
                <w:szCs w:val="20"/>
              </w:rPr>
              <w:t xml:space="preserve">nd emphasize these are lifelong </w:t>
            </w:r>
            <w:r w:rsidRPr="00B043C4">
              <w:rPr>
                <w:rFonts w:cstheme="minorHAnsi"/>
                <w:color w:val="FF0000"/>
                <w:sz w:val="20"/>
                <w:szCs w:val="20"/>
              </w:rPr>
              <w:t xml:space="preserve">interventions. Level of Evidence </w:t>
            </w:r>
            <w:r w:rsidRPr="00B043C4">
              <w:rPr>
                <w:rFonts w:eastAsia="MathematicalPiLTStd" w:cstheme="minorHAnsi"/>
                <w:color w:val="FF0000"/>
                <w:sz w:val="20"/>
                <w:szCs w:val="20"/>
              </w:rPr>
              <w:t xml:space="preserve">= </w:t>
            </w:r>
            <w:r w:rsidRPr="00B043C4">
              <w:rPr>
                <w:rFonts w:cstheme="minorHAnsi"/>
                <w:color w:val="FF0000"/>
                <w:sz w:val="20"/>
                <w:szCs w:val="20"/>
              </w:rPr>
              <w:t>C (Benefi</w:t>
            </w:r>
            <w:r w:rsidR="00B566D1" w:rsidRPr="00B043C4">
              <w:rPr>
                <w:rFonts w:cstheme="minorHAnsi"/>
                <w:color w:val="FF0000"/>
                <w:sz w:val="20"/>
                <w:szCs w:val="20"/>
              </w:rPr>
              <w:t xml:space="preserve">t/ </w:t>
            </w:r>
            <w:r w:rsidRPr="00B043C4">
              <w:rPr>
                <w:rFonts w:cstheme="minorHAnsi"/>
                <w:color w:val="FF0000"/>
                <w:sz w:val="20"/>
                <w:szCs w:val="20"/>
              </w:rPr>
              <w:t xml:space="preserve">Effectiveness/Harm </w:t>
            </w:r>
            <w:r w:rsidRPr="00B043C4">
              <w:rPr>
                <w:rFonts w:eastAsia="MathematicalPiLTStd" w:cstheme="minorHAnsi"/>
                <w:color w:val="FF0000"/>
                <w:sz w:val="20"/>
                <w:szCs w:val="20"/>
              </w:rPr>
              <w:t xml:space="preserve">= </w:t>
            </w:r>
            <w:r w:rsidRPr="00B043C4">
              <w:rPr>
                <w:rFonts w:cstheme="minorHAnsi"/>
                <w:color w:val="FF0000"/>
                <w:sz w:val="20"/>
                <w:szCs w:val="20"/>
              </w:rPr>
              <w:t>Class I)</w:t>
            </w:r>
          </w:p>
        </w:tc>
      </w:tr>
      <w:tr w:rsidR="00362787" w14:paraId="0405BBB6" w14:textId="77777777" w:rsidTr="006179D1">
        <w:tc>
          <w:tcPr>
            <w:tcW w:w="3595" w:type="dxa"/>
          </w:tcPr>
          <w:p w14:paraId="789CD14E" w14:textId="77777777" w:rsidR="00362787" w:rsidRPr="00552F57" w:rsidRDefault="00362787" w:rsidP="006179D1">
            <w:pPr>
              <w:ind w:left="0" w:firstLine="0"/>
              <w:rPr>
                <w:rFonts w:ascii="Calibri" w:eastAsia="Calibri" w:hAnsi="Calibri" w:cs="Times New Roman"/>
                <w:sz w:val="20"/>
                <w:szCs w:val="20"/>
              </w:rPr>
            </w:pPr>
            <w:r w:rsidRPr="00552F57">
              <w:rPr>
                <w:sz w:val="20"/>
                <w:szCs w:val="20"/>
              </w:rPr>
              <w:t xml:space="preserve">Grade assigned to the </w:t>
            </w:r>
            <w:r w:rsidRPr="00552F57">
              <w:rPr>
                <w:b/>
                <w:bCs/>
                <w:sz w:val="20"/>
                <w:szCs w:val="20"/>
              </w:rPr>
              <w:t xml:space="preserve">evidence </w:t>
            </w:r>
            <w:r w:rsidRPr="00552F57">
              <w:rPr>
                <w:sz w:val="20"/>
                <w:szCs w:val="20"/>
              </w:rPr>
              <w:t>associated with the recommendation with the definition of the grade.</w:t>
            </w:r>
          </w:p>
        </w:tc>
        <w:tc>
          <w:tcPr>
            <w:tcW w:w="5755" w:type="dxa"/>
          </w:tcPr>
          <w:p w14:paraId="652D3936" w14:textId="68BCE2CE" w:rsidR="004715B8" w:rsidRPr="00B043C4" w:rsidRDefault="00BC3D97" w:rsidP="006179D1">
            <w:pPr>
              <w:ind w:left="0" w:firstLine="0"/>
              <w:rPr>
                <w:rFonts w:eastAsia="Calibri" w:cstheme="minorHAnsi"/>
                <w:color w:val="FF0000"/>
                <w:sz w:val="20"/>
                <w:szCs w:val="20"/>
              </w:rPr>
            </w:pPr>
            <w:r w:rsidRPr="00B043C4">
              <w:rPr>
                <w:rFonts w:eastAsia="Calibri" w:cstheme="minorHAnsi"/>
                <w:color w:val="FF0000"/>
                <w:sz w:val="20"/>
                <w:szCs w:val="20"/>
              </w:rPr>
              <w:t xml:space="preserve">See Tables 3 and 4 for grading definitions. Most recommendations were graded with a Level-of-Evidence: C. </w:t>
            </w:r>
            <w:r w:rsidR="004715B8" w:rsidRPr="00B043C4">
              <w:rPr>
                <w:rFonts w:eastAsia="Calibri" w:cstheme="minorHAnsi"/>
                <w:color w:val="FF0000"/>
                <w:sz w:val="20"/>
                <w:szCs w:val="20"/>
              </w:rPr>
              <w:t xml:space="preserve">However, one preventive recommendation (22) </w:t>
            </w:r>
            <w:r w:rsidRPr="00B043C4">
              <w:rPr>
                <w:rFonts w:eastAsia="Calibri" w:cstheme="minorHAnsi"/>
                <w:color w:val="FF0000"/>
                <w:sz w:val="20"/>
                <w:szCs w:val="20"/>
              </w:rPr>
              <w:t>was graded with an A rating</w:t>
            </w:r>
            <w:r w:rsidR="004715B8" w:rsidRPr="00B043C4">
              <w:rPr>
                <w:rFonts w:eastAsia="Calibri" w:cstheme="minorHAnsi"/>
                <w:color w:val="FF0000"/>
                <w:sz w:val="20"/>
                <w:szCs w:val="20"/>
              </w:rPr>
              <w:t xml:space="preserve">. Two preventive recommendations were </w:t>
            </w:r>
            <w:r w:rsidRPr="00B043C4">
              <w:rPr>
                <w:rFonts w:eastAsia="Calibri" w:cstheme="minorHAnsi"/>
                <w:color w:val="FF0000"/>
                <w:sz w:val="20"/>
                <w:szCs w:val="20"/>
              </w:rPr>
              <w:t>assigned B grades</w:t>
            </w:r>
            <w:r w:rsidR="004715B8" w:rsidRPr="00B043C4">
              <w:rPr>
                <w:rFonts w:eastAsia="Calibri" w:cstheme="minorHAnsi"/>
                <w:color w:val="FF0000"/>
                <w:sz w:val="20"/>
                <w:szCs w:val="20"/>
              </w:rPr>
              <w:t xml:space="preserve"> (23 &amp; 27). Four treatment-related recommendations were assigned </w:t>
            </w:r>
            <w:r w:rsidRPr="00B043C4">
              <w:rPr>
                <w:rFonts w:eastAsia="Calibri" w:cstheme="minorHAnsi"/>
                <w:color w:val="FF0000"/>
                <w:sz w:val="20"/>
                <w:szCs w:val="20"/>
              </w:rPr>
              <w:t>B grades</w:t>
            </w:r>
            <w:r w:rsidR="004715B8" w:rsidRPr="00B043C4">
              <w:rPr>
                <w:rFonts w:eastAsia="Calibri" w:cstheme="minorHAnsi"/>
                <w:color w:val="FF0000"/>
                <w:sz w:val="20"/>
                <w:szCs w:val="20"/>
              </w:rPr>
              <w:t xml:space="preserve"> (42, 43, 49a, and 49c</w:t>
            </w:r>
            <w:r w:rsidR="00327C16" w:rsidRPr="00B043C4">
              <w:rPr>
                <w:rFonts w:eastAsia="Calibri" w:cstheme="minorHAnsi"/>
                <w:color w:val="FF0000"/>
                <w:sz w:val="20"/>
                <w:szCs w:val="20"/>
              </w:rPr>
              <w:t>)</w:t>
            </w:r>
            <w:r w:rsidR="004715B8" w:rsidRPr="00B043C4">
              <w:rPr>
                <w:rFonts w:eastAsia="Calibri" w:cstheme="minorHAnsi"/>
                <w:color w:val="FF0000"/>
                <w:sz w:val="20"/>
                <w:szCs w:val="20"/>
              </w:rPr>
              <w:t xml:space="preserve">. </w:t>
            </w:r>
            <w:r w:rsidRPr="00B043C4">
              <w:rPr>
                <w:rFonts w:eastAsia="Calibri" w:cstheme="minorHAnsi"/>
                <w:color w:val="FF0000"/>
                <w:sz w:val="20"/>
                <w:szCs w:val="20"/>
              </w:rPr>
              <w:t>Lastly, on</w:t>
            </w:r>
            <w:r w:rsidR="004715B8" w:rsidRPr="00B043C4">
              <w:rPr>
                <w:rFonts w:eastAsia="Calibri" w:cstheme="minorHAnsi"/>
                <w:color w:val="FF0000"/>
                <w:sz w:val="20"/>
                <w:szCs w:val="20"/>
              </w:rPr>
              <w:t xml:space="preserve">e treatment-related recommendation was </w:t>
            </w:r>
            <w:r w:rsidRPr="00B043C4">
              <w:rPr>
                <w:rFonts w:eastAsia="Calibri" w:cstheme="minorHAnsi"/>
                <w:color w:val="FF0000"/>
                <w:sz w:val="20"/>
                <w:szCs w:val="20"/>
              </w:rPr>
              <w:t>graded with an A</w:t>
            </w:r>
            <w:r w:rsidR="004715B8" w:rsidRPr="00B043C4">
              <w:rPr>
                <w:rFonts w:eastAsia="Calibri" w:cstheme="minorHAnsi"/>
                <w:color w:val="FF0000"/>
                <w:sz w:val="20"/>
                <w:szCs w:val="20"/>
              </w:rPr>
              <w:t xml:space="preserve"> (49a). </w:t>
            </w:r>
          </w:p>
          <w:p w14:paraId="290D1366" w14:textId="77777777" w:rsidR="004715B8" w:rsidRPr="00EE53F2" w:rsidRDefault="004715B8" w:rsidP="006179D1">
            <w:pPr>
              <w:ind w:left="0" w:firstLine="0"/>
              <w:rPr>
                <w:rFonts w:eastAsia="Calibri" w:cstheme="minorHAnsi"/>
                <w:color w:val="0000FF"/>
                <w:sz w:val="20"/>
                <w:szCs w:val="20"/>
              </w:rPr>
            </w:pPr>
          </w:p>
          <w:p w14:paraId="68FFBB8C" w14:textId="3A4FE824" w:rsidR="005366F9" w:rsidRPr="00EE53F2" w:rsidRDefault="00486CB0" w:rsidP="006179D1">
            <w:pPr>
              <w:ind w:left="0" w:firstLine="0"/>
              <w:rPr>
                <w:rFonts w:eastAsia="Calibri" w:cstheme="minorHAnsi"/>
                <w:color w:val="0000FF"/>
                <w:sz w:val="20"/>
                <w:szCs w:val="20"/>
              </w:rPr>
            </w:pPr>
            <w:r w:rsidRPr="00EE53F2">
              <w:rPr>
                <w:rFonts w:eastAsia="Calibri" w:cstheme="minorHAnsi"/>
                <w:b/>
                <w:color w:val="0000FF"/>
                <w:sz w:val="20"/>
                <w:szCs w:val="20"/>
              </w:rPr>
              <w:t>Table</w:t>
            </w:r>
            <w:r w:rsidR="006507FE" w:rsidRPr="00EE53F2">
              <w:rPr>
                <w:rFonts w:eastAsia="Calibri" w:cstheme="minorHAnsi"/>
                <w:b/>
                <w:color w:val="0000FF"/>
                <w:sz w:val="20"/>
                <w:szCs w:val="20"/>
              </w:rPr>
              <w:t xml:space="preserve"> 3</w:t>
            </w:r>
            <w:r w:rsidRPr="00EE53F2">
              <w:rPr>
                <w:rFonts w:eastAsia="Calibri" w:cstheme="minorHAnsi"/>
                <w:color w:val="0000FF"/>
                <w:sz w:val="20"/>
                <w:szCs w:val="20"/>
              </w:rPr>
              <w:t>: Level-of-Evidence Ratings for Research Evidence</w:t>
            </w:r>
          </w:p>
          <w:tbl>
            <w:tblPr>
              <w:tblStyle w:val="TableGrid"/>
              <w:tblW w:w="0" w:type="auto"/>
              <w:tblLook w:val="04A0" w:firstRow="1" w:lastRow="0" w:firstColumn="1" w:lastColumn="0" w:noHBand="0" w:noVBand="1"/>
            </w:tblPr>
            <w:tblGrid>
              <w:gridCol w:w="1149"/>
              <w:gridCol w:w="4380"/>
            </w:tblGrid>
            <w:tr w:rsidR="00EE53F2" w:rsidRPr="00EE53F2" w14:paraId="76EB2545" w14:textId="77777777" w:rsidTr="00DE25FE">
              <w:tc>
                <w:tcPr>
                  <w:tcW w:w="1149" w:type="dxa"/>
                </w:tcPr>
                <w:p w14:paraId="2AB28F8A" w14:textId="3FF8CEFF" w:rsidR="00486CB0" w:rsidRPr="00EE53F2" w:rsidRDefault="00486CB0" w:rsidP="006179D1">
                  <w:pPr>
                    <w:ind w:left="0" w:firstLine="0"/>
                    <w:rPr>
                      <w:rFonts w:eastAsia="Calibri" w:cstheme="minorHAnsi"/>
                      <w:b/>
                      <w:color w:val="0000FF"/>
                      <w:sz w:val="20"/>
                      <w:szCs w:val="20"/>
                    </w:rPr>
                  </w:pPr>
                  <w:r w:rsidRPr="00EE53F2">
                    <w:rPr>
                      <w:rFonts w:eastAsia="Calibri" w:cstheme="minorHAnsi"/>
                      <w:b/>
                      <w:color w:val="0000FF"/>
                      <w:sz w:val="20"/>
                      <w:szCs w:val="20"/>
                    </w:rPr>
                    <w:t>Level of Evidence</w:t>
                  </w:r>
                </w:p>
              </w:tc>
              <w:tc>
                <w:tcPr>
                  <w:tcW w:w="4380" w:type="dxa"/>
                </w:tcPr>
                <w:p w14:paraId="1F395E80" w14:textId="0AEB0082" w:rsidR="00486CB0" w:rsidRPr="00EE53F2" w:rsidRDefault="00486CB0" w:rsidP="006179D1">
                  <w:pPr>
                    <w:ind w:left="0" w:firstLine="0"/>
                    <w:rPr>
                      <w:rFonts w:eastAsia="Calibri" w:cstheme="minorHAnsi"/>
                      <w:b/>
                      <w:color w:val="0000FF"/>
                      <w:sz w:val="20"/>
                      <w:szCs w:val="20"/>
                    </w:rPr>
                  </w:pPr>
                  <w:r w:rsidRPr="00EE53F2">
                    <w:rPr>
                      <w:rFonts w:eastAsia="Calibri" w:cstheme="minorHAnsi"/>
                      <w:b/>
                      <w:color w:val="0000FF"/>
                      <w:sz w:val="20"/>
                      <w:szCs w:val="20"/>
                    </w:rPr>
                    <w:t>Criteria</w:t>
                  </w:r>
                </w:p>
              </w:tc>
            </w:tr>
            <w:tr w:rsidR="00EE53F2" w:rsidRPr="00EE53F2" w14:paraId="1B9F12A3" w14:textId="77777777" w:rsidTr="00DE25FE">
              <w:tc>
                <w:tcPr>
                  <w:tcW w:w="1149" w:type="dxa"/>
                </w:tcPr>
                <w:p w14:paraId="3601C0ED" w14:textId="18FEEC9D" w:rsidR="00486CB0" w:rsidRPr="00EE53F2" w:rsidRDefault="00486CB0" w:rsidP="006179D1">
                  <w:pPr>
                    <w:ind w:left="0" w:firstLine="0"/>
                    <w:rPr>
                      <w:rFonts w:eastAsia="Calibri" w:cstheme="minorHAnsi"/>
                      <w:color w:val="0000FF"/>
                      <w:sz w:val="20"/>
                      <w:szCs w:val="20"/>
                    </w:rPr>
                  </w:pPr>
                  <w:r w:rsidRPr="00EE53F2">
                    <w:rPr>
                      <w:rFonts w:eastAsia="Calibri" w:cstheme="minorHAnsi"/>
                      <w:color w:val="0000FF"/>
                      <w:sz w:val="20"/>
                      <w:szCs w:val="20"/>
                    </w:rPr>
                    <w:t>Level I</w:t>
                  </w:r>
                </w:p>
              </w:tc>
              <w:tc>
                <w:tcPr>
                  <w:tcW w:w="4380" w:type="dxa"/>
                </w:tcPr>
                <w:p w14:paraId="7C531D7C" w14:textId="5E009604" w:rsidR="00486CB0" w:rsidRPr="00EE53F2" w:rsidRDefault="00486CB0" w:rsidP="006179D1">
                  <w:pPr>
                    <w:ind w:left="0" w:firstLine="0"/>
                    <w:rPr>
                      <w:rFonts w:eastAsia="Calibri" w:cstheme="minorHAnsi"/>
                      <w:color w:val="0000FF"/>
                      <w:sz w:val="20"/>
                      <w:szCs w:val="20"/>
                    </w:rPr>
                  </w:pPr>
                  <w:r w:rsidRPr="00EE53F2">
                    <w:rPr>
                      <w:rFonts w:eastAsia="Calibri" w:cstheme="minorHAnsi"/>
                      <w:color w:val="0000FF"/>
                      <w:sz w:val="20"/>
                      <w:szCs w:val="20"/>
                    </w:rPr>
                    <w:t>A randomized controlled trial demonstrating a statistically significant difference in at least one important outcome defined by P&lt;0.05. Level I trials can conclude the difference is not statistically significant if the sample size is adequate to exclude a 25% difference among study arms with 80% power</w:t>
                  </w:r>
                </w:p>
              </w:tc>
            </w:tr>
            <w:tr w:rsidR="00EE53F2" w:rsidRPr="00EE53F2" w14:paraId="1F76436C" w14:textId="77777777" w:rsidTr="00DE25FE">
              <w:tc>
                <w:tcPr>
                  <w:tcW w:w="1149" w:type="dxa"/>
                </w:tcPr>
                <w:p w14:paraId="409AC2F8" w14:textId="484E5D40" w:rsidR="00486CB0" w:rsidRPr="00EE53F2" w:rsidRDefault="00486CB0" w:rsidP="006179D1">
                  <w:pPr>
                    <w:ind w:left="0" w:firstLine="0"/>
                    <w:rPr>
                      <w:rFonts w:eastAsia="Calibri" w:cstheme="minorHAnsi"/>
                      <w:color w:val="0000FF"/>
                      <w:sz w:val="20"/>
                      <w:szCs w:val="20"/>
                    </w:rPr>
                  </w:pPr>
                  <w:r w:rsidRPr="00EE53F2">
                    <w:rPr>
                      <w:rFonts w:eastAsia="Calibri" w:cstheme="minorHAnsi"/>
                      <w:color w:val="0000FF"/>
                      <w:sz w:val="20"/>
                      <w:szCs w:val="20"/>
                    </w:rPr>
                    <w:t>Level II</w:t>
                  </w:r>
                </w:p>
              </w:tc>
              <w:tc>
                <w:tcPr>
                  <w:tcW w:w="4380" w:type="dxa"/>
                </w:tcPr>
                <w:p w14:paraId="0C367013" w14:textId="1631D947" w:rsidR="00486CB0" w:rsidRPr="00EE53F2" w:rsidRDefault="00486CB0" w:rsidP="006179D1">
                  <w:pPr>
                    <w:ind w:left="0" w:firstLine="0"/>
                    <w:rPr>
                      <w:rFonts w:eastAsia="Calibri" w:cstheme="minorHAnsi"/>
                      <w:color w:val="0000FF"/>
                      <w:sz w:val="20"/>
                      <w:szCs w:val="20"/>
                    </w:rPr>
                  </w:pPr>
                  <w:r w:rsidRPr="00EE53F2">
                    <w:rPr>
                      <w:rFonts w:eastAsia="Calibri" w:cstheme="minorHAnsi"/>
                      <w:color w:val="0000FF"/>
                      <w:sz w:val="20"/>
                      <w:szCs w:val="20"/>
                    </w:rPr>
                    <w:t>A randomized controlled trial not meeting Level I criteria</w:t>
                  </w:r>
                </w:p>
              </w:tc>
            </w:tr>
            <w:tr w:rsidR="00EE53F2" w:rsidRPr="00EE53F2" w14:paraId="58A0A48E" w14:textId="77777777" w:rsidTr="00DE25FE">
              <w:tc>
                <w:tcPr>
                  <w:tcW w:w="1149" w:type="dxa"/>
                </w:tcPr>
                <w:p w14:paraId="17055AC2" w14:textId="7BE6F52D" w:rsidR="00486CB0" w:rsidRPr="00EE53F2" w:rsidRDefault="00486CB0" w:rsidP="006179D1">
                  <w:pPr>
                    <w:ind w:left="0" w:firstLine="0"/>
                    <w:rPr>
                      <w:rFonts w:eastAsia="Calibri" w:cstheme="minorHAnsi"/>
                      <w:color w:val="0000FF"/>
                      <w:sz w:val="20"/>
                      <w:szCs w:val="20"/>
                    </w:rPr>
                  </w:pPr>
                  <w:r w:rsidRPr="00EE53F2">
                    <w:rPr>
                      <w:rFonts w:eastAsia="Calibri" w:cstheme="minorHAnsi"/>
                      <w:color w:val="0000FF"/>
                      <w:sz w:val="20"/>
                      <w:szCs w:val="20"/>
                    </w:rPr>
                    <w:t>Level III</w:t>
                  </w:r>
                </w:p>
              </w:tc>
              <w:tc>
                <w:tcPr>
                  <w:tcW w:w="4380" w:type="dxa"/>
                </w:tcPr>
                <w:p w14:paraId="437773C2" w14:textId="6848969A" w:rsidR="00486CB0" w:rsidRPr="00EE53F2" w:rsidRDefault="00486CB0" w:rsidP="006179D1">
                  <w:pPr>
                    <w:ind w:left="0" w:firstLine="0"/>
                    <w:rPr>
                      <w:rFonts w:eastAsia="Calibri" w:cstheme="minorHAnsi"/>
                      <w:color w:val="0000FF"/>
                      <w:sz w:val="20"/>
                      <w:szCs w:val="20"/>
                    </w:rPr>
                  </w:pPr>
                  <w:r w:rsidRPr="00EE53F2">
                    <w:rPr>
                      <w:rFonts w:eastAsia="Calibri" w:cstheme="minorHAnsi"/>
                      <w:color w:val="0000FF"/>
                      <w:sz w:val="20"/>
                      <w:szCs w:val="20"/>
                    </w:rPr>
                    <w:t>A nonrandomized controlled trial with contemporaneous controls selected by some systematic method. A control might have been selected due to its perceived suitability as a treatment option for an individual patient</w:t>
                  </w:r>
                </w:p>
              </w:tc>
            </w:tr>
            <w:tr w:rsidR="00EE53F2" w:rsidRPr="00EE53F2" w14:paraId="2B714C3D" w14:textId="77777777" w:rsidTr="00DE25FE">
              <w:tc>
                <w:tcPr>
                  <w:tcW w:w="1149" w:type="dxa"/>
                </w:tcPr>
                <w:p w14:paraId="25D5B594" w14:textId="36BECA26" w:rsidR="00486CB0" w:rsidRPr="00EE53F2" w:rsidRDefault="00486CB0" w:rsidP="006179D1">
                  <w:pPr>
                    <w:ind w:left="0" w:firstLine="0"/>
                    <w:rPr>
                      <w:rFonts w:eastAsia="Calibri" w:cstheme="minorHAnsi"/>
                      <w:color w:val="0000FF"/>
                      <w:sz w:val="20"/>
                      <w:szCs w:val="20"/>
                    </w:rPr>
                  </w:pPr>
                  <w:r w:rsidRPr="00EE53F2">
                    <w:rPr>
                      <w:rFonts w:eastAsia="Calibri" w:cstheme="minorHAnsi"/>
                      <w:color w:val="0000FF"/>
                      <w:sz w:val="20"/>
                      <w:szCs w:val="20"/>
                    </w:rPr>
                    <w:t>Level IV</w:t>
                  </w:r>
                </w:p>
              </w:tc>
              <w:tc>
                <w:tcPr>
                  <w:tcW w:w="4380" w:type="dxa"/>
                </w:tcPr>
                <w:p w14:paraId="12A3A804" w14:textId="16BB7EFB" w:rsidR="00486CB0" w:rsidRPr="00EE53F2" w:rsidRDefault="00486CB0" w:rsidP="006179D1">
                  <w:pPr>
                    <w:ind w:left="0" w:firstLine="0"/>
                    <w:rPr>
                      <w:rFonts w:eastAsia="Calibri" w:cstheme="minorHAnsi"/>
                      <w:color w:val="0000FF"/>
                      <w:sz w:val="20"/>
                      <w:szCs w:val="20"/>
                    </w:rPr>
                  </w:pPr>
                  <w:r w:rsidRPr="00EE53F2">
                    <w:rPr>
                      <w:rFonts w:eastAsia="Calibri" w:cstheme="minorHAnsi"/>
                      <w:color w:val="0000FF"/>
                      <w:sz w:val="20"/>
                      <w:szCs w:val="20"/>
                    </w:rPr>
                    <w:t>A before-and-after study or a case series of at least 10 patients using historical controls or controls drawn from other studies</w:t>
                  </w:r>
                </w:p>
              </w:tc>
            </w:tr>
            <w:tr w:rsidR="00EE53F2" w:rsidRPr="00EE53F2" w14:paraId="63537CBA" w14:textId="77777777" w:rsidTr="00DE25FE">
              <w:tc>
                <w:tcPr>
                  <w:tcW w:w="1149" w:type="dxa"/>
                </w:tcPr>
                <w:p w14:paraId="34868F23" w14:textId="486A2635" w:rsidR="00486CB0" w:rsidRPr="00EE53F2" w:rsidRDefault="00486CB0" w:rsidP="006179D1">
                  <w:pPr>
                    <w:ind w:left="0" w:firstLine="0"/>
                    <w:rPr>
                      <w:rFonts w:eastAsia="Calibri" w:cstheme="minorHAnsi"/>
                      <w:color w:val="0000FF"/>
                      <w:sz w:val="20"/>
                      <w:szCs w:val="20"/>
                    </w:rPr>
                  </w:pPr>
                  <w:r w:rsidRPr="00EE53F2">
                    <w:rPr>
                      <w:rFonts w:eastAsia="Calibri" w:cstheme="minorHAnsi"/>
                      <w:color w:val="0000FF"/>
                      <w:sz w:val="20"/>
                      <w:szCs w:val="20"/>
                    </w:rPr>
                    <w:t>Level V</w:t>
                  </w:r>
                </w:p>
              </w:tc>
              <w:tc>
                <w:tcPr>
                  <w:tcW w:w="4380" w:type="dxa"/>
                </w:tcPr>
                <w:p w14:paraId="292DF66D" w14:textId="684719D2" w:rsidR="00486CB0" w:rsidRPr="00EE53F2" w:rsidRDefault="00486CB0" w:rsidP="006179D1">
                  <w:pPr>
                    <w:ind w:left="0" w:firstLine="0"/>
                    <w:rPr>
                      <w:rFonts w:eastAsia="Calibri" w:cstheme="minorHAnsi"/>
                      <w:color w:val="0000FF"/>
                      <w:sz w:val="20"/>
                      <w:szCs w:val="20"/>
                    </w:rPr>
                  </w:pPr>
                  <w:r w:rsidRPr="00EE53F2">
                    <w:rPr>
                      <w:rFonts w:eastAsia="Calibri" w:cstheme="minorHAnsi"/>
                      <w:color w:val="0000FF"/>
                      <w:sz w:val="20"/>
                      <w:szCs w:val="20"/>
                    </w:rPr>
                    <w:t>A case series of at least 10 patients with no controls</w:t>
                  </w:r>
                </w:p>
              </w:tc>
            </w:tr>
            <w:tr w:rsidR="00EE53F2" w:rsidRPr="00EE53F2" w14:paraId="0124A193" w14:textId="77777777" w:rsidTr="00DE25FE">
              <w:tc>
                <w:tcPr>
                  <w:tcW w:w="1149" w:type="dxa"/>
                </w:tcPr>
                <w:p w14:paraId="14E4D034" w14:textId="199E3C8B" w:rsidR="00486CB0" w:rsidRPr="00EE53F2" w:rsidRDefault="00486CB0" w:rsidP="006179D1">
                  <w:pPr>
                    <w:ind w:left="0" w:firstLine="0"/>
                    <w:rPr>
                      <w:rFonts w:eastAsia="Calibri" w:cstheme="minorHAnsi"/>
                      <w:color w:val="0000FF"/>
                      <w:sz w:val="20"/>
                      <w:szCs w:val="20"/>
                    </w:rPr>
                  </w:pPr>
                  <w:r w:rsidRPr="00EE53F2">
                    <w:rPr>
                      <w:rFonts w:eastAsia="Calibri" w:cstheme="minorHAnsi"/>
                      <w:color w:val="0000FF"/>
                      <w:sz w:val="20"/>
                      <w:szCs w:val="20"/>
                    </w:rPr>
                    <w:t>Level VI</w:t>
                  </w:r>
                </w:p>
              </w:tc>
              <w:tc>
                <w:tcPr>
                  <w:tcW w:w="4380" w:type="dxa"/>
                </w:tcPr>
                <w:p w14:paraId="29140C32" w14:textId="13A899E5" w:rsidR="00486CB0" w:rsidRPr="00EE53F2" w:rsidRDefault="00486CB0" w:rsidP="006179D1">
                  <w:pPr>
                    <w:ind w:left="0" w:firstLine="0"/>
                    <w:rPr>
                      <w:rFonts w:eastAsia="Calibri" w:cstheme="minorHAnsi"/>
                      <w:color w:val="0000FF"/>
                      <w:sz w:val="20"/>
                      <w:szCs w:val="20"/>
                    </w:rPr>
                  </w:pPr>
                  <w:r w:rsidRPr="00EE53F2">
                    <w:rPr>
                      <w:rFonts w:eastAsia="Calibri" w:cstheme="minorHAnsi"/>
                      <w:color w:val="0000FF"/>
                      <w:sz w:val="20"/>
                      <w:szCs w:val="20"/>
                    </w:rPr>
                    <w:t>A case report of fewer than 10 patients</w:t>
                  </w:r>
                </w:p>
              </w:tc>
            </w:tr>
          </w:tbl>
          <w:p w14:paraId="30849320" w14:textId="6170A224" w:rsidR="00486CB0" w:rsidRPr="00EE53F2" w:rsidRDefault="00486CB0" w:rsidP="006179D1">
            <w:pPr>
              <w:ind w:left="0" w:firstLine="0"/>
              <w:rPr>
                <w:rFonts w:eastAsia="Calibri" w:cstheme="minorHAnsi"/>
                <w:color w:val="0000FF"/>
                <w:sz w:val="20"/>
                <w:szCs w:val="20"/>
              </w:rPr>
            </w:pPr>
          </w:p>
          <w:p w14:paraId="39091A6B" w14:textId="606846B6" w:rsidR="00E561EA" w:rsidRPr="00B043C4" w:rsidRDefault="00E561EA" w:rsidP="006179D1">
            <w:pPr>
              <w:ind w:left="0" w:firstLine="0"/>
              <w:rPr>
                <w:rFonts w:eastAsia="Calibri" w:cstheme="minorHAnsi"/>
                <w:color w:val="FF0000"/>
                <w:sz w:val="20"/>
                <w:szCs w:val="20"/>
              </w:rPr>
            </w:pPr>
            <w:r w:rsidRPr="00B043C4">
              <w:rPr>
                <w:rFonts w:eastAsia="Calibri" w:cstheme="minorHAnsi"/>
                <w:b/>
                <w:color w:val="FF0000"/>
                <w:sz w:val="20"/>
                <w:szCs w:val="20"/>
              </w:rPr>
              <w:t>T</w:t>
            </w:r>
            <w:r w:rsidR="006507FE" w:rsidRPr="00B043C4">
              <w:rPr>
                <w:rFonts w:eastAsia="Calibri" w:cstheme="minorHAnsi"/>
                <w:b/>
                <w:color w:val="FF0000"/>
                <w:sz w:val="20"/>
                <w:szCs w:val="20"/>
              </w:rPr>
              <w:t>able 4</w:t>
            </w:r>
            <w:r w:rsidRPr="00B043C4">
              <w:rPr>
                <w:rFonts w:eastAsia="Calibri" w:cstheme="minorHAnsi"/>
                <w:color w:val="FF0000"/>
                <w:sz w:val="20"/>
                <w:szCs w:val="20"/>
              </w:rPr>
              <w:t>: Level-of Evidence Rating for Strength and Guideline Recommendations</w:t>
            </w:r>
          </w:p>
          <w:tbl>
            <w:tblPr>
              <w:tblStyle w:val="TableGrid"/>
              <w:tblW w:w="0" w:type="auto"/>
              <w:tblLook w:val="04A0" w:firstRow="1" w:lastRow="0" w:firstColumn="1" w:lastColumn="0" w:noHBand="0" w:noVBand="1"/>
            </w:tblPr>
            <w:tblGrid>
              <w:gridCol w:w="1078"/>
              <w:gridCol w:w="4357"/>
            </w:tblGrid>
            <w:tr w:rsidR="00B043C4" w:rsidRPr="00B043C4" w14:paraId="66486395" w14:textId="77777777" w:rsidTr="00FE405C">
              <w:tc>
                <w:tcPr>
                  <w:tcW w:w="946" w:type="dxa"/>
                </w:tcPr>
                <w:p w14:paraId="631EE250" w14:textId="77777777" w:rsidR="00E561EA" w:rsidRPr="00B043C4" w:rsidRDefault="00E561EA" w:rsidP="00E561EA">
                  <w:pPr>
                    <w:ind w:left="0" w:firstLine="0"/>
                    <w:rPr>
                      <w:rFonts w:eastAsia="Calibri" w:cstheme="minorHAnsi"/>
                      <w:color w:val="FF0000"/>
                      <w:sz w:val="20"/>
                      <w:szCs w:val="20"/>
                    </w:rPr>
                  </w:pPr>
                  <w:r w:rsidRPr="00B043C4">
                    <w:rPr>
                      <w:rFonts w:eastAsia="Calibri" w:cstheme="minorHAnsi"/>
                      <w:color w:val="FF0000"/>
                      <w:sz w:val="20"/>
                      <w:szCs w:val="20"/>
                    </w:rPr>
                    <w:t>Level A</w:t>
                  </w:r>
                </w:p>
              </w:tc>
              <w:tc>
                <w:tcPr>
                  <w:tcW w:w="4357" w:type="dxa"/>
                </w:tcPr>
                <w:p w14:paraId="32DD13AB" w14:textId="66ED0576" w:rsidR="00E561EA" w:rsidRPr="00B043C4" w:rsidRDefault="00E561EA" w:rsidP="00E561EA">
                  <w:pPr>
                    <w:ind w:left="0" w:firstLine="0"/>
                    <w:rPr>
                      <w:rFonts w:eastAsia="Calibri" w:cstheme="minorHAnsi"/>
                      <w:color w:val="FF0000"/>
                      <w:sz w:val="20"/>
                      <w:szCs w:val="20"/>
                    </w:rPr>
                  </w:pPr>
                  <w:r w:rsidRPr="00B043C4">
                    <w:rPr>
                      <w:rFonts w:eastAsia="Calibri" w:cstheme="minorHAnsi"/>
                      <w:color w:val="FF0000"/>
                      <w:sz w:val="20"/>
                      <w:szCs w:val="20"/>
                    </w:rPr>
                    <w:t xml:space="preserve">Two or more supporting </w:t>
                  </w:r>
                  <w:r w:rsidR="00C0067A" w:rsidRPr="00B043C4">
                    <w:rPr>
                      <w:rFonts w:eastAsia="Calibri" w:cstheme="minorHAnsi"/>
                      <w:color w:val="FF0000"/>
                      <w:sz w:val="20"/>
                      <w:szCs w:val="20"/>
                    </w:rPr>
                    <w:t>randomized controlled</w:t>
                  </w:r>
                  <w:r w:rsidRPr="00B043C4">
                    <w:rPr>
                      <w:rFonts w:eastAsia="Calibri" w:cstheme="minorHAnsi"/>
                      <w:color w:val="FF0000"/>
                      <w:sz w:val="20"/>
                      <w:szCs w:val="20"/>
                    </w:rPr>
                    <w:t xml:space="preserve"> trials (RCTs) of at least 10 humans with pressure ulcers (At Level I or II), a meta-analysis of RCTs, or a Cochrane Systematic Review of RCTs</w:t>
                  </w:r>
                </w:p>
              </w:tc>
            </w:tr>
            <w:tr w:rsidR="00B043C4" w:rsidRPr="00B043C4" w14:paraId="47884781" w14:textId="77777777" w:rsidTr="00FE405C">
              <w:tc>
                <w:tcPr>
                  <w:tcW w:w="946" w:type="dxa"/>
                </w:tcPr>
                <w:p w14:paraId="02212A84" w14:textId="77777777" w:rsidR="00E561EA" w:rsidRPr="00B043C4" w:rsidRDefault="00E561EA" w:rsidP="00E561EA">
                  <w:pPr>
                    <w:ind w:left="0" w:firstLine="0"/>
                    <w:rPr>
                      <w:rFonts w:eastAsia="Calibri" w:cstheme="minorHAnsi"/>
                      <w:color w:val="FF0000"/>
                      <w:sz w:val="20"/>
                      <w:szCs w:val="20"/>
                    </w:rPr>
                  </w:pPr>
                  <w:r w:rsidRPr="00B043C4">
                    <w:rPr>
                      <w:rFonts w:eastAsia="Calibri" w:cstheme="minorHAnsi"/>
                      <w:color w:val="FF0000"/>
                      <w:sz w:val="20"/>
                      <w:szCs w:val="20"/>
                    </w:rPr>
                    <w:t>Level B</w:t>
                  </w:r>
                </w:p>
              </w:tc>
              <w:tc>
                <w:tcPr>
                  <w:tcW w:w="4357" w:type="dxa"/>
                </w:tcPr>
                <w:p w14:paraId="4D68C632" w14:textId="77777777" w:rsidR="00E561EA" w:rsidRPr="00B043C4" w:rsidRDefault="00E561EA" w:rsidP="00E561EA">
                  <w:pPr>
                    <w:ind w:left="0" w:firstLine="0"/>
                    <w:rPr>
                      <w:rFonts w:eastAsia="Calibri" w:cstheme="minorHAnsi"/>
                      <w:color w:val="FF0000"/>
                      <w:sz w:val="20"/>
                      <w:szCs w:val="20"/>
                    </w:rPr>
                  </w:pPr>
                  <w:r w:rsidRPr="00B043C4">
                    <w:rPr>
                      <w:rFonts w:eastAsia="Calibri" w:cstheme="minorHAnsi"/>
                      <w:color w:val="FF0000"/>
                      <w:sz w:val="20"/>
                      <w:szCs w:val="20"/>
                    </w:rPr>
                    <w:t>One or more supporting controlled trials of at least 10 humans with pressure ulcers, or 2 or more supporting nonrandomized trials of at least 10 humans with pressure ulcers (at Level III)</w:t>
                  </w:r>
                </w:p>
              </w:tc>
            </w:tr>
            <w:tr w:rsidR="00B043C4" w:rsidRPr="00B043C4" w14:paraId="71C1A21B" w14:textId="77777777" w:rsidTr="00FE405C">
              <w:tc>
                <w:tcPr>
                  <w:tcW w:w="946" w:type="dxa"/>
                </w:tcPr>
                <w:p w14:paraId="522BFA73" w14:textId="77777777" w:rsidR="00E561EA" w:rsidRPr="00B043C4" w:rsidRDefault="00E561EA" w:rsidP="00E561EA">
                  <w:pPr>
                    <w:ind w:left="0" w:firstLine="0"/>
                    <w:rPr>
                      <w:rFonts w:eastAsia="Calibri" w:cstheme="minorHAnsi"/>
                      <w:color w:val="FF0000"/>
                      <w:sz w:val="20"/>
                      <w:szCs w:val="20"/>
                    </w:rPr>
                  </w:pPr>
                  <w:r w:rsidRPr="00B043C4">
                    <w:rPr>
                      <w:rFonts w:eastAsia="Calibri" w:cstheme="minorHAnsi"/>
                      <w:color w:val="FF0000"/>
                      <w:sz w:val="20"/>
                      <w:szCs w:val="20"/>
                    </w:rPr>
                    <w:t>Level C</w:t>
                  </w:r>
                </w:p>
              </w:tc>
              <w:tc>
                <w:tcPr>
                  <w:tcW w:w="4357" w:type="dxa"/>
                </w:tcPr>
                <w:p w14:paraId="7C33FEC4" w14:textId="77777777" w:rsidR="00E561EA" w:rsidRPr="00B043C4" w:rsidRDefault="00E561EA" w:rsidP="00E561EA">
                  <w:pPr>
                    <w:ind w:left="0" w:firstLine="0"/>
                    <w:rPr>
                      <w:rFonts w:eastAsia="Calibri" w:cstheme="minorHAnsi"/>
                      <w:color w:val="FF0000"/>
                      <w:sz w:val="20"/>
                      <w:szCs w:val="20"/>
                    </w:rPr>
                  </w:pPr>
                  <w:r w:rsidRPr="00B043C4">
                    <w:rPr>
                      <w:rFonts w:eastAsia="Calibri" w:cstheme="minorHAnsi"/>
                      <w:color w:val="FF0000"/>
                      <w:sz w:val="20"/>
                      <w:szCs w:val="20"/>
                    </w:rPr>
                    <w:t>Other studies not meeting Level B criteria, 2 or more supporting case series of at least 10 humans with pressure ulcers, or expert opinion</w:t>
                  </w:r>
                </w:p>
              </w:tc>
            </w:tr>
            <w:tr w:rsidR="00B043C4" w:rsidRPr="00B043C4" w14:paraId="6A123778" w14:textId="77777777" w:rsidTr="00FE405C">
              <w:tc>
                <w:tcPr>
                  <w:tcW w:w="946" w:type="dxa"/>
                </w:tcPr>
                <w:p w14:paraId="2C74DE38" w14:textId="77777777" w:rsidR="00E561EA" w:rsidRPr="00B043C4" w:rsidRDefault="00E561EA" w:rsidP="00E561EA">
                  <w:pPr>
                    <w:ind w:left="0" w:firstLine="0"/>
                    <w:rPr>
                      <w:rFonts w:eastAsia="Calibri" w:cstheme="minorHAnsi"/>
                      <w:color w:val="FF0000"/>
                      <w:sz w:val="20"/>
                      <w:szCs w:val="20"/>
                    </w:rPr>
                  </w:pPr>
                  <w:r w:rsidRPr="00B043C4">
                    <w:rPr>
                      <w:rFonts w:eastAsia="Calibri" w:cstheme="minorHAnsi"/>
                      <w:color w:val="FF0000"/>
                      <w:sz w:val="20"/>
                      <w:szCs w:val="20"/>
                    </w:rPr>
                    <w:t>Task Force Consensus</w:t>
                  </w:r>
                </w:p>
              </w:tc>
              <w:tc>
                <w:tcPr>
                  <w:tcW w:w="4357" w:type="dxa"/>
                </w:tcPr>
                <w:p w14:paraId="1A7DE04A" w14:textId="77777777" w:rsidR="00E561EA" w:rsidRPr="00B043C4" w:rsidRDefault="00E561EA" w:rsidP="00E561EA">
                  <w:pPr>
                    <w:ind w:left="0" w:firstLine="0"/>
                    <w:rPr>
                      <w:rFonts w:eastAsia="Calibri" w:cstheme="minorHAnsi"/>
                      <w:color w:val="FF0000"/>
                      <w:sz w:val="20"/>
                      <w:szCs w:val="20"/>
                    </w:rPr>
                  </w:pPr>
                  <w:r w:rsidRPr="00B043C4">
                    <w:rPr>
                      <w:rFonts w:eastAsia="Calibri" w:cstheme="minorHAnsi"/>
                      <w:color w:val="FF0000"/>
                      <w:sz w:val="20"/>
                      <w:szCs w:val="20"/>
                    </w:rPr>
                    <w:t>Where a level-of-evidence rating is not included, the information or recommendation presents a consensus of the task force members</w:t>
                  </w:r>
                </w:p>
              </w:tc>
            </w:tr>
          </w:tbl>
          <w:p w14:paraId="331692AD" w14:textId="40B8CC9C" w:rsidR="00362787" w:rsidRPr="00EE53F2" w:rsidRDefault="00362787" w:rsidP="006179D1">
            <w:pPr>
              <w:ind w:left="0" w:firstLine="0"/>
              <w:rPr>
                <w:rFonts w:eastAsia="Calibri" w:cstheme="minorHAnsi"/>
                <w:color w:val="0000FF"/>
                <w:sz w:val="20"/>
                <w:szCs w:val="20"/>
              </w:rPr>
            </w:pPr>
          </w:p>
        </w:tc>
      </w:tr>
      <w:tr w:rsidR="00362787" w14:paraId="1AEC1657" w14:textId="77777777" w:rsidTr="006179D1">
        <w:tc>
          <w:tcPr>
            <w:tcW w:w="3595" w:type="dxa"/>
          </w:tcPr>
          <w:p w14:paraId="6AFEE5D1" w14:textId="77777777" w:rsidR="00362787" w:rsidRPr="00552F57" w:rsidRDefault="00362787" w:rsidP="006179D1">
            <w:pPr>
              <w:ind w:left="0" w:firstLine="0"/>
              <w:rPr>
                <w:rFonts w:ascii="Calibri" w:eastAsia="Calibri" w:hAnsi="Calibri" w:cs="Times New Roman"/>
                <w:sz w:val="20"/>
                <w:szCs w:val="20"/>
              </w:rPr>
            </w:pPr>
            <w:r w:rsidRPr="00552F57">
              <w:rPr>
                <w:sz w:val="20"/>
                <w:szCs w:val="20"/>
              </w:rPr>
              <w:t>Provide all other grades and definitions from the evidence grading system.</w:t>
            </w:r>
          </w:p>
        </w:tc>
        <w:tc>
          <w:tcPr>
            <w:tcW w:w="5755" w:type="dxa"/>
          </w:tcPr>
          <w:p w14:paraId="4FC385AD" w14:textId="6D6B7848" w:rsidR="00362787" w:rsidRPr="00B043C4" w:rsidRDefault="00C95326" w:rsidP="006179D1">
            <w:pPr>
              <w:ind w:left="0" w:firstLine="0"/>
              <w:rPr>
                <w:rFonts w:eastAsia="Calibri" w:cstheme="minorHAnsi"/>
                <w:color w:val="FF0000"/>
                <w:sz w:val="20"/>
                <w:szCs w:val="20"/>
              </w:rPr>
            </w:pPr>
            <w:r w:rsidRPr="00B043C4">
              <w:rPr>
                <w:rFonts w:ascii="Calibri" w:eastAsia="Calibri" w:hAnsi="Calibri" w:cs="Times New Roman"/>
                <w:color w:val="FF0000"/>
                <w:sz w:val="20"/>
                <w:szCs w:val="20"/>
              </w:rPr>
              <w:t>Not applicable.</w:t>
            </w:r>
          </w:p>
        </w:tc>
      </w:tr>
      <w:tr w:rsidR="00362787" w14:paraId="59FD8E76" w14:textId="77777777" w:rsidTr="006179D1">
        <w:tc>
          <w:tcPr>
            <w:tcW w:w="3595" w:type="dxa"/>
          </w:tcPr>
          <w:p w14:paraId="6E21CEEF" w14:textId="77777777" w:rsidR="00362787" w:rsidRPr="00552F57" w:rsidRDefault="00362787" w:rsidP="006179D1">
            <w:pPr>
              <w:ind w:left="0" w:firstLine="0"/>
              <w:rPr>
                <w:rFonts w:ascii="Calibri" w:eastAsia="Calibri" w:hAnsi="Calibri" w:cs="Times New Roman"/>
                <w:sz w:val="20"/>
                <w:szCs w:val="20"/>
              </w:rPr>
            </w:pPr>
            <w:r w:rsidRPr="00552F57">
              <w:rPr>
                <w:rFonts w:ascii="Calibri" w:eastAsia="Calibri" w:hAnsi="Calibri" w:cs="Times New Roman"/>
                <w:sz w:val="20"/>
                <w:szCs w:val="20"/>
              </w:rPr>
              <w:t>Grade assigned to the recommendation with definition of the grade.</w:t>
            </w:r>
          </w:p>
        </w:tc>
        <w:tc>
          <w:tcPr>
            <w:tcW w:w="5755" w:type="dxa"/>
          </w:tcPr>
          <w:p w14:paraId="2425A802" w14:textId="1730447C" w:rsidR="00362787" w:rsidRPr="00B043C4" w:rsidRDefault="00E561EA" w:rsidP="006179D1">
            <w:pPr>
              <w:ind w:left="0" w:firstLine="0"/>
              <w:rPr>
                <w:rFonts w:eastAsia="Calibri" w:cstheme="minorHAnsi"/>
                <w:color w:val="FF0000"/>
                <w:sz w:val="20"/>
                <w:szCs w:val="20"/>
              </w:rPr>
            </w:pPr>
            <w:r w:rsidRPr="00B043C4">
              <w:rPr>
                <w:rFonts w:eastAsia="Calibri" w:cstheme="minorHAnsi"/>
                <w:color w:val="FF0000"/>
                <w:sz w:val="20"/>
                <w:szCs w:val="20"/>
              </w:rPr>
              <w:t xml:space="preserve">Recommendations were classified based on the benefit and effectiveness they may offer compared to any harms that may result </w:t>
            </w:r>
            <w:r w:rsidR="00BC3D97" w:rsidRPr="00B043C4">
              <w:rPr>
                <w:rFonts w:eastAsia="Calibri" w:cstheme="minorHAnsi"/>
                <w:color w:val="FF0000"/>
                <w:sz w:val="20"/>
                <w:szCs w:val="20"/>
              </w:rPr>
              <w:t>from their implementation, see T</w:t>
            </w:r>
            <w:r w:rsidRPr="00B043C4">
              <w:rPr>
                <w:rFonts w:eastAsia="Calibri" w:cstheme="minorHAnsi"/>
                <w:color w:val="FF0000"/>
                <w:sz w:val="20"/>
                <w:szCs w:val="20"/>
              </w:rPr>
              <w:t>able 6. All recommend</w:t>
            </w:r>
            <w:r w:rsidR="00327C16" w:rsidRPr="00B043C4">
              <w:rPr>
                <w:rFonts w:eastAsia="Calibri" w:cstheme="minorHAnsi"/>
                <w:color w:val="FF0000"/>
                <w:sz w:val="20"/>
                <w:szCs w:val="20"/>
              </w:rPr>
              <w:t>ations were classified as C</w:t>
            </w:r>
            <w:r w:rsidRPr="00B043C4">
              <w:rPr>
                <w:rFonts w:eastAsia="Calibri" w:cstheme="minorHAnsi"/>
                <w:color w:val="FF0000"/>
                <w:sz w:val="20"/>
                <w:szCs w:val="20"/>
              </w:rPr>
              <w:t>lass I, meaning their bene</w:t>
            </w:r>
            <w:r w:rsidR="00867F40" w:rsidRPr="00B043C4">
              <w:rPr>
                <w:rFonts w:eastAsia="Calibri" w:cstheme="minorHAnsi"/>
                <w:color w:val="FF0000"/>
                <w:sz w:val="20"/>
                <w:szCs w:val="20"/>
              </w:rPr>
              <w:t>fits and effectiveness outweigh</w:t>
            </w:r>
            <w:r w:rsidRPr="00B043C4">
              <w:rPr>
                <w:rFonts w:eastAsia="Calibri" w:cstheme="minorHAnsi"/>
                <w:color w:val="FF0000"/>
                <w:sz w:val="20"/>
                <w:szCs w:val="20"/>
              </w:rPr>
              <w:t xml:space="preserve"> any harm</w:t>
            </w:r>
            <w:r w:rsidR="00867F40" w:rsidRPr="00B043C4">
              <w:rPr>
                <w:rFonts w:eastAsia="Calibri" w:cstheme="minorHAnsi"/>
                <w:color w:val="FF0000"/>
                <w:sz w:val="20"/>
                <w:szCs w:val="20"/>
              </w:rPr>
              <w:t>s</w:t>
            </w:r>
            <w:r w:rsidRPr="00B043C4">
              <w:rPr>
                <w:rFonts w:eastAsia="Calibri" w:cstheme="minorHAnsi"/>
                <w:color w:val="FF0000"/>
                <w:sz w:val="20"/>
                <w:szCs w:val="20"/>
              </w:rPr>
              <w:t xml:space="preserve">. </w:t>
            </w:r>
          </w:p>
          <w:p w14:paraId="438B900F" w14:textId="30A49FD9" w:rsidR="00E561EA" w:rsidRPr="00B043C4" w:rsidRDefault="00E561EA" w:rsidP="006179D1">
            <w:pPr>
              <w:ind w:left="0" w:firstLine="0"/>
              <w:rPr>
                <w:rFonts w:eastAsia="Calibri" w:cstheme="minorHAnsi"/>
                <w:color w:val="FF0000"/>
                <w:sz w:val="20"/>
                <w:szCs w:val="20"/>
              </w:rPr>
            </w:pPr>
          </w:p>
          <w:p w14:paraId="36950ABE" w14:textId="4897B455" w:rsidR="00E561EA" w:rsidRPr="00B043C4" w:rsidRDefault="00E561EA" w:rsidP="006179D1">
            <w:pPr>
              <w:ind w:left="0" w:firstLine="0"/>
              <w:rPr>
                <w:rFonts w:eastAsia="Calibri" w:cstheme="minorHAnsi"/>
                <w:color w:val="FF0000"/>
                <w:sz w:val="20"/>
                <w:szCs w:val="20"/>
              </w:rPr>
            </w:pPr>
            <w:r w:rsidRPr="00B043C4">
              <w:rPr>
                <w:rFonts w:eastAsia="Calibri" w:cstheme="minorHAnsi"/>
                <w:b/>
                <w:color w:val="FF0000"/>
                <w:sz w:val="20"/>
                <w:szCs w:val="20"/>
              </w:rPr>
              <w:t>T</w:t>
            </w:r>
            <w:r w:rsidR="006507FE" w:rsidRPr="00B043C4">
              <w:rPr>
                <w:rFonts w:eastAsia="Calibri" w:cstheme="minorHAnsi"/>
                <w:b/>
                <w:color w:val="FF0000"/>
                <w:sz w:val="20"/>
                <w:szCs w:val="20"/>
              </w:rPr>
              <w:t>able 5</w:t>
            </w:r>
            <w:r w:rsidRPr="00B043C4">
              <w:rPr>
                <w:rFonts w:eastAsia="Calibri" w:cstheme="minorHAnsi"/>
                <w:color w:val="FF0000"/>
                <w:sz w:val="20"/>
                <w:szCs w:val="20"/>
              </w:rPr>
              <w:t>: Classification of Recommendations: Potential Benefit/Effectiveness Versus Harm</w:t>
            </w:r>
          </w:p>
          <w:tbl>
            <w:tblPr>
              <w:tblStyle w:val="TableGrid"/>
              <w:tblW w:w="0" w:type="auto"/>
              <w:tblLook w:val="04A0" w:firstRow="1" w:lastRow="0" w:firstColumn="1" w:lastColumn="0" w:noHBand="0" w:noVBand="1"/>
            </w:tblPr>
            <w:tblGrid>
              <w:gridCol w:w="879"/>
              <w:gridCol w:w="4650"/>
            </w:tblGrid>
            <w:tr w:rsidR="00B043C4" w:rsidRPr="00B043C4" w14:paraId="24018CAC" w14:textId="77777777" w:rsidTr="00E561EA">
              <w:tc>
                <w:tcPr>
                  <w:tcW w:w="879" w:type="dxa"/>
                </w:tcPr>
                <w:p w14:paraId="7DA39D09" w14:textId="28CB4725" w:rsidR="00E561EA" w:rsidRPr="00B043C4" w:rsidRDefault="00E561EA" w:rsidP="006179D1">
                  <w:pPr>
                    <w:ind w:left="0" w:firstLine="0"/>
                    <w:rPr>
                      <w:rFonts w:eastAsia="Calibri" w:cstheme="minorHAnsi"/>
                      <w:color w:val="FF0000"/>
                      <w:sz w:val="20"/>
                      <w:szCs w:val="20"/>
                    </w:rPr>
                  </w:pPr>
                  <w:r w:rsidRPr="00B043C4">
                    <w:rPr>
                      <w:rFonts w:eastAsia="Calibri" w:cstheme="minorHAnsi"/>
                      <w:color w:val="FF0000"/>
                      <w:sz w:val="20"/>
                      <w:szCs w:val="20"/>
                    </w:rPr>
                    <w:t>Class I</w:t>
                  </w:r>
                </w:p>
              </w:tc>
              <w:tc>
                <w:tcPr>
                  <w:tcW w:w="4650" w:type="dxa"/>
                </w:tcPr>
                <w:p w14:paraId="4AA231BB" w14:textId="77777777" w:rsidR="00E561EA" w:rsidRPr="00B043C4" w:rsidRDefault="00E561EA" w:rsidP="002B5113">
                  <w:pPr>
                    <w:pStyle w:val="ListParagraph"/>
                    <w:numPr>
                      <w:ilvl w:val="0"/>
                      <w:numId w:val="9"/>
                    </w:numPr>
                    <w:spacing w:line="240" w:lineRule="auto"/>
                    <w:rPr>
                      <w:rFonts w:eastAsia="Calibri" w:cstheme="minorHAnsi"/>
                      <w:color w:val="FF0000"/>
                      <w:sz w:val="20"/>
                      <w:szCs w:val="20"/>
                    </w:rPr>
                  </w:pPr>
                  <w:r w:rsidRPr="00B043C4">
                    <w:rPr>
                      <w:rFonts w:eastAsia="Calibri" w:cstheme="minorHAnsi"/>
                      <w:color w:val="FF0000"/>
                      <w:sz w:val="20"/>
                      <w:szCs w:val="20"/>
                    </w:rPr>
                    <w:t>There is evidence and/or agreement of expert opinion that a procedure or treatment is beneficial and effective with greater benefit than harm.</w:t>
                  </w:r>
                </w:p>
                <w:p w14:paraId="08CC6313" w14:textId="0694C2EC" w:rsidR="00E561EA" w:rsidRPr="00B043C4" w:rsidRDefault="00E561EA" w:rsidP="002B5113">
                  <w:pPr>
                    <w:pStyle w:val="ListParagraph"/>
                    <w:numPr>
                      <w:ilvl w:val="0"/>
                      <w:numId w:val="9"/>
                    </w:numPr>
                    <w:spacing w:line="240" w:lineRule="auto"/>
                    <w:rPr>
                      <w:rFonts w:eastAsia="Calibri" w:cstheme="minorHAnsi"/>
                      <w:color w:val="FF0000"/>
                      <w:sz w:val="20"/>
                      <w:szCs w:val="20"/>
                    </w:rPr>
                  </w:pPr>
                  <w:r w:rsidRPr="00B043C4">
                    <w:rPr>
                      <w:rFonts w:eastAsia="Calibri" w:cstheme="minorHAnsi"/>
                      <w:color w:val="FF0000"/>
                      <w:sz w:val="20"/>
                      <w:szCs w:val="20"/>
                    </w:rPr>
                    <w:t>Is indicated and recommended; should be done</w:t>
                  </w:r>
                </w:p>
              </w:tc>
            </w:tr>
            <w:tr w:rsidR="00B043C4" w:rsidRPr="00B043C4" w14:paraId="26C26DA4" w14:textId="77777777" w:rsidTr="00E561EA">
              <w:tc>
                <w:tcPr>
                  <w:tcW w:w="879" w:type="dxa"/>
                </w:tcPr>
                <w:p w14:paraId="6A7E61DF" w14:textId="4EAE7C59" w:rsidR="00E561EA" w:rsidRPr="00B043C4" w:rsidRDefault="00E561EA" w:rsidP="006179D1">
                  <w:pPr>
                    <w:ind w:left="0" w:firstLine="0"/>
                    <w:rPr>
                      <w:rFonts w:eastAsia="Calibri" w:cstheme="minorHAnsi"/>
                      <w:color w:val="FF0000"/>
                      <w:sz w:val="20"/>
                      <w:szCs w:val="20"/>
                    </w:rPr>
                  </w:pPr>
                  <w:r w:rsidRPr="00B043C4">
                    <w:rPr>
                      <w:rFonts w:eastAsia="Calibri" w:cstheme="minorHAnsi"/>
                      <w:color w:val="FF0000"/>
                      <w:sz w:val="20"/>
                      <w:szCs w:val="20"/>
                    </w:rPr>
                    <w:t>Class II</w:t>
                  </w:r>
                </w:p>
              </w:tc>
              <w:tc>
                <w:tcPr>
                  <w:tcW w:w="4650" w:type="dxa"/>
                </w:tcPr>
                <w:p w14:paraId="4A4908B7" w14:textId="77777777" w:rsidR="00E561EA" w:rsidRPr="00B043C4" w:rsidRDefault="00E561EA" w:rsidP="002B5113">
                  <w:pPr>
                    <w:pStyle w:val="ListParagraph"/>
                    <w:numPr>
                      <w:ilvl w:val="0"/>
                      <w:numId w:val="10"/>
                    </w:numPr>
                    <w:spacing w:line="240" w:lineRule="auto"/>
                    <w:rPr>
                      <w:rFonts w:eastAsia="Calibri" w:cstheme="minorHAnsi"/>
                      <w:color w:val="FF0000"/>
                      <w:sz w:val="20"/>
                      <w:szCs w:val="20"/>
                    </w:rPr>
                  </w:pPr>
                  <w:r w:rsidRPr="00B043C4">
                    <w:rPr>
                      <w:rFonts w:eastAsia="Calibri" w:cstheme="minorHAnsi"/>
                      <w:color w:val="FF0000"/>
                      <w:sz w:val="20"/>
                      <w:szCs w:val="20"/>
                    </w:rPr>
                    <w:t>There is limited evidence and/or agreement of expert opinion that a procedure or treatment can be beneficial and effective with greater benefit than harm</w:t>
                  </w:r>
                </w:p>
                <w:p w14:paraId="0D7D9B7B" w14:textId="611BB0EE" w:rsidR="00E561EA" w:rsidRPr="00B043C4" w:rsidRDefault="00E561EA" w:rsidP="002B5113">
                  <w:pPr>
                    <w:pStyle w:val="ListParagraph"/>
                    <w:numPr>
                      <w:ilvl w:val="0"/>
                      <w:numId w:val="10"/>
                    </w:numPr>
                    <w:spacing w:line="240" w:lineRule="auto"/>
                    <w:rPr>
                      <w:rFonts w:eastAsia="Calibri" w:cstheme="minorHAnsi"/>
                      <w:color w:val="FF0000"/>
                      <w:sz w:val="20"/>
                      <w:szCs w:val="20"/>
                    </w:rPr>
                  </w:pPr>
                  <w:r w:rsidRPr="00B043C4">
                    <w:rPr>
                      <w:rFonts w:eastAsia="Calibri" w:cstheme="minorHAnsi"/>
                      <w:color w:val="FF0000"/>
                      <w:sz w:val="20"/>
                      <w:szCs w:val="20"/>
                    </w:rPr>
                    <w:t>May be indicated; is reasonable to perform; may be considered</w:t>
                  </w:r>
                </w:p>
              </w:tc>
            </w:tr>
            <w:tr w:rsidR="00B043C4" w:rsidRPr="00B043C4" w14:paraId="1629BFE0" w14:textId="77777777" w:rsidTr="00E561EA">
              <w:tc>
                <w:tcPr>
                  <w:tcW w:w="879" w:type="dxa"/>
                </w:tcPr>
                <w:p w14:paraId="0BF4E9A6" w14:textId="1EC0AB1F" w:rsidR="00E561EA" w:rsidRPr="00B043C4" w:rsidRDefault="00E561EA" w:rsidP="006179D1">
                  <w:pPr>
                    <w:ind w:left="0" w:firstLine="0"/>
                    <w:rPr>
                      <w:rFonts w:eastAsia="Calibri" w:cstheme="minorHAnsi"/>
                      <w:color w:val="FF0000"/>
                      <w:sz w:val="20"/>
                      <w:szCs w:val="20"/>
                    </w:rPr>
                  </w:pPr>
                  <w:r w:rsidRPr="00B043C4">
                    <w:rPr>
                      <w:rFonts w:eastAsia="Calibri" w:cstheme="minorHAnsi"/>
                      <w:color w:val="FF0000"/>
                      <w:sz w:val="20"/>
                      <w:szCs w:val="20"/>
                    </w:rPr>
                    <w:t>Class III</w:t>
                  </w:r>
                </w:p>
              </w:tc>
              <w:tc>
                <w:tcPr>
                  <w:tcW w:w="4650" w:type="dxa"/>
                </w:tcPr>
                <w:p w14:paraId="19B5CC94" w14:textId="77777777" w:rsidR="00E561EA" w:rsidRPr="00B043C4" w:rsidRDefault="00E561EA" w:rsidP="002B5113">
                  <w:pPr>
                    <w:pStyle w:val="ListParagraph"/>
                    <w:numPr>
                      <w:ilvl w:val="0"/>
                      <w:numId w:val="11"/>
                    </w:numPr>
                    <w:spacing w:line="240" w:lineRule="auto"/>
                    <w:rPr>
                      <w:rFonts w:eastAsia="Calibri" w:cstheme="minorHAnsi"/>
                      <w:color w:val="FF0000"/>
                      <w:sz w:val="20"/>
                      <w:szCs w:val="20"/>
                    </w:rPr>
                  </w:pPr>
                  <w:r w:rsidRPr="00B043C4">
                    <w:rPr>
                      <w:rFonts w:eastAsia="Calibri" w:cstheme="minorHAnsi"/>
                      <w:color w:val="FF0000"/>
                      <w:sz w:val="20"/>
                      <w:szCs w:val="20"/>
                    </w:rPr>
                    <w:t>Evidence and/or agreement of expert opinion about procedure or treatment is less well established or uncertain and has conflicting evidence or divergence of opinion about the benefit and effectiveness, or there are risks/side effects that may limit benefit</w:t>
                  </w:r>
                </w:p>
                <w:p w14:paraId="4DB43A34" w14:textId="0CC1779F" w:rsidR="00E561EA" w:rsidRPr="00B043C4" w:rsidRDefault="00E561EA" w:rsidP="002B5113">
                  <w:pPr>
                    <w:pStyle w:val="ListParagraph"/>
                    <w:numPr>
                      <w:ilvl w:val="0"/>
                      <w:numId w:val="11"/>
                    </w:numPr>
                    <w:spacing w:line="240" w:lineRule="auto"/>
                    <w:rPr>
                      <w:rFonts w:eastAsia="Calibri" w:cstheme="minorHAnsi"/>
                      <w:color w:val="FF0000"/>
                      <w:sz w:val="20"/>
                      <w:szCs w:val="20"/>
                    </w:rPr>
                  </w:pPr>
                  <w:r w:rsidRPr="00B043C4">
                    <w:rPr>
                      <w:rFonts w:eastAsia="Calibri" w:cstheme="minorHAnsi"/>
                      <w:color w:val="FF0000"/>
                      <w:sz w:val="20"/>
                      <w:szCs w:val="20"/>
                    </w:rPr>
                    <w:t>May be reasonable; may be considered in select instances</w:t>
                  </w:r>
                </w:p>
              </w:tc>
            </w:tr>
            <w:tr w:rsidR="00B043C4" w:rsidRPr="00B043C4" w14:paraId="4E3F1DFD" w14:textId="77777777" w:rsidTr="00E561EA">
              <w:tc>
                <w:tcPr>
                  <w:tcW w:w="879" w:type="dxa"/>
                </w:tcPr>
                <w:p w14:paraId="5AB2A5D4" w14:textId="34C9B47B" w:rsidR="00E561EA" w:rsidRPr="00B043C4" w:rsidRDefault="00E561EA" w:rsidP="006179D1">
                  <w:pPr>
                    <w:ind w:left="0" w:firstLine="0"/>
                    <w:rPr>
                      <w:rFonts w:eastAsia="Calibri" w:cstheme="minorHAnsi"/>
                      <w:color w:val="FF0000"/>
                      <w:sz w:val="20"/>
                      <w:szCs w:val="20"/>
                    </w:rPr>
                  </w:pPr>
                  <w:r w:rsidRPr="00B043C4">
                    <w:rPr>
                      <w:rFonts w:eastAsia="Calibri" w:cstheme="minorHAnsi"/>
                      <w:color w:val="FF0000"/>
                      <w:sz w:val="20"/>
                      <w:szCs w:val="20"/>
                    </w:rPr>
                    <w:t>Class IV</w:t>
                  </w:r>
                </w:p>
              </w:tc>
              <w:tc>
                <w:tcPr>
                  <w:tcW w:w="4650" w:type="dxa"/>
                </w:tcPr>
                <w:p w14:paraId="477E421D" w14:textId="77777777" w:rsidR="00E561EA" w:rsidRPr="00B043C4" w:rsidRDefault="00E561EA" w:rsidP="002B5113">
                  <w:pPr>
                    <w:pStyle w:val="ListParagraph"/>
                    <w:numPr>
                      <w:ilvl w:val="0"/>
                      <w:numId w:val="12"/>
                    </w:numPr>
                    <w:spacing w:line="240" w:lineRule="auto"/>
                    <w:rPr>
                      <w:rFonts w:eastAsia="Calibri" w:cstheme="minorHAnsi"/>
                      <w:color w:val="FF0000"/>
                      <w:sz w:val="20"/>
                      <w:szCs w:val="20"/>
                    </w:rPr>
                  </w:pPr>
                  <w:r w:rsidRPr="00B043C4">
                    <w:rPr>
                      <w:rFonts w:eastAsia="Calibri" w:cstheme="minorHAnsi"/>
                      <w:color w:val="FF0000"/>
                      <w:sz w:val="20"/>
                      <w:szCs w:val="20"/>
                    </w:rPr>
                    <w:t>There is evidence and/or agreement of expert opinion that a procedure or treatment is not beneficial or effective, and/or can be harmful in some cases where risks/side effects outweigh the benefit</w:t>
                  </w:r>
                </w:p>
                <w:p w14:paraId="12908B5D" w14:textId="1DCFBCCC" w:rsidR="00E561EA" w:rsidRPr="00B043C4" w:rsidRDefault="00E561EA" w:rsidP="002B5113">
                  <w:pPr>
                    <w:pStyle w:val="ListParagraph"/>
                    <w:numPr>
                      <w:ilvl w:val="0"/>
                      <w:numId w:val="12"/>
                    </w:numPr>
                    <w:spacing w:line="240" w:lineRule="auto"/>
                    <w:rPr>
                      <w:rFonts w:eastAsia="Calibri" w:cstheme="minorHAnsi"/>
                      <w:color w:val="FF0000"/>
                      <w:sz w:val="20"/>
                      <w:szCs w:val="20"/>
                    </w:rPr>
                  </w:pPr>
                  <w:r w:rsidRPr="00B043C4">
                    <w:rPr>
                      <w:rFonts w:eastAsia="Calibri" w:cstheme="minorHAnsi"/>
                      <w:color w:val="FF0000"/>
                      <w:sz w:val="20"/>
                      <w:szCs w:val="20"/>
                    </w:rPr>
                    <w:t>Is not indicated or recommended; should not be performed</w:t>
                  </w:r>
                </w:p>
              </w:tc>
            </w:tr>
          </w:tbl>
          <w:p w14:paraId="220CA408" w14:textId="2125349B" w:rsidR="00486CB0" w:rsidRPr="00B043C4" w:rsidRDefault="00486CB0" w:rsidP="006179D1">
            <w:pPr>
              <w:ind w:left="0" w:firstLine="0"/>
              <w:rPr>
                <w:rFonts w:eastAsia="Calibri" w:cstheme="minorHAnsi"/>
                <w:color w:val="FF0000"/>
                <w:sz w:val="20"/>
                <w:szCs w:val="20"/>
              </w:rPr>
            </w:pPr>
          </w:p>
        </w:tc>
      </w:tr>
      <w:tr w:rsidR="00362787" w14:paraId="0A6725EF" w14:textId="77777777" w:rsidTr="006179D1">
        <w:tc>
          <w:tcPr>
            <w:tcW w:w="3595" w:type="dxa"/>
          </w:tcPr>
          <w:p w14:paraId="6F4F309D" w14:textId="77777777" w:rsidR="00362787" w:rsidRPr="00552F57" w:rsidRDefault="00362787" w:rsidP="006179D1">
            <w:pPr>
              <w:ind w:left="0" w:firstLine="0"/>
              <w:rPr>
                <w:rFonts w:ascii="Calibri" w:eastAsia="Calibri" w:hAnsi="Calibri" w:cs="Times New Roman"/>
                <w:sz w:val="20"/>
                <w:szCs w:val="20"/>
              </w:rPr>
            </w:pPr>
            <w:r w:rsidRPr="00552F57">
              <w:rPr>
                <w:rFonts w:ascii="Calibri" w:eastAsia="Calibri" w:hAnsi="Calibri" w:cs="Times New Roman"/>
                <w:sz w:val="20"/>
                <w:szCs w:val="20"/>
              </w:rPr>
              <w:t>Provide all other grades and definitions from the recommendation grading system.</w:t>
            </w:r>
          </w:p>
        </w:tc>
        <w:tc>
          <w:tcPr>
            <w:tcW w:w="5755" w:type="dxa"/>
          </w:tcPr>
          <w:p w14:paraId="4C08D884" w14:textId="202E1C95" w:rsidR="00362787" w:rsidRPr="00B043C4" w:rsidRDefault="00C95326" w:rsidP="006179D1">
            <w:pPr>
              <w:ind w:left="0" w:firstLine="0"/>
              <w:rPr>
                <w:rFonts w:eastAsia="Calibri" w:cstheme="minorHAnsi"/>
                <w:color w:val="FF0000"/>
                <w:sz w:val="20"/>
                <w:szCs w:val="20"/>
              </w:rPr>
            </w:pPr>
            <w:r w:rsidRPr="00B043C4">
              <w:rPr>
                <w:rFonts w:ascii="Calibri" w:eastAsia="Calibri" w:hAnsi="Calibri" w:cs="Times New Roman"/>
                <w:color w:val="FF0000"/>
                <w:sz w:val="20"/>
                <w:szCs w:val="20"/>
              </w:rPr>
              <w:t>Not applicable.</w:t>
            </w:r>
          </w:p>
        </w:tc>
      </w:tr>
      <w:tr w:rsidR="00362787" w14:paraId="197040DC" w14:textId="77777777" w:rsidTr="006179D1">
        <w:tc>
          <w:tcPr>
            <w:tcW w:w="3595" w:type="dxa"/>
          </w:tcPr>
          <w:p w14:paraId="3226FD78" w14:textId="77777777" w:rsidR="00362787" w:rsidRPr="00552F57" w:rsidRDefault="00362787" w:rsidP="006179D1">
            <w:pPr>
              <w:ind w:left="0" w:firstLine="0"/>
              <w:rPr>
                <w:rFonts w:ascii="Calibri" w:eastAsia="Calibri" w:hAnsi="Calibri" w:cs="Times New Roman"/>
                <w:sz w:val="20"/>
                <w:szCs w:val="20"/>
              </w:rPr>
            </w:pPr>
            <w:r w:rsidRPr="00552F57">
              <w:rPr>
                <w:rFonts w:ascii="Calibri" w:eastAsia="Calibri" w:hAnsi="Calibri" w:cs="Times New Roman"/>
                <w:sz w:val="20"/>
                <w:szCs w:val="20"/>
              </w:rPr>
              <w:t>Body of evidence:</w:t>
            </w:r>
          </w:p>
          <w:p w14:paraId="1CD6AE8D" w14:textId="77777777" w:rsidR="00362787" w:rsidRPr="00552F57" w:rsidRDefault="00362787" w:rsidP="002B5113">
            <w:pPr>
              <w:pStyle w:val="ListParagraph"/>
              <w:numPr>
                <w:ilvl w:val="0"/>
                <w:numId w:val="5"/>
              </w:numPr>
              <w:rPr>
                <w:rFonts w:ascii="Calibri" w:eastAsia="Calibri" w:hAnsi="Calibri" w:cs="Times New Roman"/>
                <w:sz w:val="20"/>
                <w:szCs w:val="20"/>
              </w:rPr>
            </w:pPr>
            <w:r w:rsidRPr="00552F57">
              <w:rPr>
                <w:rFonts w:ascii="Calibri" w:eastAsia="Calibri" w:hAnsi="Calibri" w:cs="Times New Roman"/>
                <w:sz w:val="20"/>
                <w:szCs w:val="20"/>
              </w:rPr>
              <w:t>Quantity – how many studies?</w:t>
            </w:r>
          </w:p>
          <w:p w14:paraId="72F31569" w14:textId="77777777" w:rsidR="00362787" w:rsidRPr="00552F57" w:rsidRDefault="00362787" w:rsidP="002B5113">
            <w:pPr>
              <w:pStyle w:val="ListParagraph"/>
              <w:numPr>
                <w:ilvl w:val="0"/>
                <w:numId w:val="5"/>
              </w:numPr>
              <w:rPr>
                <w:rFonts w:ascii="Calibri" w:eastAsia="Calibri" w:hAnsi="Calibri" w:cs="Times New Roman"/>
              </w:rPr>
            </w:pPr>
            <w:r w:rsidRPr="00552F57">
              <w:rPr>
                <w:rFonts w:ascii="Calibri" w:eastAsia="Calibri" w:hAnsi="Calibri" w:cs="Times New Roman"/>
                <w:sz w:val="20"/>
                <w:szCs w:val="20"/>
              </w:rPr>
              <w:t>Quality – what type of studies?</w:t>
            </w:r>
          </w:p>
        </w:tc>
        <w:tc>
          <w:tcPr>
            <w:tcW w:w="5755" w:type="dxa"/>
          </w:tcPr>
          <w:p w14:paraId="72895434" w14:textId="191A2EAF" w:rsidR="00362787" w:rsidRPr="00B043C4" w:rsidRDefault="006334C5" w:rsidP="00BC3D97">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 xml:space="preserve">For this updated guideline, 195 full-text articles were reviewed. Of those, 64 articles were excluded, and 131 new articles were included as references in updated guideline material. The search for studies targeted randomized controlled trials, prospective clinical trials, retrospective studies, meta-analyses, and systematic reviews. 13 questions were used to guide the literature review. All questions were related to pressure ulcer assessment, prevention, and treatment. Based on the judgement of the authors, studies were assessed as acceptable or unacceptable for inclusion and were excluded if there were methodological issues or insufficient detail to evaluate results. Authors evaluated the evidence </w:t>
            </w:r>
            <w:r w:rsidR="00BC3D97" w:rsidRPr="00B043C4">
              <w:rPr>
                <w:rFonts w:ascii="Calibri" w:eastAsia="Calibri" w:hAnsi="Calibri" w:cs="Times New Roman"/>
                <w:color w:val="FF0000"/>
                <w:sz w:val="20"/>
                <w:szCs w:val="20"/>
              </w:rPr>
              <w:t>according to the criteria displayed in Table 3</w:t>
            </w:r>
            <w:r w:rsidRPr="00B043C4">
              <w:rPr>
                <w:rFonts w:ascii="Calibri" w:eastAsia="Calibri" w:hAnsi="Calibri" w:cs="Times New Roman"/>
                <w:color w:val="FF0000"/>
                <w:sz w:val="20"/>
                <w:szCs w:val="20"/>
              </w:rPr>
              <w:t xml:space="preserve">. </w:t>
            </w:r>
          </w:p>
        </w:tc>
      </w:tr>
      <w:tr w:rsidR="00362787" w14:paraId="5F946A6F" w14:textId="77777777" w:rsidTr="006179D1">
        <w:tc>
          <w:tcPr>
            <w:tcW w:w="3595" w:type="dxa"/>
          </w:tcPr>
          <w:p w14:paraId="0274F60B" w14:textId="77777777" w:rsidR="00362787" w:rsidRPr="00552F57" w:rsidRDefault="00362787" w:rsidP="006179D1">
            <w:pPr>
              <w:ind w:left="0" w:firstLine="0"/>
              <w:rPr>
                <w:rFonts w:ascii="Calibri" w:eastAsia="Calibri" w:hAnsi="Calibri" w:cs="Times New Roman"/>
                <w:sz w:val="20"/>
                <w:szCs w:val="20"/>
              </w:rPr>
            </w:pPr>
            <w:r w:rsidRPr="00552F57">
              <w:rPr>
                <w:rFonts w:ascii="Calibri" w:eastAsia="Calibri" w:hAnsi="Calibri" w:cs="Times New Roman"/>
                <w:sz w:val="20"/>
                <w:szCs w:val="20"/>
              </w:rPr>
              <w:t>Estimates of benefit and consistency across studies.</w:t>
            </w:r>
          </w:p>
        </w:tc>
        <w:tc>
          <w:tcPr>
            <w:tcW w:w="5755" w:type="dxa"/>
          </w:tcPr>
          <w:p w14:paraId="5C0FA75C" w14:textId="61C89EB7" w:rsidR="00362787" w:rsidRPr="00B043C4" w:rsidRDefault="00086D7F" w:rsidP="00BC3D97">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 xml:space="preserve">There is evidence and/or agreement of expert opinion that all recommendations included in this guideline </w:t>
            </w:r>
            <w:r w:rsidR="00042201" w:rsidRPr="00B043C4">
              <w:rPr>
                <w:rFonts w:ascii="Calibri" w:eastAsia="Calibri" w:hAnsi="Calibri" w:cs="Times New Roman"/>
                <w:color w:val="FF0000"/>
                <w:sz w:val="20"/>
                <w:szCs w:val="20"/>
              </w:rPr>
              <w:t>are</w:t>
            </w:r>
            <w:r w:rsidRPr="00B043C4">
              <w:rPr>
                <w:rFonts w:ascii="Calibri" w:eastAsia="Calibri" w:hAnsi="Calibri" w:cs="Times New Roman"/>
                <w:color w:val="FF0000"/>
                <w:sz w:val="20"/>
                <w:szCs w:val="20"/>
              </w:rPr>
              <w:t xml:space="preserve"> beneficial and effective with greater benefit than harm. All recommendations were graded as Class I, see Table 5 for more details</w:t>
            </w:r>
            <w:r w:rsidR="00BC3D97" w:rsidRPr="00B043C4">
              <w:rPr>
                <w:rFonts w:ascii="Calibri" w:eastAsia="Calibri" w:hAnsi="Calibri" w:cs="Times New Roman"/>
                <w:color w:val="FF0000"/>
                <w:sz w:val="20"/>
                <w:szCs w:val="20"/>
              </w:rPr>
              <w:t>.</w:t>
            </w:r>
            <w:r w:rsidRPr="00B043C4">
              <w:rPr>
                <w:rFonts w:ascii="Calibri" w:eastAsia="Calibri" w:hAnsi="Calibri" w:cs="Times New Roman"/>
                <w:color w:val="FF0000"/>
                <w:sz w:val="20"/>
                <w:szCs w:val="20"/>
              </w:rPr>
              <w:t xml:space="preserve"> </w:t>
            </w:r>
            <w:r w:rsidR="00284C84" w:rsidRPr="00B043C4">
              <w:rPr>
                <w:rFonts w:ascii="Calibri" w:eastAsia="Calibri" w:hAnsi="Calibri" w:cs="Times New Roman"/>
                <w:color w:val="FF0000"/>
                <w:sz w:val="20"/>
                <w:szCs w:val="20"/>
              </w:rPr>
              <w:t xml:space="preserve">Several specific benefits were mentioned in this guideline. For one, conducting </w:t>
            </w:r>
            <w:proofErr w:type="spellStart"/>
            <w:r w:rsidR="00284C84" w:rsidRPr="00B043C4">
              <w:rPr>
                <w:rFonts w:ascii="Calibri" w:eastAsia="Calibri" w:hAnsi="Calibri" w:cs="Times New Roman"/>
                <w:color w:val="FF0000"/>
                <w:sz w:val="20"/>
                <w:szCs w:val="20"/>
              </w:rPr>
              <w:t>periwound</w:t>
            </w:r>
            <w:proofErr w:type="spellEnd"/>
            <w:r w:rsidR="00284C84" w:rsidRPr="00B043C4">
              <w:rPr>
                <w:rFonts w:ascii="Calibri" w:eastAsia="Calibri" w:hAnsi="Calibri" w:cs="Times New Roman"/>
                <w:color w:val="FF0000"/>
                <w:sz w:val="20"/>
                <w:szCs w:val="20"/>
              </w:rPr>
              <w:t xml:space="preserve"> cleansing with a pH-balanced skin cleanser was found to decrease wound/</w:t>
            </w:r>
            <w:proofErr w:type="spellStart"/>
            <w:r w:rsidR="00284C84" w:rsidRPr="00B043C4">
              <w:rPr>
                <w:rFonts w:ascii="Calibri" w:eastAsia="Calibri" w:hAnsi="Calibri" w:cs="Times New Roman"/>
                <w:color w:val="FF0000"/>
                <w:sz w:val="20"/>
                <w:szCs w:val="20"/>
              </w:rPr>
              <w:t>periwound</w:t>
            </w:r>
            <w:proofErr w:type="spellEnd"/>
            <w:r w:rsidR="00284C84" w:rsidRPr="00B043C4">
              <w:rPr>
                <w:rFonts w:ascii="Calibri" w:eastAsia="Calibri" w:hAnsi="Calibri" w:cs="Times New Roman"/>
                <w:color w:val="FF0000"/>
                <w:sz w:val="20"/>
                <w:szCs w:val="20"/>
              </w:rPr>
              <w:t xml:space="preserve"> microbial counts for 24 hour</w:t>
            </w:r>
            <w:r w:rsidR="00327C16" w:rsidRPr="00B043C4">
              <w:rPr>
                <w:rFonts w:ascii="Calibri" w:eastAsia="Calibri" w:hAnsi="Calibri" w:cs="Times New Roman"/>
                <w:color w:val="FF0000"/>
                <w:sz w:val="20"/>
                <w:szCs w:val="20"/>
              </w:rPr>
              <w:t>s</w:t>
            </w:r>
            <w:r w:rsidR="00284C84" w:rsidRPr="00B043C4">
              <w:rPr>
                <w:rFonts w:ascii="Calibri" w:eastAsia="Calibri" w:hAnsi="Calibri" w:cs="Times New Roman"/>
                <w:color w:val="FF0000"/>
                <w:sz w:val="20"/>
                <w:szCs w:val="20"/>
              </w:rPr>
              <w:t xml:space="preserve">. Additionally, in relation to adjunctive therapies, electrical stimulation demonstrated to enhance healing of recalcitrant stage 2, 3, and 4 pressure ulcers. In terms of pressure ulcer prevention, prophylactic dressings were shown to prevent sacral and heel ulcers as well as manage microclimate. Additionally, silicone border foam dressings were also shown to decrease incidence of sacral pressure ulcers in a </w:t>
            </w:r>
            <w:proofErr w:type="spellStart"/>
            <w:r w:rsidR="00284C84" w:rsidRPr="00B043C4">
              <w:rPr>
                <w:rFonts w:ascii="Calibri" w:eastAsia="Calibri" w:hAnsi="Calibri" w:cs="Times New Roman"/>
                <w:color w:val="FF0000"/>
                <w:sz w:val="20"/>
                <w:szCs w:val="20"/>
              </w:rPr>
              <w:t>nonexperimental</w:t>
            </w:r>
            <w:proofErr w:type="spellEnd"/>
            <w:r w:rsidR="00284C84" w:rsidRPr="00B043C4">
              <w:rPr>
                <w:rFonts w:ascii="Calibri" w:eastAsia="Calibri" w:hAnsi="Calibri" w:cs="Times New Roman"/>
                <w:color w:val="FF0000"/>
                <w:sz w:val="20"/>
                <w:szCs w:val="20"/>
              </w:rPr>
              <w:t xml:space="preserve"> prospective study.</w:t>
            </w:r>
          </w:p>
        </w:tc>
      </w:tr>
      <w:tr w:rsidR="00362787" w14:paraId="4CF6E395" w14:textId="77777777" w:rsidTr="006179D1">
        <w:tc>
          <w:tcPr>
            <w:tcW w:w="3595" w:type="dxa"/>
          </w:tcPr>
          <w:p w14:paraId="5BC41863" w14:textId="77777777" w:rsidR="00362787" w:rsidRPr="00846058" w:rsidRDefault="00362787" w:rsidP="006179D1">
            <w:pPr>
              <w:ind w:left="0" w:firstLine="0"/>
              <w:rPr>
                <w:rFonts w:ascii="Calibri" w:eastAsia="Calibri" w:hAnsi="Calibri" w:cs="Times New Roman"/>
                <w:sz w:val="20"/>
                <w:szCs w:val="20"/>
              </w:rPr>
            </w:pPr>
            <w:r w:rsidRPr="00846058">
              <w:rPr>
                <w:rFonts w:ascii="Calibri" w:eastAsia="Calibri" w:hAnsi="Calibri" w:cs="Times New Roman"/>
                <w:sz w:val="20"/>
                <w:szCs w:val="20"/>
              </w:rPr>
              <w:t>What harms were identified?</w:t>
            </w:r>
          </w:p>
        </w:tc>
        <w:tc>
          <w:tcPr>
            <w:tcW w:w="5755" w:type="dxa"/>
          </w:tcPr>
          <w:p w14:paraId="0CE875AB" w14:textId="638C5AA5" w:rsidR="00362787" w:rsidRPr="00B043C4" w:rsidRDefault="00042201" w:rsidP="00245115">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Any harms identified in the evidence were outweighed by the benefits and effect</w:t>
            </w:r>
            <w:r w:rsidR="00867F40" w:rsidRPr="00B043C4">
              <w:rPr>
                <w:rFonts w:ascii="Calibri" w:eastAsia="Calibri" w:hAnsi="Calibri" w:cs="Times New Roman"/>
                <w:color w:val="FF0000"/>
                <w:sz w:val="20"/>
                <w:szCs w:val="20"/>
              </w:rPr>
              <w:t>iveness of each recommendation as all recommendations were given a Class I grade.</w:t>
            </w:r>
            <w:r w:rsidR="00BF6152" w:rsidRPr="00B043C4">
              <w:rPr>
                <w:rFonts w:ascii="Calibri" w:eastAsia="Calibri" w:hAnsi="Calibri" w:cs="Times New Roman"/>
                <w:color w:val="FF0000"/>
                <w:sz w:val="20"/>
                <w:szCs w:val="20"/>
              </w:rPr>
              <w:t xml:space="preserve"> However,</w:t>
            </w:r>
            <w:r w:rsidR="00867F40" w:rsidRPr="00B043C4">
              <w:rPr>
                <w:rFonts w:ascii="Calibri" w:eastAsia="Calibri" w:hAnsi="Calibri" w:cs="Times New Roman"/>
                <w:color w:val="FF0000"/>
                <w:sz w:val="20"/>
                <w:szCs w:val="20"/>
              </w:rPr>
              <w:t xml:space="preserve"> </w:t>
            </w:r>
            <w:r w:rsidR="00245115" w:rsidRPr="00B043C4">
              <w:rPr>
                <w:rFonts w:ascii="Calibri" w:eastAsia="Calibri" w:hAnsi="Calibri" w:cs="Times New Roman"/>
                <w:color w:val="FF0000"/>
                <w:sz w:val="20"/>
                <w:szCs w:val="20"/>
              </w:rPr>
              <w:t>specific harms were mentioned in the guidelines. O</w:t>
            </w:r>
            <w:r w:rsidR="00BF6152" w:rsidRPr="00B043C4">
              <w:rPr>
                <w:rFonts w:ascii="Calibri" w:eastAsia="Calibri" w:hAnsi="Calibri" w:cs="Times New Roman"/>
                <w:color w:val="FF0000"/>
                <w:sz w:val="20"/>
                <w:szCs w:val="20"/>
              </w:rPr>
              <w:t>ne harm identified in this guideline includes positioning a patient directly on a pressure ulcer or deep tissue injury. Instead, positioning or cushioning devices should be used to avoid placing patients on areas affected by pressure ulcers. Additionally, this guideline cautions against using “body-worn” products for fecal incontinence as the use of some products may contribute to the development of incontinence associated dermatitis. Regarding adjunctive therapies, electrical stimulation may be harmful for individuals using pacemakers and should not be used on them. Additionally, electrical stimulation should not be placed over topical substances containing metal ions or over the heart. If surgical intervention is necessary, the patient’s mental and physical health should first be evaluated, and factors associated with impaired healing should be minimized. Lastly, conservative sharp debridement should be used with caution among individuals who are immunosuppressed, on anticoagulants, or have bleeding disorders.</w:t>
            </w:r>
          </w:p>
        </w:tc>
      </w:tr>
      <w:tr w:rsidR="00362787" w14:paraId="26D09325" w14:textId="77777777" w:rsidTr="006179D1">
        <w:tc>
          <w:tcPr>
            <w:tcW w:w="3595" w:type="dxa"/>
          </w:tcPr>
          <w:p w14:paraId="253B0F3B" w14:textId="77777777" w:rsidR="00362787" w:rsidRPr="00846058" w:rsidRDefault="00362787" w:rsidP="006179D1">
            <w:pPr>
              <w:ind w:left="0" w:firstLine="0"/>
              <w:rPr>
                <w:rFonts w:ascii="Calibri" w:eastAsia="Calibri" w:hAnsi="Calibri" w:cs="Times New Roman"/>
                <w:sz w:val="20"/>
                <w:szCs w:val="20"/>
              </w:rPr>
            </w:pPr>
            <w:r w:rsidRPr="00846058">
              <w:rPr>
                <w:rFonts w:ascii="Calibri" w:eastAsia="Calibri" w:hAnsi="Calibri" w:cs="Times New Roman"/>
                <w:sz w:val="20"/>
                <w:szCs w:val="20"/>
              </w:rPr>
              <w:t>Identify any new studies conducted since the SR. Do the new studies change the conclusions from the SR?</w:t>
            </w:r>
          </w:p>
          <w:p w14:paraId="3685A964" w14:textId="62B20928" w:rsidR="00846058" w:rsidRPr="00846058" w:rsidRDefault="00846058" w:rsidP="006179D1">
            <w:pPr>
              <w:ind w:left="0" w:firstLine="0"/>
              <w:rPr>
                <w:rFonts w:ascii="Calibri" w:eastAsia="Calibri" w:hAnsi="Calibri" w:cs="Times New Roman"/>
                <w:sz w:val="20"/>
                <w:szCs w:val="20"/>
              </w:rPr>
            </w:pPr>
          </w:p>
        </w:tc>
        <w:tc>
          <w:tcPr>
            <w:tcW w:w="5755" w:type="dxa"/>
          </w:tcPr>
          <w:p w14:paraId="6EAC9047" w14:textId="7BA36639" w:rsidR="00A445A1" w:rsidRPr="00B043C4" w:rsidRDefault="00A445A1" w:rsidP="00A445A1">
            <w:pPr>
              <w:ind w:left="0" w:firstLine="0"/>
              <w:rPr>
                <w:rFonts w:eastAsia="Calibri" w:cstheme="minorHAnsi"/>
                <w:color w:val="FF0000"/>
                <w:sz w:val="20"/>
                <w:szCs w:val="20"/>
              </w:rPr>
            </w:pPr>
            <w:r w:rsidRPr="00B043C4">
              <w:rPr>
                <w:rFonts w:ascii="Calibri" w:eastAsia="Calibri" w:hAnsi="Calibri" w:cs="Times New Roman"/>
                <w:color w:val="FF0000"/>
                <w:sz w:val="20"/>
                <w:szCs w:val="20"/>
              </w:rPr>
              <w:t>One 2019 randomized control</w:t>
            </w:r>
            <w:r w:rsidR="00C0067A" w:rsidRPr="00B043C4">
              <w:rPr>
                <w:rFonts w:ascii="Calibri" w:eastAsia="Calibri" w:hAnsi="Calibri" w:cs="Times New Roman"/>
                <w:color w:val="FF0000"/>
                <w:sz w:val="20"/>
                <w:szCs w:val="20"/>
              </w:rPr>
              <w:t>led</w:t>
            </w:r>
            <w:r w:rsidRPr="00B043C4">
              <w:rPr>
                <w:rFonts w:ascii="Calibri" w:eastAsia="Calibri" w:hAnsi="Calibri" w:cs="Times New Roman"/>
                <w:color w:val="FF0000"/>
                <w:sz w:val="20"/>
                <w:szCs w:val="20"/>
              </w:rPr>
              <w:t xml:space="preserve"> trial study compared clinical and cost-effectiveness of alternating pressure mattresses and high-specification foam mattresses. Results were not statistically significant; however, the study suggested a benefit of alternating pressure mattresses over high-specification foam mattresses. Alternating pressure mattresses were also more cost-effective. In prevention recommendation 27, the WOCN guidelines recommen</w:t>
            </w:r>
            <w:r w:rsidR="00846058" w:rsidRPr="00B043C4">
              <w:rPr>
                <w:rFonts w:ascii="Calibri" w:eastAsia="Calibri" w:hAnsi="Calibri" w:cs="Times New Roman"/>
                <w:color w:val="FF0000"/>
                <w:sz w:val="20"/>
                <w:szCs w:val="20"/>
              </w:rPr>
              <w:t>d to use</w:t>
            </w:r>
            <w:r w:rsidRPr="00B043C4">
              <w:rPr>
                <w:rFonts w:ascii="Calibri" w:eastAsia="Calibri" w:hAnsi="Calibri" w:cs="Times New Roman"/>
                <w:color w:val="FF0000"/>
                <w:sz w:val="20"/>
                <w:szCs w:val="20"/>
              </w:rPr>
              <w:t xml:space="preserve"> high-specification reactive or alternating pressure support surfaces in the operating room for individuals with high risk for developing pressure ulcers. The WOCN guidelines do not specify which </w:t>
            </w:r>
            <w:r w:rsidRPr="00B043C4">
              <w:rPr>
                <w:rFonts w:eastAsia="Calibri" w:cstheme="minorHAnsi"/>
                <w:color w:val="FF0000"/>
                <w:sz w:val="20"/>
                <w:szCs w:val="20"/>
              </w:rPr>
              <w:t xml:space="preserve">mattress may be more useful than the other. </w:t>
            </w:r>
          </w:p>
          <w:p w14:paraId="40C02823" w14:textId="7412B0E5" w:rsidR="00A445A1" w:rsidRPr="00B043C4" w:rsidRDefault="00A445A1" w:rsidP="006179D1">
            <w:pPr>
              <w:ind w:left="0" w:firstLine="0"/>
              <w:rPr>
                <w:rFonts w:eastAsia="Calibri" w:cstheme="minorHAnsi"/>
                <w:color w:val="FF0000"/>
                <w:sz w:val="20"/>
                <w:szCs w:val="20"/>
              </w:rPr>
            </w:pPr>
            <w:r w:rsidRPr="00B043C4">
              <w:rPr>
                <w:rFonts w:eastAsia="Calibri" w:cstheme="minorHAnsi"/>
                <w:b/>
                <w:color w:val="FF0000"/>
                <w:sz w:val="20"/>
                <w:szCs w:val="20"/>
              </w:rPr>
              <w:t>Source:</w:t>
            </w:r>
            <w:r w:rsidR="00D51421" w:rsidRPr="00B043C4">
              <w:rPr>
                <w:rFonts w:eastAsia="Calibri" w:cstheme="minorHAnsi"/>
                <w:b/>
                <w:color w:val="FF0000"/>
                <w:sz w:val="20"/>
                <w:szCs w:val="20"/>
              </w:rPr>
              <w:t xml:space="preserve"> </w:t>
            </w:r>
            <w:r w:rsidRPr="00B043C4">
              <w:rPr>
                <w:rFonts w:cstheme="minorHAnsi"/>
                <w:color w:val="FF0000"/>
                <w:sz w:val="20"/>
                <w:szCs w:val="20"/>
              </w:rPr>
              <w:t xml:space="preserve">Nixon, Jane, Isabelle L. Smith, Sarah Brown, Elizabeth McGinnis, Armando Vargas-Palacios, E. Andrea Nelson, Susanne Coleman, et al. 2019. “Pressure Relieving Support Surfaces for Pressure Ulcer Prevention (PRESSURE 2): Clinical and Health Economic Results of a </w:t>
            </w:r>
            <w:proofErr w:type="spellStart"/>
            <w:r w:rsidRPr="00B043C4">
              <w:rPr>
                <w:rFonts w:cstheme="minorHAnsi"/>
                <w:color w:val="FF0000"/>
                <w:sz w:val="20"/>
                <w:szCs w:val="20"/>
              </w:rPr>
              <w:t>Randomised</w:t>
            </w:r>
            <w:proofErr w:type="spellEnd"/>
            <w:r w:rsidRPr="00B043C4">
              <w:rPr>
                <w:rFonts w:cstheme="minorHAnsi"/>
                <w:color w:val="FF0000"/>
                <w:sz w:val="20"/>
                <w:szCs w:val="20"/>
              </w:rPr>
              <w:t xml:space="preserve"> Controlled Trial.” </w:t>
            </w:r>
            <w:proofErr w:type="spellStart"/>
            <w:r w:rsidRPr="00B043C4">
              <w:rPr>
                <w:rFonts w:cstheme="minorHAnsi"/>
                <w:i/>
                <w:iCs/>
                <w:color w:val="FF0000"/>
                <w:sz w:val="20"/>
                <w:szCs w:val="20"/>
              </w:rPr>
              <w:t>EClinicalMedicine</w:t>
            </w:r>
            <w:proofErr w:type="spellEnd"/>
            <w:r w:rsidRPr="00B043C4">
              <w:rPr>
                <w:rFonts w:cstheme="minorHAnsi"/>
                <w:color w:val="FF0000"/>
                <w:sz w:val="20"/>
                <w:szCs w:val="20"/>
              </w:rPr>
              <w:t xml:space="preserve"> 14 (September): 42–52. </w:t>
            </w:r>
            <w:hyperlink r:id="rId28" w:history="1">
              <w:r w:rsidRPr="00B043C4">
                <w:rPr>
                  <w:rStyle w:val="Hyperlink"/>
                  <w:rFonts w:cstheme="minorHAnsi"/>
                  <w:color w:val="FF0000"/>
                  <w:sz w:val="20"/>
                  <w:szCs w:val="20"/>
                </w:rPr>
                <w:t>https://doi.org/10.1016/j.eclinm.2019.07.018</w:t>
              </w:r>
            </w:hyperlink>
            <w:r w:rsidRPr="00B043C4">
              <w:rPr>
                <w:rFonts w:cstheme="minorHAnsi"/>
                <w:color w:val="FF0000"/>
                <w:sz w:val="20"/>
                <w:szCs w:val="20"/>
              </w:rPr>
              <w:t>.</w:t>
            </w:r>
          </w:p>
        </w:tc>
      </w:tr>
    </w:tbl>
    <w:p w14:paraId="3777FDAB" w14:textId="7FBB774E" w:rsidR="00552F57" w:rsidRDefault="00552F57" w:rsidP="002E2177">
      <w:pPr>
        <w:ind w:left="0" w:firstLine="0"/>
        <w:rPr>
          <w:rFonts w:ascii="Calibri" w:eastAsia="Calibri" w:hAnsi="Calibri" w:cs="Times New Roman"/>
        </w:rPr>
      </w:pPr>
    </w:p>
    <w:tbl>
      <w:tblPr>
        <w:tblStyle w:val="TableGrid"/>
        <w:tblW w:w="0" w:type="auto"/>
        <w:tblLook w:val="04A0" w:firstRow="1" w:lastRow="0" w:firstColumn="1" w:lastColumn="0" w:noHBand="0" w:noVBand="1"/>
      </w:tblPr>
      <w:tblGrid>
        <w:gridCol w:w="3595"/>
        <w:gridCol w:w="5755"/>
      </w:tblGrid>
      <w:tr w:rsidR="006334C5" w14:paraId="754F727D" w14:textId="77777777" w:rsidTr="006179D1">
        <w:tc>
          <w:tcPr>
            <w:tcW w:w="3595" w:type="dxa"/>
          </w:tcPr>
          <w:p w14:paraId="4E50D6E0" w14:textId="77777777" w:rsidR="006334C5" w:rsidRPr="00552F57" w:rsidRDefault="006334C5" w:rsidP="006179D1">
            <w:pPr>
              <w:rPr>
                <w:rFonts w:ascii="Calibri" w:eastAsia="Calibri" w:hAnsi="Calibri" w:cs="Times New Roman"/>
                <w:b/>
                <w:sz w:val="20"/>
                <w:szCs w:val="20"/>
              </w:rPr>
            </w:pPr>
            <w:r w:rsidRPr="00552F57">
              <w:rPr>
                <w:rFonts w:ascii="Calibri" w:eastAsia="Calibri" w:hAnsi="Calibri" w:cs="Times New Roman"/>
                <w:b/>
                <w:sz w:val="20"/>
                <w:szCs w:val="20"/>
              </w:rPr>
              <w:t>Source of Systematic Review:</w:t>
            </w:r>
          </w:p>
          <w:p w14:paraId="0E50234C" w14:textId="77777777" w:rsidR="006334C5" w:rsidRPr="00552F57" w:rsidRDefault="006334C5" w:rsidP="002B5113">
            <w:pPr>
              <w:pStyle w:val="ListParagraph"/>
              <w:numPr>
                <w:ilvl w:val="0"/>
                <w:numId w:val="4"/>
              </w:numPr>
              <w:rPr>
                <w:rFonts w:ascii="Calibri" w:eastAsia="Calibri" w:hAnsi="Calibri" w:cs="Times New Roman"/>
                <w:b/>
                <w:sz w:val="20"/>
                <w:szCs w:val="20"/>
              </w:rPr>
            </w:pPr>
            <w:r w:rsidRPr="00552F57">
              <w:rPr>
                <w:rFonts w:ascii="Calibri" w:eastAsia="Calibri" w:hAnsi="Calibri" w:cs="Times New Roman"/>
                <w:b/>
                <w:sz w:val="20"/>
                <w:szCs w:val="20"/>
              </w:rPr>
              <w:t>Title</w:t>
            </w:r>
          </w:p>
          <w:p w14:paraId="3366DEDF" w14:textId="77777777" w:rsidR="006334C5" w:rsidRPr="00552F57" w:rsidRDefault="006334C5" w:rsidP="002B5113">
            <w:pPr>
              <w:pStyle w:val="ListParagraph"/>
              <w:numPr>
                <w:ilvl w:val="0"/>
                <w:numId w:val="4"/>
              </w:numPr>
              <w:rPr>
                <w:rFonts w:ascii="Calibri" w:eastAsia="Calibri" w:hAnsi="Calibri" w:cs="Times New Roman"/>
                <w:b/>
                <w:sz w:val="20"/>
                <w:szCs w:val="20"/>
              </w:rPr>
            </w:pPr>
            <w:r w:rsidRPr="00552F57">
              <w:rPr>
                <w:rFonts w:ascii="Calibri" w:eastAsia="Calibri" w:hAnsi="Calibri" w:cs="Times New Roman"/>
                <w:b/>
                <w:sz w:val="20"/>
                <w:szCs w:val="20"/>
              </w:rPr>
              <w:t>Author</w:t>
            </w:r>
          </w:p>
          <w:p w14:paraId="0C80D6B3" w14:textId="77777777" w:rsidR="006334C5" w:rsidRPr="00552F57" w:rsidRDefault="006334C5" w:rsidP="002B5113">
            <w:pPr>
              <w:pStyle w:val="ListParagraph"/>
              <w:numPr>
                <w:ilvl w:val="0"/>
                <w:numId w:val="4"/>
              </w:numPr>
              <w:rPr>
                <w:rFonts w:ascii="Calibri" w:eastAsia="Calibri" w:hAnsi="Calibri" w:cs="Times New Roman"/>
                <w:b/>
                <w:sz w:val="20"/>
                <w:szCs w:val="20"/>
              </w:rPr>
            </w:pPr>
            <w:r w:rsidRPr="00552F57">
              <w:rPr>
                <w:rFonts w:ascii="Calibri" w:eastAsia="Calibri" w:hAnsi="Calibri" w:cs="Times New Roman"/>
                <w:b/>
                <w:sz w:val="20"/>
                <w:szCs w:val="20"/>
              </w:rPr>
              <w:t>Date</w:t>
            </w:r>
          </w:p>
          <w:p w14:paraId="45B941A8" w14:textId="77777777" w:rsidR="006334C5" w:rsidRPr="00552F57" w:rsidRDefault="006334C5" w:rsidP="002B5113">
            <w:pPr>
              <w:pStyle w:val="ListParagraph"/>
              <w:numPr>
                <w:ilvl w:val="0"/>
                <w:numId w:val="4"/>
              </w:numPr>
              <w:rPr>
                <w:rFonts w:ascii="Calibri" w:eastAsia="Calibri" w:hAnsi="Calibri" w:cs="Times New Roman"/>
                <w:b/>
                <w:sz w:val="20"/>
                <w:szCs w:val="20"/>
              </w:rPr>
            </w:pPr>
            <w:r w:rsidRPr="00552F57">
              <w:rPr>
                <w:rFonts w:ascii="Calibri" w:eastAsia="Calibri" w:hAnsi="Calibri" w:cs="Times New Roman"/>
                <w:b/>
                <w:sz w:val="20"/>
                <w:szCs w:val="20"/>
              </w:rPr>
              <w:t xml:space="preserve">Citation, including page number </w:t>
            </w:r>
          </w:p>
          <w:p w14:paraId="6F189F72" w14:textId="77777777" w:rsidR="006334C5" w:rsidRPr="00552F57" w:rsidRDefault="006334C5" w:rsidP="002B5113">
            <w:pPr>
              <w:pStyle w:val="ListParagraph"/>
              <w:numPr>
                <w:ilvl w:val="0"/>
                <w:numId w:val="4"/>
              </w:numPr>
              <w:rPr>
                <w:rFonts w:ascii="Calibri" w:eastAsia="Calibri" w:hAnsi="Calibri" w:cs="Times New Roman"/>
                <w:b/>
              </w:rPr>
            </w:pPr>
            <w:r w:rsidRPr="00552F57">
              <w:rPr>
                <w:rFonts w:ascii="Calibri" w:eastAsia="Calibri" w:hAnsi="Calibri" w:cs="Times New Roman"/>
                <w:b/>
                <w:sz w:val="20"/>
                <w:szCs w:val="20"/>
              </w:rPr>
              <w:t>URL</w:t>
            </w:r>
          </w:p>
        </w:tc>
        <w:tc>
          <w:tcPr>
            <w:tcW w:w="5755" w:type="dxa"/>
          </w:tcPr>
          <w:p w14:paraId="71C58960" w14:textId="77777777" w:rsidR="006334C5" w:rsidRPr="00EE53F2" w:rsidRDefault="00D07A75" w:rsidP="006179D1">
            <w:pPr>
              <w:ind w:left="0" w:firstLine="0"/>
              <w:rPr>
                <w:rFonts w:eastAsia="Calibri" w:cstheme="minorHAnsi"/>
                <w:color w:val="0000FF"/>
                <w:sz w:val="20"/>
                <w:szCs w:val="20"/>
              </w:rPr>
            </w:pPr>
            <w:r w:rsidRPr="00EE53F2">
              <w:rPr>
                <w:rFonts w:eastAsia="Calibri" w:cstheme="minorHAnsi"/>
                <w:b/>
                <w:color w:val="0000FF"/>
                <w:sz w:val="20"/>
                <w:szCs w:val="20"/>
              </w:rPr>
              <w:t>Title</w:t>
            </w:r>
            <w:r w:rsidRPr="00EE53F2">
              <w:rPr>
                <w:rFonts w:eastAsia="Calibri" w:cstheme="minorHAnsi"/>
                <w:color w:val="0000FF"/>
                <w:sz w:val="20"/>
                <w:szCs w:val="20"/>
              </w:rPr>
              <w:t>: Pressure Ulcers and Other Wounds in the Post-Acute and Long-Term Care Setting</w:t>
            </w:r>
          </w:p>
          <w:p w14:paraId="079AD08B" w14:textId="77777777" w:rsidR="00D07A75" w:rsidRPr="00EE53F2" w:rsidRDefault="00D07A75" w:rsidP="006179D1">
            <w:pPr>
              <w:ind w:left="0" w:firstLine="0"/>
              <w:rPr>
                <w:rFonts w:eastAsia="Calibri" w:cstheme="minorHAnsi"/>
                <w:color w:val="0000FF"/>
                <w:sz w:val="20"/>
                <w:szCs w:val="20"/>
              </w:rPr>
            </w:pPr>
            <w:r w:rsidRPr="00EE53F2">
              <w:rPr>
                <w:rFonts w:eastAsia="Calibri" w:cstheme="minorHAnsi"/>
                <w:b/>
                <w:color w:val="0000FF"/>
                <w:sz w:val="20"/>
                <w:szCs w:val="20"/>
              </w:rPr>
              <w:t>Author</w:t>
            </w:r>
            <w:r w:rsidRPr="00EE53F2">
              <w:rPr>
                <w:rFonts w:eastAsia="Calibri" w:cstheme="minorHAnsi"/>
                <w:color w:val="0000FF"/>
                <w:sz w:val="20"/>
                <w:szCs w:val="20"/>
              </w:rPr>
              <w:t>: AMDA – The Society for Post-Acute and Long-Term Care Medicine</w:t>
            </w:r>
          </w:p>
          <w:p w14:paraId="332CAA4C" w14:textId="77777777" w:rsidR="00D07A75" w:rsidRPr="00B043C4" w:rsidRDefault="00D07A75" w:rsidP="006179D1">
            <w:pPr>
              <w:ind w:left="0" w:firstLine="0"/>
              <w:rPr>
                <w:rFonts w:eastAsia="Calibri" w:cstheme="minorHAnsi"/>
                <w:color w:val="FF0000"/>
                <w:sz w:val="20"/>
                <w:szCs w:val="20"/>
              </w:rPr>
            </w:pPr>
            <w:r w:rsidRPr="00B043C4">
              <w:rPr>
                <w:rFonts w:eastAsia="Calibri" w:cstheme="minorHAnsi"/>
                <w:b/>
                <w:color w:val="FF0000"/>
                <w:sz w:val="20"/>
                <w:szCs w:val="20"/>
              </w:rPr>
              <w:t>Date</w:t>
            </w:r>
            <w:r w:rsidRPr="00B043C4">
              <w:rPr>
                <w:rFonts w:eastAsia="Calibri" w:cstheme="minorHAnsi"/>
                <w:color w:val="FF0000"/>
                <w:sz w:val="20"/>
                <w:szCs w:val="20"/>
              </w:rPr>
              <w:t>: 2017</w:t>
            </w:r>
          </w:p>
          <w:p w14:paraId="4244D04F" w14:textId="77777777" w:rsidR="00D07A75" w:rsidRPr="00B043C4" w:rsidRDefault="00D07A75" w:rsidP="00D07A75">
            <w:pPr>
              <w:ind w:left="0" w:firstLine="0"/>
              <w:rPr>
                <w:rFonts w:cstheme="minorHAnsi"/>
                <w:color w:val="FF0000"/>
                <w:sz w:val="20"/>
                <w:szCs w:val="20"/>
              </w:rPr>
            </w:pPr>
            <w:r w:rsidRPr="00B043C4">
              <w:rPr>
                <w:rFonts w:cstheme="minorHAnsi"/>
                <w:b/>
                <w:color w:val="FF0000"/>
                <w:sz w:val="20"/>
                <w:szCs w:val="20"/>
              </w:rPr>
              <w:t>Citation</w:t>
            </w:r>
            <w:r w:rsidRPr="00B043C4">
              <w:rPr>
                <w:rFonts w:cstheme="minorHAnsi"/>
                <w:color w:val="FF0000"/>
                <w:sz w:val="20"/>
                <w:szCs w:val="20"/>
              </w:rPr>
              <w:t xml:space="preserve">: AMDA - The Society for Post-Acute Care and Long-Term Care Medicine. Pressure Ulcers and Other Wounds in the Post-Acute and Long-Term Care Setting Clinical Practice Guideline. Columbia, MD: AMDA 2017. </w:t>
            </w:r>
          </w:p>
          <w:p w14:paraId="1EA9DB51" w14:textId="66DB9AD0" w:rsidR="00D07A75" w:rsidRPr="00EE53F2" w:rsidRDefault="00D07A75" w:rsidP="006179D1">
            <w:pPr>
              <w:ind w:left="0" w:firstLine="0"/>
              <w:rPr>
                <w:rFonts w:ascii="Arial" w:hAnsi="Arial" w:cs="Arial"/>
                <w:color w:val="0000FF"/>
                <w:sz w:val="20"/>
                <w:szCs w:val="20"/>
              </w:rPr>
            </w:pPr>
            <w:r w:rsidRPr="00B043C4">
              <w:rPr>
                <w:rFonts w:cstheme="minorHAnsi"/>
                <w:b/>
                <w:color w:val="FF0000"/>
                <w:sz w:val="20"/>
                <w:szCs w:val="20"/>
              </w:rPr>
              <w:t>URL</w:t>
            </w:r>
            <w:r w:rsidRPr="00B043C4">
              <w:rPr>
                <w:rFonts w:cstheme="minorHAnsi"/>
                <w:color w:val="FF0000"/>
                <w:sz w:val="20"/>
                <w:szCs w:val="20"/>
              </w:rPr>
              <w:t xml:space="preserve">: </w:t>
            </w:r>
            <w:hyperlink r:id="rId29" w:history="1">
              <w:r w:rsidRPr="00B043C4">
                <w:rPr>
                  <w:rStyle w:val="Hyperlink"/>
                  <w:rFonts w:cstheme="minorHAnsi"/>
                  <w:color w:val="FF0000"/>
                  <w:sz w:val="20"/>
                  <w:szCs w:val="20"/>
                </w:rPr>
                <w:t>https://paltc.org/product-store/pressure-ulcers-other-wounds-cpg-pocket-guide</w:t>
              </w:r>
            </w:hyperlink>
          </w:p>
        </w:tc>
      </w:tr>
      <w:tr w:rsidR="006334C5" w14:paraId="23D612EC" w14:textId="77777777" w:rsidTr="006179D1">
        <w:tc>
          <w:tcPr>
            <w:tcW w:w="3595" w:type="dxa"/>
          </w:tcPr>
          <w:p w14:paraId="03E80ADE" w14:textId="77777777" w:rsidR="006334C5" w:rsidRPr="00552F57" w:rsidRDefault="006334C5" w:rsidP="006179D1">
            <w:pPr>
              <w:ind w:left="0" w:firstLine="0"/>
              <w:rPr>
                <w:rFonts w:ascii="Calibri" w:eastAsia="Calibri" w:hAnsi="Calibri" w:cs="Times New Roman"/>
                <w:sz w:val="20"/>
                <w:szCs w:val="20"/>
              </w:rPr>
            </w:pPr>
            <w:r w:rsidRPr="00552F57">
              <w:rPr>
                <w:sz w:val="20"/>
                <w:szCs w:val="20"/>
              </w:rPr>
              <w:t>Quote the guideline or recommendation verbatim about the process, structure or intermediate outcome being measured. If not a guideline, summarize the conclusions from the SR.</w:t>
            </w:r>
          </w:p>
        </w:tc>
        <w:tc>
          <w:tcPr>
            <w:tcW w:w="5755" w:type="dxa"/>
          </w:tcPr>
          <w:p w14:paraId="4400A10A" w14:textId="2CFA00ED" w:rsidR="00C75B45" w:rsidRPr="00B043C4" w:rsidRDefault="00C75B45" w:rsidP="006179D1">
            <w:pPr>
              <w:ind w:left="0" w:firstLine="0"/>
              <w:rPr>
                <w:rFonts w:ascii="Calibri" w:eastAsia="Calibri" w:hAnsi="Calibri" w:cs="Times New Roman"/>
                <w:b/>
                <w:color w:val="FF0000"/>
                <w:sz w:val="20"/>
                <w:szCs w:val="20"/>
              </w:rPr>
            </w:pPr>
            <w:r w:rsidRPr="00B043C4">
              <w:rPr>
                <w:rFonts w:ascii="Calibri" w:eastAsia="Calibri" w:hAnsi="Calibri" w:cs="Times New Roman"/>
                <w:b/>
                <w:color w:val="FF0000"/>
                <w:sz w:val="20"/>
                <w:szCs w:val="20"/>
              </w:rPr>
              <w:t>Recognition Recommendations</w:t>
            </w:r>
          </w:p>
          <w:p w14:paraId="5F438F60" w14:textId="6004FF6A" w:rsidR="00C75B45" w:rsidRPr="00B043C4" w:rsidRDefault="00C75B45" w:rsidP="00C75B45">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 xml:space="preserve">1. Select and consistently use one predictive scale to identify patients at high risk for the development of pressure ulcers or other wounds. Although predictive scales vary in their predictive value, the consistent use of one scale is the most reliable way to detect change over time (quality of evidence: moderate; strength of recommendation: strong). </w:t>
            </w:r>
          </w:p>
          <w:p w14:paraId="0FD10528" w14:textId="38126EF0" w:rsidR="00C75B45" w:rsidRPr="00B043C4" w:rsidRDefault="00C75B45" w:rsidP="00C75B45">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2. Write a care plan to address identified risk factors based on minimum data set (MDS) variables (quality of eviden</w:t>
            </w:r>
            <w:r w:rsidR="005B4837" w:rsidRPr="00B043C4">
              <w:rPr>
                <w:rFonts w:ascii="Calibri" w:eastAsia="Calibri" w:hAnsi="Calibri" w:cs="Times New Roman"/>
                <w:color w:val="FF0000"/>
                <w:sz w:val="20"/>
                <w:szCs w:val="20"/>
              </w:rPr>
              <w:t xml:space="preserve">ce: moderate; </w:t>
            </w:r>
            <w:r w:rsidRPr="00B043C4">
              <w:rPr>
                <w:rFonts w:ascii="Calibri" w:eastAsia="Calibri" w:hAnsi="Calibri" w:cs="Times New Roman"/>
                <w:color w:val="FF0000"/>
                <w:sz w:val="20"/>
                <w:szCs w:val="20"/>
              </w:rPr>
              <w:t xml:space="preserve">strength of recommendation: weak). </w:t>
            </w:r>
          </w:p>
          <w:p w14:paraId="48BD2626" w14:textId="1DC95CFA" w:rsidR="00C5516E" w:rsidRPr="00B043C4" w:rsidRDefault="00C5516E" w:rsidP="00C75B45">
            <w:pPr>
              <w:ind w:left="0" w:firstLine="0"/>
              <w:rPr>
                <w:rFonts w:ascii="Calibri" w:eastAsia="Calibri" w:hAnsi="Calibri" w:cs="Times New Roman"/>
                <w:color w:val="FF0000"/>
                <w:sz w:val="20"/>
                <w:szCs w:val="20"/>
              </w:rPr>
            </w:pPr>
            <w:r w:rsidRPr="00B043C4">
              <w:rPr>
                <w:rFonts w:ascii="Calibri" w:eastAsia="Calibri" w:hAnsi="Calibri" w:cs="Times New Roman"/>
                <w:b/>
                <w:color w:val="FF0000"/>
                <w:sz w:val="20"/>
                <w:szCs w:val="20"/>
              </w:rPr>
              <w:t>Assessment Recommendations</w:t>
            </w:r>
          </w:p>
          <w:p w14:paraId="51009E63" w14:textId="5DBA7CB1" w:rsidR="00C5516E" w:rsidRPr="00B043C4" w:rsidRDefault="00C5516E" w:rsidP="00C5516E">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3. Develop a structured program for timely skin assessment (quality of evidence: high; strength of recommendation: strong)</w:t>
            </w:r>
          </w:p>
          <w:p w14:paraId="5907D29C" w14:textId="0F8E1241" w:rsidR="00C5516E" w:rsidRPr="00B043C4" w:rsidRDefault="00C5516E" w:rsidP="00C5516E">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 xml:space="preserve">4. Assess </w:t>
            </w:r>
            <w:proofErr w:type="spellStart"/>
            <w:r w:rsidRPr="00B043C4">
              <w:rPr>
                <w:rFonts w:ascii="Calibri" w:eastAsia="Calibri" w:hAnsi="Calibri" w:cs="Times New Roman"/>
                <w:color w:val="FF0000"/>
                <w:sz w:val="20"/>
                <w:szCs w:val="20"/>
              </w:rPr>
              <w:t>nonhealing</w:t>
            </w:r>
            <w:proofErr w:type="spellEnd"/>
            <w:r w:rsidRPr="00B043C4">
              <w:rPr>
                <w:rFonts w:ascii="Calibri" w:eastAsia="Calibri" w:hAnsi="Calibri" w:cs="Times New Roman"/>
                <w:color w:val="FF0000"/>
                <w:sz w:val="20"/>
                <w:szCs w:val="20"/>
              </w:rPr>
              <w:t xml:space="preserve"> wounds for infection or biofilm using a tool such as NERDS (</w:t>
            </w:r>
            <w:proofErr w:type="spellStart"/>
            <w:r w:rsidRPr="00B043C4">
              <w:rPr>
                <w:rFonts w:ascii="Calibri" w:eastAsia="Calibri" w:hAnsi="Calibri" w:cs="Times New Roman"/>
                <w:color w:val="FF0000"/>
                <w:sz w:val="20"/>
                <w:szCs w:val="20"/>
              </w:rPr>
              <w:t>Nonhealing</w:t>
            </w:r>
            <w:proofErr w:type="spellEnd"/>
            <w:r w:rsidRPr="00B043C4">
              <w:rPr>
                <w:rFonts w:ascii="Calibri" w:eastAsia="Calibri" w:hAnsi="Calibri" w:cs="Times New Roman"/>
                <w:color w:val="FF0000"/>
                <w:sz w:val="20"/>
                <w:szCs w:val="20"/>
              </w:rPr>
              <w:t xml:space="preserve">, inflammatory Exudate, Red granulation tissue, Debris, and Smell) or clinical observation (quality of evidence: low; strength of recommendation: insufficient). </w:t>
            </w:r>
          </w:p>
          <w:p w14:paraId="585EFD09" w14:textId="5DB769F7" w:rsidR="00C5516E" w:rsidRPr="00B043C4" w:rsidRDefault="00C5516E" w:rsidP="00C5516E">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 xml:space="preserve">5. Classify/characterize pressure ulcers based on MDS criteria (quality of evidence: low; strength of recommendation: weak). </w:t>
            </w:r>
          </w:p>
          <w:p w14:paraId="60690677" w14:textId="0742F7A2" w:rsidR="00C5516E" w:rsidRPr="00B043C4" w:rsidRDefault="00C5516E" w:rsidP="00C5516E">
            <w:pPr>
              <w:ind w:left="0" w:firstLine="0"/>
              <w:rPr>
                <w:rFonts w:ascii="Calibri" w:eastAsia="Calibri" w:hAnsi="Calibri" w:cs="Times New Roman"/>
                <w:color w:val="FF0000"/>
                <w:sz w:val="20"/>
                <w:szCs w:val="20"/>
              </w:rPr>
            </w:pPr>
            <w:r w:rsidRPr="00B043C4">
              <w:rPr>
                <w:rFonts w:ascii="Calibri" w:eastAsia="Calibri" w:hAnsi="Calibri" w:cs="Times New Roman"/>
                <w:b/>
                <w:color w:val="FF0000"/>
                <w:sz w:val="20"/>
                <w:szCs w:val="20"/>
              </w:rPr>
              <w:t>Treatment/Prevention/Monitoring Recommendations</w:t>
            </w:r>
          </w:p>
          <w:p w14:paraId="2F22C750" w14:textId="0FA4557A" w:rsidR="00C5516E" w:rsidRPr="00B043C4" w:rsidRDefault="00C5516E" w:rsidP="00C5516E">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 xml:space="preserve">6. Employ preventive measures such as promoting hydration and avoiding excessive skin moisture (quality of evidence: moderate; strength of recommendation: strong). </w:t>
            </w:r>
          </w:p>
          <w:p w14:paraId="2E6FE5F0" w14:textId="58D96AC0" w:rsidR="00C5516E" w:rsidRPr="00B043C4" w:rsidRDefault="00C5516E" w:rsidP="00C5516E">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7. Employ repositioning or offloading measures as needed (include support surfaces). For prevention, repositioning and support surfaces should be used (e.g., advanced static mattress, alternating air, sophisticated wheelchair cushion). For treatment, support surfaces should be used (e.g., air-fluidized beds, alternating-pressure bed</w:t>
            </w:r>
            <w:r w:rsidR="005B4837" w:rsidRPr="00B043C4">
              <w:rPr>
                <w:rFonts w:ascii="Calibri" w:eastAsia="Calibri" w:hAnsi="Calibri" w:cs="Times New Roman"/>
                <w:color w:val="FF0000"/>
                <w:sz w:val="20"/>
                <w:szCs w:val="20"/>
              </w:rPr>
              <w:t>s</w:t>
            </w:r>
            <w:r w:rsidRPr="00B043C4">
              <w:rPr>
                <w:rFonts w:ascii="Calibri" w:eastAsia="Calibri" w:hAnsi="Calibri" w:cs="Times New Roman"/>
                <w:color w:val="FF0000"/>
                <w:sz w:val="20"/>
                <w:szCs w:val="20"/>
              </w:rPr>
              <w:t>, low-air-loss mattress</w:t>
            </w:r>
            <w:r w:rsidR="005B4837" w:rsidRPr="00B043C4">
              <w:rPr>
                <w:rFonts w:ascii="Calibri" w:eastAsia="Calibri" w:hAnsi="Calibri" w:cs="Times New Roman"/>
                <w:color w:val="FF0000"/>
                <w:sz w:val="20"/>
                <w:szCs w:val="20"/>
              </w:rPr>
              <w:t>es</w:t>
            </w:r>
            <w:r w:rsidRPr="00B043C4">
              <w:rPr>
                <w:rFonts w:ascii="Calibri" w:eastAsia="Calibri" w:hAnsi="Calibri" w:cs="Times New Roman"/>
                <w:color w:val="FF0000"/>
                <w:sz w:val="20"/>
                <w:szCs w:val="20"/>
              </w:rPr>
              <w:t>). (quality of evidence: moderate; strength of recommendation: strong)</w:t>
            </w:r>
          </w:p>
          <w:p w14:paraId="3355903C" w14:textId="566A3DC2" w:rsidR="00C5516E" w:rsidRPr="00B043C4" w:rsidRDefault="00C5516E" w:rsidP="00C5516E">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 xml:space="preserve">8. Cleanse wounds with nontoxic products (quality of evidence: low; strength of recommendation: insufficient). </w:t>
            </w:r>
          </w:p>
          <w:p w14:paraId="44D01EFB" w14:textId="77EED702" w:rsidR="00C5516E" w:rsidRPr="00B043C4" w:rsidRDefault="00C5516E" w:rsidP="00C5516E">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9. Patients with a pressure ulcer nearing the end of life r</w:t>
            </w:r>
            <w:r w:rsidR="00327C16" w:rsidRPr="00B043C4">
              <w:rPr>
                <w:rFonts w:ascii="Calibri" w:eastAsia="Calibri" w:hAnsi="Calibri" w:cs="Times New Roman"/>
                <w:color w:val="FF0000"/>
                <w:sz w:val="20"/>
                <w:szCs w:val="20"/>
              </w:rPr>
              <w:t>e</w:t>
            </w:r>
            <w:r w:rsidRPr="00B043C4">
              <w:rPr>
                <w:rFonts w:ascii="Calibri" w:eastAsia="Calibri" w:hAnsi="Calibri" w:cs="Times New Roman"/>
                <w:color w:val="FF0000"/>
                <w:sz w:val="20"/>
                <w:szCs w:val="20"/>
              </w:rPr>
              <w:t xml:space="preserve">quire the balance of best practice in wound treatment and prevention while promoting patient dignity and quality of life (quality of evidence: low; strength of recommendation: strong). </w:t>
            </w:r>
          </w:p>
          <w:p w14:paraId="77F59806" w14:textId="590073FD" w:rsidR="00621C08" w:rsidRPr="00B043C4" w:rsidRDefault="00C5516E" w:rsidP="00327C16">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10. Write a facility policy for assessment and treatment of pressure ulcers and other wounds with the goal of using it to develop realistic, individualized, and interdisciplinary care plans (quality of evidence: low; streng</w:t>
            </w:r>
            <w:r w:rsidR="00327C16" w:rsidRPr="00B043C4">
              <w:rPr>
                <w:rFonts w:ascii="Calibri" w:eastAsia="Calibri" w:hAnsi="Calibri" w:cs="Times New Roman"/>
                <w:color w:val="FF0000"/>
                <w:sz w:val="20"/>
                <w:szCs w:val="20"/>
              </w:rPr>
              <w:t xml:space="preserve">th of recommendation: strong). </w:t>
            </w:r>
          </w:p>
        </w:tc>
      </w:tr>
      <w:tr w:rsidR="006334C5" w14:paraId="57CF4845" w14:textId="77777777" w:rsidTr="006179D1">
        <w:tc>
          <w:tcPr>
            <w:tcW w:w="3595" w:type="dxa"/>
          </w:tcPr>
          <w:p w14:paraId="66A09B35" w14:textId="77777777" w:rsidR="006334C5" w:rsidRPr="00552F57" w:rsidRDefault="006334C5" w:rsidP="006179D1">
            <w:pPr>
              <w:ind w:left="0" w:firstLine="0"/>
              <w:rPr>
                <w:rFonts w:ascii="Calibri" w:eastAsia="Calibri" w:hAnsi="Calibri" w:cs="Times New Roman"/>
                <w:sz w:val="20"/>
                <w:szCs w:val="20"/>
              </w:rPr>
            </w:pPr>
            <w:r w:rsidRPr="00552F57">
              <w:rPr>
                <w:sz w:val="20"/>
                <w:szCs w:val="20"/>
              </w:rPr>
              <w:t xml:space="preserve">Grade assigned to the </w:t>
            </w:r>
            <w:r w:rsidRPr="00552F57">
              <w:rPr>
                <w:b/>
                <w:bCs/>
                <w:sz w:val="20"/>
                <w:szCs w:val="20"/>
              </w:rPr>
              <w:t xml:space="preserve">evidence </w:t>
            </w:r>
            <w:r w:rsidRPr="00552F57">
              <w:rPr>
                <w:sz w:val="20"/>
                <w:szCs w:val="20"/>
              </w:rPr>
              <w:t>associated with the recommendation with the definition of the grade.</w:t>
            </w:r>
          </w:p>
        </w:tc>
        <w:tc>
          <w:tcPr>
            <w:tcW w:w="5755" w:type="dxa"/>
          </w:tcPr>
          <w:p w14:paraId="374F2264" w14:textId="204853B8" w:rsidR="006507FE" w:rsidRPr="00B043C4" w:rsidRDefault="00111C9D" w:rsidP="006179D1">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 xml:space="preserve">The recognition-related recommendations were both scored with moderate quality of evidence, see Table 6 for evidence grade criteria. Among the assessment-related recommendations, recommendation 3 was graded with high quality evidence, while recommendations 4 and 5 were graded with low quality evidence. </w:t>
            </w:r>
            <w:r w:rsidR="00FE405C" w:rsidRPr="00B043C4">
              <w:rPr>
                <w:rFonts w:ascii="Calibri" w:eastAsia="Calibri" w:hAnsi="Calibri" w:cs="Times New Roman"/>
                <w:color w:val="FF0000"/>
                <w:sz w:val="20"/>
                <w:szCs w:val="20"/>
              </w:rPr>
              <w:t xml:space="preserve">Among the treatment-, prevention-, and monitoring-related recommendations, 6 and 7 were graded with moderate quality of evidence, and 8, 9, and 10 were graded with low quality evidence. </w:t>
            </w:r>
          </w:p>
          <w:p w14:paraId="78B713F2" w14:textId="77777777" w:rsidR="006507FE" w:rsidRPr="00B043C4" w:rsidRDefault="006507FE" w:rsidP="006179D1">
            <w:pPr>
              <w:ind w:left="0" w:firstLine="0"/>
              <w:rPr>
                <w:rFonts w:ascii="Calibri" w:eastAsia="Calibri" w:hAnsi="Calibri" w:cs="Times New Roman"/>
                <w:b/>
                <w:color w:val="FF0000"/>
                <w:sz w:val="20"/>
                <w:szCs w:val="20"/>
              </w:rPr>
            </w:pPr>
          </w:p>
          <w:p w14:paraId="0DF5CFBD" w14:textId="6A707EA3" w:rsidR="006334C5" w:rsidRPr="00B043C4" w:rsidRDefault="00C0067A" w:rsidP="006179D1">
            <w:pPr>
              <w:ind w:left="0" w:firstLine="0"/>
              <w:rPr>
                <w:rFonts w:ascii="Calibri" w:eastAsia="Calibri" w:hAnsi="Calibri" w:cs="Times New Roman"/>
                <w:color w:val="FF0000"/>
                <w:sz w:val="20"/>
                <w:szCs w:val="20"/>
              </w:rPr>
            </w:pPr>
            <w:r w:rsidRPr="00B043C4">
              <w:rPr>
                <w:rFonts w:ascii="Calibri" w:eastAsia="Calibri" w:hAnsi="Calibri" w:cs="Times New Roman"/>
                <w:b/>
                <w:color w:val="FF0000"/>
                <w:sz w:val="20"/>
                <w:szCs w:val="20"/>
              </w:rPr>
              <w:t>Table</w:t>
            </w:r>
            <w:r w:rsidR="006507FE" w:rsidRPr="00B043C4">
              <w:rPr>
                <w:rFonts w:ascii="Calibri" w:eastAsia="Calibri" w:hAnsi="Calibri" w:cs="Times New Roman"/>
                <w:b/>
                <w:color w:val="FF0000"/>
                <w:sz w:val="20"/>
                <w:szCs w:val="20"/>
              </w:rPr>
              <w:t xml:space="preserve"> 6</w:t>
            </w:r>
            <w:r w:rsidRPr="00B043C4">
              <w:rPr>
                <w:rFonts w:ascii="Calibri" w:eastAsia="Calibri" w:hAnsi="Calibri" w:cs="Times New Roman"/>
                <w:color w:val="FF0000"/>
                <w:sz w:val="20"/>
                <w:szCs w:val="20"/>
              </w:rPr>
              <w:t>: AMDA’s Clinical Practice Committee Criteria for Assigning Grade of Evidence: Quality of Evidence</w:t>
            </w:r>
          </w:p>
          <w:tbl>
            <w:tblPr>
              <w:tblStyle w:val="TableGrid"/>
              <w:tblW w:w="0" w:type="auto"/>
              <w:tblLook w:val="04A0" w:firstRow="1" w:lastRow="0" w:firstColumn="1" w:lastColumn="0" w:noHBand="0" w:noVBand="1"/>
            </w:tblPr>
            <w:tblGrid>
              <w:gridCol w:w="1869"/>
              <w:gridCol w:w="3660"/>
            </w:tblGrid>
            <w:tr w:rsidR="00B043C4" w:rsidRPr="00B043C4" w14:paraId="3CD4CA83" w14:textId="77777777" w:rsidTr="00C0067A">
              <w:tc>
                <w:tcPr>
                  <w:tcW w:w="1869" w:type="dxa"/>
                </w:tcPr>
                <w:p w14:paraId="3CFC9F97" w14:textId="283E390A" w:rsidR="00C0067A" w:rsidRPr="00B043C4" w:rsidRDefault="00C0067A" w:rsidP="006179D1">
                  <w:pPr>
                    <w:ind w:left="0" w:firstLine="0"/>
                    <w:rPr>
                      <w:rFonts w:ascii="Calibri" w:eastAsia="Calibri" w:hAnsi="Calibri" w:cs="Times New Roman"/>
                      <w:b/>
                      <w:color w:val="FF0000"/>
                      <w:sz w:val="20"/>
                      <w:szCs w:val="20"/>
                    </w:rPr>
                  </w:pPr>
                  <w:r w:rsidRPr="00B043C4">
                    <w:rPr>
                      <w:rFonts w:ascii="Calibri" w:eastAsia="Calibri" w:hAnsi="Calibri" w:cs="Times New Roman"/>
                      <w:b/>
                      <w:color w:val="FF0000"/>
                      <w:sz w:val="20"/>
                      <w:szCs w:val="20"/>
                    </w:rPr>
                    <w:t>Quality of Evidence</w:t>
                  </w:r>
                </w:p>
              </w:tc>
              <w:tc>
                <w:tcPr>
                  <w:tcW w:w="3660" w:type="dxa"/>
                </w:tcPr>
                <w:p w14:paraId="42832950" w14:textId="2D7B6658" w:rsidR="00C0067A" w:rsidRPr="00B043C4" w:rsidRDefault="00C0067A" w:rsidP="006179D1">
                  <w:pPr>
                    <w:ind w:left="0" w:firstLine="0"/>
                    <w:rPr>
                      <w:rFonts w:ascii="Calibri" w:eastAsia="Calibri" w:hAnsi="Calibri" w:cs="Times New Roman"/>
                      <w:b/>
                      <w:color w:val="FF0000"/>
                      <w:sz w:val="20"/>
                      <w:szCs w:val="20"/>
                    </w:rPr>
                  </w:pPr>
                  <w:r w:rsidRPr="00B043C4">
                    <w:rPr>
                      <w:rFonts w:ascii="Calibri" w:eastAsia="Calibri" w:hAnsi="Calibri" w:cs="Times New Roman"/>
                      <w:b/>
                      <w:color w:val="FF0000"/>
                      <w:sz w:val="20"/>
                      <w:szCs w:val="20"/>
                    </w:rPr>
                    <w:t>Criteria</w:t>
                  </w:r>
                </w:p>
              </w:tc>
            </w:tr>
            <w:tr w:rsidR="00B043C4" w:rsidRPr="00B043C4" w14:paraId="6FA776A6" w14:textId="77777777" w:rsidTr="00C0067A">
              <w:tc>
                <w:tcPr>
                  <w:tcW w:w="1869" w:type="dxa"/>
                </w:tcPr>
                <w:p w14:paraId="4A69E55F" w14:textId="08F5F991" w:rsidR="00C0067A" w:rsidRPr="00B043C4" w:rsidRDefault="00C0067A" w:rsidP="006179D1">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High</w:t>
                  </w:r>
                </w:p>
              </w:tc>
              <w:tc>
                <w:tcPr>
                  <w:tcW w:w="3660" w:type="dxa"/>
                </w:tcPr>
                <w:p w14:paraId="5B9148EC" w14:textId="778A0407" w:rsidR="00C0067A" w:rsidRPr="00B043C4" w:rsidRDefault="00C0067A" w:rsidP="006179D1">
                  <w:pPr>
                    <w:ind w:left="0" w:firstLine="0"/>
                    <w:rPr>
                      <w:rFonts w:eastAsia="Calibri" w:cstheme="minorHAnsi"/>
                      <w:color w:val="FF0000"/>
                      <w:sz w:val="20"/>
                      <w:szCs w:val="20"/>
                    </w:rPr>
                  </w:pPr>
                  <w:r w:rsidRPr="00B043C4">
                    <w:rPr>
                      <w:rFonts w:eastAsia="Calibri" w:cstheme="minorHAnsi"/>
                      <w:color w:val="FF0000"/>
                      <w:sz w:val="20"/>
                      <w:szCs w:val="20"/>
                    </w:rPr>
                    <w:t>At least 1 randomized controlled trial (RCT) OR 3 pre/post interventions or other prospective interventions or 3 well-structured, relevant observational studies.</w:t>
                  </w:r>
                </w:p>
              </w:tc>
            </w:tr>
            <w:tr w:rsidR="00B043C4" w:rsidRPr="00B043C4" w14:paraId="691C2FAA" w14:textId="77777777" w:rsidTr="00C0067A">
              <w:tc>
                <w:tcPr>
                  <w:tcW w:w="1869" w:type="dxa"/>
                </w:tcPr>
                <w:p w14:paraId="067FB43F" w14:textId="660D5858" w:rsidR="00C0067A" w:rsidRPr="00B043C4" w:rsidRDefault="00C0067A" w:rsidP="006179D1">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Moderate</w:t>
                  </w:r>
                </w:p>
              </w:tc>
              <w:tc>
                <w:tcPr>
                  <w:tcW w:w="3660" w:type="dxa"/>
                </w:tcPr>
                <w:p w14:paraId="6C3284C3" w14:textId="1B00F463" w:rsidR="00C0067A" w:rsidRPr="00B043C4" w:rsidRDefault="00C0067A" w:rsidP="006179D1">
                  <w:pPr>
                    <w:ind w:left="0" w:firstLine="0"/>
                    <w:rPr>
                      <w:rFonts w:eastAsia="Calibri" w:cstheme="minorHAnsi"/>
                      <w:color w:val="FF0000"/>
                      <w:sz w:val="20"/>
                      <w:szCs w:val="20"/>
                    </w:rPr>
                  </w:pPr>
                  <w:r w:rsidRPr="00B043C4">
                    <w:rPr>
                      <w:rFonts w:cstheme="minorHAnsi"/>
                      <w:color w:val="FF0000"/>
                      <w:sz w:val="20"/>
                      <w:szCs w:val="20"/>
                      <w:shd w:val="clear" w:color="auto" w:fill="FFFFFF"/>
                    </w:rPr>
                    <w:t>Studies that use well-tested methods to make comparisons in a fair way, but where the results leave room for uncertainty (e.g., because of the size of the study, losses to follow-up, or the method used for selecting groups for comparison).</w:t>
                  </w:r>
                </w:p>
              </w:tc>
            </w:tr>
            <w:tr w:rsidR="00B043C4" w:rsidRPr="00B043C4" w14:paraId="5AF77FD7" w14:textId="77777777" w:rsidTr="00C0067A">
              <w:tc>
                <w:tcPr>
                  <w:tcW w:w="1869" w:type="dxa"/>
                </w:tcPr>
                <w:p w14:paraId="795D6C4A" w14:textId="4270FCE2" w:rsidR="00C0067A" w:rsidRPr="00B043C4" w:rsidRDefault="00C0067A" w:rsidP="006179D1">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Low</w:t>
                  </w:r>
                </w:p>
              </w:tc>
              <w:tc>
                <w:tcPr>
                  <w:tcW w:w="3660" w:type="dxa"/>
                </w:tcPr>
                <w:p w14:paraId="1010436E" w14:textId="5B6BE665" w:rsidR="00C0067A" w:rsidRPr="00B043C4" w:rsidRDefault="00C0067A" w:rsidP="006179D1">
                  <w:pPr>
                    <w:ind w:left="0" w:firstLine="0"/>
                    <w:rPr>
                      <w:rFonts w:eastAsia="Calibri" w:cstheme="minorHAnsi"/>
                      <w:color w:val="FF0000"/>
                      <w:sz w:val="20"/>
                      <w:szCs w:val="20"/>
                    </w:rPr>
                  </w:pPr>
                  <w:r w:rsidRPr="00B043C4">
                    <w:rPr>
                      <w:rFonts w:cstheme="minorHAnsi"/>
                      <w:color w:val="FF0000"/>
                      <w:sz w:val="20"/>
                      <w:szCs w:val="20"/>
                      <w:shd w:val="clear" w:color="auto" w:fill="FFFFFF"/>
                    </w:rPr>
                    <w:t>Studies in which the results are doubtful because the study design does not guarantee that fair comparisons can be made.</w:t>
                  </w:r>
                </w:p>
              </w:tc>
            </w:tr>
          </w:tbl>
          <w:p w14:paraId="3A6F384A" w14:textId="73E813C9" w:rsidR="00C0067A" w:rsidRPr="00B043C4" w:rsidRDefault="00C0067A" w:rsidP="006179D1">
            <w:pPr>
              <w:ind w:left="0" w:firstLine="0"/>
              <w:rPr>
                <w:rFonts w:ascii="Calibri" w:eastAsia="Calibri" w:hAnsi="Calibri" w:cs="Times New Roman"/>
                <w:color w:val="FF0000"/>
                <w:sz w:val="20"/>
                <w:szCs w:val="20"/>
              </w:rPr>
            </w:pPr>
          </w:p>
        </w:tc>
      </w:tr>
      <w:tr w:rsidR="006334C5" w14:paraId="06BB4E00" w14:textId="77777777" w:rsidTr="006179D1">
        <w:tc>
          <w:tcPr>
            <w:tcW w:w="3595" w:type="dxa"/>
          </w:tcPr>
          <w:p w14:paraId="461473A8" w14:textId="77777777" w:rsidR="006334C5" w:rsidRPr="00FE405C" w:rsidRDefault="006334C5" w:rsidP="006179D1">
            <w:pPr>
              <w:ind w:left="0" w:firstLine="0"/>
              <w:rPr>
                <w:rFonts w:ascii="Calibri" w:eastAsia="Calibri" w:hAnsi="Calibri" w:cs="Times New Roman"/>
                <w:sz w:val="20"/>
                <w:szCs w:val="20"/>
              </w:rPr>
            </w:pPr>
            <w:r w:rsidRPr="00FE405C">
              <w:rPr>
                <w:sz w:val="20"/>
                <w:szCs w:val="20"/>
              </w:rPr>
              <w:t>Provide all other grades and definitions from the evidence grading system.</w:t>
            </w:r>
          </w:p>
        </w:tc>
        <w:tc>
          <w:tcPr>
            <w:tcW w:w="5755" w:type="dxa"/>
          </w:tcPr>
          <w:p w14:paraId="19A5BFC9" w14:textId="59CC31D6" w:rsidR="006334C5" w:rsidRPr="00B043C4" w:rsidRDefault="00FE405C" w:rsidP="006179D1">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 xml:space="preserve">Not applicable. </w:t>
            </w:r>
          </w:p>
        </w:tc>
      </w:tr>
      <w:tr w:rsidR="006334C5" w14:paraId="7BC7F162" w14:textId="77777777" w:rsidTr="006179D1">
        <w:tc>
          <w:tcPr>
            <w:tcW w:w="3595" w:type="dxa"/>
          </w:tcPr>
          <w:p w14:paraId="5AAC1085" w14:textId="77777777" w:rsidR="006334C5" w:rsidRPr="00FE405C" w:rsidRDefault="006334C5" w:rsidP="006179D1">
            <w:pPr>
              <w:ind w:left="0" w:firstLine="0"/>
              <w:rPr>
                <w:rFonts w:ascii="Calibri" w:eastAsia="Calibri" w:hAnsi="Calibri" w:cs="Times New Roman"/>
                <w:sz w:val="20"/>
                <w:szCs w:val="20"/>
              </w:rPr>
            </w:pPr>
            <w:r w:rsidRPr="00FE405C">
              <w:rPr>
                <w:rFonts w:ascii="Calibri" w:eastAsia="Calibri" w:hAnsi="Calibri" w:cs="Times New Roman"/>
                <w:sz w:val="20"/>
                <w:szCs w:val="20"/>
              </w:rPr>
              <w:t>Grade assigned to the recommendation with definition of the grade.</w:t>
            </w:r>
          </w:p>
        </w:tc>
        <w:tc>
          <w:tcPr>
            <w:tcW w:w="5755" w:type="dxa"/>
          </w:tcPr>
          <w:p w14:paraId="3E1854B2" w14:textId="18AF95F9" w:rsidR="00FE405C" w:rsidRPr="00B043C4" w:rsidRDefault="00FE405C" w:rsidP="00C0067A">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 xml:space="preserve">Among the recognition-related recommendations, recommendation 1 received a strong grade in terms of the strength of recommendation, and recommendation 2 was graded weak, see Table 7 for grade definitions. Under the assessment-based recommendations, recommendation 3 was graded strong, 4 was graded insufficient, and 5 was graded weak. Four of the treatment, prevention, and monitoring recommendations were graded as strong; however, recommendation 8 was graded as insufficient. </w:t>
            </w:r>
          </w:p>
          <w:p w14:paraId="30D554F4" w14:textId="77777777" w:rsidR="00FE405C" w:rsidRPr="00B043C4" w:rsidRDefault="00FE405C" w:rsidP="00C0067A">
            <w:pPr>
              <w:ind w:left="0" w:firstLine="0"/>
              <w:rPr>
                <w:rFonts w:ascii="Calibri" w:eastAsia="Calibri" w:hAnsi="Calibri" w:cs="Times New Roman"/>
                <w:b/>
                <w:color w:val="FF0000"/>
                <w:sz w:val="20"/>
                <w:szCs w:val="20"/>
              </w:rPr>
            </w:pPr>
          </w:p>
          <w:p w14:paraId="46E2E585" w14:textId="6AB4B01E" w:rsidR="00C0067A" w:rsidRPr="00B043C4" w:rsidRDefault="00C0067A" w:rsidP="00C0067A">
            <w:pPr>
              <w:ind w:left="0" w:firstLine="0"/>
              <w:rPr>
                <w:rFonts w:ascii="Calibri" w:eastAsia="Calibri" w:hAnsi="Calibri" w:cs="Times New Roman"/>
                <w:color w:val="FF0000"/>
                <w:sz w:val="20"/>
                <w:szCs w:val="20"/>
              </w:rPr>
            </w:pPr>
            <w:r w:rsidRPr="00B043C4">
              <w:rPr>
                <w:rFonts w:ascii="Calibri" w:eastAsia="Calibri" w:hAnsi="Calibri" w:cs="Times New Roman"/>
                <w:b/>
                <w:color w:val="FF0000"/>
                <w:sz w:val="20"/>
                <w:szCs w:val="20"/>
              </w:rPr>
              <w:t>Table</w:t>
            </w:r>
            <w:r w:rsidR="006507FE" w:rsidRPr="00B043C4">
              <w:rPr>
                <w:rFonts w:ascii="Calibri" w:eastAsia="Calibri" w:hAnsi="Calibri" w:cs="Times New Roman"/>
                <w:b/>
                <w:color w:val="FF0000"/>
                <w:sz w:val="20"/>
                <w:szCs w:val="20"/>
              </w:rPr>
              <w:t xml:space="preserve"> 7</w:t>
            </w:r>
            <w:r w:rsidRPr="00B043C4">
              <w:rPr>
                <w:rFonts w:ascii="Calibri" w:eastAsia="Calibri" w:hAnsi="Calibri" w:cs="Times New Roman"/>
                <w:color w:val="FF0000"/>
                <w:sz w:val="20"/>
                <w:szCs w:val="20"/>
              </w:rPr>
              <w:t>: AMDA’s Clinical Practice Committee Criteria for Assigning Grade of Evidence: Strength of Recommendation</w:t>
            </w:r>
          </w:p>
          <w:tbl>
            <w:tblPr>
              <w:tblStyle w:val="TableGrid"/>
              <w:tblW w:w="0" w:type="auto"/>
              <w:tblLook w:val="04A0" w:firstRow="1" w:lastRow="0" w:firstColumn="1" w:lastColumn="0" w:noHBand="0" w:noVBand="1"/>
            </w:tblPr>
            <w:tblGrid>
              <w:gridCol w:w="1694"/>
              <w:gridCol w:w="3835"/>
            </w:tblGrid>
            <w:tr w:rsidR="00B043C4" w:rsidRPr="00B043C4" w14:paraId="1781A29C" w14:textId="77777777" w:rsidTr="006507FE">
              <w:tc>
                <w:tcPr>
                  <w:tcW w:w="1663" w:type="dxa"/>
                </w:tcPr>
                <w:p w14:paraId="46B8A724" w14:textId="5CA7529F" w:rsidR="006507FE" w:rsidRPr="00B043C4" w:rsidRDefault="006507FE" w:rsidP="006179D1">
                  <w:pPr>
                    <w:ind w:left="0" w:firstLine="0"/>
                    <w:rPr>
                      <w:rFonts w:ascii="Calibri" w:eastAsia="Calibri" w:hAnsi="Calibri" w:cs="Times New Roman"/>
                      <w:b/>
                      <w:color w:val="FF0000"/>
                      <w:sz w:val="20"/>
                      <w:szCs w:val="20"/>
                    </w:rPr>
                  </w:pPr>
                  <w:r w:rsidRPr="00B043C4">
                    <w:rPr>
                      <w:rFonts w:ascii="Calibri" w:eastAsia="Calibri" w:hAnsi="Calibri" w:cs="Times New Roman"/>
                      <w:b/>
                      <w:color w:val="FF0000"/>
                      <w:sz w:val="20"/>
                      <w:szCs w:val="20"/>
                    </w:rPr>
                    <w:t>Strength of Recommendation</w:t>
                  </w:r>
                </w:p>
              </w:tc>
              <w:tc>
                <w:tcPr>
                  <w:tcW w:w="3866" w:type="dxa"/>
                </w:tcPr>
                <w:p w14:paraId="34F0DE01" w14:textId="70D100F1" w:rsidR="006507FE" w:rsidRPr="00B043C4" w:rsidRDefault="006507FE" w:rsidP="006179D1">
                  <w:pPr>
                    <w:ind w:left="0" w:firstLine="0"/>
                    <w:rPr>
                      <w:rFonts w:ascii="Calibri" w:eastAsia="Calibri" w:hAnsi="Calibri" w:cs="Times New Roman"/>
                      <w:b/>
                      <w:color w:val="FF0000"/>
                      <w:sz w:val="20"/>
                      <w:szCs w:val="20"/>
                    </w:rPr>
                  </w:pPr>
                  <w:r w:rsidRPr="00B043C4">
                    <w:rPr>
                      <w:rFonts w:ascii="Calibri" w:eastAsia="Calibri" w:hAnsi="Calibri" w:cs="Times New Roman"/>
                      <w:b/>
                      <w:color w:val="FF0000"/>
                      <w:sz w:val="20"/>
                      <w:szCs w:val="20"/>
                    </w:rPr>
                    <w:t>Criteria</w:t>
                  </w:r>
                </w:p>
              </w:tc>
            </w:tr>
            <w:tr w:rsidR="00B043C4" w:rsidRPr="00B043C4" w14:paraId="641B10E2" w14:textId="77777777" w:rsidTr="006507FE">
              <w:tc>
                <w:tcPr>
                  <w:tcW w:w="1663" w:type="dxa"/>
                </w:tcPr>
                <w:p w14:paraId="6347F0C5" w14:textId="41B2AEA7" w:rsidR="006507FE" w:rsidRPr="00B043C4" w:rsidRDefault="006507FE" w:rsidP="006507FE">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Strong</w:t>
                  </w:r>
                </w:p>
              </w:tc>
              <w:tc>
                <w:tcPr>
                  <w:tcW w:w="3866" w:type="dxa"/>
                </w:tcPr>
                <w:p w14:paraId="59EC94F3" w14:textId="477162F3" w:rsidR="006507FE" w:rsidRPr="00B043C4" w:rsidRDefault="006507FE" w:rsidP="006507FE">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Benefits clearly outweigh risks</w:t>
                  </w:r>
                </w:p>
              </w:tc>
            </w:tr>
            <w:tr w:rsidR="00B043C4" w:rsidRPr="00B043C4" w14:paraId="03A67C10" w14:textId="77777777" w:rsidTr="006507FE">
              <w:tc>
                <w:tcPr>
                  <w:tcW w:w="1663" w:type="dxa"/>
                </w:tcPr>
                <w:p w14:paraId="7D638970" w14:textId="46801ED2" w:rsidR="006507FE" w:rsidRPr="00B043C4" w:rsidRDefault="006507FE" w:rsidP="006507FE">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Weak</w:t>
                  </w:r>
                </w:p>
              </w:tc>
              <w:tc>
                <w:tcPr>
                  <w:tcW w:w="3866" w:type="dxa"/>
                </w:tcPr>
                <w:p w14:paraId="6E9C77A2" w14:textId="63EDCE28" w:rsidR="006507FE" w:rsidRPr="00B043C4" w:rsidRDefault="006507FE" w:rsidP="006507FE">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Benefits are balanced with risks</w:t>
                  </w:r>
                </w:p>
              </w:tc>
            </w:tr>
            <w:tr w:rsidR="00B043C4" w:rsidRPr="00B043C4" w14:paraId="3E000F8B" w14:textId="77777777" w:rsidTr="006507FE">
              <w:tc>
                <w:tcPr>
                  <w:tcW w:w="1663" w:type="dxa"/>
                </w:tcPr>
                <w:p w14:paraId="24F22F2E" w14:textId="535C628C" w:rsidR="006507FE" w:rsidRPr="00B043C4" w:rsidRDefault="006507FE" w:rsidP="006179D1">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Insufficient</w:t>
                  </w:r>
                </w:p>
              </w:tc>
              <w:tc>
                <w:tcPr>
                  <w:tcW w:w="3866" w:type="dxa"/>
                </w:tcPr>
                <w:p w14:paraId="7A08C87B" w14:textId="0AEA43CF" w:rsidR="006507FE" w:rsidRPr="00B043C4" w:rsidRDefault="006507FE" w:rsidP="006179D1">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Evidence is inadequate to make a recommendation</w:t>
                  </w:r>
                </w:p>
              </w:tc>
            </w:tr>
          </w:tbl>
          <w:p w14:paraId="160292D7" w14:textId="00F9F6F0" w:rsidR="00C0067A" w:rsidRPr="00B043C4" w:rsidRDefault="00C0067A" w:rsidP="006179D1">
            <w:pPr>
              <w:ind w:left="0" w:firstLine="0"/>
              <w:rPr>
                <w:rFonts w:ascii="Calibri" w:eastAsia="Calibri" w:hAnsi="Calibri" w:cs="Times New Roman"/>
                <w:color w:val="FF0000"/>
                <w:sz w:val="20"/>
                <w:szCs w:val="20"/>
              </w:rPr>
            </w:pPr>
          </w:p>
        </w:tc>
      </w:tr>
      <w:tr w:rsidR="006334C5" w14:paraId="2614A3E6" w14:textId="77777777" w:rsidTr="006179D1">
        <w:tc>
          <w:tcPr>
            <w:tcW w:w="3595" w:type="dxa"/>
          </w:tcPr>
          <w:p w14:paraId="40842E0B" w14:textId="77777777" w:rsidR="006334C5" w:rsidRPr="00FE405C" w:rsidRDefault="006334C5" w:rsidP="006179D1">
            <w:pPr>
              <w:ind w:left="0" w:firstLine="0"/>
              <w:rPr>
                <w:rFonts w:ascii="Calibri" w:eastAsia="Calibri" w:hAnsi="Calibri" w:cs="Times New Roman"/>
                <w:sz w:val="20"/>
                <w:szCs w:val="20"/>
              </w:rPr>
            </w:pPr>
            <w:r w:rsidRPr="00FE405C">
              <w:rPr>
                <w:rFonts w:ascii="Calibri" w:eastAsia="Calibri" w:hAnsi="Calibri" w:cs="Times New Roman"/>
                <w:sz w:val="20"/>
                <w:szCs w:val="20"/>
              </w:rPr>
              <w:t>Provide all other grades and definitions from the recommendation grading system.</w:t>
            </w:r>
          </w:p>
        </w:tc>
        <w:tc>
          <w:tcPr>
            <w:tcW w:w="5755" w:type="dxa"/>
          </w:tcPr>
          <w:p w14:paraId="29E73623" w14:textId="3512122A" w:rsidR="006334C5" w:rsidRPr="00B043C4" w:rsidRDefault="00FE405C" w:rsidP="006179D1">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 xml:space="preserve">Not applicable. </w:t>
            </w:r>
          </w:p>
        </w:tc>
      </w:tr>
      <w:tr w:rsidR="006334C5" w14:paraId="0D5DF6FA" w14:textId="77777777" w:rsidTr="006179D1">
        <w:tc>
          <w:tcPr>
            <w:tcW w:w="3595" w:type="dxa"/>
          </w:tcPr>
          <w:p w14:paraId="00E07777" w14:textId="77777777" w:rsidR="006334C5" w:rsidRPr="00552F57" w:rsidRDefault="006334C5" w:rsidP="006179D1">
            <w:pPr>
              <w:ind w:left="0" w:firstLine="0"/>
              <w:rPr>
                <w:rFonts w:ascii="Calibri" w:eastAsia="Calibri" w:hAnsi="Calibri" w:cs="Times New Roman"/>
                <w:sz w:val="20"/>
                <w:szCs w:val="20"/>
              </w:rPr>
            </w:pPr>
            <w:r w:rsidRPr="00552F57">
              <w:rPr>
                <w:rFonts w:ascii="Calibri" w:eastAsia="Calibri" w:hAnsi="Calibri" w:cs="Times New Roman"/>
                <w:sz w:val="20"/>
                <w:szCs w:val="20"/>
              </w:rPr>
              <w:t>Body of evidence:</w:t>
            </w:r>
          </w:p>
          <w:p w14:paraId="3E53B997" w14:textId="77777777" w:rsidR="006334C5" w:rsidRPr="00552F57" w:rsidRDefault="006334C5" w:rsidP="002B5113">
            <w:pPr>
              <w:pStyle w:val="ListParagraph"/>
              <w:numPr>
                <w:ilvl w:val="0"/>
                <w:numId w:val="5"/>
              </w:numPr>
              <w:rPr>
                <w:rFonts w:ascii="Calibri" w:eastAsia="Calibri" w:hAnsi="Calibri" w:cs="Times New Roman"/>
                <w:sz w:val="20"/>
                <w:szCs w:val="20"/>
              </w:rPr>
            </w:pPr>
            <w:r w:rsidRPr="00552F57">
              <w:rPr>
                <w:rFonts w:ascii="Calibri" w:eastAsia="Calibri" w:hAnsi="Calibri" w:cs="Times New Roman"/>
                <w:sz w:val="20"/>
                <w:szCs w:val="20"/>
              </w:rPr>
              <w:t>Quantity – how many studies?</w:t>
            </w:r>
          </w:p>
          <w:p w14:paraId="2D03B9E3" w14:textId="77777777" w:rsidR="006334C5" w:rsidRPr="00552F57" w:rsidRDefault="006334C5" w:rsidP="002B5113">
            <w:pPr>
              <w:pStyle w:val="ListParagraph"/>
              <w:numPr>
                <w:ilvl w:val="0"/>
                <w:numId w:val="5"/>
              </w:numPr>
              <w:rPr>
                <w:rFonts w:ascii="Calibri" w:eastAsia="Calibri" w:hAnsi="Calibri" w:cs="Times New Roman"/>
              </w:rPr>
            </w:pPr>
            <w:r w:rsidRPr="00552F57">
              <w:rPr>
                <w:rFonts w:ascii="Calibri" w:eastAsia="Calibri" w:hAnsi="Calibri" w:cs="Times New Roman"/>
                <w:sz w:val="20"/>
                <w:szCs w:val="20"/>
              </w:rPr>
              <w:t>Quality – what type of studies?</w:t>
            </w:r>
          </w:p>
        </w:tc>
        <w:tc>
          <w:tcPr>
            <w:tcW w:w="5755" w:type="dxa"/>
          </w:tcPr>
          <w:p w14:paraId="02FF0B37" w14:textId="7A3CE4FB" w:rsidR="006334C5" w:rsidRPr="00B043C4" w:rsidRDefault="004B4025" w:rsidP="004B4025">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 xml:space="preserve">In total, the AMDA </w:t>
            </w:r>
            <w:r w:rsidR="00014A70" w:rsidRPr="00B043C4">
              <w:rPr>
                <w:rFonts w:ascii="Calibri" w:eastAsia="Calibri" w:hAnsi="Calibri" w:cs="Times New Roman"/>
                <w:color w:val="FF0000"/>
                <w:sz w:val="20"/>
                <w:szCs w:val="20"/>
              </w:rPr>
              <w:t xml:space="preserve">guideline </w:t>
            </w:r>
            <w:r w:rsidRPr="00B043C4">
              <w:rPr>
                <w:rFonts w:ascii="Calibri" w:eastAsia="Calibri" w:hAnsi="Calibri" w:cs="Times New Roman"/>
                <w:color w:val="FF0000"/>
                <w:sz w:val="20"/>
                <w:szCs w:val="20"/>
              </w:rPr>
              <w:t xml:space="preserve">referenced 96 sources. Several types of studies were reviewed, including randomized controlled trials, interventions, observational studies, studies with well-tested methods, and studies with less sound designs. Most of the recommendations from this guideline were of moderate or low quality evidence. Therefore, the study may have reviewed less randomized controlled trials and more studies with limitations and uncertain results. </w:t>
            </w:r>
            <w:r w:rsidR="00643B5E" w:rsidRPr="00B043C4">
              <w:rPr>
                <w:rFonts w:ascii="Calibri" w:eastAsia="Calibri" w:hAnsi="Calibri" w:cs="Times New Roman"/>
                <w:color w:val="FF0000"/>
                <w:sz w:val="20"/>
                <w:szCs w:val="20"/>
              </w:rPr>
              <w:t xml:space="preserve">Studies reviewed for this guideline were related to pressure ulcer recognition, assessment, prevention, treatment, and monitoring. </w:t>
            </w:r>
          </w:p>
        </w:tc>
      </w:tr>
      <w:tr w:rsidR="006334C5" w14:paraId="4BAF0FD3" w14:textId="77777777" w:rsidTr="006179D1">
        <w:tc>
          <w:tcPr>
            <w:tcW w:w="3595" w:type="dxa"/>
          </w:tcPr>
          <w:p w14:paraId="68D89EED" w14:textId="16E2F610" w:rsidR="006334C5" w:rsidRPr="00552F57" w:rsidRDefault="006334C5" w:rsidP="005A0C7E">
            <w:pPr>
              <w:ind w:left="0" w:firstLine="0"/>
              <w:rPr>
                <w:rFonts w:ascii="Calibri" w:eastAsia="Calibri" w:hAnsi="Calibri" w:cs="Times New Roman"/>
                <w:sz w:val="20"/>
                <w:szCs w:val="20"/>
              </w:rPr>
            </w:pPr>
            <w:r w:rsidRPr="00FD3ED0">
              <w:rPr>
                <w:rFonts w:ascii="Calibri" w:eastAsia="Calibri" w:hAnsi="Calibri" w:cs="Times New Roman"/>
                <w:sz w:val="20"/>
                <w:szCs w:val="20"/>
              </w:rPr>
              <w:t>Estimates of benefit and consistency across studies.</w:t>
            </w:r>
            <w:r w:rsidR="00666DCE">
              <w:rPr>
                <w:rFonts w:ascii="Calibri" w:eastAsia="Calibri" w:hAnsi="Calibri" w:cs="Times New Roman"/>
                <w:sz w:val="20"/>
                <w:szCs w:val="20"/>
              </w:rPr>
              <w:t xml:space="preserve"> </w:t>
            </w:r>
          </w:p>
        </w:tc>
        <w:tc>
          <w:tcPr>
            <w:tcW w:w="5755" w:type="dxa"/>
          </w:tcPr>
          <w:p w14:paraId="5955CD3A" w14:textId="25BC5532" w:rsidR="006334C5" w:rsidRPr="00B043C4" w:rsidRDefault="004B4025" w:rsidP="005B4837">
            <w:pPr>
              <w:ind w:left="0" w:firstLine="0"/>
              <w:rPr>
                <w:rFonts w:ascii="Calibri" w:eastAsia="Calibri" w:hAnsi="Calibri" w:cs="Times New Roman"/>
                <w:color w:val="FF0000"/>
                <w:sz w:val="20"/>
                <w:szCs w:val="20"/>
                <w:highlight w:val="yellow"/>
              </w:rPr>
            </w:pPr>
            <w:r w:rsidRPr="00B043C4">
              <w:rPr>
                <w:rFonts w:ascii="Calibri" w:eastAsia="Calibri" w:hAnsi="Calibri" w:cs="Times New Roman"/>
                <w:color w:val="FF0000"/>
                <w:sz w:val="20"/>
                <w:szCs w:val="20"/>
              </w:rPr>
              <w:t xml:space="preserve">Most of the recommendations offered by the AMDA were graded as strong, meaning that the benefits </w:t>
            </w:r>
            <w:r w:rsidR="005B4837" w:rsidRPr="00B043C4">
              <w:rPr>
                <w:rFonts w:ascii="Calibri" w:eastAsia="Calibri" w:hAnsi="Calibri" w:cs="Times New Roman"/>
                <w:color w:val="FF0000"/>
                <w:sz w:val="20"/>
                <w:szCs w:val="20"/>
              </w:rPr>
              <w:t>of each</w:t>
            </w:r>
            <w:r w:rsidRPr="00B043C4">
              <w:rPr>
                <w:rFonts w:ascii="Calibri" w:eastAsia="Calibri" w:hAnsi="Calibri" w:cs="Times New Roman"/>
                <w:color w:val="FF0000"/>
                <w:sz w:val="20"/>
                <w:szCs w:val="20"/>
              </w:rPr>
              <w:t xml:space="preserve"> </w:t>
            </w:r>
            <w:r w:rsidR="00643B5E" w:rsidRPr="00B043C4">
              <w:rPr>
                <w:rFonts w:ascii="Calibri" w:eastAsia="Calibri" w:hAnsi="Calibri" w:cs="Times New Roman"/>
                <w:color w:val="FF0000"/>
                <w:sz w:val="20"/>
                <w:szCs w:val="20"/>
              </w:rPr>
              <w:t xml:space="preserve">outweighed </w:t>
            </w:r>
            <w:r w:rsidR="005B4837" w:rsidRPr="00B043C4">
              <w:rPr>
                <w:rFonts w:ascii="Calibri" w:eastAsia="Calibri" w:hAnsi="Calibri" w:cs="Times New Roman"/>
                <w:color w:val="FF0000"/>
                <w:sz w:val="20"/>
                <w:szCs w:val="20"/>
              </w:rPr>
              <w:t xml:space="preserve">their </w:t>
            </w:r>
            <w:r w:rsidR="00643B5E" w:rsidRPr="00B043C4">
              <w:rPr>
                <w:rFonts w:ascii="Calibri" w:eastAsia="Calibri" w:hAnsi="Calibri" w:cs="Times New Roman"/>
                <w:color w:val="FF0000"/>
                <w:sz w:val="20"/>
                <w:szCs w:val="20"/>
              </w:rPr>
              <w:t xml:space="preserve">risks. </w:t>
            </w:r>
            <w:r w:rsidR="00661C3F" w:rsidRPr="00B043C4">
              <w:rPr>
                <w:rFonts w:ascii="Calibri" w:eastAsia="Calibri" w:hAnsi="Calibri" w:cs="Times New Roman"/>
                <w:color w:val="FF0000"/>
                <w:sz w:val="20"/>
                <w:szCs w:val="20"/>
              </w:rPr>
              <w:t xml:space="preserve">Several benefits were mentioned in this guideline. Regarding nutrition, </w:t>
            </w:r>
            <w:r w:rsidR="00201921" w:rsidRPr="00B043C4">
              <w:rPr>
                <w:rFonts w:ascii="Calibri" w:eastAsia="Calibri" w:hAnsi="Calibri" w:cs="Times New Roman"/>
                <w:color w:val="FF0000"/>
                <w:sz w:val="20"/>
                <w:szCs w:val="20"/>
              </w:rPr>
              <w:t>supplementing zinc deficient patients with zinc, supplementing malnourish</w:t>
            </w:r>
            <w:r w:rsidR="00590E43" w:rsidRPr="00B043C4">
              <w:rPr>
                <w:rFonts w:ascii="Calibri" w:eastAsia="Calibri" w:hAnsi="Calibri" w:cs="Times New Roman"/>
                <w:color w:val="FF0000"/>
                <w:sz w:val="20"/>
                <w:szCs w:val="20"/>
              </w:rPr>
              <w:t xml:space="preserve">ed patients with Vitamin C, </w:t>
            </w:r>
            <w:r w:rsidR="00661C3F" w:rsidRPr="00B043C4">
              <w:rPr>
                <w:rFonts w:ascii="Calibri" w:eastAsia="Calibri" w:hAnsi="Calibri" w:cs="Times New Roman"/>
                <w:color w:val="FF0000"/>
                <w:sz w:val="20"/>
                <w:szCs w:val="20"/>
              </w:rPr>
              <w:t xml:space="preserve">and </w:t>
            </w:r>
            <w:r w:rsidR="00201921" w:rsidRPr="00B043C4">
              <w:rPr>
                <w:rFonts w:ascii="Calibri" w:eastAsia="Calibri" w:hAnsi="Calibri" w:cs="Times New Roman"/>
                <w:color w:val="FF0000"/>
                <w:sz w:val="20"/>
                <w:szCs w:val="20"/>
              </w:rPr>
              <w:t xml:space="preserve">supplementing patients with L-arginine </w:t>
            </w:r>
            <w:r w:rsidR="00661C3F" w:rsidRPr="00B043C4">
              <w:rPr>
                <w:rFonts w:ascii="Calibri" w:eastAsia="Calibri" w:hAnsi="Calibri" w:cs="Times New Roman"/>
                <w:color w:val="FF0000"/>
                <w:sz w:val="20"/>
                <w:szCs w:val="20"/>
              </w:rPr>
              <w:t xml:space="preserve">were found to benefit wound healing. </w:t>
            </w:r>
            <w:r w:rsidR="00BF6152" w:rsidRPr="00B043C4">
              <w:rPr>
                <w:rFonts w:ascii="Calibri" w:eastAsia="Calibri" w:hAnsi="Calibri" w:cs="Times New Roman"/>
                <w:color w:val="FF0000"/>
                <w:sz w:val="20"/>
                <w:szCs w:val="20"/>
              </w:rPr>
              <w:t xml:space="preserve">In terms of debridement, </w:t>
            </w:r>
            <w:r w:rsidR="00FD3ED0" w:rsidRPr="00B043C4">
              <w:rPr>
                <w:rFonts w:ascii="Calibri" w:eastAsia="Calibri" w:hAnsi="Calibri" w:cs="Times New Roman"/>
                <w:color w:val="FF0000"/>
                <w:sz w:val="20"/>
                <w:szCs w:val="20"/>
              </w:rPr>
              <w:t>several studies support the effectiveness of applying collagenase as a biologic, topical enzymatic debriding agent. Lastly, regardin</w:t>
            </w:r>
            <w:r w:rsidR="005B4837" w:rsidRPr="00B043C4">
              <w:rPr>
                <w:rFonts w:ascii="Calibri" w:eastAsia="Calibri" w:hAnsi="Calibri" w:cs="Times New Roman"/>
                <w:color w:val="FF0000"/>
                <w:sz w:val="20"/>
                <w:szCs w:val="20"/>
              </w:rPr>
              <w:t>g adjunctive therapies, systematic</w:t>
            </w:r>
            <w:r w:rsidR="00FD3ED0" w:rsidRPr="00B043C4">
              <w:rPr>
                <w:rFonts w:ascii="Calibri" w:eastAsia="Calibri" w:hAnsi="Calibri" w:cs="Times New Roman"/>
                <w:color w:val="FF0000"/>
                <w:sz w:val="20"/>
                <w:szCs w:val="20"/>
              </w:rPr>
              <w:t xml:space="preserve"> reviews of chronic ulcers have shown that negative pressure wound therapy has potential for benefit. </w:t>
            </w:r>
          </w:p>
        </w:tc>
      </w:tr>
      <w:tr w:rsidR="006334C5" w14:paraId="3D172764" w14:textId="77777777" w:rsidTr="006179D1">
        <w:tc>
          <w:tcPr>
            <w:tcW w:w="3595" w:type="dxa"/>
          </w:tcPr>
          <w:p w14:paraId="15FEDEC2" w14:textId="77777777" w:rsidR="006334C5" w:rsidRPr="00BF6152" w:rsidRDefault="006334C5" w:rsidP="006179D1">
            <w:pPr>
              <w:ind w:left="0" w:firstLine="0"/>
              <w:rPr>
                <w:rFonts w:ascii="Calibri" w:eastAsia="Calibri" w:hAnsi="Calibri" w:cs="Times New Roman"/>
                <w:sz w:val="20"/>
                <w:szCs w:val="20"/>
              </w:rPr>
            </w:pPr>
            <w:r w:rsidRPr="00BF6152">
              <w:rPr>
                <w:rFonts w:ascii="Calibri" w:eastAsia="Calibri" w:hAnsi="Calibri" w:cs="Times New Roman"/>
                <w:sz w:val="20"/>
                <w:szCs w:val="20"/>
              </w:rPr>
              <w:t>What harms were identified?</w:t>
            </w:r>
          </w:p>
        </w:tc>
        <w:tc>
          <w:tcPr>
            <w:tcW w:w="5755" w:type="dxa"/>
          </w:tcPr>
          <w:p w14:paraId="6DB4686E" w14:textId="01A2EB17" w:rsidR="006334C5" w:rsidRPr="00B043C4" w:rsidRDefault="00BF6152" w:rsidP="006179D1">
            <w:pPr>
              <w:ind w:left="0" w:firstLine="0"/>
              <w:rPr>
                <w:rFonts w:ascii="Calibri" w:eastAsia="Calibri" w:hAnsi="Calibri" w:cs="Times New Roman"/>
                <w:color w:val="FF0000"/>
                <w:sz w:val="20"/>
                <w:szCs w:val="20"/>
              </w:rPr>
            </w:pPr>
            <w:r w:rsidRPr="00B043C4">
              <w:rPr>
                <w:rFonts w:ascii="Calibri" w:eastAsia="Calibri" w:hAnsi="Calibri" w:cs="Times New Roman"/>
                <w:color w:val="FF0000"/>
                <w:sz w:val="20"/>
                <w:szCs w:val="20"/>
              </w:rPr>
              <w:t xml:space="preserve">Most of the recommendations in this guideline have benefits that outweigh their harms. However, one harm identified in the guideline relates to the use of topical antiseptics. Evidence for treating local colonization or infection with antiseptics is lacking. When treating, hydrogen peroxide should not be used as it is highly toxic, iodine products should be avoided in patients with impaired renal failure or thyroid disorders, and </w:t>
            </w:r>
            <w:proofErr w:type="spellStart"/>
            <w:r w:rsidRPr="00B043C4">
              <w:rPr>
                <w:rFonts w:ascii="Calibri" w:eastAsia="Calibri" w:hAnsi="Calibri" w:cs="Times New Roman"/>
                <w:color w:val="FF0000"/>
                <w:sz w:val="20"/>
                <w:szCs w:val="20"/>
              </w:rPr>
              <w:t>Dakins</w:t>
            </w:r>
            <w:proofErr w:type="spellEnd"/>
            <w:r w:rsidRPr="00B043C4">
              <w:rPr>
                <w:rFonts w:ascii="Calibri" w:eastAsia="Calibri" w:hAnsi="Calibri" w:cs="Times New Roman"/>
                <w:color w:val="FF0000"/>
                <w:sz w:val="20"/>
                <w:szCs w:val="20"/>
              </w:rPr>
              <w:t xml:space="preserve"> solution should not be used in concentrations greater than 0.025% as it is </w:t>
            </w:r>
            <w:proofErr w:type="spellStart"/>
            <w:r w:rsidRPr="00B043C4">
              <w:rPr>
                <w:rFonts w:ascii="Calibri" w:eastAsia="Calibri" w:hAnsi="Calibri" w:cs="Times New Roman"/>
                <w:color w:val="FF0000"/>
                <w:sz w:val="20"/>
                <w:szCs w:val="20"/>
              </w:rPr>
              <w:t>cytoxic</w:t>
            </w:r>
            <w:proofErr w:type="spellEnd"/>
            <w:r w:rsidRPr="00B043C4">
              <w:rPr>
                <w:rFonts w:ascii="Calibri" w:eastAsia="Calibri" w:hAnsi="Calibri" w:cs="Times New Roman"/>
                <w:color w:val="FF0000"/>
                <w:sz w:val="20"/>
                <w:szCs w:val="20"/>
              </w:rPr>
              <w:t xml:space="preserve">. </w:t>
            </w:r>
          </w:p>
        </w:tc>
      </w:tr>
      <w:tr w:rsidR="006334C5" w14:paraId="574E7C73" w14:textId="77777777" w:rsidTr="006179D1">
        <w:tc>
          <w:tcPr>
            <w:tcW w:w="3595" w:type="dxa"/>
          </w:tcPr>
          <w:p w14:paraId="3C4F02AB" w14:textId="77777777" w:rsidR="006334C5" w:rsidRPr="00552F57" w:rsidRDefault="006334C5" w:rsidP="006179D1">
            <w:pPr>
              <w:ind w:left="0" w:firstLine="0"/>
              <w:rPr>
                <w:rFonts w:ascii="Calibri" w:eastAsia="Calibri" w:hAnsi="Calibri" w:cs="Times New Roman"/>
                <w:sz w:val="20"/>
                <w:szCs w:val="20"/>
              </w:rPr>
            </w:pPr>
            <w:r w:rsidRPr="00AB0EFF">
              <w:rPr>
                <w:rFonts w:ascii="Calibri" w:eastAsia="Calibri" w:hAnsi="Calibri" w:cs="Times New Roman"/>
                <w:sz w:val="20"/>
                <w:szCs w:val="20"/>
              </w:rPr>
              <w:t>Identify any new studies conducted since the SR. Do the new studies change the conclusions from the SR?</w:t>
            </w:r>
          </w:p>
        </w:tc>
        <w:tc>
          <w:tcPr>
            <w:tcW w:w="5755" w:type="dxa"/>
          </w:tcPr>
          <w:p w14:paraId="7FC40F41" w14:textId="77777777" w:rsidR="006334C5" w:rsidRPr="00B043C4" w:rsidRDefault="005D708F" w:rsidP="00AB0EFF">
            <w:pPr>
              <w:ind w:left="0" w:firstLine="0"/>
              <w:rPr>
                <w:rFonts w:eastAsia="Calibri" w:cs="Times New Roman"/>
                <w:color w:val="FF0000"/>
                <w:sz w:val="20"/>
                <w:szCs w:val="20"/>
              </w:rPr>
            </w:pPr>
            <w:r w:rsidRPr="00B043C4">
              <w:rPr>
                <w:rFonts w:eastAsia="Calibri" w:cs="Times New Roman"/>
                <w:color w:val="FF0000"/>
                <w:sz w:val="20"/>
                <w:szCs w:val="20"/>
              </w:rPr>
              <w:t xml:space="preserve">One </w:t>
            </w:r>
            <w:r w:rsidR="00AB0EFF" w:rsidRPr="00B043C4">
              <w:rPr>
                <w:rFonts w:eastAsia="Calibri" w:cs="Times New Roman"/>
                <w:color w:val="FF0000"/>
                <w:sz w:val="20"/>
                <w:szCs w:val="20"/>
              </w:rPr>
              <w:t xml:space="preserve">2019 </w:t>
            </w:r>
            <w:r w:rsidRPr="00B043C4">
              <w:rPr>
                <w:rFonts w:eastAsia="Calibri" w:cs="Times New Roman"/>
                <w:color w:val="FF0000"/>
                <w:sz w:val="20"/>
                <w:szCs w:val="20"/>
              </w:rPr>
              <w:t>systematic review evaluated the effective</w:t>
            </w:r>
            <w:r w:rsidR="00AB0EFF" w:rsidRPr="00B043C4">
              <w:rPr>
                <w:rFonts w:eastAsia="Calibri" w:cs="Times New Roman"/>
                <w:color w:val="FF0000"/>
                <w:sz w:val="20"/>
                <w:szCs w:val="20"/>
              </w:rPr>
              <w:t>ness</w:t>
            </w:r>
            <w:r w:rsidRPr="00B043C4">
              <w:rPr>
                <w:rFonts w:eastAsia="Calibri" w:cs="Times New Roman"/>
                <w:color w:val="FF0000"/>
                <w:sz w:val="20"/>
                <w:szCs w:val="20"/>
              </w:rPr>
              <w:t xml:space="preserve"> of pressure ulcer prevention. Although this </w:t>
            </w:r>
            <w:r w:rsidR="00AB0EFF" w:rsidRPr="00B043C4">
              <w:rPr>
                <w:rFonts w:eastAsia="Calibri" w:cs="Times New Roman"/>
                <w:color w:val="FF0000"/>
                <w:sz w:val="20"/>
                <w:szCs w:val="20"/>
              </w:rPr>
              <w:t>article</w:t>
            </w:r>
            <w:r w:rsidRPr="00B043C4">
              <w:rPr>
                <w:rFonts w:eastAsia="Calibri" w:cs="Times New Roman"/>
                <w:color w:val="FF0000"/>
                <w:sz w:val="20"/>
                <w:szCs w:val="20"/>
              </w:rPr>
              <w:t xml:space="preserve"> researched hospital-acquired pressure ulcers instead of nursing home-acquired ulcers, it recognized the importance of</w:t>
            </w:r>
            <w:r w:rsidR="00AB0EFF" w:rsidRPr="00B043C4">
              <w:rPr>
                <w:rFonts w:eastAsia="Calibri" w:cs="Times New Roman"/>
                <w:color w:val="FF0000"/>
                <w:sz w:val="20"/>
                <w:szCs w:val="20"/>
              </w:rPr>
              <w:t xml:space="preserve"> using multiple intervention programs to decrease pressure ulcer incidence instead of just single interventions. This supports the AMDA guidelines as multiple recommendations used in combination may reduce pressure ulcer rates. </w:t>
            </w:r>
          </w:p>
          <w:p w14:paraId="3E261DB5" w14:textId="711905FE" w:rsidR="00AB0EFF" w:rsidRPr="00B043C4" w:rsidRDefault="00AB0EFF" w:rsidP="00AB0EFF">
            <w:pPr>
              <w:ind w:left="0" w:firstLine="0"/>
              <w:rPr>
                <w:rFonts w:cs="Arial"/>
                <w:color w:val="FF0000"/>
                <w:sz w:val="20"/>
                <w:szCs w:val="20"/>
              </w:rPr>
            </w:pPr>
            <w:r w:rsidRPr="00B043C4">
              <w:rPr>
                <w:rFonts w:cs="Arial"/>
                <w:b/>
                <w:color w:val="FF0000"/>
                <w:sz w:val="20"/>
                <w:szCs w:val="20"/>
              </w:rPr>
              <w:t xml:space="preserve">Source: </w:t>
            </w:r>
            <w:r w:rsidRPr="00B043C4">
              <w:rPr>
                <w:rFonts w:cs="Arial"/>
                <w:color w:val="FF0000"/>
                <w:sz w:val="20"/>
                <w:szCs w:val="20"/>
              </w:rPr>
              <w:t xml:space="preserve">Gaspar, Susana, Miguel Peralta, </w:t>
            </w:r>
            <w:proofErr w:type="spellStart"/>
            <w:r w:rsidRPr="00B043C4">
              <w:rPr>
                <w:rFonts w:cs="Arial"/>
                <w:color w:val="FF0000"/>
                <w:sz w:val="20"/>
                <w:szCs w:val="20"/>
              </w:rPr>
              <w:t>Adilson</w:t>
            </w:r>
            <w:proofErr w:type="spellEnd"/>
            <w:r w:rsidRPr="00B043C4">
              <w:rPr>
                <w:rFonts w:cs="Arial"/>
                <w:color w:val="FF0000"/>
                <w:sz w:val="20"/>
                <w:szCs w:val="20"/>
              </w:rPr>
              <w:t xml:space="preserve"> Marques, </w:t>
            </w:r>
            <w:proofErr w:type="spellStart"/>
            <w:r w:rsidRPr="00B043C4">
              <w:rPr>
                <w:rFonts w:cs="Arial"/>
                <w:color w:val="FF0000"/>
                <w:sz w:val="20"/>
                <w:szCs w:val="20"/>
              </w:rPr>
              <w:t>Aglécia</w:t>
            </w:r>
            <w:proofErr w:type="spellEnd"/>
            <w:r w:rsidRPr="00B043C4">
              <w:rPr>
                <w:rFonts w:cs="Arial"/>
                <w:color w:val="FF0000"/>
                <w:sz w:val="20"/>
                <w:szCs w:val="20"/>
              </w:rPr>
              <w:t xml:space="preserve"> </w:t>
            </w:r>
            <w:proofErr w:type="spellStart"/>
            <w:r w:rsidRPr="00B043C4">
              <w:rPr>
                <w:rFonts w:cs="Arial"/>
                <w:color w:val="FF0000"/>
                <w:sz w:val="20"/>
                <w:szCs w:val="20"/>
              </w:rPr>
              <w:t>Budri</w:t>
            </w:r>
            <w:proofErr w:type="spellEnd"/>
            <w:r w:rsidRPr="00B043C4">
              <w:rPr>
                <w:rFonts w:cs="Arial"/>
                <w:color w:val="FF0000"/>
                <w:sz w:val="20"/>
                <w:szCs w:val="20"/>
              </w:rPr>
              <w:t xml:space="preserve">, and Margarida Gaspar de Matos. 2019. “Effectiveness on Hospital-Acquired Pressure Ulcers Prevention: A Systematic Review.” International Wound Journal 16 (5): 1087–1102. </w:t>
            </w:r>
            <w:hyperlink r:id="rId30" w:history="1">
              <w:r w:rsidRPr="00B043C4">
                <w:rPr>
                  <w:rStyle w:val="Hyperlink"/>
                  <w:rFonts w:cs="Arial"/>
                  <w:color w:val="FF0000"/>
                  <w:sz w:val="20"/>
                  <w:szCs w:val="20"/>
                </w:rPr>
                <w:t>https://doi.org/10.1111/iwj.13147</w:t>
              </w:r>
            </w:hyperlink>
            <w:r w:rsidRPr="00B043C4">
              <w:rPr>
                <w:rFonts w:cs="Arial"/>
                <w:color w:val="FF0000"/>
                <w:sz w:val="20"/>
                <w:szCs w:val="20"/>
              </w:rPr>
              <w:t>.</w:t>
            </w:r>
          </w:p>
        </w:tc>
      </w:tr>
    </w:tbl>
    <w:p w14:paraId="53FEA570" w14:textId="0429C234" w:rsidR="006334C5" w:rsidRDefault="006334C5" w:rsidP="002E2177">
      <w:pPr>
        <w:ind w:left="0" w:firstLine="0"/>
        <w:rPr>
          <w:rFonts w:ascii="Calibri" w:eastAsia="Calibri" w:hAnsi="Calibri" w:cs="Times New Roman"/>
        </w:rPr>
      </w:pPr>
    </w:p>
    <w:tbl>
      <w:tblPr>
        <w:tblStyle w:val="TableGrid"/>
        <w:tblW w:w="0" w:type="auto"/>
        <w:tblLook w:val="04A0" w:firstRow="1" w:lastRow="0" w:firstColumn="1" w:lastColumn="0" w:noHBand="0" w:noVBand="1"/>
      </w:tblPr>
      <w:tblGrid>
        <w:gridCol w:w="3595"/>
        <w:gridCol w:w="5755"/>
      </w:tblGrid>
      <w:tr w:rsidR="00014A70" w14:paraId="482004FE" w14:textId="77777777" w:rsidTr="009D2D8A">
        <w:tc>
          <w:tcPr>
            <w:tcW w:w="3595" w:type="dxa"/>
          </w:tcPr>
          <w:p w14:paraId="4298C8F9" w14:textId="77777777" w:rsidR="00014A70" w:rsidRPr="00552F57" w:rsidRDefault="00014A70" w:rsidP="009D2D8A">
            <w:pPr>
              <w:rPr>
                <w:rFonts w:ascii="Calibri" w:eastAsia="Calibri" w:hAnsi="Calibri" w:cs="Times New Roman"/>
                <w:b/>
                <w:sz w:val="20"/>
                <w:szCs w:val="20"/>
              </w:rPr>
            </w:pPr>
            <w:r w:rsidRPr="00552F57">
              <w:rPr>
                <w:rFonts w:ascii="Calibri" w:eastAsia="Calibri" w:hAnsi="Calibri" w:cs="Times New Roman"/>
                <w:b/>
                <w:sz w:val="20"/>
                <w:szCs w:val="20"/>
              </w:rPr>
              <w:t>Source of Systematic Review:</w:t>
            </w:r>
          </w:p>
          <w:p w14:paraId="7A62DFDB" w14:textId="77777777" w:rsidR="00014A70" w:rsidRPr="00552F57" w:rsidRDefault="00014A70" w:rsidP="002B5113">
            <w:pPr>
              <w:pStyle w:val="ListParagraph"/>
              <w:numPr>
                <w:ilvl w:val="0"/>
                <w:numId w:val="4"/>
              </w:numPr>
              <w:rPr>
                <w:rFonts w:ascii="Calibri" w:eastAsia="Calibri" w:hAnsi="Calibri" w:cs="Times New Roman"/>
                <w:b/>
                <w:sz w:val="20"/>
                <w:szCs w:val="20"/>
              </w:rPr>
            </w:pPr>
            <w:r w:rsidRPr="00552F57">
              <w:rPr>
                <w:rFonts w:ascii="Calibri" w:eastAsia="Calibri" w:hAnsi="Calibri" w:cs="Times New Roman"/>
                <w:b/>
                <w:sz w:val="20"/>
                <w:szCs w:val="20"/>
              </w:rPr>
              <w:t>Title</w:t>
            </w:r>
          </w:p>
          <w:p w14:paraId="3E32C7E0" w14:textId="77777777" w:rsidR="00014A70" w:rsidRPr="00552F57" w:rsidRDefault="00014A70" w:rsidP="002B5113">
            <w:pPr>
              <w:pStyle w:val="ListParagraph"/>
              <w:numPr>
                <w:ilvl w:val="0"/>
                <w:numId w:val="4"/>
              </w:numPr>
              <w:rPr>
                <w:rFonts w:ascii="Calibri" w:eastAsia="Calibri" w:hAnsi="Calibri" w:cs="Times New Roman"/>
                <w:b/>
                <w:sz w:val="20"/>
                <w:szCs w:val="20"/>
              </w:rPr>
            </w:pPr>
            <w:r w:rsidRPr="00552F57">
              <w:rPr>
                <w:rFonts w:ascii="Calibri" w:eastAsia="Calibri" w:hAnsi="Calibri" w:cs="Times New Roman"/>
                <w:b/>
                <w:sz w:val="20"/>
                <w:szCs w:val="20"/>
              </w:rPr>
              <w:t>Author</w:t>
            </w:r>
          </w:p>
          <w:p w14:paraId="3D2AA4D5" w14:textId="77777777" w:rsidR="00014A70" w:rsidRPr="00552F57" w:rsidRDefault="00014A70" w:rsidP="002B5113">
            <w:pPr>
              <w:pStyle w:val="ListParagraph"/>
              <w:numPr>
                <w:ilvl w:val="0"/>
                <w:numId w:val="4"/>
              </w:numPr>
              <w:rPr>
                <w:rFonts w:ascii="Calibri" w:eastAsia="Calibri" w:hAnsi="Calibri" w:cs="Times New Roman"/>
                <w:b/>
                <w:sz w:val="20"/>
                <w:szCs w:val="20"/>
              </w:rPr>
            </w:pPr>
            <w:r w:rsidRPr="00552F57">
              <w:rPr>
                <w:rFonts w:ascii="Calibri" w:eastAsia="Calibri" w:hAnsi="Calibri" w:cs="Times New Roman"/>
                <w:b/>
                <w:sz w:val="20"/>
                <w:szCs w:val="20"/>
              </w:rPr>
              <w:t>Date</w:t>
            </w:r>
          </w:p>
          <w:p w14:paraId="28024BA8" w14:textId="77777777" w:rsidR="00014A70" w:rsidRPr="00552F57" w:rsidRDefault="00014A70" w:rsidP="002B5113">
            <w:pPr>
              <w:pStyle w:val="ListParagraph"/>
              <w:numPr>
                <w:ilvl w:val="0"/>
                <w:numId w:val="4"/>
              </w:numPr>
              <w:rPr>
                <w:rFonts w:ascii="Calibri" w:eastAsia="Calibri" w:hAnsi="Calibri" w:cs="Times New Roman"/>
                <w:b/>
                <w:sz w:val="20"/>
                <w:szCs w:val="20"/>
              </w:rPr>
            </w:pPr>
            <w:r w:rsidRPr="00552F57">
              <w:rPr>
                <w:rFonts w:ascii="Calibri" w:eastAsia="Calibri" w:hAnsi="Calibri" w:cs="Times New Roman"/>
                <w:b/>
                <w:sz w:val="20"/>
                <w:szCs w:val="20"/>
              </w:rPr>
              <w:t xml:space="preserve">Citation, including page number </w:t>
            </w:r>
          </w:p>
          <w:p w14:paraId="7B1D426C" w14:textId="77777777" w:rsidR="00014A70" w:rsidRPr="00552F57" w:rsidRDefault="00014A70" w:rsidP="002B5113">
            <w:pPr>
              <w:pStyle w:val="ListParagraph"/>
              <w:numPr>
                <w:ilvl w:val="0"/>
                <w:numId w:val="4"/>
              </w:numPr>
              <w:rPr>
                <w:rFonts w:ascii="Calibri" w:eastAsia="Calibri" w:hAnsi="Calibri" w:cs="Times New Roman"/>
                <w:b/>
              </w:rPr>
            </w:pPr>
            <w:r w:rsidRPr="00552F57">
              <w:rPr>
                <w:rFonts w:ascii="Calibri" w:eastAsia="Calibri" w:hAnsi="Calibri" w:cs="Times New Roman"/>
                <w:b/>
                <w:sz w:val="20"/>
                <w:szCs w:val="20"/>
              </w:rPr>
              <w:t>URL</w:t>
            </w:r>
          </w:p>
        </w:tc>
        <w:tc>
          <w:tcPr>
            <w:tcW w:w="5755" w:type="dxa"/>
          </w:tcPr>
          <w:p w14:paraId="0CB95841" w14:textId="77777777" w:rsidR="00014A70" w:rsidRPr="00EE53F2" w:rsidRDefault="00014A70" w:rsidP="009D2D8A">
            <w:pPr>
              <w:ind w:left="0" w:firstLine="0"/>
              <w:rPr>
                <w:rFonts w:ascii="Calibri" w:eastAsia="Calibri" w:hAnsi="Calibri" w:cs="Times New Roman"/>
                <w:color w:val="0000FF"/>
                <w:sz w:val="20"/>
                <w:szCs w:val="20"/>
              </w:rPr>
            </w:pPr>
            <w:r w:rsidRPr="00EE53F2">
              <w:rPr>
                <w:rFonts w:ascii="Calibri" w:eastAsia="Calibri" w:hAnsi="Calibri" w:cs="Times New Roman"/>
                <w:b/>
                <w:color w:val="0000FF"/>
                <w:sz w:val="20"/>
                <w:szCs w:val="20"/>
              </w:rPr>
              <w:t>Title</w:t>
            </w:r>
            <w:r w:rsidRPr="00EE53F2">
              <w:rPr>
                <w:rFonts w:ascii="Calibri" w:eastAsia="Calibri" w:hAnsi="Calibri" w:cs="Times New Roman"/>
                <w:color w:val="0000FF"/>
                <w:sz w:val="20"/>
                <w:szCs w:val="20"/>
              </w:rPr>
              <w:t>: Prevention and Treatment of Pressure Ulcers/Injuries: Clinical Practice Guideline – The International Guideline 2019</w:t>
            </w:r>
          </w:p>
          <w:p w14:paraId="006EC348" w14:textId="02B71D2B" w:rsidR="00014A70" w:rsidRPr="00EE53F2" w:rsidRDefault="00014A70" w:rsidP="009D2D8A">
            <w:pPr>
              <w:ind w:left="0" w:firstLine="0"/>
              <w:rPr>
                <w:rFonts w:ascii="Calibri" w:eastAsia="Calibri" w:hAnsi="Calibri" w:cs="Times New Roman"/>
                <w:color w:val="0000FF"/>
                <w:sz w:val="20"/>
                <w:szCs w:val="20"/>
              </w:rPr>
            </w:pPr>
            <w:r w:rsidRPr="00EE53F2">
              <w:rPr>
                <w:rFonts w:ascii="Calibri" w:eastAsia="Calibri" w:hAnsi="Calibri" w:cs="Times New Roman"/>
                <w:b/>
                <w:color w:val="0000FF"/>
                <w:sz w:val="20"/>
                <w:szCs w:val="20"/>
              </w:rPr>
              <w:t xml:space="preserve">Author: </w:t>
            </w:r>
            <w:r w:rsidR="003039C2" w:rsidRPr="00EE53F2">
              <w:rPr>
                <w:rFonts w:ascii="Calibri" w:eastAsia="Calibri" w:hAnsi="Calibri" w:cs="Times New Roman"/>
                <w:color w:val="0000FF"/>
                <w:sz w:val="20"/>
                <w:szCs w:val="20"/>
              </w:rPr>
              <w:t>The European Pressure Ulcer Advisory Panel (EPUAP), the National Pressure Injury Advisory Panel (NPIAP), and the Pan Pacific Pressure Injury Alliance (PPIA)</w:t>
            </w:r>
          </w:p>
          <w:p w14:paraId="5A7A6C61" w14:textId="77777777" w:rsidR="003039C2" w:rsidRPr="00B043C4" w:rsidRDefault="003039C2" w:rsidP="009D2D8A">
            <w:pPr>
              <w:ind w:left="0" w:firstLine="0"/>
              <w:rPr>
                <w:rFonts w:ascii="Calibri" w:eastAsia="Calibri" w:hAnsi="Calibri" w:cs="Times New Roman"/>
                <w:color w:val="FF0000"/>
                <w:sz w:val="20"/>
                <w:szCs w:val="20"/>
              </w:rPr>
            </w:pPr>
            <w:r w:rsidRPr="00B043C4">
              <w:rPr>
                <w:rFonts w:ascii="Calibri" w:eastAsia="Calibri" w:hAnsi="Calibri" w:cs="Times New Roman"/>
                <w:b/>
                <w:color w:val="FF0000"/>
                <w:sz w:val="20"/>
                <w:szCs w:val="20"/>
              </w:rPr>
              <w:t xml:space="preserve">Date: </w:t>
            </w:r>
            <w:r w:rsidRPr="00B043C4">
              <w:rPr>
                <w:rFonts w:ascii="Calibri" w:eastAsia="Calibri" w:hAnsi="Calibri" w:cs="Times New Roman"/>
                <w:color w:val="FF0000"/>
                <w:sz w:val="20"/>
                <w:szCs w:val="20"/>
              </w:rPr>
              <w:t>2019</w:t>
            </w:r>
          </w:p>
          <w:p w14:paraId="7467884E" w14:textId="436B6B8B" w:rsidR="003039C2" w:rsidRPr="00B043C4" w:rsidRDefault="003039C2" w:rsidP="009D2D8A">
            <w:pPr>
              <w:ind w:left="0" w:firstLine="0"/>
              <w:rPr>
                <w:rFonts w:ascii="Calibri" w:eastAsia="Calibri" w:hAnsi="Calibri" w:cs="Times New Roman"/>
                <w:color w:val="FF0000"/>
                <w:sz w:val="20"/>
                <w:szCs w:val="20"/>
              </w:rPr>
            </w:pPr>
            <w:r w:rsidRPr="00B043C4">
              <w:rPr>
                <w:rFonts w:ascii="Calibri" w:eastAsia="Calibri" w:hAnsi="Calibri" w:cs="Times New Roman"/>
                <w:b/>
                <w:color w:val="FF0000"/>
                <w:sz w:val="20"/>
                <w:szCs w:val="20"/>
              </w:rPr>
              <w:t>Citation</w:t>
            </w:r>
            <w:r w:rsidRPr="00B043C4">
              <w:rPr>
                <w:rFonts w:ascii="Calibri" w:eastAsia="Calibri" w:hAnsi="Calibri" w:cs="Times New Roman"/>
                <w:color w:val="FF0000"/>
                <w:sz w:val="20"/>
                <w:szCs w:val="20"/>
              </w:rPr>
              <w:t xml:space="preserve">: European Pressure Ulcer Advisory Panel (EPUAP), National Pressure Injury Advisory Panel (NPIAP), and Pan Pacific Pressure Injury Alliance (PPPIA). 2019. “Prevention and Treatment of Pressure Ulcers/Injuries: Clinical Practice Guideline. The International Guideline 2019.” Emily </w:t>
            </w:r>
            <w:proofErr w:type="spellStart"/>
            <w:r w:rsidRPr="00B043C4">
              <w:rPr>
                <w:rFonts w:ascii="Calibri" w:eastAsia="Calibri" w:hAnsi="Calibri" w:cs="Times New Roman"/>
                <w:color w:val="FF0000"/>
                <w:sz w:val="20"/>
                <w:szCs w:val="20"/>
              </w:rPr>
              <w:t>Haesler</w:t>
            </w:r>
            <w:proofErr w:type="spellEnd"/>
            <w:r w:rsidRPr="00B043C4">
              <w:rPr>
                <w:rFonts w:ascii="Calibri" w:eastAsia="Calibri" w:hAnsi="Calibri" w:cs="Times New Roman"/>
                <w:color w:val="FF0000"/>
                <w:sz w:val="20"/>
                <w:szCs w:val="20"/>
              </w:rPr>
              <w:t xml:space="preserve"> (Ed.).</w:t>
            </w:r>
          </w:p>
          <w:p w14:paraId="2C8A13A2" w14:textId="65D49B61" w:rsidR="003039C2" w:rsidRPr="00EE53F2" w:rsidRDefault="003039C2" w:rsidP="00590E43">
            <w:pPr>
              <w:ind w:left="0" w:firstLine="0"/>
              <w:rPr>
                <w:rFonts w:ascii="Calibri" w:eastAsia="Calibri" w:hAnsi="Calibri" w:cs="Times New Roman"/>
                <w:color w:val="0000FF"/>
                <w:sz w:val="20"/>
                <w:szCs w:val="20"/>
              </w:rPr>
            </w:pPr>
            <w:r w:rsidRPr="00B043C4">
              <w:rPr>
                <w:rFonts w:ascii="Calibri" w:eastAsia="Calibri" w:hAnsi="Calibri" w:cs="Times New Roman"/>
                <w:b/>
                <w:color w:val="FF0000"/>
                <w:sz w:val="20"/>
                <w:szCs w:val="20"/>
              </w:rPr>
              <w:t>URL</w:t>
            </w:r>
            <w:r w:rsidRPr="00B043C4">
              <w:rPr>
                <w:rFonts w:ascii="Calibri" w:eastAsia="Calibri" w:hAnsi="Calibri" w:cs="Times New Roman"/>
                <w:color w:val="FF0000"/>
                <w:sz w:val="20"/>
                <w:szCs w:val="20"/>
              </w:rPr>
              <w:t xml:space="preserve">: </w:t>
            </w:r>
            <w:hyperlink r:id="rId31" w:history="1">
              <w:r w:rsidR="00590E43" w:rsidRPr="00B043C4">
                <w:rPr>
                  <w:rStyle w:val="Hyperlink"/>
                  <w:rFonts w:ascii="Calibri" w:eastAsia="Calibri" w:hAnsi="Calibri" w:cs="Times New Roman"/>
                  <w:color w:val="FF0000"/>
                  <w:sz w:val="20"/>
                  <w:szCs w:val="20"/>
                </w:rPr>
                <w:t>http://www.internationalguideline.com/</w:t>
              </w:r>
            </w:hyperlink>
            <w:r w:rsidR="00590E43" w:rsidRPr="00EE53F2">
              <w:rPr>
                <w:rFonts w:ascii="Calibri" w:eastAsia="Calibri" w:hAnsi="Calibri" w:cs="Times New Roman"/>
                <w:color w:val="0000FF"/>
                <w:sz w:val="20"/>
                <w:szCs w:val="20"/>
              </w:rPr>
              <w:t xml:space="preserve"> </w:t>
            </w:r>
          </w:p>
        </w:tc>
      </w:tr>
      <w:tr w:rsidR="00014A70" w14:paraId="70F762C1" w14:textId="77777777" w:rsidTr="009D2D8A">
        <w:tc>
          <w:tcPr>
            <w:tcW w:w="3595" w:type="dxa"/>
          </w:tcPr>
          <w:p w14:paraId="0F6C67A2" w14:textId="77777777" w:rsidR="00014A70" w:rsidRPr="00552F57" w:rsidRDefault="00014A70" w:rsidP="009D2D8A">
            <w:pPr>
              <w:ind w:left="0" w:firstLine="0"/>
              <w:rPr>
                <w:rFonts w:ascii="Calibri" w:eastAsia="Calibri" w:hAnsi="Calibri" w:cs="Times New Roman"/>
                <w:sz w:val="20"/>
                <w:szCs w:val="20"/>
              </w:rPr>
            </w:pPr>
            <w:r w:rsidRPr="00552F57">
              <w:rPr>
                <w:sz w:val="20"/>
                <w:szCs w:val="20"/>
              </w:rPr>
              <w:t>Quote the guideline or recommendation verbatim about the process, structure or intermediate outcome being measured. If not a guideline, summarize the conclusions from the SR.</w:t>
            </w:r>
          </w:p>
        </w:tc>
        <w:tc>
          <w:tcPr>
            <w:tcW w:w="5755" w:type="dxa"/>
          </w:tcPr>
          <w:p w14:paraId="382C2D63" w14:textId="0B1F6E41" w:rsidR="00014A70" w:rsidRPr="000A4151" w:rsidRDefault="003039C2" w:rsidP="009D2D8A">
            <w:pPr>
              <w:ind w:left="0" w:firstLine="0"/>
              <w:rPr>
                <w:rFonts w:eastAsia="Calibri" w:cstheme="minorHAnsi"/>
                <w:color w:val="FF0000"/>
                <w:sz w:val="20"/>
                <w:szCs w:val="20"/>
              </w:rPr>
            </w:pPr>
            <w:r w:rsidRPr="000A4151">
              <w:rPr>
                <w:rFonts w:eastAsia="Calibri" w:cstheme="minorHAnsi"/>
                <w:color w:val="FF0000"/>
                <w:sz w:val="20"/>
                <w:szCs w:val="20"/>
              </w:rPr>
              <w:t xml:space="preserve">This guideline produced 115 evidence-based recommendations and 61 good practice statements to guide practice in risk assessment, pressure </w:t>
            </w:r>
            <w:r w:rsidR="00305753" w:rsidRPr="000A4151">
              <w:rPr>
                <w:rFonts w:eastAsia="Calibri" w:cstheme="minorHAnsi"/>
                <w:color w:val="FF0000"/>
                <w:sz w:val="20"/>
                <w:szCs w:val="20"/>
              </w:rPr>
              <w:t>injury prevention and treatment</w:t>
            </w:r>
            <w:r w:rsidRPr="000A4151">
              <w:rPr>
                <w:rFonts w:eastAsia="Calibri" w:cstheme="minorHAnsi"/>
                <w:color w:val="FF0000"/>
                <w:sz w:val="20"/>
                <w:szCs w:val="20"/>
              </w:rPr>
              <w:t xml:space="preserve">. </w:t>
            </w:r>
            <w:r w:rsidR="00D51421" w:rsidRPr="000A4151">
              <w:rPr>
                <w:rFonts w:eastAsia="Calibri" w:cstheme="minorHAnsi"/>
                <w:color w:val="FF0000"/>
                <w:sz w:val="20"/>
                <w:szCs w:val="20"/>
              </w:rPr>
              <w:t xml:space="preserve">A list of these recommendations are </w:t>
            </w:r>
            <w:r w:rsidR="00305753" w:rsidRPr="000A4151">
              <w:rPr>
                <w:rFonts w:eastAsia="Calibri" w:cstheme="minorHAnsi"/>
                <w:color w:val="FF0000"/>
                <w:sz w:val="20"/>
                <w:szCs w:val="20"/>
              </w:rPr>
              <w:t>outlined</w:t>
            </w:r>
            <w:r w:rsidR="00D51421" w:rsidRPr="000A4151">
              <w:rPr>
                <w:rFonts w:eastAsia="Calibri" w:cstheme="minorHAnsi"/>
                <w:color w:val="FF0000"/>
                <w:sz w:val="20"/>
                <w:szCs w:val="20"/>
              </w:rPr>
              <w:t xml:space="preserve"> below, along with symbols that indicate their grade. For more information about grading definitions, see Table 8</w:t>
            </w:r>
            <w:r w:rsidR="004A2C29" w:rsidRPr="000A4151">
              <w:rPr>
                <w:rFonts w:eastAsia="Calibri" w:cstheme="minorHAnsi"/>
                <w:color w:val="FF0000"/>
                <w:sz w:val="20"/>
                <w:szCs w:val="20"/>
              </w:rPr>
              <w:t xml:space="preserve"> and Table 9</w:t>
            </w:r>
            <w:r w:rsidR="00D51421" w:rsidRPr="000A4151">
              <w:rPr>
                <w:rFonts w:eastAsia="Calibri" w:cstheme="minorHAnsi"/>
                <w:color w:val="FF0000"/>
                <w:sz w:val="20"/>
                <w:szCs w:val="20"/>
              </w:rPr>
              <w:t xml:space="preserve">. </w:t>
            </w:r>
          </w:p>
          <w:p w14:paraId="76BF656E" w14:textId="7C777203" w:rsidR="00D51421" w:rsidRPr="000A4151" w:rsidRDefault="00D51421" w:rsidP="009D2D8A">
            <w:pPr>
              <w:ind w:left="0" w:firstLine="0"/>
              <w:rPr>
                <w:rFonts w:eastAsia="Calibri" w:cstheme="minorHAnsi"/>
                <w:color w:val="FF0000"/>
                <w:sz w:val="20"/>
                <w:szCs w:val="20"/>
              </w:rPr>
            </w:pPr>
          </w:p>
          <w:p w14:paraId="0D5DE337" w14:textId="78BFD459" w:rsidR="00456914" w:rsidRPr="000A4151" w:rsidRDefault="00456914" w:rsidP="009D2D8A">
            <w:pPr>
              <w:ind w:left="0" w:firstLine="0"/>
              <w:rPr>
                <w:rFonts w:eastAsia="Calibri" w:cstheme="minorHAnsi"/>
                <w:b/>
                <w:color w:val="FF0000"/>
                <w:sz w:val="20"/>
                <w:szCs w:val="20"/>
              </w:rPr>
            </w:pPr>
            <w:r w:rsidRPr="000A4151">
              <w:rPr>
                <w:rFonts w:eastAsia="Calibri" w:cstheme="minorHAnsi"/>
                <w:b/>
                <w:color w:val="FF0000"/>
                <w:sz w:val="20"/>
                <w:szCs w:val="20"/>
              </w:rPr>
              <w:t>Risk Factors and Risk Assessment</w:t>
            </w:r>
          </w:p>
          <w:p w14:paraId="54301D70" w14:textId="44D5D2BD"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1.1: Consider individuals with limited mobility, limited activity and a high potential </w:t>
            </w:r>
            <w:r w:rsidR="00D51421" w:rsidRPr="000A4151">
              <w:rPr>
                <w:rFonts w:cstheme="minorHAnsi"/>
                <w:bCs/>
                <w:color w:val="FF0000"/>
                <w:sz w:val="20"/>
                <w:szCs w:val="20"/>
              </w:rPr>
              <w:t xml:space="preserve">for friction and shear to be at </w:t>
            </w:r>
            <w:r w:rsidR="00E57F82" w:rsidRPr="000A4151">
              <w:rPr>
                <w:rFonts w:cstheme="minorHAnsi"/>
                <w:bCs/>
                <w:color w:val="FF0000"/>
                <w:sz w:val="20"/>
                <w:szCs w:val="20"/>
              </w:rPr>
              <w:t xml:space="preserve">risk of pressure </w:t>
            </w:r>
            <w:r w:rsidRPr="000A4151">
              <w:rPr>
                <w:rFonts w:cstheme="minorHAnsi"/>
                <w:bCs/>
                <w:color w:val="FF0000"/>
                <w:sz w:val="20"/>
                <w:szCs w:val="20"/>
              </w:rPr>
              <w:t>injuries.</w:t>
            </w:r>
          </w:p>
          <w:p w14:paraId="42437C25"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A;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3D4B5BBD" w14:textId="35DDBCD9"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1.2: Consider individuals with a Category/Stage I pressure injury to be at risk of de</w:t>
            </w:r>
            <w:r w:rsidR="00D51421" w:rsidRPr="000A4151">
              <w:rPr>
                <w:rFonts w:cstheme="minorHAnsi"/>
                <w:bCs/>
                <w:color w:val="FF0000"/>
                <w:sz w:val="20"/>
                <w:szCs w:val="20"/>
              </w:rPr>
              <w:t xml:space="preserve">veloping a Category/Stage II or </w:t>
            </w:r>
            <w:r w:rsidRPr="000A4151">
              <w:rPr>
                <w:rFonts w:cstheme="minorHAnsi"/>
                <w:bCs/>
                <w:color w:val="FF0000"/>
                <w:sz w:val="20"/>
                <w:szCs w:val="20"/>
              </w:rPr>
              <w:t>greater pressure injury.</w:t>
            </w:r>
          </w:p>
          <w:p w14:paraId="7F581E03"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A;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2C896F09" w14:textId="12CCB216"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1.3: Consider the potential impact of an existing pressure injury of any C</w:t>
            </w:r>
            <w:r w:rsidR="00D51421" w:rsidRPr="000A4151">
              <w:rPr>
                <w:rFonts w:cstheme="minorHAnsi"/>
                <w:bCs/>
                <w:color w:val="FF0000"/>
                <w:sz w:val="20"/>
                <w:szCs w:val="20"/>
              </w:rPr>
              <w:t xml:space="preserve">ategory/Stage on development of </w:t>
            </w:r>
            <w:r w:rsidRPr="000A4151">
              <w:rPr>
                <w:rFonts w:cstheme="minorHAnsi"/>
                <w:bCs/>
                <w:color w:val="FF0000"/>
                <w:sz w:val="20"/>
                <w:szCs w:val="20"/>
              </w:rPr>
              <w:t>additional pressure injuries.</w:t>
            </w:r>
          </w:p>
          <w:p w14:paraId="01C0BE0A"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C;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119EBFCF"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1.4: Consider the potential impact of a previous pressure injury on additional pressure injury development</w:t>
            </w:r>
          </w:p>
          <w:p w14:paraId="123134C7"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(Good Practice Statement)</w:t>
            </w:r>
          </w:p>
          <w:p w14:paraId="04C28233"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1.5: Consider the potential impact of alterations to skin status over pressure points on pressure injury risk.</w:t>
            </w:r>
          </w:p>
          <w:p w14:paraId="35099214"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(Good Practice Statement)</w:t>
            </w:r>
          </w:p>
          <w:p w14:paraId="4B35E1E8"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1.6: Consider the potential impact of pain at pressure points on pressure injury risk.</w:t>
            </w:r>
          </w:p>
          <w:p w14:paraId="4CAA90DF"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(Good Practice Statement)</w:t>
            </w:r>
          </w:p>
          <w:p w14:paraId="7EEEFCA2"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1.7: Consider the impact of diabetes mellitus on the risk of pressure injuries.</w:t>
            </w:r>
          </w:p>
          <w:p w14:paraId="315EC664"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(Strength of Evidence = A;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1BEDC7C4"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1.8: Consider the impact of perfusion and circulation deficits on the risk of pressure injuries.</w:t>
            </w:r>
          </w:p>
          <w:p w14:paraId="0C157117"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2DA02C64"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1.9: Consider the potential impact of oxygenation deficits on the risk of pressure injuries.</w:t>
            </w:r>
          </w:p>
          <w:p w14:paraId="1D622767"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C;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10973FA4"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1.10: Consider the impact of impaired nutritional status on the risk of pressure injuries.</w:t>
            </w:r>
          </w:p>
          <w:p w14:paraId="64D21D2A"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C;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7E81B823"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1.11: Consider the potential impact of moist skin on the risk of pressure injuries.</w:t>
            </w:r>
          </w:p>
          <w:p w14:paraId="32B4067E"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C;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7E493519"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1.12: Consider the impact of increased body temperature on the risk of pressure injuries.</w:t>
            </w:r>
          </w:p>
          <w:p w14:paraId="37C8C383"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53F041CB"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1.13: Consider the potential impact of older age on the risk of pressure injuries.</w:t>
            </w:r>
          </w:p>
          <w:p w14:paraId="46A72E12"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C;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42F68924"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1.14: Consider the potential impact of impaired sensory perception on the risk of pressure injuries.</w:t>
            </w:r>
          </w:p>
          <w:p w14:paraId="661005FC"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C;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0AA87237"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1.15: Consider the potential impact of laboratory blood test results on the risk of pressure injuries.</w:t>
            </w:r>
          </w:p>
          <w:p w14:paraId="1D2D1EA9"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C;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6D49AFA4"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1.16: Consider the potential impact of general and mental health status on pressure injury risk.</w:t>
            </w:r>
          </w:p>
          <w:p w14:paraId="249650ED"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(Good Practice Statement)</w:t>
            </w:r>
          </w:p>
          <w:p w14:paraId="79379F1B"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1.17: Consider the impact of time spent immobilized before surgery, the duration of surgery and the American</w:t>
            </w:r>
          </w:p>
          <w:p w14:paraId="65DFC44B"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Society of Anesthesiologists (ASA) Physical Status Classification on surgery-related pressure injury risk.</w:t>
            </w:r>
          </w:p>
          <w:p w14:paraId="6D3B9E0C"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6DA46B76" w14:textId="0C6C092E"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1.19: Consider the impact of skin maturity, perfusion and oxygenation, and </w:t>
            </w:r>
            <w:r w:rsidR="00D51421" w:rsidRPr="000A4151">
              <w:rPr>
                <w:rFonts w:cstheme="minorHAnsi"/>
                <w:bCs/>
                <w:color w:val="FF0000"/>
                <w:sz w:val="20"/>
                <w:szCs w:val="20"/>
              </w:rPr>
              <w:t xml:space="preserve">presence of a medical device on </w:t>
            </w:r>
            <w:r w:rsidRPr="000A4151">
              <w:rPr>
                <w:rFonts w:cstheme="minorHAnsi"/>
                <w:bCs/>
                <w:color w:val="FF0000"/>
                <w:sz w:val="20"/>
                <w:szCs w:val="20"/>
              </w:rPr>
              <w:t>pressure injury risk in neonates and children.</w:t>
            </w:r>
          </w:p>
          <w:p w14:paraId="57BB75CB"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784D3E4D" w14:textId="1BB5FBC3"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1.20: Consider the impact of illness severity and the duration of critical care unit </w:t>
            </w:r>
            <w:r w:rsidR="00D51421" w:rsidRPr="000A4151">
              <w:rPr>
                <w:rFonts w:cstheme="minorHAnsi"/>
                <w:bCs/>
                <w:color w:val="FF0000"/>
                <w:sz w:val="20"/>
                <w:szCs w:val="20"/>
              </w:rPr>
              <w:t xml:space="preserve">stay on pressure injury risk in </w:t>
            </w:r>
            <w:r w:rsidRPr="000A4151">
              <w:rPr>
                <w:rFonts w:cstheme="minorHAnsi"/>
                <w:bCs/>
                <w:color w:val="FF0000"/>
                <w:sz w:val="20"/>
                <w:szCs w:val="20"/>
              </w:rPr>
              <w:t>neonates and children.</w:t>
            </w:r>
          </w:p>
          <w:p w14:paraId="46660D94"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750BED7A" w14:textId="14728A6F"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1.21: Conduct a pressure injury risk screening as soon as possible after admission to the care</w:t>
            </w:r>
            <w:r w:rsidR="00D51421" w:rsidRPr="000A4151">
              <w:rPr>
                <w:rFonts w:cstheme="minorHAnsi"/>
                <w:bCs/>
                <w:color w:val="FF0000"/>
                <w:sz w:val="20"/>
                <w:szCs w:val="20"/>
              </w:rPr>
              <w:t xml:space="preserve"> service and </w:t>
            </w:r>
            <w:r w:rsidRPr="000A4151">
              <w:rPr>
                <w:rFonts w:cstheme="minorHAnsi"/>
                <w:bCs/>
                <w:color w:val="FF0000"/>
                <w:sz w:val="20"/>
                <w:szCs w:val="20"/>
              </w:rPr>
              <w:t>periodically thereafter to identify individuals at risk of developing pressure injuries.</w:t>
            </w:r>
          </w:p>
          <w:p w14:paraId="65A265F1"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(Good Practice Statement)</w:t>
            </w:r>
          </w:p>
          <w:p w14:paraId="4F8D3460" w14:textId="554A4B1B"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1.22: Conduct a full pressure injury risk assessment as guided by the screening ou</w:t>
            </w:r>
            <w:r w:rsidR="00D51421" w:rsidRPr="000A4151">
              <w:rPr>
                <w:rFonts w:cstheme="minorHAnsi"/>
                <w:bCs/>
                <w:color w:val="FF0000"/>
                <w:sz w:val="20"/>
                <w:szCs w:val="20"/>
              </w:rPr>
              <w:t xml:space="preserve">tcome after admission and after </w:t>
            </w:r>
            <w:r w:rsidRPr="000A4151">
              <w:rPr>
                <w:rFonts w:cstheme="minorHAnsi"/>
                <w:bCs/>
                <w:color w:val="FF0000"/>
                <w:sz w:val="20"/>
                <w:szCs w:val="20"/>
              </w:rPr>
              <w:t>any change in status.</w:t>
            </w:r>
          </w:p>
          <w:p w14:paraId="771F22F5"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(Good Practice Statement)</w:t>
            </w:r>
          </w:p>
          <w:p w14:paraId="4035C047" w14:textId="40557E73"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1.23: Develop and implement a risk-based prevention plan for individuals identified</w:t>
            </w:r>
            <w:r w:rsidR="00D51421" w:rsidRPr="000A4151">
              <w:rPr>
                <w:rFonts w:cstheme="minorHAnsi"/>
                <w:bCs/>
                <w:color w:val="FF0000"/>
                <w:sz w:val="20"/>
                <w:szCs w:val="20"/>
              </w:rPr>
              <w:t xml:space="preserve"> as being at risk of developing </w:t>
            </w:r>
            <w:r w:rsidRPr="000A4151">
              <w:rPr>
                <w:rFonts w:cstheme="minorHAnsi"/>
                <w:bCs/>
                <w:color w:val="FF0000"/>
                <w:sz w:val="20"/>
                <w:szCs w:val="20"/>
              </w:rPr>
              <w:t>pressure injuries.</w:t>
            </w:r>
          </w:p>
          <w:p w14:paraId="366C2374"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(Good Practice Statement)</w:t>
            </w:r>
          </w:p>
          <w:p w14:paraId="666E3601"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1.24: When conducting a pressure injury risk assessment:</w:t>
            </w:r>
          </w:p>
          <w:p w14:paraId="2D1AA672" w14:textId="77777777" w:rsidR="003044F2" w:rsidRPr="000A4151" w:rsidRDefault="003044F2" w:rsidP="0030575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Use a structured approach</w:t>
            </w:r>
          </w:p>
          <w:p w14:paraId="72703455" w14:textId="77777777" w:rsidR="003044F2" w:rsidRPr="000A4151" w:rsidRDefault="003044F2" w:rsidP="0030575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Include a comprehensive skin assessment</w:t>
            </w:r>
          </w:p>
          <w:p w14:paraId="5594A7AD" w14:textId="77777777" w:rsidR="003044F2" w:rsidRPr="000A4151" w:rsidRDefault="003044F2" w:rsidP="0030575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Supplement use of a risk assessment tool with assessment of additional risk factors</w:t>
            </w:r>
          </w:p>
          <w:p w14:paraId="42F168FF" w14:textId="77777777" w:rsidR="003044F2" w:rsidRPr="000A4151" w:rsidRDefault="003044F2" w:rsidP="0030575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Interpret the assessment outcomes using clinical judgment.</w:t>
            </w:r>
          </w:p>
          <w:p w14:paraId="72C74B0E" w14:textId="01E5694B" w:rsidR="003044F2" w:rsidRPr="000A4151" w:rsidRDefault="003044F2" w:rsidP="00DC1B13">
            <w:pPr>
              <w:rPr>
                <w:rFonts w:cstheme="minorHAnsi"/>
                <w:bCs/>
                <w:color w:val="FF0000"/>
                <w:sz w:val="20"/>
                <w:szCs w:val="20"/>
              </w:rPr>
            </w:pPr>
            <w:r w:rsidRPr="000A4151">
              <w:rPr>
                <w:rFonts w:cstheme="minorHAnsi"/>
                <w:bCs/>
                <w:color w:val="FF0000"/>
                <w:sz w:val="20"/>
                <w:szCs w:val="20"/>
              </w:rPr>
              <w:t>(Good Practice Statement)</w:t>
            </w:r>
          </w:p>
          <w:p w14:paraId="59050B15" w14:textId="5A66A84D" w:rsidR="00456914" w:rsidRPr="000A4151" w:rsidRDefault="00456914" w:rsidP="00DC1B13">
            <w:pPr>
              <w:rPr>
                <w:rFonts w:cstheme="minorHAnsi"/>
                <w:b/>
                <w:bCs/>
                <w:color w:val="FF0000"/>
                <w:sz w:val="20"/>
                <w:szCs w:val="20"/>
              </w:rPr>
            </w:pPr>
            <w:r w:rsidRPr="000A4151">
              <w:rPr>
                <w:rFonts w:cstheme="minorHAnsi"/>
                <w:b/>
                <w:bCs/>
                <w:color w:val="FF0000"/>
                <w:sz w:val="20"/>
                <w:szCs w:val="20"/>
              </w:rPr>
              <w:t>Skin and Tissue Assessment</w:t>
            </w:r>
          </w:p>
          <w:p w14:paraId="204C00F5"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2.1: Conduct a comprehensive skin and tissue assessment for all individuals at risk of pressure injuries:</w:t>
            </w:r>
          </w:p>
          <w:p w14:paraId="1ECD6CBB" w14:textId="77777777" w:rsidR="003044F2" w:rsidRPr="000A4151" w:rsidRDefault="003044F2" w:rsidP="00D51421">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As soon as possible after admission/transfer to the healthcare service</w:t>
            </w:r>
          </w:p>
          <w:p w14:paraId="49D0FE7A" w14:textId="77777777" w:rsidR="003044F2" w:rsidRPr="000A4151" w:rsidRDefault="003044F2" w:rsidP="00D51421">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As a part of every risk assessment</w:t>
            </w:r>
          </w:p>
          <w:p w14:paraId="71BF5F2A" w14:textId="77777777" w:rsidR="003044F2" w:rsidRPr="000A4151" w:rsidRDefault="003044F2" w:rsidP="00D51421">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Periodically as indicated by the individual’s degree of pressure injury risk</w:t>
            </w:r>
          </w:p>
          <w:p w14:paraId="55B2CE16" w14:textId="77777777" w:rsidR="003044F2" w:rsidRPr="000A4151" w:rsidRDefault="003044F2" w:rsidP="00D51421">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Prior to discharge from the care service.</w:t>
            </w:r>
          </w:p>
          <w:p w14:paraId="12844118" w14:textId="77777777" w:rsidR="003044F2" w:rsidRPr="000A4151" w:rsidRDefault="003044F2" w:rsidP="00DC1B13">
            <w:pPr>
              <w:rPr>
                <w:rFonts w:cstheme="minorHAnsi"/>
                <w:bCs/>
                <w:color w:val="FF0000"/>
                <w:sz w:val="20"/>
                <w:szCs w:val="20"/>
              </w:rPr>
            </w:pPr>
            <w:r w:rsidRPr="000A4151">
              <w:rPr>
                <w:rFonts w:cstheme="minorHAnsi"/>
                <w:bCs/>
                <w:color w:val="FF0000"/>
                <w:sz w:val="20"/>
                <w:szCs w:val="20"/>
              </w:rPr>
              <w:t>(Good Practice Statement)</w:t>
            </w:r>
          </w:p>
          <w:p w14:paraId="4A8BB39C"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2.2: Inspect the skin of individuals at risk of pressure injuries to identify presence of erythema.</w:t>
            </w:r>
          </w:p>
          <w:p w14:paraId="6C7631A0"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(Strength of Evidence = A;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7AE60785" w14:textId="0FECD5F5"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2.3: Differentiate </w:t>
            </w:r>
            <w:proofErr w:type="spellStart"/>
            <w:r w:rsidRPr="000A4151">
              <w:rPr>
                <w:rFonts w:cstheme="minorHAnsi"/>
                <w:bCs/>
                <w:color w:val="FF0000"/>
                <w:sz w:val="20"/>
                <w:szCs w:val="20"/>
              </w:rPr>
              <w:t>blanchable</w:t>
            </w:r>
            <w:proofErr w:type="spellEnd"/>
            <w:r w:rsidRPr="000A4151">
              <w:rPr>
                <w:rFonts w:cstheme="minorHAnsi"/>
                <w:bCs/>
                <w:color w:val="FF0000"/>
                <w:sz w:val="20"/>
                <w:szCs w:val="20"/>
              </w:rPr>
              <w:t xml:space="preserve"> from non-</w:t>
            </w:r>
            <w:proofErr w:type="spellStart"/>
            <w:r w:rsidRPr="000A4151">
              <w:rPr>
                <w:rFonts w:cstheme="minorHAnsi"/>
                <w:bCs/>
                <w:color w:val="FF0000"/>
                <w:sz w:val="20"/>
                <w:szCs w:val="20"/>
              </w:rPr>
              <w:t>blanchable</w:t>
            </w:r>
            <w:proofErr w:type="spellEnd"/>
            <w:r w:rsidRPr="000A4151">
              <w:rPr>
                <w:rFonts w:cstheme="minorHAnsi"/>
                <w:bCs/>
                <w:color w:val="FF0000"/>
                <w:sz w:val="20"/>
                <w:szCs w:val="20"/>
              </w:rPr>
              <w:t xml:space="preserve"> erythema using either finger p</w:t>
            </w:r>
            <w:r w:rsidR="00D51421" w:rsidRPr="000A4151">
              <w:rPr>
                <w:rFonts w:cstheme="minorHAnsi"/>
                <w:bCs/>
                <w:color w:val="FF0000"/>
                <w:sz w:val="20"/>
                <w:szCs w:val="20"/>
              </w:rPr>
              <w:t xml:space="preserve">ressure or the transparent disk </w:t>
            </w:r>
            <w:r w:rsidRPr="000A4151">
              <w:rPr>
                <w:rFonts w:cstheme="minorHAnsi"/>
                <w:bCs/>
                <w:color w:val="FF0000"/>
                <w:sz w:val="20"/>
                <w:szCs w:val="20"/>
              </w:rPr>
              <w:t>method and evaluate the extent of erythema.</w:t>
            </w:r>
          </w:p>
          <w:p w14:paraId="66DA1E9C"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74C86D72"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2.4: Assess the temperature of skin and soft tissue.</w:t>
            </w:r>
          </w:p>
          <w:p w14:paraId="4B6770CE"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01149F69"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2.5: Assess edema and assess for change in tissue consistency in relation to surrounding tissues.</w:t>
            </w:r>
          </w:p>
          <w:p w14:paraId="0F343BD7"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(Good Practice Statement)</w:t>
            </w:r>
          </w:p>
          <w:p w14:paraId="2AA59AC5" w14:textId="3085530F"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2.6: Consider using a sub-epidermal moisture/edema measurement device as an a</w:t>
            </w:r>
            <w:r w:rsidR="00D51421" w:rsidRPr="000A4151">
              <w:rPr>
                <w:rFonts w:cstheme="minorHAnsi"/>
                <w:bCs/>
                <w:color w:val="FF0000"/>
                <w:sz w:val="20"/>
                <w:szCs w:val="20"/>
              </w:rPr>
              <w:t xml:space="preserve">djunct to routine clinical skin </w:t>
            </w:r>
            <w:r w:rsidRPr="000A4151">
              <w:rPr>
                <w:rFonts w:cstheme="minorHAnsi"/>
                <w:bCs/>
                <w:color w:val="FF0000"/>
                <w:sz w:val="20"/>
                <w:szCs w:val="20"/>
              </w:rPr>
              <w:t>assessment.</w:t>
            </w:r>
          </w:p>
          <w:p w14:paraId="5D387D7D"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3790DF65" w14:textId="295E4098"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2.7: When assessing darkly pigmented skin, consider assessment of skin tempera</w:t>
            </w:r>
            <w:r w:rsidR="00D51421" w:rsidRPr="000A4151">
              <w:rPr>
                <w:rFonts w:cstheme="minorHAnsi"/>
                <w:bCs/>
                <w:color w:val="FF0000"/>
                <w:sz w:val="20"/>
                <w:szCs w:val="20"/>
              </w:rPr>
              <w:t xml:space="preserve">ture and sub-epidermal moisture </w:t>
            </w:r>
            <w:r w:rsidRPr="000A4151">
              <w:rPr>
                <w:rFonts w:cstheme="minorHAnsi"/>
                <w:bCs/>
                <w:color w:val="FF0000"/>
                <w:sz w:val="20"/>
                <w:szCs w:val="20"/>
              </w:rPr>
              <w:t>as important adjunct assessment strategies.</w:t>
            </w:r>
          </w:p>
          <w:p w14:paraId="4BD70992"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239E0402" w14:textId="05D87CA5"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2.8: Evaluate the relevance of performing an objective assessment of ski</w:t>
            </w:r>
            <w:r w:rsidR="00D51421" w:rsidRPr="000A4151">
              <w:rPr>
                <w:rFonts w:cstheme="minorHAnsi"/>
                <w:bCs/>
                <w:color w:val="FF0000"/>
                <w:sz w:val="20"/>
                <w:szCs w:val="20"/>
              </w:rPr>
              <w:t xml:space="preserve">n tone using a color chart when </w:t>
            </w:r>
            <w:r w:rsidRPr="000A4151">
              <w:rPr>
                <w:rFonts w:cstheme="minorHAnsi"/>
                <w:bCs/>
                <w:color w:val="FF0000"/>
                <w:sz w:val="20"/>
                <w:szCs w:val="20"/>
              </w:rPr>
              <w:t>conducting a skin assessment.</w:t>
            </w:r>
          </w:p>
          <w:p w14:paraId="4AAD423E"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7CFBFA5D" w14:textId="3FE829C3" w:rsidR="00456914" w:rsidRPr="000A4151" w:rsidRDefault="00456914" w:rsidP="003044F2">
            <w:pPr>
              <w:autoSpaceDE w:val="0"/>
              <w:autoSpaceDN w:val="0"/>
              <w:adjustRightInd w:val="0"/>
              <w:ind w:left="0" w:firstLine="0"/>
              <w:rPr>
                <w:rFonts w:cstheme="minorHAnsi"/>
                <w:b/>
                <w:bCs/>
                <w:color w:val="FF0000"/>
                <w:sz w:val="20"/>
                <w:szCs w:val="20"/>
              </w:rPr>
            </w:pPr>
            <w:r w:rsidRPr="000A4151">
              <w:rPr>
                <w:rFonts w:cstheme="minorHAnsi"/>
                <w:b/>
                <w:bCs/>
                <w:color w:val="FF0000"/>
                <w:sz w:val="20"/>
                <w:szCs w:val="20"/>
              </w:rPr>
              <w:t>Preventive Skin Care</w:t>
            </w:r>
          </w:p>
          <w:p w14:paraId="7AD6B753" w14:textId="3027ABF1"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3.1: Implement a skin care regimen that includes:</w:t>
            </w:r>
          </w:p>
          <w:p w14:paraId="1A43E2BE" w14:textId="76014B21" w:rsidR="003044F2" w:rsidRPr="000A4151" w:rsidRDefault="003044F2" w:rsidP="00D51421">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Keeping the skin clean and appropriately hydrated</w:t>
            </w:r>
          </w:p>
          <w:p w14:paraId="395E429B" w14:textId="77777777" w:rsidR="003044F2" w:rsidRPr="000A4151" w:rsidRDefault="003044F2" w:rsidP="00D51421">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Cleansing the skin promptly after episodes of incontinence</w:t>
            </w:r>
          </w:p>
          <w:p w14:paraId="702DF4E5" w14:textId="77777777" w:rsidR="003044F2" w:rsidRPr="000A4151" w:rsidRDefault="003044F2" w:rsidP="00D51421">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Avoiding use of alkaline soaps and cleansers</w:t>
            </w:r>
          </w:p>
          <w:p w14:paraId="2E18E510" w14:textId="77777777" w:rsidR="003044F2" w:rsidRPr="000A4151" w:rsidRDefault="003044F2" w:rsidP="00D51421">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Protecting the skin from moisture with a barrier product.</w:t>
            </w:r>
          </w:p>
          <w:p w14:paraId="6227B178"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172FC09D"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3.2: Avoid vigorously rubbing skin that is at risk of pressure injuries.</w:t>
            </w:r>
          </w:p>
          <w:p w14:paraId="7D6A015E"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(Good Practice Statement)</w:t>
            </w:r>
          </w:p>
          <w:p w14:paraId="58D0BE96" w14:textId="140E9298"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3.3: Use high absorbency incontinence products to protect the skin in individu</w:t>
            </w:r>
            <w:r w:rsidR="00D51421" w:rsidRPr="000A4151">
              <w:rPr>
                <w:rFonts w:cstheme="minorHAnsi"/>
                <w:bCs/>
                <w:color w:val="FF0000"/>
                <w:sz w:val="20"/>
                <w:szCs w:val="20"/>
              </w:rPr>
              <w:t xml:space="preserve">als with or at risk of pressure </w:t>
            </w:r>
            <w:r w:rsidRPr="000A4151">
              <w:rPr>
                <w:rFonts w:cstheme="minorHAnsi"/>
                <w:bCs/>
                <w:color w:val="FF0000"/>
                <w:sz w:val="20"/>
                <w:szCs w:val="20"/>
              </w:rPr>
              <w:t>injuries who have urinary incontinence.</w:t>
            </w:r>
          </w:p>
          <w:p w14:paraId="05C3CA77"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022F3A50"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3.4: Consider using textiles with low friction coefficients for individuals with or at risk of pressure injuries.</w:t>
            </w:r>
          </w:p>
          <w:p w14:paraId="4F907C2F"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20324990"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3.5: Use a soft silicone multi-layered foam dressing to protect the skin for individuals at risk of pressure injuries.</w:t>
            </w:r>
          </w:p>
          <w:p w14:paraId="326481CB"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5D16B2D0" w14:textId="756D81AC" w:rsidR="00456914" w:rsidRPr="000A4151" w:rsidRDefault="00456914" w:rsidP="003044F2">
            <w:pPr>
              <w:autoSpaceDE w:val="0"/>
              <w:autoSpaceDN w:val="0"/>
              <w:adjustRightInd w:val="0"/>
              <w:ind w:left="0" w:firstLine="0"/>
              <w:rPr>
                <w:rFonts w:cstheme="minorHAnsi"/>
                <w:b/>
                <w:bCs/>
                <w:color w:val="FF0000"/>
                <w:sz w:val="20"/>
                <w:szCs w:val="20"/>
              </w:rPr>
            </w:pPr>
            <w:r w:rsidRPr="000A4151">
              <w:rPr>
                <w:rFonts w:cstheme="minorHAnsi"/>
                <w:b/>
                <w:bCs/>
                <w:color w:val="FF0000"/>
                <w:sz w:val="20"/>
                <w:szCs w:val="20"/>
              </w:rPr>
              <w:t>Nutrition Assessment and Treatment</w:t>
            </w:r>
          </w:p>
          <w:p w14:paraId="5B8C524C" w14:textId="607E01C4"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4.1: Conduct nutritional screening for individuals at risk of a pressure injury.</w:t>
            </w:r>
          </w:p>
          <w:p w14:paraId="08917E33"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6FA74ED7" w14:textId="488E06DA"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4.2: Conduct a comprehensive nutrition assessment for adults at risk of a pressur</w:t>
            </w:r>
            <w:r w:rsidR="00D51421" w:rsidRPr="000A4151">
              <w:rPr>
                <w:rFonts w:cstheme="minorHAnsi"/>
                <w:bCs/>
                <w:color w:val="FF0000"/>
                <w:sz w:val="20"/>
                <w:szCs w:val="20"/>
              </w:rPr>
              <w:t xml:space="preserve">e injury who are screened to be </w:t>
            </w:r>
            <w:r w:rsidRPr="000A4151">
              <w:rPr>
                <w:rFonts w:cstheme="minorHAnsi"/>
                <w:bCs/>
                <w:color w:val="FF0000"/>
                <w:sz w:val="20"/>
                <w:szCs w:val="20"/>
              </w:rPr>
              <w:t>at risk of malnutrition and for all adults with a pressure injury.</w:t>
            </w:r>
          </w:p>
          <w:p w14:paraId="62BCE583"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5E8F3C5F" w14:textId="34E72E49"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4.3: Develop and implement an individualized nutrition care plan for individual</w:t>
            </w:r>
            <w:r w:rsidR="00D51421" w:rsidRPr="000A4151">
              <w:rPr>
                <w:rFonts w:cstheme="minorHAnsi"/>
                <w:bCs/>
                <w:color w:val="FF0000"/>
                <w:sz w:val="20"/>
                <w:szCs w:val="20"/>
              </w:rPr>
              <w:t xml:space="preserve">s with or at risk of a pressure </w:t>
            </w:r>
            <w:r w:rsidRPr="000A4151">
              <w:rPr>
                <w:rFonts w:cstheme="minorHAnsi"/>
                <w:bCs/>
                <w:color w:val="FF0000"/>
                <w:sz w:val="20"/>
                <w:szCs w:val="20"/>
              </w:rPr>
              <w:t>injury who are malnourished or who are at risk of malnutrition.</w:t>
            </w:r>
          </w:p>
          <w:p w14:paraId="0F6CD869"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6A82B217" w14:textId="2B5A4CE5"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4.4: Optimize energy intake for individuals at risk of pressure injuries who</w:t>
            </w:r>
            <w:r w:rsidR="00D51421" w:rsidRPr="000A4151">
              <w:rPr>
                <w:rFonts w:cstheme="minorHAnsi"/>
                <w:bCs/>
                <w:color w:val="FF0000"/>
                <w:sz w:val="20"/>
                <w:szCs w:val="20"/>
              </w:rPr>
              <w:t xml:space="preserve"> are malnourished or at risk of </w:t>
            </w:r>
            <w:r w:rsidRPr="000A4151">
              <w:rPr>
                <w:rFonts w:cstheme="minorHAnsi"/>
                <w:bCs/>
                <w:color w:val="FF0000"/>
                <w:sz w:val="20"/>
                <w:szCs w:val="20"/>
              </w:rPr>
              <w:t>malnutrition.</w:t>
            </w:r>
          </w:p>
          <w:p w14:paraId="32F6FA3E"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19A71A3B" w14:textId="3157813F"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4.5: Adjust protein intake for individuals at risk of pressure injuries who</w:t>
            </w:r>
            <w:r w:rsidR="00D51421" w:rsidRPr="000A4151">
              <w:rPr>
                <w:rFonts w:cstheme="minorHAnsi"/>
                <w:bCs/>
                <w:color w:val="FF0000"/>
                <w:sz w:val="20"/>
                <w:szCs w:val="20"/>
              </w:rPr>
              <w:t xml:space="preserve"> are malnourished or at risk of </w:t>
            </w:r>
            <w:r w:rsidRPr="000A4151">
              <w:rPr>
                <w:rFonts w:cstheme="minorHAnsi"/>
                <w:bCs/>
                <w:color w:val="FF0000"/>
                <w:sz w:val="20"/>
                <w:szCs w:val="20"/>
              </w:rPr>
              <w:t>malnutrition.</w:t>
            </w:r>
          </w:p>
          <w:p w14:paraId="29733B0E"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(Good Practice Statement)</w:t>
            </w:r>
          </w:p>
          <w:p w14:paraId="2D1B1FB4" w14:textId="34FE7CF3"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4.6: Provide 30 to 35 </w:t>
            </w:r>
            <w:proofErr w:type="spellStart"/>
            <w:r w:rsidRPr="000A4151">
              <w:rPr>
                <w:rFonts w:cstheme="minorHAnsi"/>
                <w:bCs/>
                <w:color w:val="FF0000"/>
                <w:sz w:val="20"/>
                <w:szCs w:val="20"/>
              </w:rPr>
              <w:t>kcalories</w:t>
            </w:r>
            <w:proofErr w:type="spellEnd"/>
            <w:r w:rsidRPr="000A4151">
              <w:rPr>
                <w:rFonts w:cstheme="minorHAnsi"/>
                <w:bCs/>
                <w:color w:val="FF0000"/>
                <w:sz w:val="20"/>
                <w:szCs w:val="20"/>
              </w:rPr>
              <w:t xml:space="preserve">/kg body weight/day for adults with a pressure injury who are </w:t>
            </w:r>
            <w:r w:rsidR="00D51421" w:rsidRPr="000A4151">
              <w:rPr>
                <w:rFonts w:cstheme="minorHAnsi"/>
                <w:bCs/>
                <w:color w:val="FF0000"/>
                <w:sz w:val="20"/>
                <w:szCs w:val="20"/>
              </w:rPr>
              <w:t xml:space="preserve">malnourished or at </w:t>
            </w:r>
            <w:r w:rsidRPr="000A4151">
              <w:rPr>
                <w:rFonts w:cstheme="minorHAnsi"/>
                <w:bCs/>
                <w:color w:val="FF0000"/>
                <w:sz w:val="20"/>
                <w:szCs w:val="20"/>
              </w:rPr>
              <w:t>risk of malnutrition.</w:t>
            </w:r>
          </w:p>
          <w:p w14:paraId="049C0F31"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6FF5AE79" w14:textId="09F274FD"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4.7: Provide 1.25 to 1.5 g protein/kg body weight/day for adults with a pressure</w:t>
            </w:r>
            <w:r w:rsidR="00D51421" w:rsidRPr="000A4151">
              <w:rPr>
                <w:rFonts w:cstheme="minorHAnsi"/>
                <w:bCs/>
                <w:color w:val="FF0000"/>
                <w:sz w:val="20"/>
                <w:szCs w:val="20"/>
              </w:rPr>
              <w:t xml:space="preserve"> injury who are malnourished or </w:t>
            </w:r>
            <w:r w:rsidRPr="000A4151">
              <w:rPr>
                <w:rFonts w:cstheme="minorHAnsi"/>
                <w:bCs/>
                <w:color w:val="FF0000"/>
                <w:sz w:val="20"/>
                <w:szCs w:val="20"/>
              </w:rPr>
              <w:t>at risk of malnutrition.</w:t>
            </w:r>
          </w:p>
          <w:p w14:paraId="2407E42A"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6EDCF05A" w14:textId="4B8BF01F"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4.8: Offer high calorie, high protein fortified foods and/or nutritional suppl</w:t>
            </w:r>
            <w:r w:rsidR="00D51421" w:rsidRPr="000A4151">
              <w:rPr>
                <w:rFonts w:cstheme="minorHAnsi"/>
                <w:bCs/>
                <w:color w:val="FF0000"/>
                <w:sz w:val="20"/>
                <w:szCs w:val="20"/>
              </w:rPr>
              <w:t xml:space="preserve">ements in addition to the usual </w:t>
            </w:r>
            <w:r w:rsidRPr="000A4151">
              <w:rPr>
                <w:rFonts w:cstheme="minorHAnsi"/>
                <w:bCs/>
                <w:color w:val="FF0000"/>
                <w:sz w:val="20"/>
                <w:szCs w:val="20"/>
              </w:rPr>
              <w:t>diet for adults who are at risk of developing a pressure injury and who are also malnourished or at ris</w:t>
            </w:r>
            <w:r w:rsidR="00D51421" w:rsidRPr="000A4151">
              <w:rPr>
                <w:rFonts w:cstheme="minorHAnsi"/>
                <w:bCs/>
                <w:color w:val="FF0000"/>
                <w:sz w:val="20"/>
                <w:szCs w:val="20"/>
              </w:rPr>
              <w:t xml:space="preserve">k of </w:t>
            </w:r>
            <w:r w:rsidRPr="000A4151">
              <w:rPr>
                <w:rFonts w:cstheme="minorHAnsi"/>
                <w:bCs/>
                <w:color w:val="FF0000"/>
                <w:sz w:val="20"/>
                <w:szCs w:val="20"/>
              </w:rPr>
              <w:t>malnutrition, if nutritional requirements cannot be achieved by normal dietary intake.</w:t>
            </w:r>
          </w:p>
          <w:p w14:paraId="2CFDA39C"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(Strength of Evidence = C;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72EAFA75" w14:textId="61118E13"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4.9: Offer high calorie, high protein nutritional supplements in addition to the usual diet for adults wi</w:t>
            </w:r>
            <w:r w:rsidR="00D51421" w:rsidRPr="000A4151">
              <w:rPr>
                <w:rFonts w:cstheme="minorHAnsi"/>
                <w:bCs/>
                <w:color w:val="FF0000"/>
                <w:sz w:val="20"/>
                <w:szCs w:val="20"/>
              </w:rPr>
              <w:t xml:space="preserve">th a </w:t>
            </w:r>
            <w:r w:rsidRPr="000A4151">
              <w:rPr>
                <w:rFonts w:cstheme="minorHAnsi"/>
                <w:bCs/>
                <w:color w:val="FF0000"/>
                <w:sz w:val="20"/>
                <w:szCs w:val="20"/>
              </w:rPr>
              <w:t>pressure injury who are malnourished or at risk of malnutrition, if nut</w:t>
            </w:r>
            <w:r w:rsidR="00D51421" w:rsidRPr="000A4151">
              <w:rPr>
                <w:rFonts w:cstheme="minorHAnsi"/>
                <w:bCs/>
                <w:color w:val="FF0000"/>
                <w:sz w:val="20"/>
                <w:szCs w:val="20"/>
              </w:rPr>
              <w:t xml:space="preserve">ritional requirements cannot be </w:t>
            </w:r>
            <w:r w:rsidRPr="000A4151">
              <w:rPr>
                <w:rFonts w:cstheme="minorHAnsi"/>
                <w:bCs/>
                <w:color w:val="FF0000"/>
                <w:sz w:val="20"/>
                <w:szCs w:val="20"/>
              </w:rPr>
              <w:t>achieved by normal dietary intake.</w:t>
            </w:r>
          </w:p>
          <w:p w14:paraId="3B9753F7"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43A0A0C7" w14:textId="18F9AB90"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4.10: Provide high-calorie, high-protein, arginine, zinc and antioxidant oral nut</w:t>
            </w:r>
            <w:r w:rsidR="00D51421" w:rsidRPr="000A4151">
              <w:rPr>
                <w:rFonts w:cstheme="minorHAnsi"/>
                <w:bCs/>
                <w:color w:val="FF0000"/>
                <w:sz w:val="20"/>
                <w:szCs w:val="20"/>
              </w:rPr>
              <w:t xml:space="preserve">ritional supplements or enteral </w:t>
            </w:r>
            <w:r w:rsidRPr="000A4151">
              <w:rPr>
                <w:rFonts w:cstheme="minorHAnsi"/>
                <w:bCs/>
                <w:color w:val="FF0000"/>
                <w:sz w:val="20"/>
                <w:szCs w:val="20"/>
              </w:rPr>
              <w:t>formula for adults with a Category/Stage II or greater pressure injury who</w:t>
            </w:r>
            <w:r w:rsidR="00D51421" w:rsidRPr="000A4151">
              <w:rPr>
                <w:rFonts w:cstheme="minorHAnsi"/>
                <w:bCs/>
                <w:color w:val="FF0000"/>
                <w:sz w:val="20"/>
                <w:szCs w:val="20"/>
              </w:rPr>
              <w:t xml:space="preserve"> are malnourished or at risk of </w:t>
            </w:r>
            <w:r w:rsidRPr="000A4151">
              <w:rPr>
                <w:rFonts w:cstheme="minorHAnsi"/>
                <w:bCs/>
                <w:color w:val="FF0000"/>
                <w:sz w:val="20"/>
                <w:szCs w:val="20"/>
              </w:rPr>
              <w:t>malnutrition.</w:t>
            </w:r>
          </w:p>
          <w:p w14:paraId="7C2C0316"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15D4EA13" w14:textId="1BC8C476"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4.11: Discuss the benefits and harms of enteral or parenteral feeding to sup</w:t>
            </w:r>
            <w:r w:rsidR="00D51421" w:rsidRPr="000A4151">
              <w:rPr>
                <w:rFonts w:cstheme="minorHAnsi"/>
                <w:bCs/>
                <w:color w:val="FF0000"/>
                <w:sz w:val="20"/>
                <w:szCs w:val="20"/>
              </w:rPr>
              <w:t xml:space="preserve">port overall health in light of </w:t>
            </w:r>
            <w:r w:rsidRPr="000A4151">
              <w:rPr>
                <w:rFonts w:cstheme="minorHAnsi"/>
                <w:bCs/>
                <w:color w:val="FF0000"/>
                <w:sz w:val="20"/>
                <w:szCs w:val="20"/>
              </w:rPr>
              <w:t>preferences and goals of care with individuals at risk of pressure injuries wh</w:t>
            </w:r>
            <w:r w:rsidR="00D51421" w:rsidRPr="000A4151">
              <w:rPr>
                <w:rFonts w:cstheme="minorHAnsi"/>
                <w:bCs/>
                <w:color w:val="FF0000"/>
                <w:sz w:val="20"/>
                <w:szCs w:val="20"/>
              </w:rPr>
              <w:t xml:space="preserve">o cannot meet their nutritional </w:t>
            </w:r>
            <w:r w:rsidRPr="000A4151">
              <w:rPr>
                <w:rFonts w:cstheme="minorHAnsi"/>
                <w:bCs/>
                <w:color w:val="FF0000"/>
                <w:sz w:val="20"/>
                <w:szCs w:val="20"/>
              </w:rPr>
              <w:t>requirements through oral intake despite nutritional interventions.</w:t>
            </w:r>
          </w:p>
          <w:p w14:paraId="2424A130"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(Good Practice Statement)</w:t>
            </w:r>
          </w:p>
          <w:p w14:paraId="3BE56E64" w14:textId="3EFCE82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4.12: Discuss the benefits and harms of enteral or parenteral feeding to support pre</w:t>
            </w:r>
            <w:r w:rsidR="00D51421" w:rsidRPr="000A4151">
              <w:rPr>
                <w:rFonts w:cstheme="minorHAnsi"/>
                <w:bCs/>
                <w:color w:val="FF0000"/>
                <w:sz w:val="20"/>
                <w:szCs w:val="20"/>
              </w:rPr>
              <w:t xml:space="preserve">ssure injury treatment in light </w:t>
            </w:r>
            <w:r w:rsidRPr="000A4151">
              <w:rPr>
                <w:rFonts w:cstheme="minorHAnsi"/>
                <w:bCs/>
                <w:color w:val="FF0000"/>
                <w:sz w:val="20"/>
                <w:szCs w:val="20"/>
              </w:rPr>
              <w:t>of preferences and goals of care for individuals with pressure injuries who cannot meet their nutri</w:t>
            </w:r>
            <w:r w:rsidR="00D51421" w:rsidRPr="000A4151">
              <w:rPr>
                <w:rFonts w:cstheme="minorHAnsi"/>
                <w:bCs/>
                <w:color w:val="FF0000"/>
                <w:sz w:val="20"/>
                <w:szCs w:val="20"/>
              </w:rPr>
              <w:t xml:space="preserve">tional </w:t>
            </w:r>
            <w:r w:rsidRPr="000A4151">
              <w:rPr>
                <w:rFonts w:cstheme="minorHAnsi"/>
                <w:bCs/>
                <w:color w:val="FF0000"/>
                <w:sz w:val="20"/>
                <w:szCs w:val="20"/>
              </w:rPr>
              <w:t>requirements through oral intake despite nutritional interventions.</w:t>
            </w:r>
          </w:p>
          <w:p w14:paraId="75978B07"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39DB8A7F" w14:textId="02079C28"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4.13: Provide and encourage adequate water/fluid intake for hydration for an </w:t>
            </w:r>
            <w:r w:rsidR="00D51421" w:rsidRPr="000A4151">
              <w:rPr>
                <w:rFonts w:cstheme="minorHAnsi"/>
                <w:bCs/>
                <w:color w:val="FF0000"/>
                <w:sz w:val="20"/>
                <w:szCs w:val="20"/>
              </w:rPr>
              <w:t xml:space="preserve">individual with or at risk of a </w:t>
            </w:r>
            <w:r w:rsidRPr="000A4151">
              <w:rPr>
                <w:rFonts w:cstheme="minorHAnsi"/>
                <w:bCs/>
                <w:color w:val="FF0000"/>
                <w:sz w:val="20"/>
                <w:szCs w:val="20"/>
              </w:rPr>
              <w:t>pressure injury, when compatible with goals of care and clinical condition.</w:t>
            </w:r>
          </w:p>
          <w:p w14:paraId="159831E5"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(Good Practice Statement)</w:t>
            </w:r>
          </w:p>
          <w:p w14:paraId="35ACFD3C" w14:textId="1FE97135"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4.14: Conduct age appropriate nutritional screening and assessment for neonates a</w:t>
            </w:r>
            <w:r w:rsidR="00D51421" w:rsidRPr="000A4151">
              <w:rPr>
                <w:rFonts w:cstheme="minorHAnsi"/>
                <w:bCs/>
                <w:color w:val="FF0000"/>
                <w:sz w:val="20"/>
                <w:szCs w:val="20"/>
              </w:rPr>
              <w:t xml:space="preserve">nd children at risk of pressure </w:t>
            </w:r>
            <w:r w:rsidRPr="000A4151">
              <w:rPr>
                <w:rFonts w:cstheme="minorHAnsi"/>
                <w:bCs/>
                <w:color w:val="FF0000"/>
                <w:sz w:val="20"/>
                <w:szCs w:val="20"/>
              </w:rPr>
              <w:t>injuries.</w:t>
            </w:r>
          </w:p>
          <w:p w14:paraId="6EA9F1A0"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(Good Practice Statement)</w:t>
            </w:r>
          </w:p>
          <w:p w14:paraId="32824159" w14:textId="6D12F698"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4.15: For neonates and children with or at risk of pressure injuries who have i</w:t>
            </w:r>
            <w:r w:rsidR="00D51421" w:rsidRPr="000A4151">
              <w:rPr>
                <w:rFonts w:cstheme="minorHAnsi"/>
                <w:bCs/>
                <w:color w:val="FF0000"/>
                <w:sz w:val="20"/>
                <w:szCs w:val="20"/>
              </w:rPr>
              <w:t xml:space="preserve">nadequate oral intake, consider </w:t>
            </w:r>
            <w:r w:rsidRPr="000A4151">
              <w:rPr>
                <w:rFonts w:cstheme="minorHAnsi"/>
                <w:bCs/>
                <w:color w:val="FF0000"/>
                <w:sz w:val="20"/>
                <w:szCs w:val="20"/>
              </w:rPr>
              <w:t>fortified foods, age appropriate nutritional supplements, or enteral or parenteral nutritional support.</w:t>
            </w:r>
          </w:p>
          <w:p w14:paraId="11592A36" w14:textId="390A3A3C"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(Good Practice Statement)</w:t>
            </w:r>
          </w:p>
          <w:p w14:paraId="5868D52E" w14:textId="7386A18D" w:rsidR="00456914" w:rsidRPr="000A4151" w:rsidRDefault="00456914" w:rsidP="003044F2">
            <w:pPr>
              <w:ind w:left="0" w:firstLine="0"/>
              <w:rPr>
                <w:rFonts w:cstheme="minorHAnsi"/>
                <w:b/>
                <w:bCs/>
                <w:color w:val="FF0000"/>
                <w:sz w:val="20"/>
                <w:szCs w:val="20"/>
              </w:rPr>
            </w:pPr>
            <w:r w:rsidRPr="000A4151">
              <w:rPr>
                <w:rFonts w:cstheme="minorHAnsi"/>
                <w:b/>
                <w:bCs/>
                <w:color w:val="FF0000"/>
                <w:sz w:val="20"/>
                <w:szCs w:val="20"/>
              </w:rPr>
              <w:t xml:space="preserve">Repositioning and Early Mobilization </w:t>
            </w:r>
          </w:p>
          <w:p w14:paraId="614BEB5C" w14:textId="77777777" w:rsidR="00E57F82" w:rsidRPr="000A4151" w:rsidRDefault="003044F2" w:rsidP="00E57F8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5.1: Reposition all individuals with or at risk of pressure injuries on an </w:t>
            </w:r>
            <w:r w:rsidR="00D51421" w:rsidRPr="000A4151">
              <w:rPr>
                <w:rFonts w:cstheme="minorHAnsi"/>
                <w:bCs/>
                <w:color w:val="FF0000"/>
                <w:sz w:val="20"/>
                <w:szCs w:val="20"/>
              </w:rPr>
              <w:t xml:space="preserve">individualized schedule, unless </w:t>
            </w:r>
            <w:r w:rsidR="00E57F82" w:rsidRPr="000A4151">
              <w:rPr>
                <w:rFonts w:cstheme="minorHAnsi"/>
                <w:bCs/>
                <w:color w:val="FF0000"/>
                <w:sz w:val="20"/>
                <w:szCs w:val="20"/>
              </w:rPr>
              <w:t xml:space="preserve">contraindicated. </w:t>
            </w:r>
          </w:p>
          <w:p w14:paraId="1632C1F1" w14:textId="41D346B2" w:rsidR="003044F2" w:rsidRPr="000A4151" w:rsidRDefault="003044F2" w:rsidP="00E57F8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58086B23" w14:textId="23A39873"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5.2: Determine repositioning frequency with consideration to the individual’s level of activity and abi</w:t>
            </w:r>
            <w:r w:rsidR="00D51421" w:rsidRPr="000A4151">
              <w:rPr>
                <w:rFonts w:cstheme="minorHAnsi"/>
                <w:bCs/>
                <w:color w:val="FF0000"/>
                <w:sz w:val="20"/>
                <w:szCs w:val="20"/>
              </w:rPr>
              <w:t xml:space="preserve">lity to </w:t>
            </w:r>
            <w:r w:rsidRPr="000A4151">
              <w:rPr>
                <w:rFonts w:cstheme="minorHAnsi"/>
                <w:bCs/>
                <w:color w:val="FF0000"/>
                <w:sz w:val="20"/>
                <w:szCs w:val="20"/>
              </w:rPr>
              <w:t>independently reposition.</w:t>
            </w:r>
          </w:p>
          <w:p w14:paraId="5362CD86"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53223973"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5.3: Determine repositioning frequency with consideration to the individual’s:</w:t>
            </w:r>
          </w:p>
          <w:p w14:paraId="6302C080" w14:textId="77777777" w:rsidR="003044F2" w:rsidRPr="000A4151" w:rsidRDefault="003044F2" w:rsidP="00D51421">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Skin and tissue tolerance</w:t>
            </w:r>
          </w:p>
          <w:p w14:paraId="7B9FD287" w14:textId="77777777" w:rsidR="003044F2" w:rsidRPr="000A4151" w:rsidRDefault="003044F2" w:rsidP="00D51421">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General medical condition</w:t>
            </w:r>
          </w:p>
          <w:p w14:paraId="3D5C71B1" w14:textId="77777777" w:rsidR="003044F2" w:rsidRPr="000A4151" w:rsidRDefault="003044F2" w:rsidP="00D51421">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Overall treatment objectives</w:t>
            </w:r>
          </w:p>
          <w:p w14:paraId="1E825577" w14:textId="77777777" w:rsidR="003044F2" w:rsidRPr="000A4151" w:rsidRDefault="003044F2" w:rsidP="00D51421">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Comfort and pain.</w:t>
            </w:r>
          </w:p>
          <w:p w14:paraId="519B4E89" w14:textId="77777777" w:rsidR="003044F2" w:rsidRPr="000A4151" w:rsidRDefault="003044F2" w:rsidP="00D51421">
            <w:pPr>
              <w:rPr>
                <w:rFonts w:cstheme="minorHAnsi"/>
                <w:bCs/>
                <w:color w:val="FF0000"/>
                <w:sz w:val="20"/>
                <w:szCs w:val="20"/>
              </w:rPr>
            </w:pPr>
            <w:r w:rsidRPr="000A4151">
              <w:rPr>
                <w:rFonts w:cstheme="minorHAnsi"/>
                <w:bCs/>
                <w:color w:val="FF0000"/>
                <w:sz w:val="20"/>
                <w:szCs w:val="20"/>
              </w:rPr>
              <w:t>(Good Practice Statement)</w:t>
            </w:r>
          </w:p>
          <w:p w14:paraId="3B47A7E9" w14:textId="77777777" w:rsidR="003044F2" w:rsidRPr="000A4151" w:rsidRDefault="003044F2" w:rsidP="003044F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5.4: Implement repositioning reminder strategies to promote adherence to repositioning regimens.</w:t>
            </w:r>
          </w:p>
          <w:p w14:paraId="1F7594D0" w14:textId="77777777" w:rsidR="003044F2" w:rsidRPr="000A4151" w:rsidRDefault="003044F2" w:rsidP="003044F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1A431E4A" w14:textId="79F9B9D9"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5.5: Reposition the individual in such a way that optimal offloading of a</w:t>
            </w:r>
            <w:r w:rsidR="00D51421" w:rsidRPr="000A4151">
              <w:rPr>
                <w:rFonts w:cstheme="minorHAnsi"/>
                <w:bCs/>
                <w:color w:val="FF0000"/>
                <w:sz w:val="20"/>
                <w:szCs w:val="20"/>
              </w:rPr>
              <w:t xml:space="preserve">ll bony prominences and maximum </w:t>
            </w:r>
            <w:r w:rsidRPr="000A4151">
              <w:rPr>
                <w:rFonts w:cstheme="minorHAnsi"/>
                <w:bCs/>
                <w:color w:val="FF0000"/>
                <w:sz w:val="20"/>
                <w:szCs w:val="20"/>
              </w:rPr>
              <w:t>redistribution of pressure is achieved.</w:t>
            </w:r>
          </w:p>
          <w:p w14:paraId="1A459693"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(Good Practice Statement)</w:t>
            </w:r>
          </w:p>
          <w:p w14:paraId="19751FC5" w14:textId="39E0C912"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5.6: Reposition the individual to relieve or redistribute pressure using manual ha</w:t>
            </w:r>
            <w:r w:rsidR="00D51421" w:rsidRPr="000A4151">
              <w:rPr>
                <w:rFonts w:cstheme="minorHAnsi"/>
                <w:bCs/>
                <w:color w:val="FF0000"/>
                <w:sz w:val="20"/>
                <w:szCs w:val="20"/>
              </w:rPr>
              <w:t xml:space="preserve">ndling techniques and equipment </w:t>
            </w:r>
            <w:r w:rsidRPr="000A4151">
              <w:rPr>
                <w:rFonts w:cstheme="minorHAnsi"/>
                <w:bCs/>
                <w:color w:val="FF0000"/>
                <w:sz w:val="20"/>
                <w:szCs w:val="20"/>
              </w:rPr>
              <w:t>that reduce friction and shear.</w:t>
            </w:r>
          </w:p>
          <w:p w14:paraId="1CA966D1"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608E2178"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5.7: Consider using continuous bedside pressure mapping as a visual cue to guide repositioning.</w:t>
            </w:r>
          </w:p>
          <w:p w14:paraId="5C4B648E"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C;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79525723"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5.8: Use the 30° side lying position in preference to the 90° side lying position when positioning.</w:t>
            </w:r>
          </w:p>
          <w:p w14:paraId="1579EB13"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C;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2B0FF7C2"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5.9: Keep the head of bed as flat as possible.</w:t>
            </w:r>
          </w:p>
          <w:p w14:paraId="2EF4923A"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4596722F" w14:textId="4933FEE5"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5.10: Avoid extended use of prone positioning unless required for management of the indi</w:t>
            </w:r>
            <w:r w:rsidR="00D51421" w:rsidRPr="000A4151">
              <w:rPr>
                <w:rFonts w:cstheme="minorHAnsi"/>
                <w:bCs/>
                <w:color w:val="FF0000"/>
                <w:sz w:val="20"/>
                <w:szCs w:val="20"/>
              </w:rPr>
              <w:t xml:space="preserve">vidual’s medical </w:t>
            </w:r>
            <w:r w:rsidRPr="000A4151">
              <w:rPr>
                <w:rFonts w:cstheme="minorHAnsi"/>
                <w:bCs/>
                <w:color w:val="FF0000"/>
                <w:sz w:val="20"/>
                <w:szCs w:val="20"/>
              </w:rPr>
              <w:t>condition.</w:t>
            </w:r>
          </w:p>
          <w:p w14:paraId="4DCC3F40"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08D32B44"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5.11: Promote seating out of bed in an appropriate chair or wheelchair for limited periods of time.</w:t>
            </w:r>
          </w:p>
          <w:p w14:paraId="74603DFC"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754BF25F" w14:textId="31AD72F9"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5.12: Select a reclined seated position with the individual’s legs elevated. If </w:t>
            </w:r>
            <w:r w:rsidR="00DC1B13" w:rsidRPr="000A4151">
              <w:rPr>
                <w:rFonts w:cstheme="minorHAnsi"/>
                <w:bCs/>
                <w:color w:val="FF0000"/>
                <w:sz w:val="20"/>
                <w:szCs w:val="20"/>
              </w:rPr>
              <w:t xml:space="preserve">reclining is not appropriate or </w:t>
            </w:r>
            <w:r w:rsidRPr="000A4151">
              <w:rPr>
                <w:rFonts w:cstheme="minorHAnsi"/>
                <w:bCs/>
                <w:color w:val="FF0000"/>
                <w:sz w:val="20"/>
                <w:szCs w:val="20"/>
              </w:rPr>
              <w:t>possible, ensure that the individual’s feet are well-supported on the flo</w:t>
            </w:r>
            <w:r w:rsidR="00D51421" w:rsidRPr="000A4151">
              <w:rPr>
                <w:rFonts w:cstheme="minorHAnsi"/>
                <w:bCs/>
                <w:color w:val="FF0000"/>
                <w:sz w:val="20"/>
                <w:szCs w:val="20"/>
              </w:rPr>
              <w:t xml:space="preserve">or or on footrests when sitting </w:t>
            </w:r>
            <w:r w:rsidRPr="000A4151">
              <w:rPr>
                <w:rFonts w:cstheme="minorHAnsi"/>
                <w:bCs/>
                <w:color w:val="FF0000"/>
                <w:sz w:val="20"/>
                <w:szCs w:val="20"/>
              </w:rPr>
              <w:t>upright in a chair or wheelchair.</w:t>
            </w:r>
          </w:p>
          <w:p w14:paraId="7D9E0EA9"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33A555D1"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5.13: Tilt the seat to prevent the individual sliding forward in the chair or wheelchair.</w:t>
            </w:r>
          </w:p>
          <w:p w14:paraId="7BCDBC2C"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653D70E3" w14:textId="23E92FE6"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5.14: Teach and encourage individuals who spend prolonged durations in a seated position to perform pre</w:t>
            </w:r>
            <w:r w:rsidR="00D51421" w:rsidRPr="000A4151">
              <w:rPr>
                <w:rFonts w:cstheme="minorHAnsi"/>
                <w:bCs/>
                <w:color w:val="FF0000"/>
                <w:sz w:val="20"/>
                <w:szCs w:val="20"/>
              </w:rPr>
              <w:t xml:space="preserve">ssure </w:t>
            </w:r>
            <w:r w:rsidRPr="000A4151">
              <w:rPr>
                <w:rFonts w:cstheme="minorHAnsi"/>
                <w:bCs/>
                <w:color w:val="FF0000"/>
                <w:sz w:val="20"/>
                <w:szCs w:val="20"/>
              </w:rPr>
              <w:t>relieving maneuvers.</w:t>
            </w:r>
          </w:p>
          <w:p w14:paraId="39A8A1F2"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C;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247C418E"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5.15: Implement an early mobilization program that increases activity and mobility as rapidly as tolerated.</w:t>
            </w:r>
          </w:p>
          <w:p w14:paraId="63110512"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C;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30AB4077" w14:textId="2904ABA9"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5.16: For individuals with an ischial or sacral pressure injury, evaluate the be</w:t>
            </w:r>
            <w:r w:rsidR="00D51421" w:rsidRPr="000A4151">
              <w:rPr>
                <w:rFonts w:cstheme="minorHAnsi"/>
                <w:bCs/>
                <w:color w:val="FF0000"/>
                <w:sz w:val="20"/>
                <w:szCs w:val="20"/>
              </w:rPr>
              <w:t xml:space="preserve">nefit of periods of bed rest in </w:t>
            </w:r>
            <w:r w:rsidRPr="000A4151">
              <w:rPr>
                <w:rFonts w:cstheme="minorHAnsi"/>
                <w:bCs/>
                <w:color w:val="FF0000"/>
                <w:sz w:val="20"/>
                <w:szCs w:val="20"/>
              </w:rPr>
              <w:t>promoting healing versus the risk of new or worsening pressure injuri</w:t>
            </w:r>
            <w:r w:rsidR="00D51421" w:rsidRPr="000A4151">
              <w:rPr>
                <w:rFonts w:cstheme="minorHAnsi"/>
                <w:bCs/>
                <w:color w:val="FF0000"/>
                <w:sz w:val="20"/>
                <w:szCs w:val="20"/>
              </w:rPr>
              <w:t xml:space="preserve">es and the impact on lifestyle, </w:t>
            </w:r>
            <w:r w:rsidRPr="000A4151">
              <w:rPr>
                <w:rFonts w:cstheme="minorHAnsi"/>
                <w:bCs/>
                <w:color w:val="FF0000"/>
                <w:sz w:val="20"/>
                <w:szCs w:val="20"/>
              </w:rPr>
              <w:t>physical and emotional health.</w:t>
            </w:r>
          </w:p>
          <w:p w14:paraId="71C5314F"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(Good Practice Statement)</w:t>
            </w:r>
          </w:p>
          <w:p w14:paraId="69792334" w14:textId="66A8556A"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5.17: Reposition unstable critically ill individuals who can be repositioned using sl</w:t>
            </w:r>
            <w:r w:rsidR="00D51421" w:rsidRPr="000A4151">
              <w:rPr>
                <w:rFonts w:cstheme="minorHAnsi"/>
                <w:bCs/>
                <w:color w:val="FF0000"/>
                <w:sz w:val="20"/>
                <w:szCs w:val="20"/>
              </w:rPr>
              <w:t xml:space="preserve">ow, gradual turns to allow time </w:t>
            </w:r>
            <w:r w:rsidRPr="000A4151">
              <w:rPr>
                <w:rFonts w:cstheme="minorHAnsi"/>
                <w:bCs/>
                <w:color w:val="FF0000"/>
                <w:sz w:val="20"/>
                <w:szCs w:val="20"/>
              </w:rPr>
              <w:t>for stabilization of hemodynamic and oxygenation status.</w:t>
            </w:r>
          </w:p>
          <w:p w14:paraId="67486026"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(Good Practice Statement)</w:t>
            </w:r>
          </w:p>
          <w:p w14:paraId="5B1D093F" w14:textId="35F53365"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5.18: Initiate frequent small shifts in body position for unstable critically ill indi</w:t>
            </w:r>
            <w:r w:rsidR="00D51421" w:rsidRPr="000A4151">
              <w:rPr>
                <w:rFonts w:cstheme="minorHAnsi"/>
                <w:bCs/>
                <w:color w:val="FF0000"/>
                <w:sz w:val="20"/>
                <w:szCs w:val="20"/>
              </w:rPr>
              <w:t xml:space="preserve">viduals who are too unstable to </w:t>
            </w:r>
            <w:r w:rsidRPr="000A4151">
              <w:rPr>
                <w:rFonts w:cstheme="minorHAnsi"/>
                <w:bCs/>
                <w:color w:val="FF0000"/>
                <w:sz w:val="20"/>
                <w:szCs w:val="20"/>
              </w:rPr>
              <w:t>maintain a regular repositioning schedule, and to supplement regular repositioning.</w:t>
            </w:r>
          </w:p>
          <w:p w14:paraId="247CC32D"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C;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2186C5FA" w14:textId="28A1BB0A"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5.19: Position the individual in such a way as to reduce the risk of pressure injur</w:t>
            </w:r>
            <w:r w:rsidR="00D51421" w:rsidRPr="000A4151">
              <w:rPr>
                <w:rFonts w:cstheme="minorHAnsi"/>
                <w:bCs/>
                <w:color w:val="FF0000"/>
                <w:sz w:val="20"/>
                <w:szCs w:val="20"/>
              </w:rPr>
              <w:t xml:space="preserve">y development during surgery by </w:t>
            </w:r>
            <w:r w:rsidRPr="000A4151">
              <w:rPr>
                <w:rFonts w:cstheme="minorHAnsi"/>
                <w:bCs/>
                <w:color w:val="FF0000"/>
                <w:sz w:val="20"/>
                <w:szCs w:val="20"/>
              </w:rPr>
              <w:t>distributing pressure over a larger body surface area and offloading bony prominences.</w:t>
            </w:r>
          </w:p>
          <w:p w14:paraId="7099143D" w14:textId="3F2C5312"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(Good Practice Statement)</w:t>
            </w:r>
          </w:p>
          <w:p w14:paraId="227BAF42" w14:textId="221445CE" w:rsidR="00456914" w:rsidRPr="000A4151" w:rsidRDefault="00456914" w:rsidP="00A72331">
            <w:pPr>
              <w:ind w:left="0" w:firstLine="0"/>
              <w:rPr>
                <w:rFonts w:cstheme="minorHAnsi"/>
                <w:b/>
                <w:bCs/>
                <w:color w:val="FF0000"/>
                <w:sz w:val="20"/>
                <w:szCs w:val="20"/>
              </w:rPr>
            </w:pPr>
            <w:r w:rsidRPr="000A4151">
              <w:rPr>
                <w:rFonts w:cstheme="minorHAnsi"/>
                <w:b/>
                <w:bCs/>
                <w:color w:val="FF0000"/>
                <w:sz w:val="20"/>
                <w:szCs w:val="20"/>
              </w:rPr>
              <w:t>Heel Pressure Injuries</w:t>
            </w:r>
          </w:p>
          <w:p w14:paraId="6B951C08" w14:textId="1160F6B9"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6.1: Assess the vascular/perfusion status of the lower limbs, heels and feet wh</w:t>
            </w:r>
            <w:r w:rsidR="00D51421" w:rsidRPr="000A4151">
              <w:rPr>
                <w:rFonts w:cstheme="minorHAnsi"/>
                <w:bCs/>
                <w:color w:val="FF0000"/>
                <w:sz w:val="20"/>
                <w:szCs w:val="20"/>
              </w:rPr>
              <w:t xml:space="preserve">en performing a skin and tissue </w:t>
            </w:r>
            <w:r w:rsidRPr="000A4151">
              <w:rPr>
                <w:rFonts w:cstheme="minorHAnsi"/>
                <w:bCs/>
                <w:color w:val="FF0000"/>
                <w:sz w:val="20"/>
                <w:szCs w:val="20"/>
              </w:rPr>
              <w:t>assessment, and as part of a risk assessment.</w:t>
            </w:r>
          </w:p>
          <w:p w14:paraId="72F651C1"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699C9A60" w14:textId="000F57CC"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6.2: For individuals at risk of heel pressure injuries and/or with Category/Stage I o</w:t>
            </w:r>
            <w:r w:rsidR="00305753" w:rsidRPr="000A4151">
              <w:rPr>
                <w:rFonts w:cstheme="minorHAnsi"/>
                <w:bCs/>
                <w:color w:val="FF0000"/>
                <w:sz w:val="20"/>
                <w:szCs w:val="20"/>
              </w:rPr>
              <w:t xml:space="preserve">r II pressure injuries, elevate </w:t>
            </w:r>
            <w:r w:rsidRPr="000A4151">
              <w:rPr>
                <w:rFonts w:cstheme="minorHAnsi"/>
                <w:bCs/>
                <w:color w:val="FF0000"/>
                <w:sz w:val="20"/>
                <w:szCs w:val="20"/>
              </w:rPr>
              <w:t>the heels using a specifically designed heel suspension device or a pillow/ foam cushion. Offload the heel</w:t>
            </w:r>
          </w:p>
          <w:p w14:paraId="37DB50CF"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completely in such a way as to distribute the weight of the leg along the calf without placing pressure on the</w:t>
            </w:r>
          </w:p>
          <w:p w14:paraId="73B7D94E"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Achilles tendon and the popliteal vein.</w:t>
            </w:r>
          </w:p>
          <w:p w14:paraId="0ACD2371"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2DF6EEB8" w14:textId="2E947C21"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6.3: For individuals with a Category/Stage III or greater heel pressure injury, e</w:t>
            </w:r>
            <w:r w:rsidR="00D51421" w:rsidRPr="000A4151">
              <w:rPr>
                <w:rFonts w:cstheme="minorHAnsi"/>
                <w:bCs/>
                <w:color w:val="FF0000"/>
                <w:sz w:val="20"/>
                <w:szCs w:val="20"/>
              </w:rPr>
              <w:t xml:space="preserve">levate the heels using a device </w:t>
            </w:r>
            <w:r w:rsidRPr="000A4151">
              <w:rPr>
                <w:rFonts w:cstheme="minorHAnsi"/>
                <w:bCs/>
                <w:color w:val="FF0000"/>
                <w:sz w:val="20"/>
                <w:szCs w:val="20"/>
              </w:rPr>
              <w:t xml:space="preserve">specifically designed for heel suspension, offloading the heel completely in </w:t>
            </w:r>
            <w:r w:rsidR="00D51421" w:rsidRPr="000A4151">
              <w:rPr>
                <w:rFonts w:cstheme="minorHAnsi"/>
                <w:bCs/>
                <w:color w:val="FF0000"/>
                <w:sz w:val="20"/>
                <w:szCs w:val="20"/>
              </w:rPr>
              <w:t xml:space="preserve">such a way as to distribute the </w:t>
            </w:r>
            <w:r w:rsidRPr="000A4151">
              <w:rPr>
                <w:rFonts w:cstheme="minorHAnsi"/>
                <w:bCs/>
                <w:color w:val="FF0000"/>
                <w:sz w:val="20"/>
                <w:szCs w:val="20"/>
              </w:rPr>
              <w:t>weight of the leg along the calf without placing pressure on the Achilles tendon and the popliteal vein.</w:t>
            </w:r>
          </w:p>
          <w:p w14:paraId="56D973A1"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(Good Practice Statement)</w:t>
            </w:r>
          </w:p>
          <w:p w14:paraId="5785BEE2" w14:textId="6EA4EE29"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6.4: Use a prophylactic dressing as an adjunct to heel offloading and other stra</w:t>
            </w:r>
            <w:r w:rsidR="00D51421" w:rsidRPr="000A4151">
              <w:rPr>
                <w:rFonts w:cstheme="minorHAnsi"/>
                <w:bCs/>
                <w:color w:val="FF0000"/>
                <w:sz w:val="20"/>
                <w:szCs w:val="20"/>
              </w:rPr>
              <w:t xml:space="preserve">tegies to prevent heel pressure </w:t>
            </w:r>
            <w:r w:rsidRPr="000A4151">
              <w:rPr>
                <w:rFonts w:cstheme="minorHAnsi"/>
                <w:bCs/>
                <w:color w:val="FF0000"/>
                <w:sz w:val="20"/>
                <w:szCs w:val="20"/>
              </w:rPr>
              <w:t>injuries.</w:t>
            </w:r>
          </w:p>
          <w:p w14:paraId="696D6514" w14:textId="01EE761F"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34362D13" w14:textId="18E150BA" w:rsidR="00456914" w:rsidRPr="000A4151" w:rsidRDefault="00456914" w:rsidP="00A72331">
            <w:pPr>
              <w:ind w:left="0" w:firstLine="0"/>
              <w:rPr>
                <w:rFonts w:cstheme="minorHAnsi"/>
                <w:b/>
                <w:bCs/>
                <w:color w:val="FF0000"/>
                <w:sz w:val="20"/>
                <w:szCs w:val="20"/>
              </w:rPr>
            </w:pPr>
            <w:r w:rsidRPr="000A4151">
              <w:rPr>
                <w:rFonts w:eastAsia="Calibri-Bold" w:cs="Calibri-Bold"/>
                <w:b/>
                <w:bCs/>
                <w:color w:val="FF0000"/>
                <w:sz w:val="20"/>
                <w:szCs w:val="20"/>
              </w:rPr>
              <w:t>Support Surfaces</w:t>
            </w:r>
          </w:p>
          <w:p w14:paraId="753CBF79"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7.1: Select a support surface that meets the individual’s need for pressure redistribution based on the following</w:t>
            </w:r>
          </w:p>
          <w:p w14:paraId="368A70A1"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factors:</w:t>
            </w:r>
          </w:p>
          <w:p w14:paraId="780FAB13" w14:textId="105E3933" w:rsidR="00A72331" w:rsidRPr="000A4151" w:rsidRDefault="00DC1B13" w:rsidP="00DC1B13">
            <w:pPr>
              <w:autoSpaceDE w:val="0"/>
              <w:autoSpaceDN w:val="0"/>
              <w:adjustRightInd w:val="0"/>
              <w:ind w:left="1080"/>
              <w:rPr>
                <w:rFonts w:cstheme="minorHAnsi"/>
                <w:bCs/>
                <w:color w:val="FF0000"/>
                <w:sz w:val="20"/>
                <w:szCs w:val="20"/>
              </w:rPr>
            </w:pPr>
            <w:r w:rsidRPr="000A4151">
              <w:rPr>
                <w:rFonts w:cstheme="minorHAnsi"/>
                <w:bCs/>
                <w:color w:val="FF0000"/>
                <w:sz w:val="20"/>
                <w:szCs w:val="20"/>
              </w:rPr>
              <w:t xml:space="preserve">• </w:t>
            </w:r>
            <w:r w:rsidR="00A72331" w:rsidRPr="000A4151">
              <w:rPr>
                <w:rFonts w:cstheme="minorHAnsi"/>
                <w:bCs/>
                <w:color w:val="FF0000"/>
                <w:sz w:val="20"/>
                <w:szCs w:val="20"/>
              </w:rPr>
              <w:t>Level of immobility and inactivity</w:t>
            </w:r>
          </w:p>
          <w:p w14:paraId="0C22E8E6" w14:textId="6195CF3E" w:rsidR="00A72331"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A72331" w:rsidRPr="000A4151">
              <w:rPr>
                <w:rFonts w:cstheme="minorHAnsi"/>
                <w:bCs/>
                <w:color w:val="FF0000"/>
                <w:sz w:val="20"/>
                <w:szCs w:val="20"/>
              </w:rPr>
              <w:t>Need to influence microclimate control and shear reduction</w:t>
            </w:r>
          </w:p>
          <w:p w14:paraId="324D6FBC" w14:textId="0B3549FE" w:rsidR="00A72331"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A72331" w:rsidRPr="000A4151">
              <w:rPr>
                <w:rFonts w:cstheme="minorHAnsi"/>
                <w:bCs/>
                <w:color w:val="FF0000"/>
                <w:sz w:val="20"/>
                <w:szCs w:val="20"/>
              </w:rPr>
              <w:t>Size and weight of the individual</w:t>
            </w:r>
          </w:p>
          <w:p w14:paraId="5FC45144" w14:textId="35AF6917" w:rsidR="00A72331"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A72331" w:rsidRPr="000A4151">
              <w:rPr>
                <w:rFonts w:cstheme="minorHAnsi"/>
                <w:bCs/>
                <w:color w:val="FF0000"/>
                <w:sz w:val="20"/>
                <w:szCs w:val="20"/>
              </w:rPr>
              <w:t>Number, severity and location of existing pressure injuries</w:t>
            </w:r>
          </w:p>
          <w:p w14:paraId="096E92F8" w14:textId="69CD39FD" w:rsidR="00A72331"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A72331" w:rsidRPr="000A4151">
              <w:rPr>
                <w:rFonts w:cstheme="minorHAnsi"/>
                <w:bCs/>
                <w:color w:val="FF0000"/>
                <w:sz w:val="20"/>
                <w:szCs w:val="20"/>
              </w:rPr>
              <w:t>Risk for developing new pressure injuries.</w:t>
            </w:r>
          </w:p>
          <w:p w14:paraId="58257BF7"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(Good Practice Statement)</w:t>
            </w:r>
          </w:p>
          <w:p w14:paraId="3306D7CD"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7.2: Ensure that the bed surface area is sufficiently wide to allow turning of the individual.</w:t>
            </w:r>
          </w:p>
          <w:p w14:paraId="05B37B69"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C;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761CCC87" w14:textId="3D8B414B"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7.3: For individuals with obesity, select a support surface with enhanced pressure </w:t>
            </w:r>
            <w:r w:rsidR="00DC1B13" w:rsidRPr="000A4151">
              <w:rPr>
                <w:rFonts w:cstheme="minorHAnsi"/>
                <w:bCs/>
                <w:color w:val="FF0000"/>
                <w:sz w:val="20"/>
                <w:szCs w:val="20"/>
              </w:rPr>
              <w:t xml:space="preserve">redistribution, shear reduction </w:t>
            </w:r>
            <w:r w:rsidRPr="000A4151">
              <w:rPr>
                <w:rFonts w:cstheme="minorHAnsi"/>
                <w:bCs/>
                <w:color w:val="FF0000"/>
                <w:sz w:val="20"/>
                <w:szCs w:val="20"/>
              </w:rPr>
              <w:t>and microclimate features.</w:t>
            </w:r>
          </w:p>
          <w:p w14:paraId="29A40F1E"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(Good Practice Statement)</w:t>
            </w:r>
          </w:p>
          <w:p w14:paraId="5E7A0536" w14:textId="7594F5C3"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7.4: Use a high specification reactive single layer foam mattress or overlay i</w:t>
            </w:r>
            <w:r w:rsidR="00DC1B13" w:rsidRPr="000A4151">
              <w:rPr>
                <w:rFonts w:cstheme="minorHAnsi"/>
                <w:bCs/>
                <w:color w:val="FF0000"/>
                <w:sz w:val="20"/>
                <w:szCs w:val="20"/>
              </w:rPr>
              <w:t xml:space="preserve">n preference to a foam mattress </w:t>
            </w:r>
            <w:r w:rsidRPr="000A4151">
              <w:rPr>
                <w:rFonts w:cstheme="minorHAnsi"/>
                <w:bCs/>
                <w:color w:val="FF0000"/>
                <w:sz w:val="20"/>
                <w:szCs w:val="20"/>
              </w:rPr>
              <w:t>without high specification qualities for individuals at risk of developing pressure injuries.</w:t>
            </w:r>
          </w:p>
          <w:p w14:paraId="4116D216"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1C16BBB1"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7.5: Consider using a reactive air mattress or overlay for individuals at risk for developing pressure injuries.</w:t>
            </w:r>
          </w:p>
          <w:p w14:paraId="60578932"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C;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64E48F57" w14:textId="70AA7A11"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7.6: Assess the relative benefits of using a medical grade sheepskin for individuals</w:t>
            </w:r>
            <w:r w:rsidR="00DC1B13" w:rsidRPr="000A4151">
              <w:rPr>
                <w:rFonts w:cstheme="minorHAnsi"/>
                <w:bCs/>
                <w:color w:val="FF0000"/>
                <w:sz w:val="20"/>
                <w:szCs w:val="20"/>
              </w:rPr>
              <w:t xml:space="preserve"> at risk of developing pressure </w:t>
            </w:r>
            <w:r w:rsidRPr="000A4151">
              <w:rPr>
                <w:rFonts w:cstheme="minorHAnsi"/>
                <w:bCs/>
                <w:color w:val="FF0000"/>
                <w:sz w:val="20"/>
                <w:szCs w:val="20"/>
              </w:rPr>
              <w:t>injuries.</w:t>
            </w:r>
          </w:p>
          <w:p w14:paraId="4209F178"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5E971E7A" w14:textId="06497411"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7.7: Assess the relative benefits of using an alternating pressure air mattress or ove</w:t>
            </w:r>
            <w:r w:rsidR="00DC1B13" w:rsidRPr="000A4151">
              <w:rPr>
                <w:rFonts w:cstheme="minorHAnsi"/>
                <w:bCs/>
                <w:color w:val="FF0000"/>
                <w:sz w:val="20"/>
                <w:szCs w:val="20"/>
              </w:rPr>
              <w:t xml:space="preserve">rlay for individuals at risk of </w:t>
            </w:r>
            <w:r w:rsidRPr="000A4151">
              <w:rPr>
                <w:rFonts w:cstheme="minorHAnsi"/>
                <w:bCs/>
                <w:color w:val="FF0000"/>
                <w:sz w:val="20"/>
                <w:szCs w:val="20"/>
              </w:rPr>
              <w:t>pressure injuries.</w:t>
            </w:r>
          </w:p>
          <w:p w14:paraId="03427C44"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4F7A90E9" w14:textId="5FF0B466"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7.8: Use a pressure redistribution support surface on the operating table for all</w:t>
            </w:r>
            <w:r w:rsidR="00DC1B13" w:rsidRPr="000A4151">
              <w:rPr>
                <w:rFonts w:cstheme="minorHAnsi"/>
                <w:bCs/>
                <w:color w:val="FF0000"/>
                <w:sz w:val="20"/>
                <w:szCs w:val="20"/>
              </w:rPr>
              <w:t xml:space="preserve"> individuals with or at risk of </w:t>
            </w:r>
            <w:r w:rsidRPr="000A4151">
              <w:rPr>
                <w:rFonts w:cstheme="minorHAnsi"/>
                <w:bCs/>
                <w:color w:val="FF0000"/>
                <w:sz w:val="20"/>
                <w:szCs w:val="20"/>
              </w:rPr>
              <w:t>pressure injuries who are undergoing surgery.</w:t>
            </w:r>
          </w:p>
          <w:p w14:paraId="6111E39E"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3CA1816C"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7.9: For individuals with a pressure injury, consider changing to a specialty support surface when the individual:</w:t>
            </w:r>
          </w:p>
          <w:p w14:paraId="1AEEDD16" w14:textId="5307E9EF" w:rsidR="00A72331" w:rsidRPr="000A4151" w:rsidRDefault="00DC1B13" w:rsidP="00DC1B13">
            <w:pPr>
              <w:autoSpaceDE w:val="0"/>
              <w:autoSpaceDN w:val="0"/>
              <w:adjustRightInd w:val="0"/>
              <w:ind w:left="1080"/>
              <w:rPr>
                <w:rFonts w:cstheme="minorHAnsi"/>
                <w:bCs/>
                <w:color w:val="FF0000"/>
                <w:sz w:val="20"/>
                <w:szCs w:val="20"/>
              </w:rPr>
            </w:pPr>
            <w:r w:rsidRPr="000A4151">
              <w:rPr>
                <w:rFonts w:cstheme="minorHAnsi"/>
                <w:bCs/>
                <w:color w:val="FF0000"/>
                <w:sz w:val="20"/>
                <w:szCs w:val="20"/>
              </w:rPr>
              <w:t xml:space="preserve">• </w:t>
            </w:r>
            <w:r w:rsidR="00A72331" w:rsidRPr="000A4151">
              <w:rPr>
                <w:rFonts w:cstheme="minorHAnsi"/>
                <w:bCs/>
                <w:color w:val="FF0000"/>
                <w:sz w:val="20"/>
                <w:szCs w:val="20"/>
              </w:rPr>
              <w:t>Cannot be positioned off the pressure injury</w:t>
            </w:r>
          </w:p>
          <w:p w14:paraId="58A44818" w14:textId="5D97CEB7" w:rsidR="00A72331"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A72331" w:rsidRPr="000A4151">
              <w:rPr>
                <w:rFonts w:cstheme="minorHAnsi"/>
                <w:bCs/>
                <w:color w:val="FF0000"/>
                <w:sz w:val="20"/>
                <w:szCs w:val="20"/>
              </w:rPr>
              <w:t>Has pressure injuries on two or more turning surfaces (e.g., the sacrum and trochanter) that limit</w:t>
            </w:r>
          </w:p>
          <w:p w14:paraId="316E95EA" w14:textId="77777777" w:rsidR="00A72331" w:rsidRPr="000A4151" w:rsidRDefault="00A72331"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repositioning options</w:t>
            </w:r>
          </w:p>
          <w:p w14:paraId="7A79F9A3" w14:textId="2F9277F9" w:rsidR="00A72331"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A72331" w:rsidRPr="000A4151">
              <w:rPr>
                <w:rFonts w:cstheme="minorHAnsi"/>
                <w:bCs/>
                <w:color w:val="FF0000"/>
                <w:sz w:val="20"/>
                <w:szCs w:val="20"/>
              </w:rPr>
              <w:t>Has a pressure injury that fails to heal or that deteriorates despite appropriate comprehensive care</w:t>
            </w:r>
          </w:p>
          <w:p w14:paraId="346AD4EE" w14:textId="11E04667" w:rsidR="00A72331"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A72331" w:rsidRPr="000A4151">
              <w:rPr>
                <w:rFonts w:cstheme="minorHAnsi"/>
                <w:bCs/>
                <w:color w:val="FF0000"/>
                <w:sz w:val="20"/>
                <w:szCs w:val="20"/>
              </w:rPr>
              <w:t>Is at high risk for additional pressure injuries</w:t>
            </w:r>
          </w:p>
          <w:p w14:paraId="01778BE7" w14:textId="657EA69E" w:rsidR="00A72331" w:rsidRPr="000A4151" w:rsidRDefault="00DC1B13" w:rsidP="00DC1B13">
            <w:pPr>
              <w:autoSpaceDE w:val="0"/>
              <w:autoSpaceDN w:val="0"/>
              <w:adjustRightInd w:val="0"/>
              <w:ind w:left="720"/>
              <w:rPr>
                <w:rFonts w:cstheme="minorHAnsi"/>
                <w:bCs/>
                <w:color w:val="FF0000"/>
                <w:sz w:val="20"/>
                <w:szCs w:val="20"/>
              </w:rPr>
            </w:pPr>
            <w:r w:rsidRPr="000A4151">
              <w:rPr>
                <w:rFonts w:cstheme="minorHAnsi"/>
                <w:bCs/>
                <w:color w:val="FF0000"/>
                <w:sz w:val="20"/>
                <w:szCs w:val="20"/>
              </w:rPr>
              <w:t xml:space="preserve">        • </w:t>
            </w:r>
            <w:r w:rsidR="00A72331" w:rsidRPr="000A4151">
              <w:rPr>
                <w:rFonts w:cstheme="minorHAnsi"/>
                <w:bCs/>
                <w:color w:val="FF0000"/>
                <w:sz w:val="20"/>
                <w:szCs w:val="20"/>
              </w:rPr>
              <w:t>Has undergone flap or graft surgery</w:t>
            </w:r>
          </w:p>
          <w:p w14:paraId="623EBD6F" w14:textId="0EB8A96F" w:rsidR="00A72331" w:rsidRPr="000A4151" w:rsidRDefault="00DC1B13" w:rsidP="00DC1B13">
            <w:pPr>
              <w:autoSpaceDE w:val="0"/>
              <w:autoSpaceDN w:val="0"/>
              <w:adjustRightInd w:val="0"/>
              <w:ind w:left="720"/>
              <w:rPr>
                <w:rFonts w:cstheme="minorHAnsi"/>
                <w:bCs/>
                <w:color w:val="FF0000"/>
                <w:sz w:val="20"/>
                <w:szCs w:val="20"/>
              </w:rPr>
            </w:pPr>
            <w:r w:rsidRPr="000A4151">
              <w:rPr>
                <w:rFonts w:cstheme="minorHAnsi"/>
                <w:bCs/>
                <w:color w:val="FF0000"/>
                <w:sz w:val="20"/>
                <w:szCs w:val="20"/>
              </w:rPr>
              <w:t xml:space="preserve">        • </w:t>
            </w:r>
            <w:r w:rsidR="00A72331" w:rsidRPr="000A4151">
              <w:rPr>
                <w:rFonts w:cstheme="minorHAnsi"/>
                <w:bCs/>
                <w:color w:val="FF0000"/>
                <w:sz w:val="20"/>
                <w:szCs w:val="20"/>
              </w:rPr>
              <w:t>Is uncomfortable</w:t>
            </w:r>
          </w:p>
          <w:p w14:paraId="1BF64516" w14:textId="180A7E94" w:rsidR="00A72331" w:rsidRPr="000A4151" w:rsidRDefault="00DC1B13" w:rsidP="00DC1B13">
            <w:pPr>
              <w:autoSpaceDE w:val="0"/>
              <w:autoSpaceDN w:val="0"/>
              <w:adjustRightInd w:val="0"/>
              <w:ind w:left="720"/>
              <w:rPr>
                <w:rFonts w:cstheme="minorHAnsi"/>
                <w:bCs/>
                <w:color w:val="FF0000"/>
                <w:sz w:val="20"/>
                <w:szCs w:val="20"/>
              </w:rPr>
            </w:pPr>
            <w:r w:rsidRPr="000A4151">
              <w:rPr>
                <w:rFonts w:cstheme="minorHAnsi"/>
                <w:bCs/>
                <w:color w:val="FF0000"/>
                <w:sz w:val="20"/>
                <w:szCs w:val="20"/>
              </w:rPr>
              <w:t xml:space="preserve">        • </w:t>
            </w:r>
            <w:r w:rsidR="00A72331" w:rsidRPr="000A4151">
              <w:rPr>
                <w:rFonts w:cstheme="minorHAnsi"/>
                <w:bCs/>
                <w:color w:val="FF0000"/>
                <w:sz w:val="20"/>
                <w:szCs w:val="20"/>
              </w:rPr>
              <w:t>‘Bottoms out’ on the current support surface.</w:t>
            </w:r>
          </w:p>
          <w:p w14:paraId="5C1C294E"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(Good Practice Statement)</w:t>
            </w:r>
          </w:p>
          <w:p w14:paraId="57F28D5F" w14:textId="72EC3DF9"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7.10: Assess the relative benefits of using an air fluidized bed to facilit</w:t>
            </w:r>
            <w:r w:rsidR="00DD2339" w:rsidRPr="000A4151">
              <w:rPr>
                <w:rFonts w:cstheme="minorHAnsi"/>
                <w:bCs/>
                <w:color w:val="FF0000"/>
                <w:sz w:val="20"/>
                <w:szCs w:val="20"/>
              </w:rPr>
              <w:t xml:space="preserve">ate healing while reducing skin </w:t>
            </w:r>
            <w:r w:rsidRPr="000A4151">
              <w:rPr>
                <w:rFonts w:cstheme="minorHAnsi"/>
                <w:bCs/>
                <w:color w:val="FF0000"/>
                <w:sz w:val="20"/>
                <w:szCs w:val="20"/>
              </w:rPr>
              <w:t>temperature and excess hydration for individuals with Category/Stage III or IV pressure injuries.</w:t>
            </w:r>
          </w:p>
          <w:p w14:paraId="03DE6247"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407266C1"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7.11: Select a seat and seating support surface that meets the individual’s need for pressure redistribution with</w:t>
            </w:r>
          </w:p>
          <w:p w14:paraId="7FDCD60C"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consideration to:</w:t>
            </w:r>
          </w:p>
          <w:p w14:paraId="560C85B1" w14:textId="7168D76E" w:rsidR="00A72331"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A72331" w:rsidRPr="000A4151">
              <w:rPr>
                <w:rFonts w:cstheme="minorHAnsi"/>
                <w:bCs/>
                <w:color w:val="FF0000"/>
                <w:sz w:val="20"/>
                <w:szCs w:val="20"/>
              </w:rPr>
              <w:t>Body size and configuration</w:t>
            </w:r>
          </w:p>
          <w:p w14:paraId="3971B08B" w14:textId="77DBBDC6" w:rsidR="00A72331"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A72331" w:rsidRPr="000A4151">
              <w:rPr>
                <w:rFonts w:cstheme="minorHAnsi"/>
                <w:bCs/>
                <w:color w:val="FF0000"/>
                <w:sz w:val="20"/>
                <w:szCs w:val="20"/>
              </w:rPr>
              <w:t>Effects of posture and deformity on pressure distribution</w:t>
            </w:r>
          </w:p>
          <w:p w14:paraId="598E84C9" w14:textId="6245FADF" w:rsidR="00A72331"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A72331" w:rsidRPr="000A4151">
              <w:rPr>
                <w:rFonts w:cstheme="minorHAnsi"/>
                <w:bCs/>
                <w:color w:val="FF0000"/>
                <w:sz w:val="20"/>
                <w:szCs w:val="20"/>
              </w:rPr>
              <w:t>Mobility and lifestyle needs.</w:t>
            </w:r>
          </w:p>
          <w:p w14:paraId="027AEB1C"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(Good Practice Statement)</w:t>
            </w:r>
          </w:p>
          <w:p w14:paraId="68B6DBAA" w14:textId="3EC217D8"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7.12: Use a pressure redistribution cushion for preventing pressure injuries in peo</w:t>
            </w:r>
            <w:r w:rsidR="00DD2339" w:rsidRPr="000A4151">
              <w:rPr>
                <w:rFonts w:cstheme="minorHAnsi"/>
                <w:bCs/>
                <w:color w:val="FF0000"/>
                <w:sz w:val="20"/>
                <w:szCs w:val="20"/>
              </w:rPr>
              <w:t xml:space="preserve">ple at high risk who are seated </w:t>
            </w:r>
            <w:r w:rsidRPr="000A4151">
              <w:rPr>
                <w:rFonts w:cstheme="minorHAnsi"/>
                <w:bCs/>
                <w:color w:val="FF0000"/>
                <w:sz w:val="20"/>
                <w:szCs w:val="20"/>
              </w:rPr>
              <w:t>in a chair/wheelchair for prolonged periods, particularly if the individua</w:t>
            </w:r>
            <w:r w:rsidR="00DD2339" w:rsidRPr="000A4151">
              <w:rPr>
                <w:rFonts w:cstheme="minorHAnsi"/>
                <w:bCs/>
                <w:color w:val="FF0000"/>
                <w:sz w:val="20"/>
                <w:szCs w:val="20"/>
              </w:rPr>
              <w:t xml:space="preserve">l is unable to perform pressure </w:t>
            </w:r>
            <w:r w:rsidRPr="000A4151">
              <w:rPr>
                <w:rFonts w:cstheme="minorHAnsi"/>
                <w:bCs/>
                <w:color w:val="FF0000"/>
                <w:sz w:val="20"/>
                <w:szCs w:val="20"/>
              </w:rPr>
              <w:t>relieving maneuvers.</w:t>
            </w:r>
          </w:p>
          <w:p w14:paraId="4A15F0C2"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411466E9" w14:textId="154B1A9F"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7.13: Assess the relative benefits of using an alternating pressure air cushion</w:t>
            </w:r>
            <w:r w:rsidR="00456914" w:rsidRPr="000A4151">
              <w:rPr>
                <w:rFonts w:cstheme="minorHAnsi"/>
                <w:bCs/>
                <w:color w:val="FF0000"/>
                <w:sz w:val="20"/>
                <w:szCs w:val="20"/>
              </w:rPr>
              <w:t xml:space="preserve"> for supporting pressure injury </w:t>
            </w:r>
            <w:r w:rsidRPr="000A4151">
              <w:rPr>
                <w:rFonts w:cstheme="minorHAnsi"/>
                <w:bCs/>
                <w:color w:val="FF0000"/>
                <w:sz w:val="20"/>
                <w:szCs w:val="20"/>
              </w:rPr>
              <w:t>healing in individuals who are seated in a chair/wheelchair for prolong</w:t>
            </w:r>
            <w:r w:rsidR="00456914" w:rsidRPr="000A4151">
              <w:rPr>
                <w:rFonts w:cstheme="minorHAnsi"/>
                <w:bCs/>
                <w:color w:val="FF0000"/>
                <w:sz w:val="20"/>
                <w:szCs w:val="20"/>
              </w:rPr>
              <w:t xml:space="preserve">ed periods, particularly if the </w:t>
            </w:r>
            <w:r w:rsidRPr="000A4151">
              <w:rPr>
                <w:rFonts w:cstheme="minorHAnsi"/>
                <w:bCs/>
                <w:color w:val="FF0000"/>
                <w:sz w:val="20"/>
                <w:szCs w:val="20"/>
              </w:rPr>
              <w:t>individual is unable to perform pressure relieving maneuvers.</w:t>
            </w:r>
          </w:p>
          <w:p w14:paraId="46BCDD59"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56847DF7"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7.14: Use a bariatric pressure redistribution cushion designed for the individuals with obesity on seated surfaces.</w:t>
            </w:r>
          </w:p>
          <w:p w14:paraId="05CA44A2"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C;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785CD636" w14:textId="51F7C47C"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7.15: For individuals with or at risk for a pressure injury, consider using a pressure</w:t>
            </w:r>
            <w:r w:rsidR="00456914" w:rsidRPr="000A4151">
              <w:rPr>
                <w:rFonts w:cstheme="minorHAnsi"/>
                <w:bCs/>
                <w:color w:val="FF0000"/>
                <w:sz w:val="20"/>
                <w:szCs w:val="20"/>
              </w:rPr>
              <w:t xml:space="preserve"> redistributing support surface </w:t>
            </w:r>
            <w:r w:rsidRPr="000A4151">
              <w:rPr>
                <w:rFonts w:cstheme="minorHAnsi"/>
                <w:bCs/>
                <w:color w:val="FF0000"/>
                <w:sz w:val="20"/>
                <w:szCs w:val="20"/>
              </w:rPr>
              <w:t>during transit.</w:t>
            </w:r>
          </w:p>
          <w:p w14:paraId="1C92C650"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(Good Practice Statement)</w:t>
            </w:r>
          </w:p>
          <w:p w14:paraId="23B8D964" w14:textId="4EB5E92D"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7.16: Transfer the individual off a spinal hard board/back board as soon as feasible after adm</w:t>
            </w:r>
            <w:r w:rsidR="00456914" w:rsidRPr="000A4151">
              <w:rPr>
                <w:rFonts w:cstheme="minorHAnsi"/>
                <w:bCs/>
                <w:color w:val="FF0000"/>
                <w:sz w:val="20"/>
                <w:szCs w:val="20"/>
              </w:rPr>
              <w:t xml:space="preserve">ission to an acute </w:t>
            </w:r>
            <w:r w:rsidRPr="000A4151">
              <w:rPr>
                <w:rFonts w:cstheme="minorHAnsi"/>
                <w:bCs/>
                <w:color w:val="FF0000"/>
                <w:sz w:val="20"/>
                <w:szCs w:val="20"/>
              </w:rPr>
              <w:t>care facility in consultation with a qualified health professional.</w:t>
            </w:r>
          </w:p>
          <w:p w14:paraId="091DBBAC" w14:textId="6201641B"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C;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6A6A3C31" w14:textId="0D4C4B0A" w:rsidR="00456914" w:rsidRPr="000A4151" w:rsidRDefault="00456914" w:rsidP="00A72331">
            <w:pPr>
              <w:ind w:left="0" w:firstLine="0"/>
              <w:rPr>
                <w:rFonts w:cstheme="minorHAnsi"/>
                <w:b/>
                <w:bCs/>
                <w:color w:val="FF0000"/>
                <w:sz w:val="20"/>
                <w:szCs w:val="20"/>
              </w:rPr>
            </w:pPr>
            <w:r w:rsidRPr="000A4151">
              <w:rPr>
                <w:rFonts w:cstheme="minorHAnsi"/>
                <w:b/>
                <w:bCs/>
                <w:color w:val="FF0000"/>
                <w:sz w:val="20"/>
                <w:szCs w:val="20"/>
              </w:rPr>
              <w:t>Device Related Pressure Injuries</w:t>
            </w:r>
          </w:p>
          <w:p w14:paraId="408799FD"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8.1: To reduce the risk of medical device related pressure injuries, review and select medical devices with</w:t>
            </w:r>
          </w:p>
          <w:p w14:paraId="2D2B5E5F"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consideration to:</w:t>
            </w:r>
          </w:p>
          <w:p w14:paraId="73D025B8" w14:textId="7F1565EC" w:rsidR="00A72331"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A72331" w:rsidRPr="000A4151">
              <w:rPr>
                <w:rFonts w:cstheme="minorHAnsi"/>
                <w:bCs/>
                <w:color w:val="FF0000"/>
                <w:sz w:val="20"/>
                <w:szCs w:val="20"/>
              </w:rPr>
              <w:t>The device’s ability to minimize tissue damage</w:t>
            </w:r>
          </w:p>
          <w:p w14:paraId="1344016D" w14:textId="51AD9AB7" w:rsidR="00A72331"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A72331" w:rsidRPr="000A4151">
              <w:rPr>
                <w:rFonts w:cstheme="minorHAnsi"/>
                <w:bCs/>
                <w:color w:val="FF0000"/>
                <w:sz w:val="20"/>
                <w:szCs w:val="20"/>
              </w:rPr>
              <w:t>Correct sizing/shape of the device for the individual</w:t>
            </w:r>
          </w:p>
          <w:p w14:paraId="32F7768F" w14:textId="2836DDA4" w:rsidR="00A72331"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A72331" w:rsidRPr="000A4151">
              <w:rPr>
                <w:rFonts w:cstheme="minorHAnsi"/>
                <w:bCs/>
                <w:color w:val="FF0000"/>
                <w:sz w:val="20"/>
                <w:szCs w:val="20"/>
              </w:rPr>
              <w:t>Ability to correctly apply the device according to manufacturer’s instructions</w:t>
            </w:r>
          </w:p>
          <w:p w14:paraId="5A8C1C1F" w14:textId="391BEDFD" w:rsidR="00A72331"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w:t>
            </w:r>
            <w:r w:rsidR="00A72331" w:rsidRPr="000A4151">
              <w:rPr>
                <w:rFonts w:cstheme="minorHAnsi"/>
                <w:bCs/>
                <w:color w:val="FF0000"/>
                <w:sz w:val="20"/>
                <w:szCs w:val="20"/>
              </w:rPr>
              <w:t>Ability to correctly secure the device.</w:t>
            </w:r>
          </w:p>
          <w:p w14:paraId="75FA7989" w14:textId="4C1FB8BD"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7D57D4A5" w14:textId="33C0D1C8"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8.2: Regularly monitor the tension of medical device securements and where possible seek the i</w:t>
            </w:r>
            <w:r w:rsidR="00456914" w:rsidRPr="000A4151">
              <w:rPr>
                <w:rFonts w:cstheme="minorHAnsi"/>
                <w:bCs/>
                <w:color w:val="FF0000"/>
                <w:sz w:val="20"/>
                <w:szCs w:val="20"/>
              </w:rPr>
              <w:t xml:space="preserve">ndividual’s self-assessment of </w:t>
            </w:r>
            <w:r w:rsidRPr="000A4151">
              <w:rPr>
                <w:rFonts w:cstheme="minorHAnsi"/>
                <w:bCs/>
                <w:color w:val="FF0000"/>
                <w:sz w:val="20"/>
                <w:szCs w:val="20"/>
              </w:rPr>
              <w:t>comfort.</w:t>
            </w:r>
          </w:p>
          <w:p w14:paraId="3CDA699A"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C;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1CC121F6" w14:textId="1D30F09A"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8.3: Assess the skin under and around medical devices for signs of pressure related</w:t>
            </w:r>
            <w:r w:rsidR="00456914" w:rsidRPr="000A4151">
              <w:rPr>
                <w:rFonts w:cstheme="minorHAnsi"/>
                <w:bCs/>
                <w:color w:val="FF0000"/>
                <w:sz w:val="20"/>
                <w:szCs w:val="20"/>
              </w:rPr>
              <w:t xml:space="preserve"> injury as part of routine skin </w:t>
            </w:r>
            <w:r w:rsidRPr="000A4151">
              <w:rPr>
                <w:rFonts w:cstheme="minorHAnsi"/>
                <w:bCs/>
                <w:color w:val="FF0000"/>
                <w:sz w:val="20"/>
                <w:szCs w:val="20"/>
              </w:rPr>
              <w:t>assessment.</w:t>
            </w:r>
          </w:p>
          <w:p w14:paraId="5A964CCD"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(Good Practice Statement)</w:t>
            </w:r>
          </w:p>
          <w:p w14:paraId="7C6D1E3D"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8.4: Reduce and/or redistribute pressure at the skin-device interface by:</w:t>
            </w:r>
          </w:p>
          <w:p w14:paraId="012E130F" w14:textId="56FA8F51" w:rsidR="00A72331"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A72331" w:rsidRPr="000A4151">
              <w:rPr>
                <w:rFonts w:cstheme="minorHAnsi"/>
                <w:bCs/>
                <w:color w:val="FF0000"/>
                <w:sz w:val="20"/>
                <w:szCs w:val="20"/>
              </w:rPr>
              <w:t>Regularly rotating or repositioning the medical device and/or the individual</w:t>
            </w:r>
          </w:p>
          <w:p w14:paraId="5F9DD487" w14:textId="53D909D1" w:rsidR="00A72331"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A72331" w:rsidRPr="000A4151">
              <w:rPr>
                <w:rFonts w:cstheme="minorHAnsi"/>
                <w:bCs/>
                <w:color w:val="FF0000"/>
                <w:sz w:val="20"/>
                <w:szCs w:val="20"/>
              </w:rPr>
              <w:t>Providing physical support for medical devices in order to minimize pressure and shear</w:t>
            </w:r>
          </w:p>
          <w:p w14:paraId="44EF3415" w14:textId="746037A7" w:rsidR="00A72331"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A72331" w:rsidRPr="000A4151">
              <w:rPr>
                <w:rFonts w:cstheme="minorHAnsi"/>
                <w:bCs/>
                <w:color w:val="FF0000"/>
                <w:sz w:val="20"/>
                <w:szCs w:val="20"/>
              </w:rPr>
              <w:t>Removing medical devices as soon as medically feasible.</w:t>
            </w:r>
          </w:p>
          <w:p w14:paraId="1FA7BB3E"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(Good Practice Statement)</w:t>
            </w:r>
          </w:p>
          <w:p w14:paraId="48557B38" w14:textId="0A222AC0"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8.5: Use a prophylactic dressing beneath a medical device to reduce the risk of </w:t>
            </w:r>
            <w:r w:rsidR="00456914" w:rsidRPr="000A4151">
              <w:rPr>
                <w:rFonts w:cstheme="minorHAnsi"/>
                <w:bCs/>
                <w:color w:val="FF0000"/>
                <w:sz w:val="20"/>
                <w:szCs w:val="20"/>
              </w:rPr>
              <w:t xml:space="preserve">medical device related pressure </w:t>
            </w:r>
            <w:r w:rsidRPr="000A4151">
              <w:rPr>
                <w:rFonts w:cstheme="minorHAnsi"/>
                <w:bCs/>
                <w:color w:val="FF0000"/>
                <w:sz w:val="20"/>
                <w:szCs w:val="20"/>
              </w:rPr>
              <w:t>injuries.</w:t>
            </w:r>
          </w:p>
          <w:p w14:paraId="2A476845"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05540376" w14:textId="37B2B5C9"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8.6: If appropriate and safe, alternate the oxygen delivery device between correctly fitting mask and nasal prongs</w:t>
            </w:r>
            <w:r w:rsidR="00456914" w:rsidRPr="000A4151">
              <w:rPr>
                <w:rFonts w:cstheme="minorHAnsi"/>
                <w:bCs/>
                <w:color w:val="FF0000"/>
                <w:sz w:val="20"/>
                <w:szCs w:val="20"/>
              </w:rPr>
              <w:t xml:space="preserve"> </w:t>
            </w:r>
            <w:r w:rsidRPr="000A4151">
              <w:rPr>
                <w:rFonts w:cstheme="minorHAnsi"/>
                <w:bCs/>
                <w:color w:val="FF0000"/>
                <w:sz w:val="20"/>
                <w:szCs w:val="20"/>
              </w:rPr>
              <w:t>to reduce the severity of nasal and facial pressure injuries for neonates receiving oxygen therapy.</w:t>
            </w:r>
          </w:p>
          <w:p w14:paraId="03157A3F"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778133C1" w14:textId="041DB96C"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8.7: If appropriate and safe, alternate the oxygen delivery device between corr</w:t>
            </w:r>
            <w:r w:rsidR="00456914" w:rsidRPr="000A4151">
              <w:rPr>
                <w:rFonts w:cstheme="minorHAnsi"/>
                <w:bCs/>
                <w:color w:val="FF0000"/>
                <w:sz w:val="20"/>
                <w:szCs w:val="20"/>
              </w:rPr>
              <w:t xml:space="preserve">ectly-fitting mask(s) and nasal </w:t>
            </w:r>
            <w:r w:rsidRPr="000A4151">
              <w:rPr>
                <w:rFonts w:cstheme="minorHAnsi"/>
                <w:bCs/>
                <w:color w:val="FF0000"/>
                <w:sz w:val="20"/>
                <w:szCs w:val="20"/>
              </w:rPr>
              <w:t>prongs to reduce the severity of nasal and facial pressure injuries for olde</w:t>
            </w:r>
            <w:r w:rsidR="00456914" w:rsidRPr="000A4151">
              <w:rPr>
                <w:rFonts w:cstheme="minorHAnsi"/>
                <w:bCs/>
                <w:color w:val="FF0000"/>
                <w:sz w:val="20"/>
                <w:szCs w:val="20"/>
              </w:rPr>
              <w:t xml:space="preserve">r children and adults receiving </w:t>
            </w:r>
            <w:r w:rsidRPr="000A4151">
              <w:rPr>
                <w:rFonts w:cstheme="minorHAnsi"/>
                <w:bCs/>
                <w:color w:val="FF0000"/>
                <w:sz w:val="20"/>
                <w:szCs w:val="20"/>
              </w:rPr>
              <w:t>oxygen therapy.</w:t>
            </w:r>
          </w:p>
          <w:p w14:paraId="7B40683B"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(Good Practice Statement)</w:t>
            </w:r>
          </w:p>
          <w:p w14:paraId="1D3164C2" w14:textId="75B09406"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8.8: In consultation with a qualified health professional, replace an extrication cer</w:t>
            </w:r>
            <w:r w:rsidR="00456914" w:rsidRPr="000A4151">
              <w:rPr>
                <w:rFonts w:cstheme="minorHAnsi"/>
                <w:bCs/>
                <w:color w:val="FF0000"/>
                <w:sz w:val="20"/>
                <w:szCs w:val="20"/>
              </w:rPr>
              <w:t xml:space="preserve">vical collar with an acute care </w:t>
            </w:r>
            <w:r w:rsidRPr="000A4151">
              <w:rPr>
                <w:rFonts w:cstheme="minorHAnsi"/>
                <w:bCs/>
                <w:color w:val="FF0000"/>
                <w:sz w:val="20"/>
                <w:szCs w:val="20"/>
              </w:rPr>
              <w:t>rigid collar as soon as feasible and remove cervical collars as soon as possible, as indicate by clinical condition.</w:t>
            </w:r>
          </w:p>
          <w:p w14:paraId="6605E98A" w14:textId="3272C35E"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 xml:space="preserve">(Strength of Evidence = C;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77BDB3E1" w14:textId="6ED8D380" w:rsidR="00456914" w:rsidRPr="000A4151" w:rsidRDefault="00456914" w:rsidP="00A72331">
            <w:pPr>
              <w:ind w:left="0" w:firstLine="0"/>
              <w:rPr>
                <w:rFonts w:cstheme="minorHAnsi"/>
                <w:b/>
                <w:bCs/>
                <w:color w:val="FF0000"/>
                <w:sz w:val="20"/>
                <w:szCs w:val="20"/>
              </w:rPr>
            </w:pPr>
            <w:r w:rsidRPr="000A4151">
              <w:rPr>
                <w:rFonts w:cstheme="minorHAnsi"/>
                <w:b/>
                <w:bCs/>
                <w:color w:val="FF0000"/>
                <w:sz w:val="20"/>
                <w:szCs w:val="20"/>
              </w:rPr>
              <w:t>Classification of Pressure Injuries</w:t>
            </w:r>
          </w:p>
          <w:p w14:paraId="55A1F509"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9.1: Differentiate pressure injuries from other types of wounds.</w:t>
            </w:r>
          </w:p>
          <w:p w14:paraId="712D418B"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(Good Practice Statement)</w:t>
            </w:r>
          </w:p>
          <w:p w14:paraId="6259D591"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9.2: Use a pressure injury classification system to classify and document the level of tissue loss.</w:t>
            </w:r>
          </w:p>
          <w:p w14:paraId="0804D37E"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(Good Practice Statement)</w:t>
            </w:r>
          </w:p>
          <w:p w14:paraId="07A6FD66" w14:textId="29C6DFDB"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9.3: Verify that there is clinical agreement in pressure injury classification a</w:t>
            </w:r>
            <w:r w:rsidR="00456914" w:rsidRPr="000A4151">
              <w:rPr>
                <w:rFonts w:cstheme="minorHAnsi"/>
                <w:bCs/>
                <w:color w:val="FF0000"/>
                <w:sz w:val="20"/>
                <w:szCs w:val="20"/>
              </w:rPr>
              <w:t xml:space="preserve">mongst the health professionals </w:t>
            </w:r>
            <w:r w:rsidRPr="000A4151">
              <w:rPr>
                <w:rFonts w:cstheme="minorHAnsi"/>
                <w:bCs/>
                <w:color w:val="FF0000"/>
                <w:sz w:val="20"/>
                <w:szCs w:val="20"/>
              </w:rPr>
              <w:t>responsible for classifying pressure injuries.</w:t>
            </w:r>
          </w:p>
          <w:p w14:paraId="6399CCD9" w14:textId="6E7C4CD1"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(Good practice Statement)</w:t>
            </w:r>
          </w:p>
          <w:p w14:paraId="319BE2E4" w14:textId="7995DD3B" w:rsidR="00456914" w:rsidRPr="000A4151" w:rsidRDefault="00456914" w:rsidP="00A72331">
            <w:pPr>
              <w:ind w:left="0" w:firstLine="0"/>
              <w:rPr>
                <w:rFonts w:cstheme="minorHAnsi"/>
                <w:b/>
                <w:bCs/>
                <w:color w:val="FF0000"/>
                <w:sz w:val="20"/>
                <w:szCs w:val="20"/>
              </w:rPr>
            </w:pPr>
            <w:r w:rsidRPr="000A4151">
              <w:rPr>
                <w:rFonts w:cstheme="minorHAnsi"/>
                <w:b/>
                <w:bCs/>
                <w:color w:val="FF0000"/>
                <w:sz w:val="20"/>
                <w:szCs w:val="20"/>
              </w:rPr>
              <w:t>Assessment of Pressure Injuries and Monitoring of Healing</w:t>
            </w:r>
          </w:p>
          <w:p w14:paraId="7BB82DA0" w14:textId="77777777" w:rsidR="00A72331" w:rsidRPr="000A4151" w:rsidRDefault="00A72331" w:rsidP="00A72331">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10.1: Conduct a comprehensive initial assessment of the individual with a pressure injury.</w:t>
            </w:r>
          </w:p>
          <w:p w14:paraId="78DF189F" w14:textId="77777777" w:rsidR="00A72331" w:rsidRPr="000A4151" w:rsidRDefault="00A72331" w:rsidP="00A72331">
            <w:pPr>
              <w:ind w:left="0" w:firstLine="0"/>
              <w:rPr>
                <w:rFonts w:cstheme="minorHAnsi"/>
                <w:bCs/>
                <w:color w:val="FF0000"/>
                <w:sz w:val="20"/>
                <w:szCs w:val="20"/>
              </w:rPr>
            </w:pPr>
            <w:r w:rsidRPr="000A4151">
              <w:rPr>
                <w:rFonts w:cstheme="minorHAnsi"/>
                <w:bCs/>
                <w:color w:val="FF0000"/>
                <w:sz w:val="20"/>
                <w:szCs w:val="20"/>
              </w:rPr>
              <w:t>(Good practice statement)</w:t>
            </w:r>
          </w:p>
          <w:p w14:paraId="75C5FAB6" w14:textId="26A30CA6"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10.2: Set treatment goals consistent with the value and goals of the individual, w</w:t>
            </w:r>
            <w:r w:rsidR="00456914" w:rsidRPr="000A4151">
              <w:rPr>
                <w:rFonts w:cstheme="minorHAnsi"/>
                <w:bCs/>
                <w:color w:val="FF0000"/>
                <w:sz w:val="20"/>
                <w:szCs w:val="20"/>
              </w:rPr>
              <w:t xml:space="preserve">ith input from the individual’s </w:t>
            </w:r>
            <w:r w:rsidRPr="000A4151">
              <w:rPr>
                <w:rFonts w:cstheme="minorHAnsi"/>
                <w:bCs/>
                <w:color w:val="FF0000"/>
                <w:sz w:val="20"/>
                <w:szCs w:val="20"/>
              </w:rPr>
              <w:t>informal caregivers, and develop a treatment plan that supports these values and goals.</w:t>
            </w:r>
          </w:p>
          <w:p w14:paraId="16BAF412"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(Good practice statement)</w:t>
            </w:r>
          </w:p>
          <w:p w14:paraId="2C98F91E" w14:textId="6C826C98"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10.3: Conduct a comprehensive reassessment of the individual if the pressure inj</w:t>
            </w:r>
            <w:r w:rsidR="00456914" w:rsidRPr="000A4151">
              <w:rPr>
                <w:rFonts w:cstheme="minorHAnsi"/>
                <w:bCs/>
                <w:color w:val="FF0000"/>
                <w:sz w:val="20"/>
                <w:szCs w:val="20"/>
              </w:rPr>
              <w:t xml:space="preserve">ury does not show some signs of </w:t>
            </w:r>
            <w:r w:rsidRPr="000A4151">
              <w:rPr>
                <w:rFonts w:cstheme="minorHAnsi"/>
                <w:bCs/>
                <w:color w:val="FF0000"/>
                <w:sz w:val="20"/>
                <w:szCs w:val="20"/>
              </w:rPr>
              <w:t>healing within two weeks despite appropriate local wound care, pressure redistribution, and nutrition.</w:t>
            </w:r>
          </w:p>
          <w:p w14:paraId="5C472614"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3519FDC0"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10.4: Assess the pressure injury initially and re-assess at least weekly to monitor progress toward healing.</w:t>
            </w:r>
          </w:p>
          <w:p w14:paraId="71B7DEC3"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(Good practice statement)</w:t>
            </w:r>
          </w:p>
          <w:p w14:paraId="4DB2F6A1" w14:textId="65C9F801"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10.5: Select a uniform, consistent method for measuring pressure injury size</w:t>
            </w:r>
            <w:r w:rsidR="00456914" w:rsidRPr="000A4151">
              <w:rPr>
                <w:rFonts w:cstheme="minorHAnsi"/>
                <w:bCs/>
                <w:color w:val="FF0000"/>
                <w:sz w:val="20"/>
                <w:szCs w:val="20"/>
              </w:rPr>
              <w:t xml:space="preserve"> and surface area to facilitate </w:t>
            </w:r>
            <w:r w:rsidRPr="000A4151">
              <w:rPr>
                <w:rFonts w:cstheme="minorHAnsi"/>
                <w:bCs/>
                <w:color w:val="FF0000"/>
                <w:sz w:val="20"/>
                <w:szCs w:val="20"/>
              </w:rPr>
              <w:t>meaningful comparisons of wound measurements across time.</w:t>
            </w:r>
          </w:p>
          <w:p w14:paraId="755A0652"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1F6F11E4" w14:textId="7FD8342D"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10.6: Assess the physical characteristics of the wound bed and the surroundi</w:t>
            </w:r>
            <w:r w:rsidR="00456914" w:rsidRPr="000A4151">
              <w:rPr>
                <w:rFonts w:cstheme="minorHAnsi"/>
                <w:bCs/>
                <w:color w:val="FF0000"/>
                <w:sz w:val="20"/>
                <w:szCs w:val="20"/>
              </w:rPr>
              <w:t xml:space="preserve">ng skin and soft tissue at each </w:t>
            </w:r>
            <w:r w:rsidRPr="000A4151">
              <w:rPr>
                <w:rFonts w:cstheme="minorHAnsi"/>
                <w:bCs/>
                <w:color w:val="FF0000"/>
                <w:sz w:val="20"/>
                <w:szCs w:val="20"/>
              </w:rPr>
              <w:t>pressure injury assessment.</w:t>
            </w:r>
          </w:p>
          <w:p w14:paraId="48A52281"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(Good practice statement)</w:t>
            </w:r>
          </w:p>
          <w:p w14:paraId="07091181"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10.7: Monitor the pressure injury healing progress.</w:t>
            </w:r>
          </w:p>
          <w:p w14:paraId="01F139EA"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(Good Practice Statement)</w:t>
            </w:r>
          </w:p>
          <w:p w14:paraId="1E477464"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10.8: Consider using a validated tool to monitor pressure injury healing.</w:t>
            </w:r>
          </w:p>
          <w:p w14:paraId="2439944E" w14:textId="1114082E"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488A9338" w14:textId="12E876F7" w:rsidR="00456914" w:rsidRPr="000A4151" w:rsidRDefault="00456914" w:rsidP="004F3B92">
            <w:pPr>
              <w:ind w:left="0" w:firstLine="0"/>
              <w:rPr>
                <w:rFonts w:cstheme="minorHAnsi"/>
                <w:b/>
                <w:bCs/>
                <w:color w:val="FF0000"/>
                <w:sz w:val="20"/>
                <w:szCs w:val="20"/>
              </w:rPr>
            </w:pPr>
            <w:r w:rsidRPr="000A4151">
              <w:rPr>
                <w:rFonts w:cstheme="minorHAnsi"/>
                <w:b/>
                <w:bCs/>
                <w:color w:val="FF0000"/>
                <w:sz w:val="20"/>
                <w:szCs w:val="20"/>
              </w:rPr>
              <w:t>Pain Assessment and Treatment</w:t>
            </w:r>
          </w:p>
          <w:p w14:paraId="4FA40DAC"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11.1: Conduct a comprehensive pain assessment for individuals with a pressure injury.</w:t>
            </w:r>
          </w:p>
          <w:p w14:paraId="4AF70CB8"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78F6F879" w14:textId="60D04326"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11.2: Use non-pharmacologic pain management strategies as a first line strategy</w:t>
            </w:r>
            <w:r w:rsidR="00456914" w:rsidRPr="000A4151">
              <w:rPr>
                <w:rFonts w:cstheme="minorHAnsi"/>
                <w:bCs/>
                <w:color w:val="FF0000"/>
                <w:sz w:val="20"/>
                <w:szCs w:val="20"/>
              </w:rPr>
              <w:t xml:space="preserve"> and adjuvant therapy to reduce </w:t>
            </w:r>
            <w:r w:rsidRPr="000A4151">
              <w:rPr>
                <w:rFonts w:cstheme="minorHAnsi"/>
                <w:bCs/>
                <w:color w:val="FF0000"/>
                <w:sz w:val="20"/>
                <w:szCs w:val="20"/>
              </w:rPr>
              <w:t>pain associated with pressure injuries.</w:t>
            </w:r>
          </w:p>
          <w:p w14:paraId="75A16A33"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(Good Practice Statement)</w:t>
            </w:r>
          </w:p>
          <w:p w14:paraId="4AE44948" w14:textId="711A5060"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11.3: Use repositioning techniques and equipment with consideration to preventi</w:t>
            </w:r>
            <w:r w:rsidR="00DD2339" w:rsidRPr="000A4151">
              <w:rPr>
                <w:rFonts w:cstheme="minorHAnsi"/>
                <w:bCs/>
                <w:color w:val="FF0000"/>
                <w:sz w:val="20"/>
                <w:szCs w:val="20"/>
              </w:rPr>
              <w:t xml:space="preserve">ng and managing pressure injury </w:t>
            </w:r>
            <w:r w:rsidRPr="000A4151">
              <w:rPr>
                <w:rFonts w:cstheme="minorHAnsi"/>
                <w:bCs/>
                <w:color w:val="FF0000"/>
                <w:sz w:val="20"/>
                <w:szCs w:val="20"/>
              </w:rPr>
              <w:t>pain.</w:t>
            </w:r>
          </w:p>
          <w:p w14:paraId="2DAC02E6"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(Good Practice Statement)</w:t>
            </w:r>
          </w:p>
          <w:p w14:paraId="0488CE0C"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11.4: Use the principles of moist wound healing to reduce pressure injury pain.</w:t>
            </w:r>
          </w:p>
          <w:p w14:paraId="3C1B4C58"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(Good Practice Statement)</w:t>
            </w:r>
          </w:p>
          <w:p w14:paraId="747B77B1" w14:textId="7EA23A65"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11.5: Consider applying a topical opioid to manage wound-related pressure in</w:t>
            </w:r>
            <w:r w:rsidR="00DD2339" w:rsidRPr="000A4151">
              <w:rPr>
                <w:rFonts w:cstheme="minorHAnsi"/>
                <w:bCs/>
                <w:color w:val="FF0000"/>
                <w:sz w:val="20"/>
                <w:szCs w:val="20"/>
              </w:rPr>
              <w:t xml:space="preserve">jury pain, if required and when </w:t>
            </w:r>
            <w:r w:rsidRPr="000A4151">
              <w:rPr>
                <w:rFonts w:cstheme="minorHAnsi"/>
                <w:bCs/>
                <w:color w:val="FF0000"/>
                <w:sz w:val="20"/>
                <w:szCs w:val="20"/>
              </w:rPr>
              <w:t>there are no contraindications.</w:t>
            </w:r>
          </w:p>
          <w:p w14:paraId="3D26C632"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4A11A867"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11.6: Administer analgesia regularly to control pressure injury pain.</w:t>
            </w:r>
          </w:p>
          <w:p w14:paraId="2A46EBB3"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(Good Practice Statement)</w:t>
            </w:r>
          </w:p>
          <w:p w14:paraId="0CFDC2FD" w14:textId="40E29D74" w:rsidR="00456914" w:rsidRPr="000A4151" w:rsidRDefault="00456914" w:rsidP="004F3B92">
            <w:pPr>
              <w:autoSpaceDE w:val="0"/>
              <w:autoSpaceDN w:val="0"/>
              <w:adjustRightInd w:val="0"/>
              <w:ind w:left="0" w:firstLine="0"/>
              <w:rPr>
                <w:rFonts w:cstheme="minorHAnsi"/>
                <w:b/>
                <w:bCs/>
                <w:color w:val="FF0000"/>
                <w:sz w:val="20"/>
                <w:szCs w:val="20"/>
              </w:rPr>
            </w:pPr>
            <w:r w:rsidRPr="000A4151">
              <w:rPr>
                <w:rFonts w:cstheme="minorHAnsi"/>
                <w:b/>
                <w:bCs/>
                <w:color w:val="FF0000"/>
                <w:sz w:val="20"/>
                <w:szCs w:val="20"/>
              </w:rPr>
              <w:t>Cleansing and Debridement</w:t>
            </w:r>
          </w:p>
          <w:p w14:paraId="25F57D68" w14:textId="2592D4E3"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12.1: Cleanse the pressure injury.</w:t>
            </w:r>
          </w:p>
          <w:p w14:paraId="6F0E1707"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3C1975AC"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12.2: Use cleansing solutions with antimicrobials to clean pressure injuries with suspected or confirmed infection.</w:t>
            </w:r>
          </w:p>
          <w:p w14:paraId="562026A8"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(Good Practice Statement)</w:t>
            </w:r>
          </w:p>
          <w:p w14:paraId="7834A4D0"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12.3: Cleanse the skin surrounding the pressure injury.</w:t>
            </w:r>
          </w:p>
          <w:p w14:paraId="61D57CD3"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7F06099C"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12.4: Avoid disturbing stable, hard, dry eschar in ischemic limbs and heels, unless infection is suspected.</w:t>
            </w:r>
          </w:p>
          <w:p w14:paraId="54939452"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7C2281FE" w14:textId="282313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12.5: Debride the pressure injury of devitalized tissue and suspected o</w:t>
            </w:r>
            <w:r w:rsidR="00456914" w:rsidRPr="000A4151">
              <w:rPr>
                <w:rFonts w:cstheme="minorHAnsi"/>
                <w:bCs/>
                <w:color w:val="FF0000"/>
                <w:sz w:val="20"/>
                <w:szCs w:val="20"/>
              </w:rPr>
              <w:t xml:space="preserve">r confirmed biofilm and perform </w:t>
            </w:r>
            <w:r w:rsidRPr="000A4151">
              <w:rPr>
                <w:rFonts w:cstheme="minorHAnsi"/>
                <w:bCs/>
                <w:color w:val="FF0000"/>
                <w:sz w:val="20"/>
                <w:szCs w:val="20"/>
              </w:rPr>
              <w:t>maintenance debridement until the wound bed is free of devitalized tiss</w:t>
            </w:r>
            <w:r w:rsidR="00DD2339" w:rsidRPr="000A4151">
              <w:rPr>
                <w:rFonts w:cstheme="minorHAnsi"/>
                <w:bCs/>
                <w:color w:val="FF0000"/>
                <w:sz w:val="20"/>
                <w:szCs w:val="20"/>
              </w:rPr>
              <w:t xml:space="preserve">ue and covered with granulation </w:t>
            </w:r>
            <w:r w:rsidRPr="000A4151">
              <w:rPr>
                <w:rFonts w:cstheme="minorHAnsi"/>
                <w:bCs/>
                <w:color w:val="FF0000"/>
                <w:sz w:val="20"/>
                <w:szCs w:val="20"/>
              </w:rPr>
              <w:t>tissue.</w:t>
            </w:r>
          </w:p>
          <w:p w14:paraId="7F40BDBB"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04C3CE17" w14:textId="36C90D43" w:rsidR="00456914" w:rsidRPr="000A4151" w:rsidRDefault="00456914" w:rsidP="004F3B92">
            <w:pPr>
              <w:autoSpaceDE w:val="0"/>
              <w:autoSpaceDN w:val="0"/>
              <w:adjustRightInd w:val="0"/>
              <w:ind w:left="0" w:firstLine="0"/>
              <w:rPr>
                <w:rFonts w:cstheme="minorHAnsi"/>
                <w:b/>
                <w:bCs/>
                <w:color w:val="FF0000"/>
                <w:sz w:val="20"/>
                <w:szCs w:val="20"/>
              </w:rPr>
            </w:pPr>
            <w:r w:rsidRPr="000A4151">
              <w:rPr>
                <w:rFonts w:cstheme="minorHAnsi"/>
                <w:b/>
                <w:bCs/>
                <w:color w:val="FF0000"/>
                <w:sz w:val="20"/>
                <w:szCs w:val="20"/>
              </w:rPr>
              <w:t>Infection and Biofilms</w:t>
            </w:r>
          </w:p>
          <w:p w14:paraId="1404ACB2" w14:textId="26F0F3C0"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13.1: Have a high index of suspicion of local infection in a pressure injury in the presence of:</w:t>
            </w:r>
          </w:p>
          <w:p w14:paraId="1261E86E" w14:textId="4AF79395"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Delayed healing</w:t>
            </w:r>
          </w:p>
          <w:p w14:paraId="511E8D8A" w14:textId="251935CC"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Lack of signs of healing in the preceding two weeks despite appropriate treatment</w:t>
            </w:r>
          </w:p>
          <w:p w14:paraId="1C28CF36" w14:textId="4847C617"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Larger size and/or depth</w:t>
            </w:r>
          </w:p>
          <w:p w14:paraId="64A2098E" w14:textId="5AE98F98"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Wound breakdown/dehiscence</w:t>
            </w:r>
          </w:p>
          <w:p w14:paraId="37557C9B" w14:textId="62E1EBD1"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Necrotic tissue</w:t>
            </w:r>
          </w:p>
          <w:p w14:paraId="659A0EFD" w14:textId="6C8CEE3B"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Friable granulation tissue</w:t>
            </w:r>
          </w:p>
          <w:p w14:paraId="623DE117" w14:textId="6BCBA13D"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Pocketing or bridging in the wound bed</w:t>
            </w:r>
          </w:p>
          <w:p w14:paraId="7AF11FBF" w14:textId="6BBBFA40"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Increased exudate, or change in the nature of the exudate</w:t>
            </w:r>
          </w:p>
          <w:p w14:paraId="0F5BCDEA" w14:textId="5658D700"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Increased warmth in the surrounding tissue</w:t>
            </w:r>
          </w:p>
          <w:p w14:paraId="4FF7304C" w14:textId="1E00AFE2"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Increased pain</w:t>
            </w:r>
          </w:p>
          <w:p w14:paraId="5904A67B" w14:textId="4EE96EA6"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Malodor.</w:t>
            </w:r>
          </w:p>
          <w:p w14:paraId="2273927B"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346A9A30"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13.2: Have a high index of suspicion of biofilm in a pressure injury in the presence of:</w:t>
            </w:r>
          </w:p>
          <w:p w14:paraId="78A9F2DC" w14:textId="4A547F85"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Failure to heal despite appropriate antibiotic therapy</w:t>
            </w:r>
          </w:p>
          <w:p w14:paraId="2AD6DE14" w14:textId="153244A6"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Recalcitrance to appropriate antimicrobial therapy</w:t>
            </w:r>
          </w:p>
          <w:p w14:paraId="10127E5C" w14:textId="097F8430"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Delayed healing despite optimal treatment</w:t>
            </w:r>
          </w:p>
          <w:p w14:paraId="308641C6" w14:textId="67D20517"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Increased exudate</w:t>
            </w:r>
          </w:p>
          <w:p w14:paraId="2996252B" w14:textId="75A1B926"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 xml:space="preserve">Increased poor granulation or friable </w:t>
            </w:r>
            <w:proofErr w:type="spellStart"/>
            <w:r w:rsidR="004F3B92" w:rsidRPr="000A4151">
              <w:rPr>
                <w:rFonts w:cstheme="minorHAnsi"/>
                <w:bCs/>
                <w:color w:val="FF0000"/>
                <w:sz w:val="20"/>
                <w:szCs w:val="20"/>
              </w:rPr>
              <w:t>hypergranulation</w:t>
            </w:r>
            <w:proofErr w:type="spellEnd"/>
          </w:p>
          <w:p w14:paraId="001CAD1B" w14:textId="4FDE33DD"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Low level erythema and/or low level chronic inflammation</w:t>
            </w:r>
          </w:p>
          <w:p w14:paraId="6729870C" w14:textId="7D5CD065"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Secondary signs of infection.</w:t>
            </w:r>
          </w:p>
          <w:p w14:paraId="3F2ED7F0"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(Good Practice Statement)</w:t>
            </w:r>
          </w:p>
          <w:p w14:paraId="031EEEBA"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13.3: Consider a diagnosis of spreading infection if the individual with a pressure injury has local and/or systemic</w:t>
            </w:r>
          </w:p>
          <w:p w14:paraId="54B9158F"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signs of acute infection including but not limited to:</w:t>
            </w:r>
          </w:p>
          <w:p w14:paraId="5B7CED6F" w14:textId="5A954448"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Delay in healing</w:t>
            </w:r>
          </w:p>
          <w:p w14:paraId="62ADAE0A" w14:textId="0841432B"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Erythema extending from the wound edge</w:t>
            </w:r>
          </w:p>
          <w:p w14:paraId="3BFA92FE" w14:textId="13D3A7C1"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Wound breakdown/dehiscence</w:t>
            </w:r>
          </w:p>
          <w:p w14:paraId="16E6008E" w14:textId="090D4A02"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Induration</w:t>
            </w:r>
          </w:p>
          <w:p w14:paraId="10AFF8BE" w14:textId="74BD07D9"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 xml:space="preserve">Crepitus, </w:t>
            </w:r>
            <w:proofErr w:type="spellStart"/>
            <w:r w:rsidR="004F3B92" w:rsidRPr="000A4151">
              <w:rPr>
                <w:rFonts w:cstheme="minorHAnsi"/>
                <w:bCs/>
                <w:color w:val="FF0000"/>
                <w:sz w:val="20"/>
                <w:szCs w:val="20"/>
              </w:rPr>
              <w:t>fluctuance</w:t>
            </w:r>
            <w:proofErr w:type="spellEnd"/>
            <w:r w:rsidR="004F3B92" w:rsidRPr="000A4151">
              <w:rPr>
                <w:rFonts w:cstheme="minorHAnsi"/>
                <w:bCs/>
                <w:color w:val="FF0000"/>
                <w:sz w:val="20"/>
                <w:szCs w:val="20"/>
              </w:rPr>
              <w:t xml:space="preserve"> or discoloration of the surrounding skin</w:t>
            </w:r>
          </w:p>
          <w:p w14:paraId="49E64A7E" w14:textId="33CD5B64"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proofErr w:type="spellStart"/>
            <w:r w:rsidR="004F3B92" w:rsidRPr="000A4151">
              <w:rPr>
                <w:rFonts w:cstheme="minorHAnsi"/>
                <w:bCs/>
                <w:color w:val="FF0000"/>
                <w:sz w:val="20"/>
                <w:szCs w:val="20"/>
              </w:rPr>
              <w:t>Lymphangitis</w:t>
            </w:r>
            <w:proofErr w:type="spellEnd"/>
          </w:p>
          <w:p w14:paraId="22C4A9D4" w14:textId="36440B86"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Malaise/lethargy</w:t>
            </w:r>
          </w:p>
          <w:p w14:paraId="6DB3ECA0" w14:textId="0DF3CD88"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Confusion/delirium and anorexia (particularly in older adults).</w:t>
            </w:r>
          </w:p>
          <w:p w14:paraId="3F256387"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(Good Practice Statement)</w:t>
            </w:r>
          </w:p>
          <w:p w14:paraId="6AF33561" w14:textId="1FB08D50"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13.4: Determine presence of microbial burden in the pressure injury by tissue bi</w:t>
            </w:r>
            <w:r w:rsidR="00DD2339" w:rsidRPr="000A4151">
              <w:rPr>
                <w:rFonts w:cstheme="minorHAnsi"/>
                <w:bCs/>
                <w:color w:val="FF0000"/>
                <w:sz w:val="20"/>
                <w:szCs w:val="20"/>
              </w:rPr>
              <w:t xml:space="preserve">opsy or semi-quantitative swab </w:t>
            </w:r>
            <w:r w:rsidRPr="000A4151">
              <w:rPr>
                <w:rFonts w:cstheme="minorHAnsi"/>
                <w:bCs/>
                <w:color w:val="FF0000"/>
                <w:sz w:val="20"/>
                <w:szCs w:val="20"/>
              </w:rPr>
              <w:t>technique and microscopy.</w:t>
            </w:r>
          </w:p>
          <w:p w14:paraId="0F53BF34"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(Good Practice Statement)</w:t>
            </w:r>
          </w:p>
          <w:p w14:paraId="1ADAF633"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13.5: Determine presence of biofilm in the pressure injury by tissue biopsy and high resolution microscopy.</w:t>
            </w:r>
          </w:p>
          <w:p w14:paraId="1C5AA09A"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(Good Practice Statement)</w:t>
            </w:r>
          </w:p>
          <w:p w14:paraId="27309396" w14:textId="01CF51AA"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13.6: Evaluate the pressure injury for presence of osteomyelitis in the presenc</w:t>
            </w:r>
            <w:r w:rsidR="00DD2339" w:rsidRPr="000A4151">
              <w:rPr>
                <w:rFonts w:cstheme="minorHAnsi"/>
                <w:bCs/>
                <w:color w:val="FF0000"/>
                <w:sz w:val="20"/>
                <w:szCs w:val="20"/>
              </w:rPr>
              <w:t xml:space="preserve">e of exposed bone and/or if the </w:t>
            </w:r>
            <w:r w:rsidRPr="000A4151">
              <w:rPr>
                <w:rFonts w:cstheme="minorHAnsi"/>
                <w:bCs/>
                <w:color w:val="FF0000"/>
                <w:sz w:val="20"/>
                <w:szCs w:val="20"/>
              </w:rPr>
              <w:t>bone feels rough or soft, or if the pressure injury has failed to heal with appropriate treatment.</w:t>
            </w:r>
          </w:p>
          <w:p w14:paraId="378BB8EF"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493FD0FB"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13.7: Optimize potential for healing by:</w:t>
            </w:r>
          </w:p>
          <w:p w14:paraId="3040F7BD" w14:textId="2123ABBE"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Evaluating the individual’s nutritional status and addressing deficits</w:t>
            </w:r>
          </w:p>
          <w:p w14:paraId="476CDD3C" w14:textId="618DC31C"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Evaluating the individual’s comorbidities and promoting disease control</w:t>
            </w:r>
          </w:p>
          <w:p w14:paraId="36701CE4" w14:textId="5E285FD4"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Reducing the individual’s immunosuppressant therapy if possible</w:t>
            </w:r>
          </w:p>
          <w:p w14:paraId="0611255B" w14:textId="03E9EA4E"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Preventing contamination of the pressure injury</w:t>
            </w:r>
          </w:p>
          <w:p w14:paraId="5AD2D552" w14:textId="472AFAC9" w:rsidR="004F3B92" w:rsidRPr="000A4151" w:rsidRDefault="00DC1B13" w:rsidP="00DC1B13">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Preparing the wound bed through cleansing and debridement.</w:t>
            </w:r>
          </w:p>
          <w:p w14:paraId="10755BB4" w14:textId="77777777" w:rsidR="004F3B92" w:rsidRPr="000A4151" w:rsidRDefault="004F3B92" w:rsidP="00DC1B13">
            <w:pPr>
              <w:rPr>
                <w:rFonts w:cstheme="minorHAnsi"/>
                <w:bCs/>
                <w:color w:val="FF0000"/>
                <w:sz w:val="20"/>
                <w:szCs w:val="20"/>
              </w:rPr>
            </w:pPr>
            <w:r w:rsidRPr="000A4151">
              <w:rPr>
                <w:rFonts w:cstheme="minorHAnsi"/>
                <w:bCs/>
                <w:color w:val="FF0000"/>
                <w:sz w:val="20"/>
                <w:szCs w:val="20"/>
              </w:rPr>
              <w:t>(Good Practice Statement)</w:t>
            </w:r>
          </w:p>
          <w:p w14:paraId="4A83C591" w14:textId="7BCA4951"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13.8: Use topical antiseptics in tissue-appropriate strengths to control microbial b</w:t>
            </w:r>
            <w:r w:rsidR="00DD2339" w:rsidRPr="000A4151">
              <w:rPr>
                <w:rFonts w:cstheme="minorHAnsi"/>
                <w:bCs/>
                <w:color w:val="FF0000"/>
                <w:sz w:val="20"/>
                <w:szCs w:val="20"/>
              </w:rPr>
              <w:t xml:space="preserve">urden and to promote healing in </w:t>
            </w:r>
            <w:r w:rsidRPr="000A4151">
              <w:rPr>
                <w:rFonts w:cstheme="minorHAnsi"/>
                <w:bCs/>
                <w:color w:val="FF0000"/>
                <w:sz w:val="20"/>
                <w:szCs w:val="20"/>
              </w:rPr>
              <w:t>pressure injuries that have delayed healing.</w:t>
            </w:r>
          </w:p>
          <w:p w14:paraId="1614C528"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7F8B56B9" w14:textId="769A83F3"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13.9: Use topical antiseptics that are active against biofilm in tissue-appropriat</w:t>
            </w:r>
            <w:r w:rsidR="00DD2339" w:rsidRPr="000A4151">
              <w:rPr>
                <w:rFonts w:cstheme="minorHAnsi"/>
                <w:bCs/>
                <w:color w:val="FF0000"/>
                <w:sz w:val="20"/>
                <w:szCs w:val="20"/>
              </w:rPr>
              <w:t xml:space="preserve">e strengths in conjunction with </w:t>
            </w:r>
            <w:r w:rsidRPr="000A4151">
              <w:rPr>
                <w:rFonts w:cstheme="minorHAnsi"/>
                <w:bCs/>
                <w:color w:val="FF0000"/>
                <w:sz w:val="20"/>
                <w:szCs w:val="20"/>
              </w:rPr>
              <w:t>regular debridement to control and eradicate suspected (or confirmed) bi</w:t>
            </w:r>
            <w:r w:rsidR="00DD2339" w:rsidRPr="000A4151">
              <w:rPr>
                <w:rFonts w:cstheme="minorHAnsi"/>
                <w:bCs/>
                <w:color w:val="FF0000"/>
                <w:sz w:val="20"/>
                <w:szCs w:val="20"/>
              </w:rPr>
              <w:t xml:space="preserve">ofilm in pressure injuries with </w:t>
            </w:r>
            <w:r w:rsidRPr="000A4151">
              <w:rPr>
                <w:rFonts w:cstheme="minorHAnsi"/>
                <w:bCs/>
                <w:color w:val="FF0000"/>
                <w:sz w:val="20"/>
                <w:szCs w:val="20"/>
              </w:rPr>
              <w:t>delayed healing.</w:t>
            </w:r>
          </w:p>
          <w:p w14:paraId="7C1248CD"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C;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15C6E686" w14:textId="0608ECA3"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13.10: Use systemic antibiotics to control and eradicate infection in individuals with pressure injuries and clinic</w:t>
            </w:r>
            <w:r w:rsidR="00DD2339" w:rsidRPr="000A4151">
              <w:rPr>
                <w:rFonts w:cstheme="minorHAnsi"/>
                <w:bCs/>
                <w:color w:val="FF0000"/>
                <w:sz w:val="20"/>
                <w:szCs w:val="20"/>
              </w:rPr>
              <w:t xml:space="preserve">al </w:t>
            </w:r>
            <w:r w:rsidRPr="000A4151">
              <w:rPr>
                <w:rFonts w:cstheme="minorHAnsi"/>
                <w:bCs/>
                <w:color w:val="FF0000"/>
                <w:sz w:val="20"/>
                <w:szCs w:val="20"/>
              </w:rPr>
              <w:t>evidence of systemic infection.</w:t>
            </w:r>
          </w:p>
          <w:p w14:paraId="307DB192" w14:textId="58FBB75E"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(Good Practice Statement)</w:t>
            </w:r>
          </w:p>
          <w:p w14:paraId="4BB6703B" w14:textId="4C61C305" w:rsidR="00456914" w:rsidRPr="000A4151" w:rsidRDefault="00456914" w:rsidP="004F3B92">
            <w:pPr>
              <w:ind w:left="0" w:firstLine="0"/>
              <w:rPr>
                <w:rFonts w:cstheme="minorHAnsi"/>
                <w:b/>
                <w:bCs/>
                <w:color w:val="FF0000"/>
                <w:sz w:val="20"/>
                <w:szCs w:val="20"/>
              </w:rPr>
            </w:pPr>
            <w:r w:rsidRPr="000A4151">
              <w:rPr>
                <w:rFonts w:cstheme="minorHAnsi"/>
                <w:b/>
                <w:bCs/>
                <w:color w:val="FF0000"/>
                <w:sz w:val="20"/>
                <w:szCs w:val="20"/>
              </w:rPr>
              <w:t>Wound Dressings</w:t>
            </w:r>
          </w:p>
          <w:p w14:paraId="11098B58"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14.1: For all pressure injuries, select the most appropriate wound dressing based on goals and self-care abilities of</w:t>
            </w:r>
          </w:p>
          <w:p w14:paraId="36335F99"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the individual and/or their informal caregiver and based on clinical assessment, including:</w:t>
            </w:r>
          </w:p>
          <w:p w14:paraId="6BE745FF" w14:textId="70CF92B6" w:rsidR="004F3B92" w:rsidRPr="000A4151" w:rsidRDefault="00DD2339" w:rsidP="00DD2339">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Diameter, shape and depth of the pressure injury</w:t>
            </w:r>
          </w:p>
          <w:p w14:paraId="22754A8A" w14:textId="76729CDE" w:rsidR="004F3B92" w:rsidRPr="000A4151" w:rsidRDefault="00DD2339" w:rsidP="00DD2339">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Need to address bacterial bioburden</w:t>
            </w:r>
          </w:p>
          <w:p w14:paraId="08B95033" w14:textId="7ADCE8B4" w:rsidR="004F3B92" w:rsidRPr="000A4151" w:rsidRDefault="00DD2339" w:rsidP="00DD2339">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Ability to keep the wound bed moist</w:t>
            </w:r>
          </w:p>
          <w:p w14:paraId="4846739E" w14:textId="314E0C25" w:rsidR="004F3B92" w:rsidRPr="000A4151" w:rsidRDefault="00DD2339" w:rsidP="00DD2339">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Nature and volume of wound exudate</w:t>
            </w:r>
          </w:p>
          <w:p w14:paraId="51CE4BFD" w14:textId="32A432CA" w:rsidR="004F3B92" w:rsidRPr="000A4151" w:rsidRDefault="00DD2339" w:rsidP="00DD2339">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Condition of the tissue in the wound bed</w:t>
            </w:r>
          </w:p>
          <w:p w14:paraId="72460FB6" w14:textId="659B8E4E" w:rsidR="004F3B92" w:rsidRPr="000A4151" w:rsidRDefault="00DD2339" w:rsidP="00DD2339">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 xml:space="preserve">Condition of the </w:t>
            </w:r>
            <w:proofErr w:type="spellStart"/>
            <w:r w:rsidR="004F3B92" w:rsidRPr="000A4151">
              <w:rPr>
                <w:rFonts w:cstheme="minorHAnsi"/>
                <w:bCs/>
                <w:color w:val="FF0000"/>
                <w:sz w:val="20"/>
                <w:szCs w:val="20"/>
              </w:rPr>
              <w:t>peri</w:t>
            </w:r>
            <w:proofErr w:type="spellEnd"/>
            <w:r w:rsidR="004F3B92" w:rsidRPr="000A4151">
              <w:rPr>
                <w:rFonts w:cstheme="minorHAnsi"/>
                <w:bCs/>
                <w:color w:val="FF0000"/>
                <w:sz w:val="20"/>
                <w:szCs w:val="20"/>
              </w:rPr>
              <w:t>-wound skin</w:t>
            </w:r>
          </w:p>
          <w:p w14:paraId="04D59B0D" w14:textId="7103BC74" w:rsidR="004F3B92" w:rsidRPr="000A4151" w:rsidRDefault="00DD2339" w:rsidP="00DD2339">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Presence of tunneling and/or undermining</w:t>
            </w:r>
          </w:p>
          <w:p w14:paraId="11AA04C9" w14:textId="1BD5491D" w:rsidR="004F3B92" w:rsidRPr="000A4151" w:rsidRDefault="00DD2339" w:rsidP="00DD2339">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Pain</w:t>
            </w:r>
          </w:p>
          <w:p w14:paraId="27DADC35"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(Good Practice Statement)</w:t>
            </w:r>
          </w:p>
          <w:p w14:paraId="2B83CD54" w14:textId="18929F00"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14.2: Evaluate the cost effectiveness of wound dressings at a local level, with consi</w:t>
            </w:r>
            <w:r w:rsidR="0012535B" w:rsidRPr="000A4151">
              <w:rPr>
                <w:rFonts w:cstheme="minorHAnsi"/>
                <w:bCs/>
                <w:color w:val="FF0000"/>
                <w:sz w:val="20"/>
                <w:szCs w:val="20"/>
              </w:rPr>
              <w:t xml:space="preserve">deration to direct and indirect </w:t>
            </w:r>
            <w:r w:rsidRPr="000A4151">
              <w:rPr>
                <w:rFonts w:cstheme="minorHAnsi"/>
                <w:bCs/>
                <w:color w:val="FF0000"/>
                <w:sz w:val="20"/>
                <w:szCs w:val="20"/>
              </w:rPr>
              <w:t>costs to the health care system and to the individual with a pressure injury.</w:t>
            </w:r>
            <w:r w:rsidR="00DD2339" w:rsidRPr="000A4151">
              <w:rPr>
                <w:rFonts w:cstheme="minorHAnsi"/>
                <w:bCs/>
                <w:color w:val="FF0000"/>
                <w:sz w:val="20"/>
                <w:szCs w:val="20"/>
              </w:rPr>
              <w:t xml:space="preserve"> Advanced wound dressings </w:t>
            </w:r>
            <w:r w:rsidRPr="000A4151">
              <w:rPr>
                <w:rFonts w:cstheme="minorHAnsi"/>
                <w:bCs/>
                <w:color w:val="FF0000"/>
                <w:sz w:val="20"/>
                <w:szCs w:val="20"/>
              </w:rPr>
              <w:t>that promote moist wound healing are more likely to be cost-effective due t</w:t>
            </w:r>
            <w:r w:rsidR="00DD2339" w:rsidRPr="000A4151">
              <w:rPr>
                <w:rFonts w:cstheme="minorHAnsi"/>
                <w:bCs/>
                <w:color w:val="FF0000"/>
                <w:sz w:val="20"/>
                <w:szCs w:val="20"/>
              </w:rPr>
              <w:t xml:space="preserve">o faster healing times and less </w:t>
            </w:r>
            <w:r w:rsidRPr="000A4151">
              <w:rPr>
                <w:rFonts w:cstheme="minorHAnsi"/>
                <w:bCs/>
                <w:color w:val="FF0000"/>
                <w:sz w:val="20"/>
                <w:szCs w:val="20"/>
              </w:rPr>
              <w:t>frequent dressing changes.</w:t>
            </w:r>
          </w:p>
          <w:p w14:paraId="5EF1E1CD"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(Good Practice Statement)</w:t>
            </w:r>
          </w:p>
          <w:p w14:paraId="5B51CD8E" w14:textId="5881C25F"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14.3: Use hydrocolloid dressings for non-infected Category/Stage II pressure injuri</w:t>
            </w:r>
            <w:r w:rsidR="00DD2339" w:rsidRPr="000A4151">
              <w:rPr>
                <w:rFonts w:cstheme="minorHAnsi"/>
                <w:bCs/>
                <w:color w:val="FF0000"/>
                <w:sz w:val="20"/>
                <w:szCs w:val="20"/>
              </w:rPr>
              <w:t xml:space="preserve">es as indicated by the clinical </w:t>
            </w:r>
            <w:r w:rsidRPr="000A4151">
              <w:rPr>
                <w:rFonts w:cstheme="minorHAnsi"/>
                <w:bCs/>
                <w:color w:val="FF0000"/>
                <w:sz w:val="20"/>
                <w:szCs w:val="20"/>
              </w:rPr>
              <w:t>condition of the pressure injury.</w:t>
            </w:r>
          </w:p>
          <w:p w14:paraId="6C47A330"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7590AABC" w14:textId="4F192210"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14.4: Use hydrogel dressings for non-infected Category/Stage II pressure injuri</w:t>
            </w:r>
            <w:r w:rsidR="00DD2339" w:rsidRPr="000A4151">
              <w:rPr>
                <w:rFonts w:cstheme="minorHAnsi"/>
                <w:bCs/>
                <w:color w:val="FF0000"/>
                <w:sz w:val="20"/>
                <w:szCs w:val="20"/>
              </w:rPr>
              <w:t xml:space="preserve">es as indicated by the clinical </w:t>
            </w:r>
            <w:r w:rsidRPr="000A4151">
              <w:rPr>
                <w:rFonts w:cstheme="minorHAnsi"/>
                <w:bCs/>
                <w:color w:val="FF0000"/>
                <w:sz w:val="20"/>
                <w:szCs w:val="20"/>
              </w:rPr>
              <w:t>condition of the pressure injury.</w:t>
            </w:r>
          </w:p>
          <w:p w14:paraId="49F2EF53"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6E329BE9" w14:textId="6EDF6E56"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14.5: Use polymeric membrane dressings for non-infected Category/Stage II pressu</w:t>
            </w:r>
            <w:r w:rsidR="00DD2339" w:rsidRPr="000A4151">
              <w:rPr>
                <w:rFonts w:cstheme="minorHAnsi"/>
                <w:bCs/>
                <w:color w:val="FF0000"/>
                <w:sz w:val="20"/>
                <w:szCs w:val="20"/>
              </w:rPr>
              <w:t xml:space="preserve">re injuries as indicated by the </w:t>
            </w:r>
            <w:r w:rsidRPr="000A4151">
              <w:rPr>
                <w:rFonts w:cstheme="minorHAnsi"/>
                <w:bCs/>
                <w:color w:val="FF0000"/>
                <w:sz w:val="20"/>
                <w:szCs w:val="20"/>
              </w:rPr>
              <w:t>clinical condition of the pressure injury.</w:t>
            </w:r>
          </w:p>
          <w:p w14:paraId="5D4CB7E1"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01A5FF54"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14.6: Use hydrogel dressings for non-infected Category/Stage III and IV pressure injuries with minimal exudate.</w:t>
            </w:r>
          </w:p>
          <w:p w14:paraId="75EF038A"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1D76F18F"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14.7: Use calcium alginate dressings for Category/Stage III and IV pressure injuries with moderate exudate.</w:t>
            </w:r>
          </w:p>
          <w:p w14:paraId="0114946E"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10D68CD2" w14:textId="19CD6702"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14.8: Use foam dressings (including </w:t>
            </w:r>
            <w:proofErr w:type="spellStart"/>
            <w:r w:rsidRPr="000A4151">
              <w:rPr>
                <w:rFonts w:cstheme="minorHAnsi"/>
                <w:bCs/>
                <w:color w:val="FF0000"/>
                <w:sz w:val="20"/>
                <w:szCs w:val="20"/>
              </w:rPr>
              <w:t>hydropolymers</w:t>
            </w:r>
            <w:proofErr w:type="spellEnd"/>
            <w:r w:rsidRPr="000A4151">
              <w:rPr>
                <w:rFonts w:cstheme="minorHAnsi"/>
                <w:bCs/>
                <w:color w:val="FF0000"/>
                <w:sz w:val="20"/>
                <w:szCs w:val="20"/>
              </w:rPr>
              <w:t>) for Category/Stage II and</w:t>
            </w:r>
            <w:r w:rsidR="00DD2339" w:rsidRPr="000A4151">
              <w:rPr>
                <w:rFonts w:cstheme="minorHAnsi"/>
                <w:bCs/>
                <w:color w:val="FF0000"/>
                <w:sz w:val="20"/>
                <w:szCs w:val="20"/>
              </w:rPr>
              <w:t xml:space="preserve"> greater pressure injuries with </w:t>
            </w:r>
            <w:r w:rsidRPr="000A4151">
              <w:rPr>
                <w:rFonts w:cstheme="minorHAnsi"/>
                <w:bCs/>
                <w:color w:val="FF0000"/>
                <w:sz w:val="20"/>
                <w:szCs w:val="20"/>
              </w:rPr>
              <w:t>moderate/heavy exudate.</w:t>
            </w:r>
          </w:p>
          <w:p w14:paraId="13FB15DA"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739BC7AD" w14:textId="46677630"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14.9: Use super-absorbent wound dressings with a high capacity for absor</w:t>
            </w:r>
            <w:r w:rsidR="00DD2339" w:rsidRPr="000A4151">
              <w:rPr>
                <w:rFonts w:cstheme="minorHAnsi"/>
                <w:bCs/>
                <w:color w:val="FF0000"/>
                <w:sz w:val="20"/>
                <w:szCs w:val="20"/>
              </w:rPr>
              <w:t xml:space="preserve">ption to manage heavily exuding </w:t>
            </w:r>
            <w:r w:rsidRPr="000A4151">
              <w:rPr>
                <w:rFonts w:cstheme="minorHAnsi"/>
                <w:bCs/>
                <w:color w:val="FF0000"/>
                <w:sz w:val="20"/>
                <w:szCs w:val="20"/>
              </w:rPr>
              <w:t>pressure injuries.</w:t>
            </w:r>
          </w:p>
          <w:p w14:paraId="1AFA8F24"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6D9C963F" w14:textId="714E1E4B"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14.10: Use moist gauze dressings to maintain an appropriately moist wound </w:t>
            </w:r>
            <w:r w:rsidR="00DD2339" w:rsidRPr="000A4151">
              <w:rPr>
                <w:rFonts w:cstheme="minorHAnsi"/>
                <w:bCs/>
                <w:color w:val="FF0000"/>
                <w:sz w:val="20"/>
                <w:szCs w:val="20"/>
              </w:rPr>
              <w:t xml:space="preserve">environment when advanced wound </w:t>
            </w:r>
            <w:r w:rsidRPr="000A4151">
              <w:rPr>
                <w:rFonts w:cstheme="minorHAnsi"/>
                <w:bCs/>
                <w:color w:val="FF0000"/>
                <w:sz w:val="20"/>
                <w:szCs w:val="20"/>
              </w:rPr>
              <w:t>dressings are not an option.</w:t>
            </w:r>
          </w:p>
          <w:p w14:paraId="05B4A1DE"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0EB3515C" w14:textId="36C2910A"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14.11: Use a transparent film dressing as a secondary dressing when advanced wound dressings are not an</w:t>
            </w:r>
            <w:r w:rsidR="00DD2339" w:rsidRPr="000A4151">
              <w:rPr>
                <w:rFonts w:cstheme="minorHAnsi"/>
                <w:bCs/>
                <w:color w:val="FF0000"/>
                <w:sz w:val="20"/>
                <w:szCs w:val="20"/>
              </w:rPr>
              <w:t xml:space="preserve"> </w:t>
            </w:r>
            <w:r w:rsidRPr="000A4151">
              <w:rPr>
                <w:rFonts w:cstheme="minorHAnsi"/>
                <w:bCs/>
                <w:color w:val="FF0000"/>
                <w:sz w:val="20"/>
                <w:szCs w:val="20"/>
              </w:rPr>
              <w:t>option.</w:t>
            </w:r>
          </w:p>
          <w:p w14:paraId="2C4DB877"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48868D87" w14:textId="502C7CC4"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14.12: Consider the available evidence and guidance on using local resource</w:t>
            </w:r>
            <w:r w:rsidR="00DD2339" w:rsidRPr="000A4151">
              <w:rPr>
                <w:rFonts w:cstheme="minorHAnsi"/>
                <w:bCs/>
                <w:color w:val="FF0000"/>
                <w:sz w:val="20"/>
                <w:szCs w:val="20"/>
              </w:rPr>
              <w:t xml:space="preserve"> dressings when selecting wound </w:t>
            </w:r>
            <w:r w:rsidRPr="000A4151">
              <w:rPr>
                <w:rFonts w:cstheme="minorHAnsi"/>
                <w:bCs/>
                <w:color w:val="FF0000"/>
                <w:sz w:val="20"/>
                <w:szCs w:val="20"/>
              </w:rPr>
              <w:t>dressings in geographic regions with limited access to resources.</w:t>
            </w:r>
          </w:p>
          <w:p w14:paraId="7966DF8D" w14:textId="7EA08E22"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(Good Practice Statement)</w:t>
            </w:r>
          </w:p>
          <w:p w14:paraId="707999CC" w14:textId="33DEAA02" w:rsidR="00456914" w:rsidRPr="000A4151" w:rsidRDefault="00456914" w:rsidP="004F3B92">
            <w:pPr>
              <w:ind w:left="0" w:firstLine="0"/>
              <w:rPr>
                <w:rFonts w:cstheme="minorHAnsi"/>
                <w:b/>
                <w:bCs/>
                <w:color w:val="FF0000"/>
                <w:sz w:val="20"/>
                <w:szCs w:val="20"/>
              </w:rPr>
            </w:pPr>
            <w:r w:rsidRPr="000A4151">
              <w:rPr>
                <w:rFonts w:cstheme="minorHAnsi"/>
                <w:b/>
                <w:bCs/>
                <w:color w:val="FF0000"/>
                <w:sz w:val="20"/>
                <w:szCs w:val="20"/>
              </w:rPr>
              <w:t>Biological Dressings</w:t>
            </w:r>
          </w:p>
          <w:p w14:paraId="79B9DDBD" w14:textId="19C4444B"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15.1: Consider applying collagen dressings to </w:t>
            </w:r>
            <w:proofErr w:type="spellStart"/>
            <w:r w:rsidRPr="000A4151">
              <w:rPr>
                <w:rFonts w:cstheme="minorHAnsi"/>
                <w:bCs/>
                <w:color w:val="FF0000"/>
                <w:sz w:val="20"/>
                <w:szCs w:val="20"/>
              </w:rPr>
              <w:t>nonhealing</w:t>
            </w:r>
            <w:proofErr w:type="spellEnd"/>
            <w:r w:rsidRPr="000A4151">
              <w:rPr>
                <w:rFonts w:cstheme="minorHAnsi"/>
                <w:bCs/>
                <w:color w:val="FF0000"/>
                <w:sz w:val="20"/>
                <w:szCs w:val="20"/>
              </w:rPr>
              <w:t xml:space="preserve"> pressure injuries to improve ra</w:t>
            </w:r>
            <w:r w:rsidR="00DD2339" w:rsidRPr="000A4151">
              <w:rPr>
                <w:rFonts w:cstheme="minorHAnsi"/>
                <w:bCs/>
                <w:color w:val="FF0000"/>
                <w:sz w:val="20"/>
                <w:szCs w:val="20"/>
              </w:rPr>
              <w:t xml:space="preserve">te of healing and decrease </w:t>
            </w:r>
            <w:r w:rsidRPr="000A4151">
              <w:rPr>
                <w:rFonts w:cstheme="minorHAnsi"/>
                <w:bCs/>
                <w:color w:val="FF0000"/>
                <w:sz w:val="20"/>
                <w:szCs w:val="20"/>
              </w:rPr>
              <w:t>signs and symptoms of wound inflammation.</w:t>
            </w:r>
          </w:p>
          <w:p w14:paraId="197CB249" w14:textId="58A040D9" w:rsidR="00456914" w:rsidRPr="000A4151" w:rsidRDefault="00456914" w:rsidP="004F3B92">
            <w:pPr>
              <w:autoSpaceDE w:val="0"/>
              <w:autoSpaceDN w:val="0"/>
              <w:adjustRightInd w:val="0"/>
              <w:ind w:left="0" w:firstLine="0"/>
              <w:rPr>
                <w:rFonts w:cstheme="minorHAnsi"/>
                <w:b/>
                <w:bCs/>
                <w:color w:val="FF0000"/>
                <w:sz w:val="20"/>
                <w:szCs w:val="20"/>
              </w:rPr>
            </w:pPr>
            <w:r w:rsidRPr="000A4151">
              <w:rPr>
                <w:rFonts w:cstheme="minorHAnsi"/>
                <w:b/>
                <w:bCs/>
                <w:color w:val="FF0000"/>
                <w:sz w:val="20"/>
                <w:szCs w:val="20"/>
              </w:rPr>
              <w:t>Growth Factors</w:t>
            </w:r>
          </w:p>
          <w:p w14:paraId="289CD82B"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760E1B56"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16.1: Consider applying platelet-rich plasma for promoting healing in pressure injuries.</w:t>
            </w:r>
          </w:p>
          <w:p w14:paraId="5D39971F"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26E8B43C" w14:textId="1F6C32E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16.2: Consider applying platelet-derived growth factor for promoting healing in Category/Stage III and I</w:t>
            </w:r>
            <w:r w:rsidR="00DD2339" w:rsidRPr="000A4151">
              <w:rPr>
                <w:rFonts w:cstheme="minorHAnsi"/>
                <w:bCs/>
                <w:color w:val="FF0000"/>
                <w:sz w:val="20"/>
                <w:szCs w:val="20"/>
              </w:rPr>
              <w:t xml:space="preserve">V pressure </w:t>
            </w:r>
            <w:r w:rsidRPr="000A4151">
              <w:rPr>
                <w:rFonts w:cstheme="minorHAnsi"/>
                <w:bCs/>
                <w:color w:val="FF0000"/>
                <w:sz w:val="20"/>
                <w:szCs w:val="20"/>
              </w:rPr>
              <w:t>injuries.</w:t>
            </w:r>
          </w:p>
          <w:p w14:paraId="3D83FA28" w14:textId="0C187DCB"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229E7B7C" w14:textId="0151A2C9" w:rsidR="00456914" w:rsidRPr="000A4151" w:rsidRDefault="00456914" w:rsidP="004F3B92">
            <w:pPr>
              <w:ind w:left="0" w:firstLine="0"/>
              <w:rPr>
                <w:rFonts w:cstheme="minorHAnsi"/>
                <w:b/>
                <w:bCs/>
                <w:color w:val="FF0000"/>
                <w:sz w:val="20"/>
                <w:szCs w:val="20"/>
              </w:rPr>
            </w:pPr>
            <w:r w:rsidRPr="000A4151">
              <w:rPr>
                <w:rFonts w:cstheme="minorHAnsi"/>
                <w:b/>
                <w:bCs/>
                <w:color w:val="FF0000"/>
                <w:sz w:val="20"/>
                <w:szCs w:val="20"/>
              </w:rPr>
              <w:t>Biophysical Agents</w:t>
            </w:r>
          </w:p>
          <w:p w14:paraId="6B2F5056" w14:textId="1E2DEBA3"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17.1: Administer pulsed current electrical stimulation to facilitate wound healing in</w:t>
            </w:r>
            <w:r w:rsidR="00DD2339" w:rsidRPr="000A4151">
              <w:rPr>
                <w:rFonts w:cstheme="minorHAnsi"/>
                <w:bCs/>
                <w:color w:val="FF0000"/>
                <w:sz w:val="20"/>
                <w:szCs w:val="20"/>
              </w:rPr>
              <w:t xml:space="preserve"> recalcitrant Category/Stage II </w:t>
            </w:r>
            <w:r w:rsidRPr="000A4151">
              <w:rPr>
                <w:rFonts w:cstheme="minorHAnsi"/>
                <w:bCs/>
                <w:color w:val="FF0000"/>
                <w:sz w:val="20"/>
                <w:szCs w:val="20"/>
              </w:rPr>
              <w:t>pressure injuries and Category/Stage III or IV pressure injuries.</w:t>
            </w:r>
          </w:p>
          <w:p w14:paraId="7D45622D"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A;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3B9AD228"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17.2: Consider using non-contact low frequency ultrasound therapy as an adjunct therapy to facilitate healing in</w:t>
            </w:r>
          </w:p>
          <w:p w14:paraId="3D7D11F6"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Category/Stage III and IV pressure injuries and suspected deep tissue injuries.</w:t>
            </w:r>
          </w:p>
          <w:p w14:paraId="6B498264"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562BDF2D"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17.3: Consider using high frequency ultrasound therapy at 1 MHz as an adjunct therapy to facilitate healing in</w:t>
            </w:r>
          </w:p>
          <w:p w14:paraId="6C1D9F9C"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Category/Stage III and IV pressure injuries.</w:t>
            </w:r>
          </w:p>
          <w:p w14:paraId="52A5F32C"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58F70990"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17.4: Consider negative pressure wound therapy as an early adjunct therapy for reducing the size and depth of</w:t>
            </w:r>
          </w:p>
          <w:p w14:paraId="1836B135"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Category/Stage III or IV pressure injuries.</w:t>
            </w:r>
          </w:p>
          <w:p w14:paraId="0F2EDD90" w14:textId="3D371E92"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069CA6F3" w14:textId="10BFE7F6" w:rsidR="00456914" w:rsidRPr="000A4151" w:rsidRDefault="00456914" w:rsidP="004F3B92">
            <w:pPr>
              <w:ind w:left="0" w:firstLine="0"/>
              <w:rPr>
                <w:rFonts w:cstheme="minorHAnsi"/>
                <w:b/>
                <w:bCs/>
                <w:color w:val="FF0000"/>
                <w:sz w:val="20"/>
                <w:szCs w:val="20"/>
              </w:rPr>
            </w:pPr>
            <w:r w:rsidRPr="000A4151">
              <w:rPr>
                <w:rFonts w:cstheme="minorHAnsi"/>
                <w:b/>
                <w:bCs/>
                <w:color w:val="FF0000"/>
                <w:sz w:val="20"/>
                <w:szCs w:val="20"/>
              </w:rPr>
              <w:t>Pressure Injury Surgery</w:t>
            </w:r>
          </w:p>
          <w:p w14:paraId="6626BBFB"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18.1: Obtain a surgical consultation for an individual with a pressure injury that:</w:t>
            </w:r>
          </w:p>
          <w:p w14:paraId="77067EE5" w14:textId="374B0FFE" w:rsidR="004F3B92" w:rsidRPr="000A4151" w:rsidRDefault="00DD2339" w:rsidP="00DD2339">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Has advancing cellulitis or is a suspected source of sepsis</w:t>
            </w:r>
          </w:p>
          <w:p w14:paraId="4F3F1AEA" w14:textId="5EE458F3" w:rsidR="004F3B92" w:rsidRPr="000A4151" w:rsidRDefault="00DD2339" w:rsidP="00DD2339">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Has undermining, tunneling, sinus tracts and/or extensive necrotic tissue not easily removed by</w:t>
            </w:r>
          </w:p>
          <w:p w14:paraId="42F8696F" w14:textId="77777777" w:rsidR="004F3B92" w:rsidRPr="000A4151" w:rsidRDefault="004F3B92" w:rsidP="00DD2339">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conservative debridement</w:t>
            </w:r>
          </w:p>
          <w:p w14:paraId="4EF1ACC7" w14:textId="45CE8126" w:rsidR="004F3B92" w:rsidRPr="000A4151" w:rsidRDefault="00DD2339" w:rsidP="00DD2339">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w:t>
            </w:r>
            <w:r w:rsidR="004F3B92" w:rsidRPr="000A4151">
              <w:rPr>
                <w:rFonts w:cstheme="minorHAnsi"/>
                <w:bCs/>
                <w:color w:val="FF0000"/>
                <w:sz w:val="20"/>
                <w:szCs w:val="20"/>
              </w:rPr>
              <w:t xml:space="preserve">Is Category/Stage III or IV and not closing with conservative </w:t>
            </w:r>
            <w:proofErr w:type="gramStart"/>
            <w:r w:rsidR="004F3B92" w:rsidRPr="000A4151">
              <w:rPr>
                <w:rFonts w:cstheme="minorHAnsi"/>
                <w:bCs/>
                <w:color w:val="FF0000"/>
                <w:sz w:val="20"/>
                <w:szCs w:val="20"/>
              </w:rPr>
              <w:t>treatment.</w:t>
            </w:r>
            <w:proofErr w:type="gramEnd"/>
          </w:p>
          <w:p w14:paraId="6C293C62"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(Good Practice Statement)</w:t>
            </w:r>
          </w:p>
          <w:p w14:paraId="0CD2A50B"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18.2: Consider the following factors when assessing the individual’s eligibility for pressure injury surgery:</w:t>
            </w:r>
          </w:p>
          <w:p w14:paraId="0812556A" w14:textId="43A52393" w:rsidR="004F3B92" w:rsidRPr="000A4151" w:rsidRDefault="00DD2339" w:rsidP="00DD2339">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Likelihood of healing with conservative treatment versus surgical intervention</w:t>
            </w:r>
          </w:p>
          <w:p w14:paraId="426382BF" w14:textId="7DD288BD" w:rsidR="004F3B92" w:rsidRPr="000A4151" w:rsidRDefault="00DD2339" w:rsidP="00DD2339">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The individual’s goals of care</w:t>
            </w:r>
          </w:p>
          <w:p w14:paraId="7E9BBEE9" w14:textId="77777777" w:rsidR="004F3B92" w:rsidRPr="000A4151" w:rsidRDefault="004F3B92" w:rsidP="00DD2339">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The individual’s clinical condition</w:t>
            </w:r>
          </w:p>
          <w:p w14:paraId="37F7F591" w14:textId="0A8CB4F4" w:rsidR="004F3B92" w:rsidRPr="000A4151" w:rsidRDefault="00DD2339" w:rsidP="00DD2339">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Motivation and ability of the individual to comply with the treatment regimen</w:t>
            </w:r>
          </w:p>
          <w:p w14:paraId="3E949E82" w14:textId="642FFB9B" w:rsidR="004F3B92" w:rsidRPr="000A4151" w:rsidRDefault="00DD2339" w:rsidP="00DD2339">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Risk of surgery for the individual.</w:t>
            </w:r>
          </w:p>
          <w:p w14:paraId="347401AC"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(Good Practice Statement)</w:t>
            </w:r>
          </w:p>
          <w:p w14:paraId="144878FB" w14:textId="22E2232E"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18.3: Evaluate and mitigate physical and psychosocial factors that may impair surgical wound healing or influence</w:t>
            </w:r>
            <w:r w:rsidR="00DD2339" w:rsidRPr="000A4151">
              <w:rPr>
                <w:rFonts w:cstheme="minorHAnsi"/>
                <w:bCs/>
                <w:color w:val="FF0000"/>
                <w:sz w:val="20"/>
                <w:szCs w:val="20"/>
              </w:rPr>
              <w:t xml:space="preserve"> </w:t>
            </w:r>
            <w:r w:rsidRPr="000A4151">
              <w:rPr>
                <w:rFonts w:cstheme="minorHAnsi"/>
                <w:bCs/>
                <w:color w:val="FF0000"/>
                <w:sz w:val="20"/>
                <w:szCs w:val="20"/>
              </w:rPr>
              <w:t>recurrence of a pressure injury.</w:t>
            </w:r>
          </w:p>
          <w:p w14:paraId="413E8615"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2664B29F" w14:textId="5C033CBF"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18.4: Fully excise the pressure injury, including abnormal skin, granulation and necro</w:t>
            </w:r>
            <w:r w:rsidR="00DD2339" w:rsidRPr="000A4151">
              <w:rPr>
                <w:rFonts w:cstheme="minorHAnsi"/>
                <w:bCs/>
                <w:color w:val="FF0000"/>
                <w:sz w:val="20"/>
                <w:szCs w:val="20"/>
              </w:rPr>
              <w:t xml:space="preserve">tic tissue, sinus tracts, bursa </w:t>
            </w:r>
            <w:r w:rsidRPr="000A4151">
              <w:rPr>
                <w:rFonts w:cstheme="minorHAnsi"/>
                <w:bCs/>
                <w:color w:val="FF0000"/>
                <w:sz w:val="20"/>
                <w:szCs w:val="20"/>
              </w:rPr>
              <w:t>and involved bone to the extent possible.</w:t>
            </w:r>
          </w:p>
          <w:p w14:paraId="3B8E52A9"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11EEEF1F"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18.5: When designing a flap:</w:t>
            </w:r>
          </w:p>
          <w:p w14:paraId="1658249F" w14:textId="0CE5FA12" w:rsidR="004F3B92" w:rsidRPr="000A4151" w:rsidRDefault="00DD2339" w:rsidP="00DD2339">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Select tissue with a good quality blood supply</w:t>
            </w:r>
          </w:p>
          <w:p w14:paraId="4E81AF9E" w14:textId="68D2C241" w:rsidR="004F3B92" w:rsidRPr="000A4151" w:rsidRDefault="00DD2339" w:rsidP="00DD2339">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Use composite tissues to increase durability</w:t>
            </w:r>
          </w:p>
          <w:p w14:paraId="603B21A7" w14:textId="545AB059" w:rsidR="004F3B92" w:rsidRPr="000A4151" w:rsidRDefault="00DD2339" w:rsidP="00DD2339">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Use a flap as large as possible</w:t>
            </w:r>
          </w:p>
          <w:p w14:paraId="5786FB07" w14:textId="2F8F6892" w:rsidR="004F3B92" w:rsidRPr="000A4151" w:rsidRDefault="00DD2339" w:rsidP="00DD2339">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Minimize violation of adjacent skin and tissue</w:t>
            </w:r>
          </w:p>
          <w:p w14:paraId="705922F1" w14:textId="5CF50D07" w:rsidR="004F3B92" w:rsidRPr="000A4151" w:rsidRDefault="00DD2339" w:rsidP="00DD2339">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Locate the suture line away from areas of direct pressure</w:t>
            </w:r>
          </w:p>
          <w:p w14:paraId="269E6ADE" w14:textId="61871C31" w:rsidR="004F3B92" w:rsidRPr="000A4151" w:rsidRDefault="00DD2339" w:rsidP="00DD2339">
            <w:pPr>
              <w:autoSpaceDE w:val="0"/>
              <w:autoSpaceDN w:val="0"/>
              <w:adjustRightInd w:val="0"/>
              <w:ind w:left="720" w:firstLine="0"/>
              <w:rPr>
                <w:rFonts w:cstheme="minorHAnsi"/>
                <w:bCs/>
                <w:color w:val="FF0000"/>
                <w:sz w:val="20"/>
                <w:szCs w:val="20"/>
              </w:rPr>
            </w:pPr>
            <w:r w:rsidRPr="000A4151">
              <w:rPr>
                <w:rFonts w:cstheme="minorHAnsi"/>
                <w:bCs/>
                <w:color w:val="FF0000"/>
                <w:sz w:val="20"/>
                <w:szCs w:val="20"/>
              </w:rPr>
              <w:t xml:space="preserve">• </w:t>
            </w:r>
            <w:r w:rsidR="004F3B92" w:rsidRPr="000A4151">
              <w:rPr>
                <w:rFonts w:cstheme="minorHAnsi"/>
                <w:bCs/>
                <w:color w:val="FF0000"/>
                <w:sz w:val="20"/>
                <w:szCs w:val="20"/>
              </w:rPr>
              <w:t>Minimize tension on the incision at closure.</w:t>
            </w:r>
          </w:p>
          <w:p w14:paraId="5C75E02C"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(Good Practice Statement)</w:t>
            </w:r>
          </w:p>
          <w:p w14:paraId="2C4341A3"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18.6: Regularly monitor the wound and immediately report signs of flap failure.</w:t>
            </w:r>
          </w:p>
          <w:p w14:paraId="75943745"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(Good Practice Statement)</w:t>
            </w:r>
          </w:p>
          <w:p w14:paraId="529DF248"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18.7: Use a specialty support surface in the immediate post-operative period.</w:t>
            </w:r>
          </w:p>
          <w:p w14:paraId="37A1E699"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3A98BC02" w14:textId="50EA84A5"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18.8: Position and transfer the individual in such a way as to avoid pressure on, </w:t>
            </w:r>
            <w:r w:rsidR="00DD2339" w:rsidRPr="000A4151">
              <w:rPr>
                <w:rFonts w:cstheme="minorHAnsi"/>
                <w:bCs/>
                <w:color w:val="FF0000"/>
                <w:sz w:val="20"/>
                <w:szCs w:val="20"/>
              </w:rPr>
              <w:t xml:space="preserve">and disruption to, the surgical </w:t>
            </w:r>
            <w:r w:rsidRPr="000A4151">
              <w:rPr>
                <w:rFonts w:cstheme="minorHAnsi"/>
                <w:bCs/>
                <w:color w:val="FF0000"/>
                <w:sz w:val="20"/>
                <w:szCs w:val="20"/>
              </w:rPr>
              <w:t>site.</w:t>
            </w:r>
          </w:p>
          <w:p w14:paraId="47EE9E29"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(Good Practice Statement)</w:t>
            </w:r>
          </w:p>
          <w:p w14:paraId="1A0A6B64"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18.9: When the surgical site is sufficiently healed commence a progressive sitting protocol.</w:t>
            </w:r>
          </w:p>
          <w:p w14:paraId="02E95D16" w14:textId="1FC19F82"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621106E8" w14:textId="6F0BB391" w:rsidR="00456914" w:rsidRPr="000A4151" w:rsidRDefault="00456914" w:rsidP="004F3B92">
            <w:pPr>
              <w:ind w:left="0" w:firstLine="0"/>
              <w:rPr>
                <w:rFonts w:cstheme="minorHAnsi"/>
                <w:b/>
                <w:bCs/>
                <w:color w:val="FF0000"/>
                <w:sz w:val="20"/>
                <w:szCs w:val="20"/>
              </w:rPr>
            </w:pPr>
            <w:r w:rsidRPr="000A4151">
              <w:rPr>
                <w:rFonts w:cstheme="minorHAnsi"/>
                <w:b/>
                <w:bCs/>
                <w:color w:val="FF0000"/>
                <w:sz w:val="20"/>
                <w:szCs w:val="20"/>
              </w:rPr>
              <w:t>Measuring Pressure Injury Prevalence and Incidence</w:t>
            </w:r>
          </w:p>
          <w:p w14:paraId="09BA4903" w14:textId="44B6A141"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19.1: Use a rigorous methodological design and consistent measurement variable</w:t>
            </w:r>
            <w:r w:rsidR="00DD2339" w:rsidRPr="000A4151">
              <w:rPr>
                <w:rFonts w:cstheme="minorHAnsi"/>
                <w:bCs/>
                <w:color w:val="FF0000"/>
                <w:sz w:val="20"/>
                <w:szCs w:val="20"/>
              </w:rPr>
              <w:t xml:space="preserve">s when conducting and reporting </w:t>
            </w:r>
            <w:r w:rsidRPr="000A4151">
              <w:rPr>
                <w:rFonts w:cstheme="minorHAnsi"/>
                <w:bCs/>
                <w:color w:val="FF0000"/>
                <w:sz w:val="20"/>
                <w:szCs w:val="20"/>
              </w:rPr>
              <w:t>pressure injury prevalence and incidence studies.</w:t>
            </w:r>
          </w:p>
          <w:p w14:paraId="68C74CA5" w14:textId="6A293B0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(Good Practice Statement)</w:t>
            </w:r>
          </w:p>
          <w:p w14:paraId="4ACA7D05" w14:textId="5F7F720B" w:rsidR="00456914" w:rsidRPr="000A4151" w:rsidRDefault="00456914" w:rsidP="004F3B92">
            <w:pPr>
              <w:ind w:left="0" w:firstLine="0"/>
              <w:rPr>
                <w:rFonts w:cstheme="minorHAnsi"/>
                <w:b/>
                <w:bCs/>
                <w:color w:val="FF0000"/>
                <w:sz w:val="20"/>
                <w:szCs w:val="20"/>
              </w:rPr>
            </w:pPr>
            <w:r w:rsidRPr="000A4151">
              <w:rPr>
                <w:rFonts w:cstheme="minorHAnsi"/>
                <w:b/>
                <w:bCs/>
                <w:color w:val="FF0000"/>
                <w:sz w:val="20"/>
                <w:szCs w:val="20"/>
              </w:rPr>
              <w:t>Implementing Best Practices in Clinical Settings</w:t>
            </w:r>
          </w:p>
          <w:p w14:paraId="13DAB85C" w14:textId="441373C0"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20.1: At an organizational level, assess and maximize workforce characteristics a</w:t>
            </w:r>
            <w:r w:rsidR="00DD2339" w:rsidRPr="000A4151">
              <w:rPr>
                <w:rFonts w:cstheme="minorHAnsi"/>
                <w:bCs/>
                <w:color w:val="FF0000"/>
                <w:sz w:val="20"/>
                <w:szCs w:val="20"/>
              </w:rPr>
              <w:t xml:space="preserve">s part of a quality improvement </w:t>
            </w:r>
            <w:r w:rsidRPr="000A4151">
              <w:rPr>
                <w:rFonts w:cstheme="minorHAnsi"/>
                <w:bCs/>
                <w:color w:val="FF0000"/>
                <w:sz w:val="20"/>
                <w:szCs w:val="20"/>
              </w:rPr>
              <w:t>plan to reduce pressure injury incidence.</w:t>
            </w:r>
          </w:p>
          <w:p w14:paraId="5C73CF82"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C;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2270A2C2" w14:textId="50A3DF06"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20.2: At the organizational level, assess the knowledge health professionals </w:t>
            </w:r>
            <w:r w:rsidR="00DD2339" w:rsidRPr="000A4151">
              <w:rPr>
                <w:rFonts w:cstheme="minorHAnsi"/>
                <w:bCs/>
                <w:color w:val="FF0000"/>
                <w:sz w:val="20"/>
                <w:szCs w:val="20"/>
              </w:rPr>
              <w:t xml:space="preserve">have about pressure injuries to </w:t>
            </w:r>
            <w:r w:rsidRPr="000A4151">
              <w:rPr>
                <w:rFonts w:cstheme="minorHAnsi"/>
                <w:bCs/>
                <w:color w:val="FF0000"/>
                <w:sz w:val="20"/>
                <w:szCs w:val="20"/>
              </w:rPr>
              <w:t>facilitate implementation of an education program and a quality improvement program.</w:t>
            </w:r>
          </w:p>
          <w:p w14:paraId="5620B54E" w14:textId="77777777"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6AF92A4A" w14:textId="00727CC8"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20.3: At an organizational level, assess and maximize workforce attit</w:t>
            </w:r>
            <w:r w:rsidR="00DD2339" w:rsidRPr="000A4151">
              <w:rPr>
                <w:rFonts w:cstheme="minorHAnsi"/>
                <w:bCs/>
                <w:color w:val="FF0000"/>
                <w:sz w:val="20"/>
                <w:szCs w:val="20"/>
              </w:rPr>
              <w:t xml:space="preserve">udes and cohesion to facilitate </w:t>
            </w:r>
            <w:r w:rsidRPr="000A4151">
              <w:rPr>
                <w:rFonts w:cstheme="minorHAnsi"/>
                <w:bCs/>
                <w:color w:val="FF0000"/>
                <w:sz w:val="20"/>
                <w:szCs w:val="20"/>
              </w:rPr>
              <w:t>implementation of a quality improvement program.</w:t>
            </w:r>
          </w:p>
          <w:p w14:paraId="05A096FA"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(Good Practice Statement)</w:t>
            </w:r>
          </w:p>
          <w:p w14:paraId="6071BF9D" w14:textId="150F6CF0"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20.4: At an organizational level, assess and maximize the availability and quality</w:t>
            </w:r>
            <w:r w:rsidR="00DD2339" w:rsidRPr="000A4151">
              <w:rPr>
                <w:rFonts w:cstheme="minorHAnsi"/>
                <w:bCs/>
                <w:color w:val="FF0000"/>
                <w:sz w:val="20"/>
                <w:szCs w:val="20"/>
              </w:rPr>
              <w:t xml:space="preserve"> of equipment and standards for </w:t>
            </w:r>
            <w:r w:rsidRPr="000A4151">
              <w:rPr>
                <w:rFonts w:cstheme="minorHAnsi"/>
                <w:bCs/>
                <w:color w:val="FF0000"/>
                <w:sz w:val="20"/>
                <w:szCs w:val="20"/>
              </w:rPr>
              <w:t>its use as part of a quality improvement plan to reduce the incidence of pressure injuries.</w:t>
            </w:r>
          </w:p>
          <w:p w14:paraId="3521D6FE"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7841D539" w14:textId="5BE26889"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20.5: At an organizational level, develop and implement a structured, tai</w:t>
            </w:r>
            <w:r w:rsidR="00DD2339" w:rsidRPr="000A4151">
              <w:rPr>
                <w:rFonts w:cstheme="minorHAnsi"/>
                <w:bCs/>
                <w:color w:val="FF0000"/>
                <w:sz w:val="20"/>
                <w:szCs w:val="20"/>
              </w:rPr>
              <w:t xml:space="preserve">lored and multi-faceted quality </w:t>
            </w:r>
            <w:r w:rsidRPr="000A4151">
              <w:rPr>
                <w:rFonts w:cstheme="minorHAnsi"/>
                <w:bCs/>
                <w:color w:val="FF0000"/>
                <w:sz w:val="20"/>
                <w:szCs w:val="20"/>
              </w:rPr>
              <w:t>improvement program to reduce the incidence of pressure injuries.</w:t>
            </w:r>
          </w:p>
          <w:p w14:paraId="4427A10F"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A;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6FE9B375" w14:textId="67A76143"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20.6: At an organizational level, engage all key stakeholders in oversight an</w:t>
            </w:r>
            <w:r w:rsidR="00DD2339" w:rsidRPr="000A4151">
              <w:rPr>
                <w:rFonts w:cstheme="minorHAnsi"/>
                <w:bCs/>
                <w:color w:val="FF0000"/>
                <w:sz w:val="20"/>
                <w:szCs w:val="20"/>
              </w:rPr>
              <w:t xml:space="preserve">d implementation of the quality </w:t>
            </w:r>
            <w:r w:rsidRPr="000A4151">
              <w:rPr>
                <w:rFonts w:cstheme="minorHAnsi"/>
                <w:bCs/>
                <w:color w:val="FF0000"/>
                <w:sz w:val="20"/>
                <w:szCs w:val="20"/>
              </w:rPr>
              <w:t>improvement program to reduce the incidence of pressure injuries.</w:t>
            </w:r>
          </w:p>
          <w:p w14:paraId="56866551"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1F054AB7" w14:textId="6B81EA3C"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20.7: At an organizational level, include evidence-based policies, procedures</w:t>
            </w:r>
            <w:r w:rsidR="00DD2339" w:rsidRPr="000A4151">
              <w:rPr>
                <w:rFonts w:cstheme="minorHAnsi"/>
                <w:bCs/>
                <w:color w:val="FF0000"/>
                <w:sz w:val="20"/>
                <w:szCs w:val="20"/>
              </w:rPr>
              <w:t xml:space="preserve"> and protocols and standardized </w:t>
            </w:r>
            <w:r w:rsidRPr="000A4151">
              <w:rPr>
                <w:rFonts w:cstheme="minorHAnsi"/>
                <w:bCs/>
                <w:color w:val="FF0000"/>
                <w:sz w:val="20"/>
                <w:szCs w:val="20"/>
              </w:rPr>
              <w:t>documentation systems to reduce the incidence of pressure injuries.</w:t>
            </w:r>
          </w:p>
          <w:p w14:paraId="6909E9B7"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089F80EC" w14:textId="185E5CCE"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20.8: At an organizational level, provide clinical decision support tools as part o</w:t>
            </w:r>
            <w:r w:rsidR="00DD2339" w:rsidRPr="000A4151">
              <w:rPr>
                <w:rFonts w:cstheme="minorHAnsi"/>
                <w:bCs/>
                <w:color w:val="FF0000"/>
                <w:sz w:val="20"/>
                <w:szCs w:val="20"/>
              </w:rPr>
              <w:t xml:space="preserve">f a quality improvement plan to </w:t>
            </w:r>
            <w:r w:rsidRPr="000A4151">
              <w:rPr>
                <w:rFonts w:cstheme="minorHAnsi"/>
                <w:bCs/>
                <w:color w:val="FF0000"/>
                <w:sz w:val="20"/>
                <w:szCs w:val="20"/>
              </w:rPr>
              <w:t>reduce the incidence of pressure injuries.</w:t>
            </w:r>
          </w:p>
          <w:p w14:paraId="617B7B86"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6ED74716" w14:textId="594FC3D1"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20.9: Provide clinical leadership in pressure injury prevention and treatment as part of a quali</w:t>
            </w:r>
            <w:r w:rsidR="00DD2339" w:rsidRPr="000A4151">
              <w:rPr>
                <w:rFonts w:cstheme="minorHAnsi"/>
                <w:bCs/>
                <w:color w:val="FF0000"/>
                <w:sz w:val="20"/>
                <w:szCs w:val="20"/>
              </w:rPr>
              <w:t xml:space="preserve">ty improvement plan </w:t>
            </w:r>
            <w:r w:rsidRPr="000A4151">
              <w:rPr>
                <w:rFonts w:cstheme="minorHAnsi"/>
                <w:bCs/>
                <w:color w:val="FF0000"/>
                <w:sz w:val="20"/>
                <w:szCs w:val="20"/>
              </w:rPr>
              <w:t>to reduce pressure injuries.</w:t>
            </w:r>
          </w:p>
          <w:p w14:paraId="05364297"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25078C0F" w14:textId="236E8958"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20.10: At a professional level, provide education in pressure injury prevention and</w:t>
            </w:r>
            <w:r w:rsidR="00DD2339" w:rsidRPr="000A4151">
              <w:rPr>
                <w:rFonts w:cstheme="minorHAnsi"/>
                <w:bCs/>
                <w:color w:val="FF0000"/>
                <w:sz w:val="20"/>
                <w:szCs w:val="20"/>
              </w:rPr>
              <w:t xml:space="preserve"> treatment as part of a quality </w:t>
            </w:r>
            <w:r w:rsidRPr="000A4151">
              <w:rPr>
                <w:rFonts w:cstheme="minorHAnsi"/>
                <w:bCs/>
                <w:color w:val="FF0000"/>
                <w:sz w:val="20"/>
                <w:szCs w:val="20"/>
              </w:rPr>
              <w:t>improvement plan to reduce the incidence of pressure injuries.</w:t>
            </w:r>
          </w:p>
          <w:p w14:paraId="6806F277"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A;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6B7E32BF" w14:textId="79C0CCD3"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20.11: At an organizational level, regularly monitor, analyze and evaluate perform</w:t>
            </w:r>
            <w:r w:rsidR="00DD2339" w:rsidRPr="000A4151">
              <w:rPr>
                <w:rFonts w:cstheme="minorHAnsi"/>
                <w:bCs/>
                <w:color w:val="FF0000"/>
                <w:sz w:val="20"/>
                <w:szCs w:val="20"/>
              </w:rPr>
              <w:t xml:space="preserve">ance against quality indicators </w:t>
            </w:r>
            <w:r w:rsidRPr="000A4151">
              <w:rPr>
                <w:rFonts w:cstheme="minorHAnsi"/>
                <w:bCs/>
                <w:color w:val="FF0000"/>
                <w:sz w:val="20"/>
                <w:szCs w:val="20"/>
              </w:rPr>
              <w:t>for pressure injury prevention and treatment.</w:t>
            </w:r>
          </w:p>
          <w:p w14:paraId="30159732"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243B902C" w14:textId="34A16B4A"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20.12: At an organizational level, use feedback and reminder systems to </w:t>
            </w:r>
            <w:r w:rsidR="00DD2339" w:rsidRPr="000A4151">
              <w:rPr>
                <w:rFonts w:cstheme="minorHAnsi"/>
                <w:bCs/>
                <w:color w:val="FF0000"/>
                <w:sz w:val="20"/>
                <w:szCs w:val="20"/>
              </w:rPr>
              <w:t xml:space="preserve">promote the quality improvement </w:t>
            </w:r>
            <w:r w:rsidRPr="000A4151">
              <w:rPr>
                <w:rFonts w:cstheme="minorHAnsi"/>
                <w:bCs/>
                <w:color w:val="FF0000"/>
                <w:sz w:val="20"/>
                <w:szCs w:val="20"/>
              </w:rPr>
              <w:t>program and its outcomes to stakeholders.</w:t>
            </w:r>
          </w:p>
          <w:p w14:paraId="4DEE0568"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66617E2F" w14:textId="293CE66B"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 xml:space="preserve">21.1: At the organizational level, assess the knowledge health professionals </w:t>
            </w:r>
            <w:r w:rsidR="00DD2339" w:rsidRPr="000A4151">
              <w:rPr>
                <w:rFonts w:cstheme="minorHAnsi"/>
                <w:bCs/>
                <w:color w:val="FF0000"/>
                <w:sz w:val="20"/>
                <w:szCs w:val="20"/>
              </w:rPr>
              <w:t xml:space="preserve">have about pressure injuries to </w:t>
            </w:r>
            <w:r w:rsidRPr="000A4151">
              <w:rPr>
                <w:rFonts w:cstheme="minorHAnsi"/>
                <w:bCs/>
                <w:color w:val="FF0000"/>
                <w:sz w:val="20"/>
                <w:szCs w:val="20"/>
              </w:rPr>
              <w:t>facilitate implementation of an education program and a quality improvement program.</w:t>
            </w:r>
          </w:p>
          <w:p w14:paraId="2D25D99D"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B1;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3E4FCE1E" w14:textId="257DE575"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21.2: At an organizational level, develop and implement a multi-faceted educat</w:t>
            </w:r>
            <w:r w:rsidR="00DD2339" w:rsidRPr="000A4151">
              <w:rPr>
                <w:rFonts w:cstheme="minorHAnsi"/>
                <w:bCs/>
                <w:color w:val="FF0000"/>
                <w:sz w:val="20"/>
                <w:szCs w:val="20"/>
              </w:rPr>
              <w:t xml:space="preserve">ion program for pressure injury </w:t>
            </w:r>
            <w:r w:rsidRPr="000A4151">
              <w:rPr>
                <w:rFonts w:cstheme="minorHAnsi"/>
                <w:bCs/>
                <w:color w:val="FF0000"/>
                <w:sz w:val="20"/>
                <w:szCs w:val="20"/>
              </w:rPr>
              <w:t>prevention and treatment.</w:t>
            </w:r>
          </w:p>
          <w:p w14:paraId="2624FBBF"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 xml:space="preserve">(Strength of Evidence = B2;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p w14:paraId="49EC8AF4" w14:textId="1F40E14F"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22.1: Assess the health-related quality of life, knowledge and self-care skills of</w:t>
            </w:r>
            <w:r w:rsidR="00DD2339" w:rsidRPr="000A4151">
              <w:rPr>
                <w:rFonts w:cstheme="minorHAnsi"/>
                <w:bCs/>
                <w:color w:val="FF0000"/>
                <w:sz w:val="20"/>
                <w:szCs w:val="20"/>
              </w:rPr>
              <w:t xml:space="preserve"> individuals with or at risk of </w:t>
            </w:r>
            <w:r w:rsidRPr="000A4151">
              <w:rPr>
                <w:rFonts w:cstheme="minorHAnsi"/>
                <w:bCs/>
                <w:color w:val="FF0000"/>
                <w:sz w:val="20"/>
                <w:szCs w:val="20"/>
              </w:rPr>
              <w:t>pressure injuries to facilitate the development of a pressure injury care plan and education program.</w:t>
            </w:r>
          </w:p>
          <w:p w14:paraId="6CCA9458" w14:textId="77777777" w:rsidR="004F3B92" w:rsidRPr="000A4151" w:rsidRDefault="004F3B92" w:rsidP="004F3B92">
            <w:pPr>
              <w:ind w:left="0" w:firstLine="0"/>
              <w:rPr>
                <w:rFonts w:cstheme="minorHAnsi"/>
                <w:bCs/>
                <w:color w:val="FF0000"/>
                <w:sz w:val="20"/>
                <w:szCs w:val="20"/>
              </w:rPr>
            </w:pPr>
            <w:r w:rsidRPr="000A4151">
              <w:rPr>
                <w:rFonts w:cstheme="minorHAnsi"/>
                <w:bCs/>
                <w:color w:val="FF0000"/>
                <w:sz w:val="20"/>
                <w:szCs w:val="20"/>
              </w:rPr>
              <w:t>(Good Practice Statement)</w:t>
            </w:r>
          </w:p>
          <w:p w14:paraId="469D544F" w14:textId="430172B8" w:rsidR="004F3B92" w:rsidRPr="000A4151" w:rsidRDefault="004F3B92" w:rsidP="004F3B92">
            <w:pPr>
              <w:autoSpaceDE w:val="0"/>
              <w:autoSpaceDN w:val="0"/>
              <w:adjustRightInd w:val="0"/>
              <w:ind w:left="0" w:firstLine="0"/>
              <w:rPr>
                <w:rFonts w:cstheme="minorHAnsi"/>
                <w:bCs/>
                <w:color w:val="FF0000"/>
                <w:sz w:val="20"/>
                <w:szCs w:val="20"/>
              </w:rPr>
            </w:pPr>
            <w:r w:rsidRPr="000A4151">
              <w:rPr>
                <w:rFonts w:cstheme="minorHAnsi"/>
                <w:bCs/>
                <w:color w:val="FF0000"/>
                <w:sz w:val="20"/>
                <w:szCs w:val="20"/>
              </w:rPr>
              <w:t>22.2: Provide pressure injury education, skills training and psychosocial support to</w:t>
            </w:r>
            <w:r w:rsidR="00DD2339" w:rsidRPr="000A4151">
              <w:rPr>
                <w:rFonts w:cstheme="minorHAnsi"/>
                <w:bCs/>
                <w:color w:val="FF0000"/>
                <w:sz w:val="20"/>
                <w:szCs w:val="20"/>
              </w:rPr>
              <w:t xml:space="preserve"> individuals with or at risk of </w:t>
            </w:r>
            <w:r w:rsidRPr="000A4151">
              <w:rPr>
                <w:rFonts w:cstheme="minorHAnsi"/>
                <w:bCs/>
                <w:color w:val="FF0000"/>
                <w:sz w:val="20"/>
                <w:szCs w:val="20"/>
              </w:rPr>
              <w:t>pressure injuries.</w:t>
            </w:r>
          </w:p>
          <w:p w14:paraId="4CD05FC8" w14:textId="1CB82900" w:rsidR="004F3B92" w:rsidRPr="000A4151" w:rsidRDefault="004F3B92" w:rsidP="004F3B92">
            <w:pPr>
              <w:ind w:left="0" w:firstLine="0"/>
              <w:rPr>
                <w:rFonts w:eastAsia="Calibri" w:cstheme="minorHAnsi"/>
                <w:color w:val="FF0000"/>
                <w:sz w:val="20"/>
                <w:szCs w:val="20"/>
              </w:rPr>
            </w:pPr>
            <w:r w:rsidRPr="000A4151">
              <w:rPr>
                <w:rFonts w:cstheme="minorHAnsi"/>
                <w:bCs/>
                <w:color w:val="FF0000"/>
                <w:sz w:val="20"/>
                <w:szCs w:val="20"/>
              </w:rPr>
              <w:t xml:space="preserve">(Strength of Evidence = C; Strength of Recommendation = </w:t>
            </w:r>
            <w:r w:rsidRPr="000A4151">
              <w:rPr>
                <w:rFonts w:eastAsia="Calibri-Bold" w:cstheme="minorHAnsi"/>
                <w:bCs/>
                <w:color w:val="FF0000"/>
                <w:sz w:val="20"/>
                <w:szCs w:val="20"/>
              </w:rPr>
              <w:t>↑</w:t>
            </w:r>
            <w:r w:rsidRPr="000A4151">
              <w:rPr>
                <w:rFonts w:cstheme="minorHAnsi"/>
                <w:bCs/>
                <w:color w:val="FF0000"/>
                <w:sz w:val="20"/>
                <w:szCs w:val="20"/>
              </w:rPr>
              <w:t>)</w:t>
            </w:r>
          </w:p>
        </w:tc>
      </w:tr>
      <w:tr w:rsidR="00014A70" w14:paraId="794072D6" w14:textId="77777777" w:rsidTr="009D2D8A">
        <w:tc>
          <w:tcPr>
            <w:tcW w:w="3595" w:type="dxa"/>
          </w:tcPr>
          <w:p w14:paraId="5D9483EB" w14:textId="77777777" w:rsidR="00014A70" w:rsidRPr="00552F57" w:rsidRDefault="00014A70" w:rsidP="009D2D8A">
            <w:pPr>
              <w:ind w:left="0" w:firstLine="0"/>
              <w:rPr>
                <w:rFonts w:ascii="Calibri" w:eastAsia="Calibri" w:hAnsi="Calibri" w:cs="Times New Roman"/>
                <w:sz w:val="20"/>
                <w:szCs w:val="20"/>
              </w:rPr>
            </w:pPr>
            <w:r w:rsidRPr="00552F57">
              <w:rPr>
                <w:sz w:val="20"/>
                <w:szCs w:val="20"/>
              </w:rPr>
              <w:t xml:space="preserve">Grade assigned to the </w:t>
            </w:r>
            <w:r w:rsidRPr="00552F57">
              <w:rPr>
                <w:b/>
                <w:bCs/>
                <w:sz w:val="20"/>
                <w:szCs w:val="20"/>
              </w:rPr>
              <w:t xml:space="preserve">evidence </w:t>
            </w:r>
            <w:r w:rsidRPr="00552F57">
              <w:rPr>
                <w:sz w:val="20"/>
                <w:szCs w:val="20"/>
              </w:rPr>
              <w:t>associated with the recommendation with the definition of the grade.</w:t>
            </w:r>
          </w:p>
        </w:tc>
        <w:tc>
          <w:tcPr>
            <w:tcW w:w="5755" w:type="dxa"/>
          </w:tcPr>
          <w:p w14:paraId="0B152CF6" w14:textId="7228E552" w:rsidR="00014A70" w:rsidRPr="000A4151" w:rsidRDefault="002B5113" w:rsidP="004A2C29">
            <w:pPr>
              <w:ind w:left="0" w:firstLine="0"/>
              <w:rPr>
                <w:rFonts w:eastAsia="Calibri" w:cstheme="minorHAnsi"/>
                <w:color w:val="FF0000"/>
                <w:sz w:val="20"/>
                <w:szCs w:val="20"/>
              </w:rPr>
            </w:pPr>
            <w:r w:rsidRPr="000A4151">
              <w:rPr>
                <w:rFonts w:eastAsia="Calibri" w:cstheme="minorHAnsi"/>
                <w:color w:val="FF0000"/>
                <w:sz w:val="20"/>
                <w:szCs w:val="20"/>
              </w:rPr>
              <w:t>Overall, the evidence in this guideline had seven A grades, 58 B1 grades, 28 B2 grades, and 22 C grades. See Table 8 for grade definitions. The majority of evidence used in this guideline have consistent outcomes</w:t>
            </w:r>
            <w:r w:rsidR="00305753" w:rsidRPr="000A4151">
              <w:rPr>
                <w:rFonts w:eastAsia="Calibri" w:cstheme="minorHAnsi"/>
                <w:color w:val="FF0000"/>
                <w:sz w:val="20"/>
                <w:szCs w:val="20"/>
              </w:rPr>
              <w:t xml:space="preserve">, and any identified inconsistencies </w:t>
            </w:r>
            <w:r w:rsidRPr="000A4151">
              <w:rPr>
                <w:rFonts w:eastAsia="Calibri" w:cstheme="minorHAnsi"/>
                <w:color w:val="FF0000"/>
                <w:sz w:val="20"/>
                <w:szCs w:val="20"/>
              </w:rPr>
              <w:t xml:space="preserve">can be explained. </w:t>
            </w:r>
          </w:p>
          <w:p w14:paraId="406C2C92" w14:textId="77777777" w:rsidR="002B5113" w:rsidRPr="000A4151" w:rsidRDefault="002B5113" w:rsidP="004A2C29">
            <w:pPr>
              <w:ind w:left="0" w:firstLine="0"/>
              <w:rPr>
                <w:rFonts w:eastAsia="Calibri" w:cstheme="minorHAnsi"/>
                <w:color w:val="FF0000"/>
                <w:sz w:val="20"/>
                <w:szCs w:val="20"/>
              </w:rPr>
            </w:pPr>
          </w:p>
          <w:p w14:paraId="563F2B10" w14:textId="5FB9AD70" w:rsidR="004A2C29" w:rsidRPr="000A4151" w:rsidRDefault="004A2C29" w:rsidP="004A2C29">
            <w:pPr>
              <w:ind w:left="0" w:firstLine="0"/>
              <w:rPr>
                <w:rFonts w:eastAsia="Calibri" w:cstheme="minorHAnsi"/>
                <w:color w:val="FF0000"/>
                <w:sz w:val="20"/>
                <w:szCs w:val="20"/>
              </w:rPr>
            </w:pPr>
            <w:r w:rsidRPr="000A4151">
              <w:rPr>
                <w:rFonts w:eastAsia="Calibri" w:cstheme="minorHAnsi"/>
                <w:b/>
                <w:color w:val="FF0000"/>
                <w:sz w:val="20"/>
                <w:szCs w:val="20"/>
              </w:rPr>
              <w:t>Table 8</w:t>
            </w:r>
            <w:r w:rsidRPr="000A4151">
              <w:rPr>
                <w:rFonts w:eastAsia="Calibri" w:cstheme="minorHAnsi"/>
                <w:color w:val="FF0000"/>
                <w:sz w:val="20"/>
                <w:szCs w:val="20"/>
              </w:rPr>
              <w:t>: Grading Guideline – Strengths of Evidence</w:t>
            </w:r>
            <w:r w:rsidR="002B5113" w:rsidRPr="000A4151">
              <w:rPr>
                <w:rFonts w:eastAsia="Calibri" w:cstheme="minorHAnsi"/>
                <w:color w:val="FF0000"/>
                <w:sz w:val="20"/>
                <w:szCs w:val="20"/>
              </w:rPr>
              <w:t>*</w:t>
            </w:r>
          </w:p>
          <w:tbl>
            <w:tblPr>
              <w:tblStyle w:val="TableGrid"/>
              <w:tblW w:w="0" w:type="auto"/>
              <w:tblLook w:val="04A0" w:firstRow="1" w:lastRow="0" w:firstColumn="1" w:lastColumn="0" w:noHBand="0" w:noVBand="1"/>
            </w:tblPr>
            <w:tblGrid>
              <w:gridCol w:w="609"/>
              <w:gridCol w:w="4920"/>
            </w:tblGrid>
            <w:tr w:rsidR="00EE53F2" w:rsidRPr="000A4151" w14:paraId="598E982F" w14:textId="77777777" w:rsidTr="004A2C29">
              <w:tc>
                <w:tcPr>
                  <w:tcW w:w="609" w:type="dxa"/>
                </w:tcPr>
                <w:p w14:paraId="2644BC9A" w14:textId="04D606A0" w:rsidR="004A2C29" w:rsidRPr="00224A0F" w:rsidRDefault="004A2C29" w:rsidP="004A2C29">
                  <w:pPr>
                    <w:ind w:left="0" w:firstLine="0"/>
                    <w:rPr>
                      <w:rFonts w:eastAsia="Calibri" w:cstheme="minorHAnsi"/>
                      <w:color w:val="0000FF"/>
                      <w:sz w:val="20"/>
                      <w:szCs w:val="20"/>
                    </w:rPr>
                  </w:pPr>
                  <w:r w:rsidRPr="00224A0F">
                    <w:rPr>
                      <w:rFonts w:eastAsia="Calibri" w:cstheme="minorHAnsi"/>
                      <w:color w:val="0000FF"/>
                      <w:sz w:val="20"/>
                      <w:szCs w:val="20"/>
                    </w:rPr>
                    <w:t>A</w:t>
                  </w:r>
                </w:p>
              </w:tc>
              <w:tc>
                <w:tcPr>
                  <w:tcW w:w="4920" w:type="dxa"/>
                </w:tcPr>
                <w:p w14:paraId="0B3552E7" w14:textId="77777777" w:rsidR="004A2C29" w:rsidRPr="00224A0F" w:rsidRDefault="004A2C29" w:rsidP="00F6625D">
                  <w:pPr>
                    <w:pStyle w:val="ListParagraph"/>
                    <w:keepNext/>
                    <w:keepLines/>
                    <w:numPr>
                      <w:ilvl w:val="0"/>
                      <w:numId w:val="14"/>
                    </w:numPr>
                    <w:spacing w:line="240" w:lineRule="auto"/>
                    <w:rPr>
                      <w:rFonts w:eastAsia="Calibri" w:cstheme="minorHAnsi"/>
                      <w:color w:val="0000FF"/>
                      <w:sz w:val="20"/>
                      <w:szCs w:val="20"/>
                    </w:rPr>
                  </w:pPr>
                  <w:r w:rsidRPr="00224A0F">
                    <w:rPr>
                      <w:rFonts w:eastAsia="Calibri" w:cstheme="minorHAnsi"/>
                      <w:color w:val="0000FF"/>
                      <w:sz w:val="20"/>
                      <w:szCs w:val="20"/>
                    </w:rPr>
                    <w:t>More than one high quality Level I study providing direct evidence</w:t>
                  </w:r>
                </w:p>
                <w:p w14:paraId="36042F12" w14:textId="49FD70B1" w:rsidR="004A2C29" w:rsidRPr="00224A0F" w:rsidRDefault="004A2C29" w:rsidP="00F6625D">
                  <w:pPr>
                    <w:pStyle w:val="ListParagraph"/>
                    <w:keepNext/>
                    <w:keepLines/>
                    <w:numPr>
                      <w:ilvl w:val="0"/>
                      <w:numId w:val="14"/>
                    </w:numPr>
                    <w:spacing w:line="240" w:lineRule="auto"/>
                    <w:rPr>
                      <w:rFonts w:eastAsia="Calibri" w:cstheme="minorHAnsi"/>
                      <w:color w:val="0000FF"/>
                      <w:sz w:val="20"/>
                      <w:szCs w:val="20"/>
                    </w:rPr>
                  </w:pPr>
                  <w:r w:rsidRPr="00224A0F">
                    <w:rPr>
                      <w:rFonts w:eastAsia="Calibri" w:cstheme="minorHAnsi"/>
                      <w:color w:val="0000FF"/>
                      <w:sz w:val="20"/>
                      <w:szCs w:val="20"/>
                    </w:rPr>
                    <w:t>Consistent body of evidence</w:t>
                  </w:r>
                </w:p>
              </w:tc>
            </w:tr>
            <w:tr w:rsidR="00EE53F2" w:rsidRPr="000A4151" w14:paraId="2ECF0D08" w14:textId="77777777" w:rsidTr="004A2C29">
              <w:tc>
                <w:tcPr>
                  <w:tcW w:w="609" w:type="dxa"/>
                </w:tcPr>
                <w:p w14:paraId="4E712A53" w14:textId="7005505E" w:rsidR="004A2C29" w:rsidRPr="000A4151" w:rsidRDefault="004A2C29" w:rsidP="004A2C29">
                  <w:pPr>
                    <w:ind w:left="0" w:firstLine="0"/>
                    <w:rPr>
                      <w:rFonts w:eastAsia="Calibri" w:cstheme="minorHAnsi"/>
                      <w:color w:val="FF0000"/>
                      <w:sz w:val="20"/>
                      <w:szCs w:val="20"/>
                    </w:rPr>
                  </w:pPr>
                  <w:r w:rsidRPr="000A4151">
                    <w:rPr>
                      <w:rFonts w:eastAsia="Calibri" w:cstheme="minorHAnsi"/>
                      <w:color w:val="FF0000"/>
                      <w:sz w:val="20"/>
                      <w:szCs w:val="20"/>
                    </w:rPr>
                    <w:t>B1</w:t>
                  </w:r>
                </w:p>
              </w:tc>
              <w:tc>
                <w:tcPr>
                  <w:tcW w:w="4920" w:type="dxa"/>
                </w:tcPr>
                <w:p w14:paraId="15E41DA0" w14:textId="77777777" w:rsidR="004A2C29" w:rsidRPr="000A4151" w:rsidRDefault="004A2C29" w:rsidP="00F6625D">
                  <w:pPr>
                    <w:pStyle w:val="ListParagraph"/>
                    <w:keepNext/>
                    <w:keepLines/>
                    <w:numPr>
                      <w:ilvl w:val="0"/>
                      <w:numId w:val="15"/>
                    </w:numPr>
                    <w:spacing w:line="240" w:lineRule="auto"/>
                    <w:rPr>
                      <w:rFonts w:eastAsia="Calibri" w:cstheme="minorHAnsi"/>
                      <w:color w:val="FF0000"/>
                      <w:sz w:val="20"/>
                      <w:szCs w:val="20"/>
                    </w:rPr>
                  </w:pPr>
                  <w:r w:rsidRPr="000A4151">
                    <w:rPr>
                      <w:rFonts w:eastAsia="Calibri" w:cstheme="minorHAnsi"/>
                      <w:color w:val="FF0000"/>
                      <w:sz w:val="20"/>
                      <w:szCs w:val="20"/>
                    </w:rPr>
                    <w:t>Level 1 studies of moderate or low quality providing direct evidence</w:t>
                  </w:r>
                </w:p>
                <w:p w14:paraId="36905DD9" w14:textId="77777777" w:rsidR="004A2C29" w:rsidRPr="000A4151" w:rsidRDefault="004A2C29" w:rsidP="00F6625D">
                  <w:pPr>
                    <w:pStyle w:val="ListParagraph"/>
                    <w:keepNext/>
                    <w:keepLines/>
                    <w:numPr>
                      <w:ilvl w:val="0"/>
                      <w:numId w:val="15"/>
                    </w:numPr>
                    <w:spacing w:line="240" w:lineRule="auto"/>
                    <w:rPr>
                      <w:rFonts w:eastAsia="Calibri" w:cstheme="minorHAnsi"/>
                      <w:color w:val="FF0000"/>
                      <w:sz w:val="20"/>
                      <w:szCs w:val="20"/>
                    </w:rPr>
                  </w:pPr>
                  <w:r w:rsidRPr="000A4151">
                    <w:rPr>
                      <w:rFonts w:eastAsia="Calibri" w:cstheme="minorHAnsi"/>
                      <w:color w:val="FF0000"/>
                      <w:sz w:val="20"/>
                      <w:szCs w:val="20"/>
                    </w:rPr>
                    <w:t>Level 2 studies of high or moderate quality providing direct evidence</w:t>
                  </w:r>
                </w:p>
                <w:p w14:paraId="66719787" w14:textId="13D43561" w:rsidR="004A2C29" w:rsidRPr="000A4151" w:rsidRDefault="004A2C29" w:rsidP="00F6625D">
                  <w:pPr>
                    <w:pStyle w:val="ListParagraph"/>
                    <w:keepNext/>
                    <w:keepLines/>
                    <w:numPr>
                      <w:ilvl w:val="0"/>
                      <w:numId w:val="15"/>
                    </w:numPr>
                    <w:spacing w:line="240" w:lineRule="auto"/>
                    <w:rPr>
                      <w:rFonts w:eastAsia="Calibri" w:cstheme="minorHAnsi"/>
                      <w:color w:val="FF0000"/>
                      <w:sz w:val="20"/>
                      <w:szCs w:val="20"/>
                    </w:rPr>
                  </w:pPr>
                  <w:r w:rsidRPr="000A4151">
                    <w:rPr>
                      <w:rFonts w:eastAsia="Calibri" w:cstheme="minorHAnsi"/>
                      <w:color w:val="FF0000"/>
                      <w:sz w:val="20"/>
                      <w:szCs w:val="20"/>
                    </w:rPr>
                    <w:t>Most studies have consistent outcome sand inconsistencies can be explained</w:t>
                  </w:r>
                </w:p>
              </w:tc>
            </w:tr>
            <w:tr w:rsidR="00EE53F2" w:rsidRPr="000A4151" w14:paraId="3DDC59E4" w14:textId="77777777" w:rsidTr="004A2C29">
              <w:tc>
                <w:tcPr>
                  <w:tcW w:w="609" w:type="dxa"/>
                </w:tcPr>
                <w:p w14:paraId="5833B077" w14:textId="21BF224E" w:rsidR="004A2C29" w:rsidRPr="000A4151" w:rsidRDefault="004A2C29" w:rsidP="004A2C29">
                  <w:pPr>
                    <w:ind w:left="0" w:firstLine="0"/>
                    <w:rPr>
                      <w:rFonts w:eastAsia="Calibri" w:cstheme="minorHAnsi"/>
                      <w:color w:val="FF0000"/>
                      <w:sz w:val="20"/>
                      <w:szCs w:val="20"/>
                    </w:rPr>
                  </w:pPr>
                  <w:r w:rsidRPr="000A4151">
                    <w:rPr>
                      <w:rFonts w:eastAsia="Calibri" w:cstheme="minorHAnsi"/>
                      <w:color w:val="FF0000"/>
                      <w:sz w:val="20"/>
                      <w:szCs w:val="20"/>
                    </w:rPr>
                    <w:t>B2</w:t>
                  </w:r>
                </w:p>
              </w:tc>
              <w:tc>
                <w:tcPr>
                  <w:tcW w:w="4920" w:type="dxa"/>
                </w:tcPr>
                <w:p w14:paraId="67CA3105" w14:textId="77777777" w:rsidR="004A2C29" w:rsidRPr="000A4151" w:rsidRDefault="004A2C29" w:rsidP="00F6625D">
                  <w:pPr>
                    <w:pStyle w:val="ListParagraph"/>
                    <w:keepNext/>
                    <w:keepLines/>
                    <w:numPr>
                      <w:ilvl w:val="0"/>
                      <w:numId w:val="16"/>
                    </w:numPr>
                    <w:spacing w:line="240" w:lineRule="auto"/>
                    <w:rPr>
                      <w:rFonts w:eastAsia="Calibri" w:cstheme="minorHAnsi"/>
                      <w:color w:val="FF0000"/>
                      <w:sz w:val="20"/>
                      <w:szCs w:val="20"/>
                    </w:rPr>
                  </w:pPr>
                  <w:r w:rsidRPr="000A4151">
                    <w:rPr>
                      <w:rFonts w:eastAsia="Calibri" w:cstheme="minorHAnsi"/>
                      <w:color w:val="FF0000"/>
                      <w:sz w:val="20"/>
                      <w:szCs w:val="20"/>
                    </w:rPr>
                    <w:t>Level 2 studies of low quality providing direct evidence</w:t>
                  </w:r>
                </w:p>
                <w:p w14:paraId="1ACE5A81" w14:textId="77777777" w:rsidR="004A2C29" w:rsidRPr="000A4151" w:rsidRDefault="004A2C29" w:rsidP="00F6625D">
                  <w:pPr>
                    <w:pStyle w:val="ListParagraph"/>
                    <w:keepNext/>
                    <w:keepLines/>
                    <w:numPr>
                      <w:ilvl w:val="0"/>
                      <w:numId w:val="16"/>
                    </w:numPr>
                    <w:spacing w:line="240" w:lineRule="auto"/>
                    <w:rPr>
                      <w:rFonts w:eastAsia="Calibri" w:cstheme="minorHAnsi"/>
                      <w:color w:val="FF0000"/>
                      <w:sz w:val="20"/>
                      <w:szCs w:val="20"/>
                    </w:rPr>
                  </w:pPr>
                  <w:r w:rsidRPr="000A4151">
                    <w:rPr>
                      <w:rFonts w:eastAsia="Calibri" w:cstheme="minorHAnsi"/>
                      <w:color w:val="FF0000"/>
                      <w:sz w:val="20"/>
                      <w:szCs w:val="20"/>
                    </w:rPr>
                    <w:t>Level 3 or 4 studies (regardless of quality) providing direct evidence</w:t>
                  </w:r>
                </w:p>
                <w:p w14:paraId="5205A6C9" w14:textId="5CBD67F6" w:rsidR="004A2C29" w:rsidRPr="000A4151" w:rsidRDefault="004A2C29" w:rsidP="00F6625D">
                  <w:pPr>
                    <w:pStyle w:val="ListParagraph"/>
                    <w:keepNext/>
                    <w:keepLines/>
                    <w:numPr>
                      <w:ilvl w:val="0"/>
                      <w:numId w:val="16"/>
                    </w:numPr>
                    <w:spacing w:line="240" w:lineRule="auto"/>
                    <w:rPr>
                      <w:rFonts w:eastAsia="Calibri" w:cstheme="minorHAnsi"/>
                      <w:color w:val="FF0000"/>
                      <w:sz w:val="20"/>
                      <w:szCs w:val="20"/>
                    </w:rPr>
                  </w:pPr>
                  <w:r w:rsidRPr="000A4151">
                    <w:rPr>
                      <w:rFonts w:eastAsia="Calibri" w:cstheme="minorHAnsi"/>
                      <w:color w:val="FF0000"/>
                      <w:sz w:val="20"/>
                      <w:szCs w:val="20"/>
                    </w:rPr>
                    <w:t>Most studies have consistent outcomes and inconsistencies can be explained</w:t>
                  </w:r>
                </w:p>
              </w:tc>
            </w:tr>
            <w:tr w:rsidR="00EE53F2" w:rsidRPr="000A4151" w14:paraId="1FE21167" w14:textId="77777777" w:rsidTr="004A2C29">
              <w:tc>
                <w:tcPr>
                  <w:tcW w:w="609" w:type="dxa"/>
                </w:tcPr>
                <w:p w14:paraId="497156BF" w14:textId="16AF6D03" w:rsidR="004A2C29" w:rsidRPr="00224A0F" w:rsidRDefault="004A2C29" w:rsidP="004A2C29">
                  <w:pPr>
                    <w:ind w:left="0" w:firstLine="0"/>
                    <w:rPr>
                      <w:rFonts w:eastAsia="Calibri" w:cstheme="minorHAnsi"/>
                      <w:color w:val="0000FF"/>
                      <w:sz w:val="20"/>
                      <w:szCs w:val="20"/>
                    </w:rPr>
                  </w:pPr>
                  <w:r w:rsidRPr="00224A0F">
                    <w:rPr>
                      <w:rFonts w:eastAsia="Calibri" w:cstheme="minorHAnsi"/>
                      <w:color w:val="0000FF"/>
                      <w:sz w:val="20"/>
                      <w:szCs w:val="20"/>
                    </w:rPr>
                    <w:t>C</w:t>
                  </w:r>
                </w:p>
              </w:tc>
              <w:tc>
                <w:tcPr>
                  <w:tcW w:w="4920" w:type="dxa"/>
                </w:tcPr>
                <w:p w14:paraId="1E4FE3D6" w14:textId="77777777" w:rsidR="004A2C29" w:rsidRPr="00224A0F" w:rsidRDefault="004A2C29" w:rsidP="00F6625D">
                  <w:pPr>
                    <w:pStyle w:val="ListParagraph"/>
                    <w:keepNext/>
                    <w:keepLines/>
                    <w:numPr>
                      <w:ilvl w:val="0"/>
                      <w:numId w:val="17"/>
                    </w:numPr>
                    <w:spacing w:line="240" w:lineRule="auto"/>
                    <w:rPr>
                      <w:rFonts w:eastAsia="Calibri" w:cstheme="minorHAnsi"/>
                      <w:color w:val="0000FF"/>
                      <w:sz w:val="20"/>
                      <w:szCs w:val="20"/>
                    </w:rPr>
                  </w:pPr>
                  <w:r w:rsidRPr="00224A0F">
                    <w:rPr>
                      <w:rFonts w:eastAsia="Calibri" w:cstheme="minorHAnsi"/>
                      <w:color w:val="0000FF"/>
                      <w:sz w:val="20"/>
                      <w:szCs w:val="20"/>
                    </w:rPr>
                    <w:t>Level 5 studies (indirect evidence) e.g., studies in normal human subjects, humans with other types of chronic wounds, animal models</w:t>
                  </w:r>
                </w:p>
                <w:p w14:paraId="1C19ABD7" w14:textId="6E490D32" w:rsidR="004A2C29" w:rsidRPr="00224A0F" w:rsidRDefault="004A2C29" w:rsidP="00F6625D">
                  <w:pPr>
                    <w:pStyle w:val="ListParagraph"/>
                    <w:keepNext/>
                    <w:keepLines/>
                    <w:numPr>
                      <w:ilvl w:val="0"/>
                      <w:numId w:val="17"/>
                    </w:numPr>
                    <w:spacing w:line="240" w:lineRule="auto"/>
                    <w:rPr>
                      <w:rFonts w:eastAsia="Calibri" w:cstheme="minorHAnsi"/>
                      <w:color w:val="0000FF"/>
                      <w:sz w:val="20"/>
                      <w:szCs w:val="20"/>
                    </w:rPr>
                  </w:pPr>
                  <w:r w:rsidRPr="00224A0F">
                    <w:rPr>
                      <w:rFonts w:eastAsia="Calibri" w:cstheme="minorHAnsi"/>
                      <w:color w:val="0000FF"/>
                      <w:sz w:val="20"/>
                      <w:szCs w:val="20"/>
                    </w:rPr>
                    <w:t>A body of evidence with inconsistencies that cannot be explained, reflecting genuine uncertainty surrounding the topic</w:t>
                  </w:r>
                </w:p>
              </w:tc>
            </w:tr>
            <w:tr w:rsidR="00EE53F2" w:rsidRPr="000A4151" w14:paraId="6ECB5AF6" w14:textId="77777777" w:rsidTr="004A2C29">
              <w:tc>
                <w:tcPr>
                  <w:tcW w:w="609" w:type="dxa"/>
                </w:tcPr>
                <w:p w14:paraId="3EC25C08" w14:textId="72246692" w:rsidR="004A2C29" w:rsidRPr="000A4151" w:rsidRDefault="004A2C29" w:rsidP="004A2C29">
                  <w:pPr>
                    <w:ind w:left="0" w:firstLine="0"/>
                    <w:rPr>
                      <w:rFonts w:eastAsia="Calibri" w:cstheme="minorHAnsi"/>
                      <w:color w:val="FF0000"/>
                      <w:sz w:val="20"/>
                      <w:szCs w:val="20"/>
                    </w:rPr>
                  </w:pPr>
                  <w:r w:rsidRPr="000A4151">
                    <w:rPr>
                      <w:rFonts w:eastAsia="Calibri" w:cstheme="minorHAnsi"/>
                      <w:color w:val="FF0000"/>
                      <w:sz w:val="20"/>
                      <w:szCs w:val="20"/>
                    </w:rPr>
                    <w:t>GPS</w:t>
                  </w:r>
                </w:p>
              </w:tc>
              <w:tc>
                <w:tcPr>
                  <w:tcW w:w="4920" w:type="dxa"/>
                </w:tcPr>
                <w:p w14:paraId="72C04F18" w14:textId="77777777" w:rsidR="004A2C29" w:rsidRPr="000A4151" w:rsidRDefault="004A2C29" w:rsidP="00F6625D">
                  <w:pPr>
                    <w:keepNext/>
                    <w:keepLines/>
                    <w:ind w:left="0" w:firstLine="0"/>
                    <w:contextualSpacing/>
                    <w:rPr>
                      <w:rFonts w:eastAsia="Calibri" w:cstheme="minorHAnsi"/>
                      <w:color w:val="FF0000"/>
                      <w:sz w:val="20"/>
                      <w:szCs w:val="20"/>
                    </w:rPr>
                  </w:pPr>
                  <w:r w:rsidRPr="000A4151">
                    <w:rPr>
                      <w:rFonts w:eastAsia="Calibri" w:cstheme="minorHAnsi"/>
                      <w:color w:val="FF0000"/>
                      <w:sz w:val="20"/>
                      <w:szCs w:val="20"/>
                    </w:rPr>
                    <w:t>Good Practice Statement</w:t>
                  </w:r>
                </w:p>
                <w:p w14:paraId="415180EA" w14:textId="6B225A81" w:rsidR="004A2C29" w:rsidRPr="000A4151" w:rsidRDefault="004A2C29" w:rsidP="00F6625D">
                  <w:pPr>
                    <w:pStyle w:val="ListParagraph"/>
                    <w:keepNext/>
                    <w:keepLines/>
                    <w:numPr>
                      <w:ilvl w:val="0"/>
                      <w:numId w:val="18"/>
                    </w:numPr>
                    <w:spacing w:line="240" w:lineRule="auto"/>
                    <w:rPr>
                      <w:rFonts w:eastAsia="Calibri" w:cstheme="minorHAnsi"/>
                      <w:color w:val="FF0000"/>
                      <w:sz w:val="20"/>
                      <w:szCs w:val="20"/>
                    </w:rPr>
                  </w:pPr>
                  <w:r w:rsidRPr="000A4151">
                    <w:rPr>
                      <w:rFonts w:eastAsia="Calibri" w:cstheme="minorHAnsi"/>
                      <w:color w:val="FF0000"/>
                      <w:sz w:val="20"/>
                      <w:szCs w:val="20"/>
                    </w:rPr>
                    <w:t xml:space="preserve">Statements that are not supported by a body of evidence as listed above but considered by the </w:t>
                  </w:r>
                  <w:r w:rsidR="00A77C20" w:rsidRPr="000A4151">
                    <w:rPr>
                      <w:rFonts w:eastAsia="Calibri" w:cstheme="minorHAnsi"/>
                      <w:color w:val="FF0000"/>
                      <w:sz w:val="20"/>
                      <w:szCs w:val="20"/>
                    </w:rPr>
                    <w:t>Guideline Governance Group (</w:t>
                  </w:r>
                  <w:r w:rsidRPr="000A4151">
                    <w:rPr>
                      <w:rFonts w:eastAsia="Calibri" w:cstheme="minorHAnsi"/>
                      <w:color w:val="FF0000"/>
                      <w:sz w:val="20"/>
                      <w:szCs w:val="20"/>
                    </w:rPr>
                    <w:t>GGG</w:t>
                  </w:r>
                  <w:r w:rsidR="00A77C20" w:rsidRPr="000A4151">
                    <w:rPr>
                      <w:rFonts w:eastAsia="Calibri" w:cstheme="minorHAnsi"/>
                      <w:color w:val="FF0000"/>
                      <w:sz w:val="20"/>
                      <w:szCs w:val="20"/>
                    </w:rPr>
                    <w:t>)</w:t>
                  </w:r>
                  <w:r w:rsidRPr="000A4151">
                    <w:rPr>
                      <w:rFonts w:eastAsia="Calibri" w:cstheme="minorHAnsi"/>
                      <w:color w:val="FF0000"/>
                      <w:sz w:val="20"/>
                      <w:szCs w:val="20"/>
                    </w:rPr>
                    <w:t xml:space="preserve"> to be significant for clinical practice. </w:t>
                  </w:r>
                </w:p>
              </w:tc>
            </w:tr>
          </w:tbl>
          <w:p w14:paraId="27AB9898" w14:textId="74087112" w:rsidR="002B5113" w:rsidRPr="000A4151" w:rsidRDefault="002B5113" w:rsidP="002B5113">
            <w:pPr>
              <w:ind w:left="0" w:firstLine="0"/>
              <w:rPr>
                <w:rFonts w:eastAsia="Calibri" w:cstheme="minorHAnsi"/>
                <w:color w:val="FF0000"/>
                <w:sz w:val="20"/>
                <w:szCs w:val="20"/>
              </w:rPr>
            </w:pPr>
            <w:r w:rsidRPr="000A4151">
              <w:rPr>
                <w:rFonts w:eastAsia="Calibri" w:cstheme="minorHAnsi"/>
                <w:color w:val="FF0000"/>
                <w:sz w:val="20"/>
                <w:szCs w:val="20"/>
              </w:rPr>
              <w:t xml:space="preserve">*Individual studies were assigned a level of evidence based on study design. The body of evidence supporting each recommendation was given a strength of evidence </w:t>
            </w:r>
            <w:r w:rsidR="00E57F82" w:rsidRPr="000A4151">
              <w:rPr>
                <w:rFonts w:eastAsia="Calibri" w:cstheme="minorHAnsi"/>
                <w:color w:val="FF0000"/>
                <w:sz w:val="20"/>
                <w:szCs w:val="20"/>
              </w:rPr>
              <w:t xml:space="preserve">grade </w:t>
            </w:r>
            <w:r w:rsidRPr="000A4151">
              <w:rPr>
                <w:rFonts w:eastAsia="Calibri" w:cstheme="minorHAnsi"/>
                <w:color w:val="FF0000"/>
                <w:sz w:val="20"/>
                <w:szCs w:val="20"/>
              </w:rPr>
              <w:t xml:space="preserve">based on evidence quantity, levels, and consistency. </w:t>
            </w:r>
          </w:p>
          <w:p w14:paraId="2595A750" w14:textId="448D7E25" w:rsidR="004A2C29" w:rsidRPr="000A4151" w:rsidRDefault="004A2C29" w:rsidP="004A2C29">
            <w:pPr>
              <w:ind w:left="0" w:firstLine="0"/>
              <w:rPr>
                <w:rFonts w:eastAsia="Calibri" w:cstheme="minorHAnsi"/>
                <w:color w:val="FF0000"/>
                <w:sz w:val="20"/>
                <w:szCs w:val="20"/>
              </w:rPr>
            </w:pPr>
          </w:p>
        </w:tc>
      </w:tr>
      <w:tr w:rsidR="00014A70" w14:paraId="68692439" w14:textId="77777777" w:rsidTr="009D2D8A">
        <w:tc>
          <w:tcPr>
            <w:tcW w:w="3595" w:type="dxa"/>
          </w:tcPr>
          <w:p w14:paraId="38828696" w14:textId="77777777" w:rsidR="00014A70" w:rsidRPr="00552F57" w:rsidRDefault="00014A70" w:rsidP="009D2D8A">
            <w:pPr>
              <w:ind w:left="0" w:firstLine="0"/>
              <w:rPr>
                <w:rFonts w:ascii="Calibri" w:eastAsia="Calibri" w:hAnsi="Calibri" w:cs="Times New Roman"/>
                <w:sz w:val="20"/>
                <w:szCs w:val="20"/>
              </w:rPr>
            </w:pPr>
            <w:r w:rsidRPr="00552F57">
              <w:rPr>
                <w:sz w:val="20"/>
                <w:szCs w:val="20"/>
              </w:rPr>
              <w:t>Provide all other grades and definitions from the evidence grading system.</w:t>
            </w:r>
          </w:p>
        </w:tc>
        <w:tc>
          <w:tcPr>
            <w:tcW w:w="5755" w:type="dxa"/>
          </w:tcPr>
          <w:p w14:paraId="0271F24D" w14:textId="7488A19B" w:rsidR="00014A70" w:rsidRPr="000A4151" w:rsidRDefault="002B5113" w:rsidP="009D2D8A">
            <w:pPr>
              <w:ind w:left="0" w:firstLine="0"/>
              <w:rPr>
                <w:rFonts w:eastAsia="Calibri" w:cstheme="minorHAnsi"/>
                <w:color w:val="FF0000"/>
                <w:sz w:val="20"/>
                <w:szCs w:val="20"/>
              </w:rPr>
            </w:pPr>
            <w:r w:rsidRPr="000A4151">
              <w:rPr>
                <w:rFonts w:eastAsia="Calibri" w:cstheme="minorHAnsi"/>
                <w:color w:val="FF0000"/>
                <w:sz w:val="20"/>
                <w:szCs w:val="20"/>
              </w:rPr>
              <w:t xml:space="preserve">Not applicable. </w:t>
            </w:r>
          </w:p>
        </w:tc>
      </w:tr>
      <w:tr w:rsidR="00014A70" w14:paraId="6476D86C" w14:textId="77777777" w:rsidTr="009D2D8A">
        <w:tc>
          <w:tcPr>
            <w:tcW w:w="3595" w:type="dxa"/>
          </w:tcPr>
          <w:p w14:paraId="249F9E04" w14:textId="77777777" w:rsidR="00014A70" w:rsidRPr="00552F57" w:rsidRDefault="00014A70" w:rsidP="009D2D8A">
            <w:pPr>
              <w:ind w:left="0" w:firstLine="0"/>
              <w:rPr>
                <w:rFonts w:ascii="Calibri" w:eastAsia="Calibri" w:hAnsi="Calibri" w:cs="Times New Roman"/>
                <w:sz w:val="20"/>
                <w:szCs w:val="20"/>
              </w:rPr>
            </w:pPr>
            <w:r w:rsidRPr="00552F57">
              <w:rPr>
                <w:rFonts w:ascii="Calibri" w:eastAsia="Calibri" w:hAnsi="Calibri" w:cs="Times New Roman"/>
                <w:sz w:val="20"/>
                <w:szCs w:val="20"/>
              </w:rPr>
              <w:t>Grade assigned to the recommendation with definition of the grade.</w:t>
            </w:r>
          </w:p>
        </w:tc>
        <w:tc>
          <w:tcPr>
            <w:tcW w:w="5755" w:type="dxa"/>
          </w:tcPr>
          <w:p w14:paraId="53D56E03" w14:textId="3573C4F7" w:rsidR="00014A70" w:rsidRPr="000A4151" w:rsidRDefault="00C31829" w:rsidP="009D2D8A">
            <w:pPr>
              <w:ind w:left="0" w:firstLine="0"/>
              <w:rPr>
                <w:rFonts w:eastAsia="Calibri" w:cstheme="minorHAnsi"/>
                <w:color w:val="FF0000"/>
                <w:sz w:val="20"/>
                <w:szCs w:val="20"/>
              </w:rPr>
            </w:pPr>
            <w:r w:rsidRPr="000A4151">
              <w:rPr>
                <w:rFonts w:eastAsia="Calibri" w:cstheme="minorHAnsi"/>
                <w:color w:val="FF0000"/>
                <w:sz w:val="20"/>
                <w:szCs w:val="20"/>
              </w:rPr>
              <w:t>Overall, most recommendations from this guideline were positive, see Table 9 for grade definitions. There were 68 weak positive recommendations (</w:t>
            </w:r>
            <w:r w:rsidRPr="000A4151">
              <w:rPr>
                <w:rFonts w:eastAsia="Calibri-Bold" w:cstheme="minorHAnsi"/>
                <w:bCs/>
                <w:color w:val="FF0000"/>
                <w:sz w:val="20"/>
                <w:szCs w:val="20"/>
              </w:rPr>
              <w:t>↑), 32 strong positive recommendations (↑↑), and 15 neutral recommendations (↔). Negative recommendations were not included in this guideline (</w:t>
            </w:r>
            <w:r w:rsidRPr="000A4151">
              <w:rPr>
                <w:rFonts w:eastAsia="Calibri-Bold" w:cs="Calibri-Bold"/>
                <w:bCs/>
                <w:color w:val="FF0000"/>
                <w:sz w:val="20"/>
                <w:szCs w:val="20"/>
              </w:rPr>
              <w:t xml:space="preserve">↓ or ↓↓). </w:t>
            </w:r>
          </w:p>
          <w:p w14:paraId="394141F1" w14:textId="77777777" w:rsidR="00C31829" w:rsidRPr="000A4151" w:rsidRDefault="00C31829" w:rsidP="009D2D8A">
            <w:pPr>
              <w:ind w:left="0" w:firstLine="0"/>
              <w:rPr>
                <w:rFonts w:eastAsia="Calibri" w:cstheme="minorHAnsi"/>
                <w:color w:val="FF0000"/>
                <w:sz w:val="20"/>
                <w:szCs w:val="20"/>
              </w:rPr>
            </w:pPr>
          </w:p>
          <w:p w14:paraId="21C6F0BF" w14:textId="55AC43DE" w:rsidR="00B340A8" w:rsidRPr="000A4151" w:rsidRDefault="00B340A8" w:rsidP="009D2D8A">
            <w:pPr>
              <w:ind w:left="0" w:firstLine="0"/>
              <w:rPr>
                <w:rFonts w:eastAsia="Calibri" w:cstheme="minorHAnsi"/>
                <w:color w:val="FF0000"/>
                <w:sz w:val="20"/>
                <w:szCs w:val="20"/>
              </w:rPr>
            </w:pPr>
            <w:r w:rsidRPr="000A4151">
              <w:rPr>
                <w:rFonts w:eastAsia="Calibri" w:cstheme="minorHAnsi"/>
                <w:b/>
                <w:color w:val="FF0000"/>
                <w:sz w:val="20"/>
                <w:szCs w:val="20"/>
              </w:rPr>
              <w:t>Table 9</w:t>
            </w:r>
            <w:r w:rsidRPr="000A4151">
              <w:rPr>
                <w:rFonts w:eastAsia="Calibri" w:cstheme="minorHAnsi"/>
                <w:color w:val="FF0000"/>
                <w:sz w:val="20"/>
                <w:szCs w:val="20"/>
              </w:rPr>
              <w:t xml:space="preserve">: </w:t>
            </w:r>
            <w:r w:rsidR="00612EA1" w:rsidRPr="000A4151">
              <w:rPr>
                <w:rFonts w:eastAsia="Calibri" w:cstheme="minorHAnsi"/>
                <w:color w:val="FF0000"/>
                <w:sz w:val="20"/>
                <w:szCs w:val="20"/>
              </w:rPr>
              <w:t>Grading Guideline – Strengths of Recommendations**</w:t>
            </w:r>
          </w:p>
          <w:tbl>
            <w:tblPr>
              <w:tblStyle w:val="TableGrid"/>
              <w:tblW w:w="0" w:type="auto"/>
              <w:tblLook w:val="04A0" w:firstRow="1" w:lastRow="0" w:firstColumn="1" w:lastColumn="0" w:noHBand="0" w:noVBand="1"/>
            </w:tblPr>
            <w:tblGrid>
              <w:gridCol w:w="609"/>
              <w:gridCol w:w="4920"/>
            </w:tblGrid>
            <w:tr w:rsidR="00EE53F2" w:rsidRPr="000A4151" w14:paraId="6D22349D" w14:textId="77777777" w:rsidTr="00B340A8">
              <w:tc>
                <w:tcPr>
                  <w:tcW w:w="609" w:type="dxa"/>
                </w:tcPr>
                <w:p w14:paraId="6C4EF862" w14:textId="6CA4382A" w:rsidR="00B340A8" w:rsidRPr="000A4151" w:rsidRDefault="00B340A8" w:rsidP="009D2D8A">
                  <w:pPr>
                    <w:ind w:left="0" w:firstLine="0"/>
                    <w:rPr>
                      <w:rFonts w:eastAsia="Calibri" w:cstheme="minorHAnsi"/>
                      <w:color w:val="FF0000"/>
                      <w:sz w:val="20"/>
                      <w:szCs w:val="20"/>
                    </w:rPr>
                  </w:pPr>
                  <w:r w:rsidRPr="000A4151">
                    <w:rPr>
                      <w:rFonts w:eastAsia="Calibri-Bold" w:cstheme="minorHAnsi"/>
                      <w:bCs/>
                      <w:color w:val="FF0000"/>
                      <w:sz w:val="20"/>
                      <w:szCs w:val="20"/>
                    </w:rPr>
                    <w:t>↑↑</w:t>
                  </w:r>
                </w:p>
              </w:tc>
              <w:tc>
                <w:tcPr>
                  <w:tcW w:w="4920" w:type="dxa"/>
                </w:tcPr>
                <w:p w14:paraId="2C9BB958" w14:textId="062DF0A6" w:rsidR="00B340A8" w:rsidRPr="000A4151" w:rsidRDefault="00B340A8" w:rsidP="009D2D8A">
                  <w:pPr>
                    <w:ind w:left="0" w:firstLine="0"/>
                    <w:rPr>
                      <w:rFonts w:eastAsia="Calibri" w:cstheme="minorHAnsi"/>
                      <w:color w:val="FF0000"/>
                      <w:sz w:val="20"/>
                      <w:szCs w:val="20"/>
                    </w:rPr>
                  </w:pPr>
                  <w:r w:rsidRPr="000A4151">
                    <w:rPr>
                      <w:rFonts w:eastAsia="Calibri" w:cstheme="minorHAnsi"/>
                      <w:color w:val="FF0000"/>
                      <w:sz w:val="20"/>
                      <w:szCs w:val="20"/>
                    </w:rPr>
                    <w:t>Strong positive recommendation: Definitely do it</w:t>
                  </w:r>
                </w:p>
              </w:tc>
            </w:tr>
            <w:tr w:rsidR="00EE53F2" w:rsidRPr="000A4151" w14:paraId="710251CE" w14:textId="77777777" w:rsidTr="00B340A8">
              <w:tc>
                <w:tcPr>
                  <w:tcW w:w="609" w:type="dxa"/>
                </w:tcPr>
                <w:p w14:paraId="54496E75" w14:textId="2192F412" w:rsidR="00B340A8" w:rsidRPr="000A4151" w:rsidRDefault="00B340A8" w:rsidP="009D2D8A">
                  <w:pPr>
                    <w:ind w:left="0" w:firstLine="0"/>
                    <w:rPr>
                      <w:rFonts w:eastAsia="Calibri" w:cstheme="minorHAnsi"/>
                      <w:color w:val="FF0000"/>
                      <w:sz w:val="20"/>
                      <w:szCs w:val="20"/>
                    </w:rPr>
                  </w:pPr>
                  <w:r w:rsidRPr="000A4151">
                    <w:rPr>
                      <w:rFonts w:eastAsia="Calibri-Bold" w:cstheme="minorHAnsi"/>
                      <w:bCs/>
                      <w:color w:val="FF0000"/>
                      <w:sz w:val="20"/>
                      <w:szCs w:val="20"/>
                    </w:rPr>
                    <w:t>↑</w:t>
                  </w:r>
                </w:p>
              </w:tc>
              <w:tc>
                <w:tcPr>
                  <w:tcW w:w="4920" w:type="dxa"/>
                </w:tcPr>
                <w:p w14:paraId="201F6F6C" w14:textId="11EA8D60" w:rsidR="00B340A8" w:rsidRPr="000A4151" w:rsidRDefault="00B340A8" w:rsidP="009D2D8A">
                  <w:pPr>
                    <w:ind w:left="0" w:firstLine="0"/>
                    <w:rPr>
                      <w:rFonts w:eastAsia="Calibri" w:cstheme="minorHAnsi"/>
                      <w:color w:val="FF0000"/>
                      <w:sz w:val="20"/>
                      <w:szCs w:val="20"/>
                    </w:rPr>
                  </w:pPr>
                  <w:r w:rsidRPr="000A4151">
                    <w:rPr>
                      <w:rFonts w:eastAsia="Calibri" w:cstheme="minorHAnsi"/>
                      <w:color w:val="FF0000"/>
                      <w:sz w:val="20"/>
                      <w:szCs w:val="20"/>
                    </w:rPr>
                    <w:t>Weak positive recommendation: Probably do it</w:t>
                  </w:r>
                </w:p>
              </w:tc>
            </w:tr>
            <w:tr w:rsidR="00EE53F2" w:rsidRPr="000A4151" w14:paraId="66FCD410" w14:textId="77777777" w:rsidTr="00B340A8">
              <w:tc>
                <w:tcPr>
                  <w:tcW w:w="609" w:type="dxa"/>
                </w:tcPr>
                <w:p w14:paraId="0109484C" w14:textId="70DAB431" w:rsidR="00B340A8" w:rsidRPr="000A4151" w:rsidRDefault="00B340A8" w:rsidP="009D2D8A">
                  <w:pPr>
                    <w:ind w:left="0" w:firstLine="0"/>
                    <w:rPr>
                      <w:rFonts w:eastAsia="Calibri" w:cstheme="minorHAnsi"/>
                      <w:color w:val="FF0000"/>
                      <w:sz w:val="20"/>
                      <w:szCs w:val="20"/>
                    </w:rPr>
                  </w:pPr>
                  <w:r w:rsidRPr="000A4151">
                    <w:rPr>
                      <w:rFonts w:eastAsia="Calibri-Bold" w:cstheme="minorHAnsi"/>
                      <w:bCs/>
                      <w:color w:val="FF0000"/>
                      <w:sz w:val="20"/>
                      <w:szCs w:val="20"/>
                    </w:rPr>
                    <w:t>↔</w:t>
                  </w:r>
                </w:p>
              </w:tc>
              <w:tc>
                <w:tcPr>
                  <w:tcW w:w="4920" w:type="dxa"/>
                </w:tcPr>
                <w:p w14:paraId="5C2733D8" w14:textId="6EE2D309" w:rsidR="00B340A8" w:rsidRPr="000A4151" w:rsidRDefault="00B340A8" w:rsidP="009D2D8A">
                  <w:pPr>
                    <w:ind w:left="0" w:firstLine="0"/>
                    <w:rPr>
                      <w:rFonts w:eastAsia="Calibri" w:cstheme="minorHAnsi"/>
                      <w:color w:val="FF0000"/>
                      <w:sz w:val="20"/>
                      <w:szCs w:val="20"/>
                    </w:rPr>
                  </w:pPr>
                  <w:r w:rsidRPr="000A4151">
                    <w:rPr>
                      <w:rFonts w:eastAsia="Calibri" w:cstheme="minorHAnsi"/>
                      <w:color w:val="FF0000"/>
                      <w:sz w:val="20"/>
                      <w:szCs w:val="20"/>
                    </w:rPr>
                    <w:t>No specific recommendation</w:t>
                  </w:r>
                </w:p>
              </w:tc>
            </w:tr>
            <w:tr w:rsidR="00EE53F2" w:rsidRPr="000A4151" w14:paraId="2A57C195" w14:textId="77777777" w:rsidTr="00B340A8">
              <w:tc>
                <w:tcPr>
                  <w:tcW w:w="609" w:type="dxa"/>
                </w:tcPr>
                <w:p w14:paraId="0C605304" w14:textId="0A2EA8E9" w:rsidR="00B340A8" w:rsidRPr="000A4151" w:rsidRDefault="00B340A8" w:rsidP="009D2D8A">
                  <w:pPr>
                    <w:ind w:left="0" w:firstLine="0"/>
                    <w:rPr>
                      <w:rFonts w:eastAsia="Calibri" w:cstheme="minorHAnsi"/>
                      <w:color w:val="FF0000"/>
                      <w:sz w:val="20"/>
                      <w:szCs w:val="20"/>
                    </w:rPr>
                  </w:pPr>
                  <w:r w:rsidRPr="000A4151">
                    <w:rPr>
                      <w:rFonts w:eastAsia="Calibri-Bold" w:cs="Calibri-Bold"/>
                      <w:bCs/>
                      <w:color w:val="FF0000"/>
                      <w:sz w:val="20"/>
                      <w:szCs w:val="20"/>
                    </w:rPr>
                    <w:t>↓</w:t>
                  </w:r>
                </w:p>
              </w:tc>
              <w:tc>
                <w:tcPr>
                  <w:tcW w:w="4920" w:type="dxa"/>
                </w:tcPr>
                <w:p w14:paraId="665D74D3" w14:textId="3667ED85" w:rsidR="00B340A8" w:rsidRPr="000A4151" w:rsidRDefault="00B340A8" w:rsidP="009D2D8A">
                  <w:pPr>
                    <w:ind w:left="0" w:firstLine="0"/>
                    <w:rPr>
                      <w:rFonts w:eastAsia="Calibri" w:cstheme="minorHAnsi"/>
                      <w:color w:val="FF0000"/>
                      <w:sz w:val="20"/>
                      <w:szCs w:val="20"/>
                    </w:rPr>
                  </w:pPr>
                  <w:r w:rsidRPr="000A4151">
                    <w:rPr>
                      <w:rFonts w:eastAsia="Calibri" w:cstheme="minorHAnsi"/>
                      <w:color w:val="FF0000"/>
                      <w:sz w:val="20"/>
                      <w:szCs w:val="20"/>
                    </w:rPr>
                    <w:t>Weak negative recommendation: Probably don’t do it</w:t>
                  </w:r>
                </w:p>
              </w:tc>
            </w:tr>
            <w:tr w:rsidR="00EE53F2" w:rsidRPr="000A4151" w14:paraId="608ECE6E" w14:textId="77777777" w:rsidTr="00B340A8">
              <w:tc>
                <w:tcPr>
                  <w:tcW w:w="609" w:type="dxa"/>
                </w:tcPr>
                <w:p w14:paraId="03AA3F6F" w14:textId="4B85B5FA" w:rsidR="00B340A8" w:rsidRPr="000A4151" w:rsidRDefault="00B340A8" w:rsidP="009D2D8A">
                  <w:pPr>
                    <w:ind w:left="0" w:firstLine="0"/>
                    <w:rPr>
                      <w:rFonts w:eastAsia="Calibri" w:cstheme="minorHAnsi"/>
                      <w:color w:val="FF0000"/>
                      <w:sz w:val="20"/>
                      <w:szCs w:val="20"/>
                    </w:rPr>
                  </w:pPr>
                  <w:r w:rsidRPr="000A4151">
                    <w:rPr>
                      <w:rFonts w:eastAsia="Calibri-Bold" w:cs="Calibri-Bold"/>
                      <w:bCs/>
                      <w:color w:val="FF0000"/>
                      <w:sz w:val="20"/>
                      <w:szCs w:val="20"/>
                    </w:rPr>
                    <w:t>↓↓</w:t>
                  </w:r>
                </w:p>
              </w:tc>
              <w:tc>
                <w:tcPr>
                  <w:tcW w:w="4920" w:type="dxa"/>
                </w:tcPr>
                <w:p w14:paraId="355031AF" w14:textId="5EC59D19" w:rsidR="00B340A8" w:rsidRPr="000A4151" w:rsidRDefault="00B340A8" w:rsidP="009D2D8A">
                  <w:pPr>
                    <w:ind w:left="0" w:firstLine="0"/>
                    <w:rPr>
                      <w:rFonts w:eastAsia="Calibri" w:cstheme="minorHAnsi"/>
                      <w:color w:val="FF0000"/>
                      <w:sz w:val="20"/>
                      <w:szCs w:val="20"/>
                    </w:rPr>
                  </w:pPr>
                  <w:r w:rsidRPr="000A4151">
                    <w:rPr>
                      <w:rFonts w:eastAsia="Calibri" w:cstheme="minorHAnsi"/>
                      <w:color w:val="FF0000"/>
                      <w:sz w:val="20"/>
                      <w:szCs w:val="20"/>
                    </w:rPr>
                    <w:t xml:space="preserve">Strong negative recommendation: Definitely don’t do it. </w:t>
                  </w:r>
                </w:p>
              </w:tc>
            </w:tr>
          </w:tbl>
          <w:p w14:paraId="1A7DBAE0" w14:textId="1A56638D" w:rsidR="00B340A8" w:rsidRPr="000A4151" w:rsidRDefault="00612EA1" w:rsidP="00305753">
            <w:pPr>
              <w:autoSpaceDE w:val="0"/>
              <w:autoSpaceDN w:val="0"/>
              <w:adjustRightInd w:val="0"/>
              <w:ind w:left="0" w:firstLine="0"/>
              <w:rPr>
                <w:rFonts w:eastAsia="Frutiger-Roman" w:cs="Frutiger-Roman"/>
                <w:color w:val="FF0000"/>
                <w:sz w:val="20"/>
                <w:szCs w:val="20"/>
              </w:rPr>
            </w:pPr>
            <w:r w:rsidRPr="000A4151">
              <w:rPr>
                <w:rFonts w:eastAsia="Calibri" w:cstheme="minorHAnsi"/>
                <w:color w:val="FF0000"/>
                <w:sz w:val="20"/>
                <w:szCs w:val="20"/>
              </w:rPr>
              <w:t>**</w:t>
            </w:r>
            <w:r w:rsidRPr="000A4151">
              <w:rPr>
                <w:rFonts w:eastAsia="Frutiger-Roman" w:cs="Frutiger-Roman"/>
                <w:color w:val="FF0000"/>
                <w:sz w:val="20"/>
                <w:szCs w:val="20"/>
              </w:rPr>
              <w:t xml:space="preserve">A consensus voting process was used to assign a </w:t>
            </w:r>
            <w:r w:rsidRPr="000A4151">
              <w:rPr>
                <w:rFonts w:eastAsia="Frutiger-Roman" w:cs="Frutiger-Bold"/>
                <w:bCs/>
                <w:color w:val="FF0000"/>
                <w:sz w:val="20"/>
                <w:szCs w:val="20"/>
              </w:rPr>
              <w:t xml:space="preserve">strength of recommendation </w:t>
            </w:r>
            <w:r w:rsidR="00E57F82" w:rsidRPr="000A4151">
              <w:rPr>
                <w:rFonts w:eastAsia="Frutiger-Roman" w:cs="Frutiger-Bold"/>
                <w:bCs/>
                <w:color w:val="FF0000"/>
                <w:sz w:val="20"/>
                <w:szCs w:val="20"/>
              </w:rPr>
              <w:t xml:space="preserve">grade </w:t>
            </w:r>
            <w:r w:rsidRPr="000A4151">
              <w:rPr>
                <w:rFonts w:eastAsia="Frutiger-Roman" w:cs="Frutiger-Roman"/>
                <w:color w:val="FF0000"/>
                <w:sz w:val="20"/>
                <w:szCs w:val="20"/>
              </w:rPr>
              <w:t xml:space="preserve">that indicates the confidence </w:t>
            </w:r>
            <w:r w:rsidR="00305753" w:rsidRPr="000A4151">
              <w:rPr>
                <w:rFonts w:eastAsia="Frutiger-Roman" w:cs="Frutiger-Roman"/>
                <w:color w:val="FF0000"/>
                <w:sz w:val="20"/>
                <w:szCs w:val="20"/>
              </w:rPr>
              <w:t>a</w:t>
            </w:r>
            <w:r w:rsidRPr="000A4151">
              <w:rPr>
                <w:rFonts w:eastAsia="Frutiger-Roman" w:cs="Frutiger-Roman"/>
                <w:color w:val="FF0000"/>
                <w:sz w:val="20"/>
                <w:szCs w:val="20"/>
              </w:rPr>
              <w:t xml:space="preserve"> health professional can have that the recommended practice will improve outcomes (i.e., do more good than harm). The </w:t>
            </w:r>
            <w:r w:rsidRPr="000A4151">
              <w:rPr>
                <w:rFonts w:eastAsia="Frutiger-Roman" w:cs="Frutiger-Bold"/>
                <w:bCs/>
                <w:color w:val="FF0000"/>
                <w:sz w:val="20"/>
                <w:szCs w:val="20"/>
              </w:rPr>
              <w:t>strength of</w:t>
            </w:r>
            <w:r w:rsidRPr="000A4151">
              <w:rPr>
                <w:rFonts w:eastAsia="Frutiger-Roman" w:cs="Frutiger-Roman"/>
                <w:color w:val="FF0000"/>
                <w:sz w:val="20"/>
                <w:szCs w:val="20"/>
              </w:rPr>
              <w:t xml:space="preserve"> </w:t>
            </w:r>
            <w:r w:rsidRPr="000A4151">
              <w:rPr>
                <w:rFonts w:eastAsia="Frutiger-Roman" w:cs="Frutiger-Bold"/>
                <w:bCs/>
                <w:color w:val="FF0000"/>
                <w:sz w:val="20"/>
                <w:szCs w:val="20"/>
              </w:rPr>
              <w:t xml:space="preserve">recommendation </w:t>
            </w:r>
            <w:r w:rsidRPr="000A4151">
              <w:rPr>
                <w:rFonts w:eastAsia="Frutiger-Roman" w:cs="Frutiger-Roman"/>
                <w:color w:val="FF0000"/>
                <w:sz w:val="20"/>
                <w:szCs w:val="20"/>
              </w:rPr>
              <w:t>can be used by health professionals to prioritize interventions.</w:t>
            </w:r>
          </w:p>
        </w:tc>
      </w:tr>
      <w:tr w:rsidR="00014A70" w14:paraId="374A521E" w14:textId="77777777" w:rsidTr="009D2D8A">
        <w:tc>
          <w:tcPr>
            <w:tcW w:w="3595" w:type="dxa"/>
          </w:tcPr>
          <w:p w14:paraId="3E599827" w14:textId="77777777" w:rsidR="00014A70" w:rsidRPr="00552F57" w:rsidRDefault="00014A70" w:rsidP="009D2D8A">
            <w:pPr>
              <w:ind w:left="0" w:firstLine="0"/>
              <w:rPr>
                <w:rFonts w:ascii="Calibri" w:eastAsia="Calibri" w:hAnsi="Calibri" w:cs="Times New Roman"/>
                <w:sz w:val="20"/>
                <w:szCs w:val="20"/>
              </w:rPr>
            </w:pPr>
            <w:r w:rsidRPr="00552F57">
              <w:rPr>
                <w:rFonts w:ascii="Calibri" w:eastAsia="Calibri" w:hAnsi="Calibri" w:cs="Times New Roman"/>
                <w:sz w:val="20"/>
                <w:szCs w:val="20"/>
              </w:rPr>
              <w:t>Provide all other grades and definitions from the recommendation grading system.</w:t>
            </w:r>
          </w:p>
        </w:tc>
        <w:tc>
          <w:tcPr>
            <w:tcW w:w="5755" w:type="dxa"/>
          </w:tcPr>
          <w:p w14:paraId="0E2EDFBF" w14:textId="7DD5DE68" w:rsidR="00014A70" w:rsidRPr="000A4151" w:rsidRDefault="00A525DE" w:rsidP="009D2D8A">
            <w:pPr>
              <w:ind w:left="0" w:firstLine="0"/>
              <w:rPr>
                <w:rFonts w:ascii="Calibri" w:eastAsia="Calibri" w:hAnsi="Calibri" w:cs="Times New Roman"/>
                <w:color w:val="FF0000"/>
                <w:sz w:val="20"/>
                <w:szCs w:val="20"/>
              </w:rPr>
            </w:pPr>
            <w:r w:rsidRPr="000A4151">
              <w:rPr>
                <w:rFonts w:ascii="Calibri" w:eastAsia="Calibri" w:hAnsi="Calibri" w:cs="Times New Roman"/>
                <w:color w:val="FF0000"/>
                <w:sz w:val="20"/>
                <w:szCs w:val="20"/>
              </w:rPr>
              <w:t xml:space="preserve">Not applicable. </w:t>
            </w:r>
          </w:p>
        </w:tc>
      </w:tr>
      <w:tr w:rsidR="00014A70" w14:paraId="797E6D18" w14:textId="77777777" w:rsidTr="009D2D8A">
        <w:tc>
          <w:tcPr>
            <w:tcW w:w="3595" w:type="dxa"/>
          </w:tcPr>
          <w:p w14:paraId="393D176D" w14:textId="77777777" w:rsidR="00014A70" w:rsidRPr="00552F57" w:rsidRDefault="00014A70" w:rsidP="009D2D8A">
            <w:pPr>
              <w:ind w:left="0" w:firstLine="0"/>
              <w:rPr>
                <w:rFonts w:ascii="Calibri" w:eastAsia="Calibri" w:hAnsi="Calibri" w:cs="Times New Roman"/>
                <w:sz w:val="20"/>
                <w:szCs w:val="20"/>
              </w:rPr>
            </w:pPr>
            <w:r w:rsidRPr="00552F57">
              <w:rPr>
                <w:rFonts w:ascii="Calibri" w:eastAsia="Calibri" w:hAnsi="Calibri" w:cs="Times New Roman"/>
                <w:sz w:val="20"/>
                <w:szCs w:val="20"/>
              </w:rPr>
              <w:t>Body of evidence:</w:t>
            </w:r>
          </w:p>
          <w:p w14:paraId="77B871DB" w14:textId="77777777" w:rsidR="00014A70" w:rsidRPr="00552F57" w:rsidRDefault="00014A70" w:rsidP="002B5113">
            <w:pPr>
              <w:pStyle w:val="ListParagraph"/>
              <w:numPr>
                <w:ilvl w:val="0"/>
                <w:numId w:val="5"/>
              </w:numPr>
              <w:rPr>
                <w:rFonts w:ascii="Calibri" w:eastAsia="Calibri" w:hAnsi="Calibri" w:cs="Times New Roman"/>
                <w:sz w:val="20"/>
                <w:szCs w:val="20"/>
              </w:rPr>
            </w:pPr>
            <w:r w:rsidRPr="00552F57">
              <w:rPr>
                <w:rFonts w:ascii="Calibri" w:eastAsia="Calibri" w:hAnsi="Calibri" w:cs="Times New Roman"/>
                <w:sz w:val="20"/>
                <w:szCs w:val="20"/>
              </w:rPr>
              <w:t>Quantity – how many studies?</w:t>
            </w:r>
          </w:p>
          <w:p w14:paraId="79F4E6C6" w14:textId="77777777" w:rsidR="00014A70" w:rsidRPr="00552F57" w:rsidRDefault="00014A70" w:rsidP="002B5113">
            <w:pPr>
              <w:pStyle w:val="ListParagraph"/>
              <w:numPr>
                <w:ilvl w:val="0"/>
                <w:numId w:val="5"/>
              </w:numPr>
              <w:rPr>
                <w:rFonts w:ascii="Calibri" w:eastAsia="Calibri" w:hAnsi="Calibri" w:cs="Times New Roman"/>
              </w:rPr>
            </w:pPr>
            <w:r w:rsidRPr="00552F57">
              <w:rPr>
                <w:rFonts w:ascii="Calibri" w:eastAsia="Calibri" w:hAnsi="Calibri" w:cs="Times New Roman"/>
                <w:sz w:val="20"/>
                <w:szCs w:val="20"/>
              </w:rPr>
              <w:t>Quality – what type of studies?</w:t>
            </w:r>
          </w:p>
        </w:tc>
        <w:tc>
          <w:tcPr>
            <w:tcW w:w="5755" w:type="dxa"/>
          </w:tcPr>
          <w:p w14:paraId="434642D3" w14:textId="15046F5B" w:rsidR="00014A70" w:rsidRPr="000A4151" w:rsidRDefault="00A13F12" w:rsidP="009D2D8A">
            <w:pPr>
              <w:ind w:left="0" w:firstLine="0"/>
              <w:rPr>
                <w:rFonts w:ascii="Calibri" w:eastAsia="Calibri" w:hAnsi="Calibri" w:cs="Times New Roman"/>
                <w:color w:val="FF0000"/>
                <w:sz w:val="20"/>
                <w:szCs w:val="20"/>
              </w:rPr>
            </w:pPr>
            <w:r w:rsidRPr="000A4151">
              <w:rPr>
                <w:rFonts w:ascii="Calibri" w:eastAsia="Calibri" w:hAnsi="Calibri" w:cs="Times New Roman"/>
                <w:color w:val="FF0000"/>
                <w:sz w:val="20"/>
                <w:szCs w:val="20"/>
              </w:rPr>
              <w:t xml:space="preserve">In total, </w:t>
            </w:r>
            <w:r w:rsidR="00CF4928" w:rsidRPr="000A4151">
              <w:rPr>
                <w:rFonts w:ascii="Calibri" w:eastAsia="Calibri" w:hAnsi="Calibri" w:cs="Times New Roman"/>
                <w:color w:val="FF0000"/>
                <w:sz w:val="20"/>
                <w:szCs w:val="20"/>
              </w:rPr>
              <w:t>over 2,000 references were cited in this guideline</w:t>
            </w:r>
            <w:r w:rsidRPr="000A4151">
              <w:rPr>
                <w:rFonts w:ascii="Calibri" w:eastAsia="Calibri" w:hAnsi="Calibri" w:cs="Times New Roman"/>
                <w:color w:val="FF0000"/>
                <w:sz w:val="20"/>
                <w:szCs w:val="20"/>
              </w:rPr>
              <w:t>. To be included in the study, articles must be primarily focused on p</w:t>
            </w:r>
            <w:r w:rsidR="004D6F50" w:rsidRPr="000A4151">
              <w:rPr>
                <w:rFonts w:ascii="Calibri" w:eastAsia="Calibri" w:hAnsi="Calibri" w:cs="Times New Roman"/>
                <w:color w:val="FF0000"/>
                <w:sz w:val="20"/>
                <w:szCs w:val="20"/>
              </w:rPr>
              <w:t>ressure injury prevention, risk</w:t>
            </w:r>
            <w:r w:rsidRPr="000A4151">
              <w:rPr>
                <w:rFonts w:ascii="Calibri" w:eastAsia="Calibri" w:hAnsi="Calibri" w:cs="Times New Roman"/>
                <w:color w:val="FF0000"/>
                <w:sz w:val="20"/>
                <w:szCs w:val="20"/>
              </w:rPr>
              <w:t xml:space="preserve"> assessment</w:t>
            </w:r>
            <w:r w:rsidR="00305753" w:rsidRPr="000A4151">
              <w:rPr>
                <w:rFonts w:ascii="Calibri" w:eastAsia="Calibri" w:hAnsi="Calibri" w:cs="Times New Roman"/>
                <w:color w:val="FF0000"/>
                <w:sz w:val="20"/>
                <w:szCs w:val="20"/>
              </w:rPr>
              <w:t>,</w:t>
            </w:r>
            <w:r w:rsidRPr="000A4151">
              <w:rPr>
                <w:rFonts w:ascii="Calibri" w:eastAsia="Calibri" w:hAnsi="Calibri" w:cs="Times New Roman"/>
                <w:color w:val="FF0000"/>
                <w:sz w:val="20"/>
                <w:szCs w:val="20"/>
              </w:rPr>
              <w:t xml:space="preserve"> or pressure injury treatment in human subjects; articles must have been published</w:t>
            </w:r>
            <w:r w:rsidR="00305753" w:rsidRPr="000A4151">
              <w:rPr>
                <w:rFonts w:ascii="Calibri" w:eastAsia="Calibri" w:hAnsi="Calibri" w:cs="Times New Roman"/>
                <w:color w:val="FF0000"/>
                <w:sz w:val="20"/>
                <w:szCs w:val="20"/>
              </w:rPr>
              <w:t xml:space="preserve"> in a peer reviewed journal;</w:t>
            </w:r>
            <w:r w:rsidRPr="000A4151">
              <w:rPr>
                <w:rFonts w:ascii="Calibri" w:eastAsia="Calibri" w:hAnsi="Calibri" w:cs="Times New Roman"/>
                <w:color w:val="FF0000"/>
                <w:sz w:val="20"/>
                <w:szCs w:val="20"/>
              </w:rPr>
              <w:t xml:space="preserve"> and an abstract of the article should be available. Numerous study types were included as evidence, such as randomized controlled trials, prospective controlled clinical trials, prospective cohort studies with a control group, pre-test/post-test studies, retrospective cohort studies, observational studies, cross-sectional studies, survey studies, case-control studies, and case series (with 10 or more subjects). Systematic reviews and meta-analyses were only used for comparative discussions. </w:t>
            </w:r>
          </w:p>
        </w:tc>
      </w:tr>
      <w:tr w:rsidR="00014A70" w14:paraId="57811934" w14:textId="77777777" w:rsidTr="009D2D8A">
        <w:tc>
          <w:tcPr>
            <w:tcW w:w="3595" w:type="dxa"/>
          </w:tcPr>
          <w:p w14:paraId="022C26C3" w14:textId="77777777" w:rsidR="00014A70" w:rsidRPr="00441974" w:rsidRDefault="00014A70" w:rsidP="009D2D8A">
            <w:pPr>
              <w:ind w:left="0" w:firstLine="0"/>
              <w:rPr>
                <w:rFonts w:ascii="Calibri" w:eastAsia="Calibri" w:hAnsi="Calibri" w:cs="Times New Roman"/>
                <w:sz w:val="20"/>
                <w:szCs w:val="20"/>
              </w:rPr>
            </w:pPr>
            <w:r w:rsidRPr="00441974">
              <w:rPr>
                <w:rFonts w:ascii="Calibri" w:eastAsia="Calibri" w:hAnsi="Calibri" w:cs="Times New Roman"/>
                <w:sz w:val="20"/>
                <w:szCs w:val="20"/>
              </w:rPr>
              <w:t>Estimates of benefit and consistency across studies.</w:t>
            </w:r>
          </w:p>
        </w:tc>
        <w:tc>
          <w:tcPr>
            <w:tcW w:w="5755" w:type="dxa"/>
          </w:tcPr>
          <w:p w14:paraId="72D7AFD3" w14:textId="49C8F5CC" w:rsidR="00014A70" w:rsidRPr="000A4151" w:rsidRDefault="0041360E" w:rsidP="004D6F50">
            <w:pPr>
              <w:ind w:left="0" w:firstLine="0"/>
              <w:rPr>
                <w:rFonts w:ascii="Calibri" w:eastAsia="Calibri" w:hAnsi="Calibri" w:cs="Times New Roman"/>
                <w:color w:val="FF0000"/>
                <w:sz w:val="20"/>
                <w:szCs w:val="20"/>
              </w:rPr>
            </w:pPr>
            <w:r w:rsidRPr="000A4151">
              <w:rPr>
                <w:rFonts w:ascii="Calibri" w:eastAsia="Calibri" w:hAnsi="Calibri" w:cs="Times New Roman"/>
                <w:color w:val="FF0000"/>
                <w:sz w:val="20"/>
                <w:szCs w:val="20"/>
              </w:rPr>
              <w:t>Several benefits were mentioned in this guideline</w:t>
            </w:r>
            <w:r w:rsidR="00441974" w:rsidRPr="000A4151">
              <w:rPr>
                <w:rFonts w:ascii="Calibri" w:eastAsia="Calibri" w:hAnsi="Calibri" w:cs="Times New Roman"/>
                <w:color w:val="FF0000"/>
                <w:sz w:val="20"/>
                <w:szCs w:val="20"/>
              </w:rPr>
              <w:t>. For example, n</w:t>
            </w:r>
            <w:r w:rsidR="00397D20" w:rsidRPr="000A4151">
              <w:rPr>
                <w:rFonts w:ascii="Calibri" w:eastAsia="Calibri" w:hAnsi="Calibri" w:cs="Times New Roman"/>
                <w:color w:val="FF0000"/>
                <w:sz w:val="20"/>
                <w:szCs w:val="20"/>
              </w:rPr>
              <w:t xml:space="preserve">egative pressure wound therapy has been used as a first-line treatment for wounds that could achieve benefit. Additionally, dressing changes are associated with benefits of reduction in pain and discomfort. </w:t>
            </w:r>
            <w:r w:rsidR="00441974" w:rsidRPr="000A4151">
              <w:rPr>
                <w:rFonts w:ascii="Calibri" w:eastAsia="Calibri" w:hAnsi="Calibri" w:cs="Times New Roman"/>
                <w:color w:val="FF0000"/>
                <w:sz w:val="20"/>
                <w:szCs w:val="20"/>
              </w:rPr>
              <w:t xml:space="preserve">Educational interventions are also seen as </w:t>
            </w:r>
            <w:r w:rsidR="00305753" w:rsidRPr="000A4151">
              <w:rPr>
                <w:rFonts w:ascii="Calibri" w:eastAsia="Calibri" w:hAnsi="Calibri" w:cs="Times New Roman"/>
                <w:color w:val="FF0000"/>
                <w:sz w:val="20"/>
                <w:szCs w:val="20"/>
              </w:rPr>
              <w:t>beneficial</w:t>
            </w:r>
            <w:r w:rsidR="00441974" w:rsidRPr="000A4151">
              <w:rPr>
                <w:rFonts w:ascii="Calibri" w:eastAsia="Calibri" w:hAnsi="Calibri" w:cs="Times New Roman"/>
                <w:color w:val="FF0000"/>
                <w:sz w:val="20"/>
                <w:szCs w:val="20"/>
              </w:rPr>
              <w:t xml:space="preserve"> in preventing pressure ulcers. One small trial, which provided written, evidence-bas</w:t>
            </w:r>
            <w:r w:rsidR="004D6F50" w:rsidRPr="000A4151">
              <w:rPr>
                <w:rFonts w:ascii="Calibri" w:eastAsia="Calibri" w:hAnsi="Calibri" w:cs="Times New Roman"/>
                <w:color w:val="FF0000"/>
                <w:sz w:val="20"/>
                <w:szCs w:val="20"/>
              </w:rPr>
              <w:t>ed patient resources at patient</w:t>
            </w:r>
            <w:r w:rsidR="00441974" w:rsidRPr="000A4151">
              <w:rPr>
                <w:rFonts w:ascii="Calibri" w:eastAsia="Calibri" w:hAnsi="Calibri" w:cs="Times New Roman"/>
                <w:color w:val="FF0000"/>
                <w:sz w:val="20"/>
                <w:szCs w:val="20"/>
              </w:rPr>
              <w:t>s</w:t>
            </w:r>
            <w:r w:rsidR="004D6F50" w:rsidRPr="000A4151">
              <w:rPr>
                <w:rFonts w:ascii="Calibri" w:eastAsia="Calibri" w:hAnsi="Calibri" w:cs="Times New Roman"/>
                <w:color w:val="FF0000"/>
                <w:sz w:val="20"/>
                <w:szCs w:val="20"/>
              </w:rPr>
              <w:t>’</w:t>
            </w:r>
            <w:r w:rsidR="00441974" w:rsidRPr="000A4151">
              <w:rPr>
                <w:rFonts w:ascii="Calibri" w:eastAsia="Calibri" w:hAnsi="Calibri" w:cs="Times New Roman"/>
                <w:color w:val="FF0000"/>
                <w:sz w:val="20"/>
                <w:szCs w:val="20"/>
              </w:rPr>
              <w:t xml:space="preserve"> bedside</w:t>
            </w:r>
            <w:r w:rsidR="004D6F50" w:rsidRPr="000A4151">
              <w:rPr>
                <w:rFonts w:ascii="Calibri" w:eastAsia="Calibri" w:hAnsi="Calibri" w:cs="Times New Roman"/>
                <w:color w:val="FF0000"/>
                <w:sz w:val="20"/>
                <w:szCs w:val="20"/>
              </w:rPr>
              <w:t>s</w:t>
            </w:r>
            <w:r w:rsidR="00441974" w:rsidRPr="000A4151">
              <w:rPr>
                <w:rFonts w:ascii="Calibri" w:eastAsia="Calibri" w:hAnsi="Calibri" w:cs="Times New Roman"/>
                <w:color w:val="FF0000"/>
                <w:sz w:val="20"/>
                <w:szCs w:val="20"/>
              </w:rPr>
              <w:t xml:space="preserve">, was associated with significantly more individuals reporting to receive education about pressure injury risks and preventive strategies. Overall, since most of the evidence-based recommendations included in this guideline were graded with positive recommendations, most of them would be considered beneficial in reducing pressure ulcers. </w:t>
            </w:r>
          </w:p>
        </w:tc>
      </w:tr>
      <w:tr w:rsidR="00014A70" w14:paraId="45CBA07E" w14:textId="77777777" w:rsidTr="009D2D8A">
        <w:tc>
          <w:tcPr>
            <w:tcW w:w="3595" w:type="dxa"/>
          </w:tcPr>
          <w:p w14:paraId="0EB0D1DC" w14:textId="77777777" w:rsidR="00014A70" w:rsidRPr="00552F57" w:rsidRDefault="00014A70" w:rsidP="009D2D8A">
            <w:pPr>
              <w:ind w:left="0" w:firstLine="0"/>
              <w:rPr>
                <w:rFonts w:ascii="Calibri" w:eastAsia="Calibri" w:hAnsi="Calibri" w:cs="Times New Roman"/>
                <w:sz w:val="20"/>
                <w:szCs w:val="20"/>
              </w:rPr>
            </w:pPr>
            <w:r w:rsidRPr="00552F57">
              <w:rPr>
                <w:rFonts w:ascii="Calibri" w:eastAsia="Calibri" w:hAnsi="Calibri" w:cs="Times New Roman"/>
                <w:sz w:val="20"/>
                <w:szCs w:val="20"/>
              </w:rPr>
              <w:t>What harms were identified?</w:t>
            </w:r>
          </w:p>
        </w:tc>
        <w:tc>
          <w:tcPr>
            <w:tcW w:w="5755" w:type="dxa"/>
          </w:tcPr>
          <w:p w14:paraId="306FA2F7" w14:textId="76268227" w:rsidR="00014A70" w:rsidRPr="000A4151" w:rsidRDefault="00982A00" w:rsidP="00305753">
            <w:pPr>
              <w:ind w:left="0" w:firstLine="0"/>
              <w:rPr>
                <w:rFonts w:ascii="Calibri" w:eastAsia="Calibri" w:hAnsi="Calibri" w:cs="Times New Roman"/>
                <w:color w:val="FF0000"/>
                <w:sz w:val="20"/>
                <w:szCs w:val="20"/>
              </w:rPr>
            </w:pPr>
            <w:r w:rsidRPr="000A4151">
              <w:rPr>
                <w:rFonts w:ascii="Calibri" w:eastAsia="Calibri" w:hAnsi="Calibri" w:cs="Times New Roman"/>
                <w:color w:val="FF0000"/>
                <w:sz w:val="20"/>
                <w:szCs w:val="20"/>
              </w:rPr>
              <w:t>Harms identified in this guideline are as follows. Prolonged bed re</w:t>
            </w:r>
            <w:r w:rsidR="00305753" w:rsidRPr="000A4151">
              <w:rPr>
                <w:rFonts w:ascii="Calibri" w:eastAsia="Calibri" w:hAnsi="Calibri" w:cs="Times New Roman"/>
                <w:color w:val="FF0000"/>
                <w:sz w:val="20"/>
                <w:szCs w:val="20"/>
              </w:rPr>
              <w:t xml:space="preserve">st may cause muscle wasting, </w:t>
            </w:r>
            <w:r w:rsidRPr="000A4151">
              <w:rPr>
                <w:rFonts w:ascii="Calibri" w:eastAsia="Calibri" w:hAnsi="Calibri" w:cs="Times New Roman"/>
                <w:color w:val="FF0000"/>
                <w:sz w:val="20"/>
                <w:szCs w:val="20"/>
              </w:rPr>
              <w:t xml:space="preserve">joint contracture, </w:t>
            </w:r>
            <w:proofErr w:type="gramStart"/>
            <w:r w:rsidRPr="000A4151">
              <w:rPr>
                <w:rFonts w:ascii="Calibri" w:eastAsia="Calibri" w:hAnsi="Calibri" w:cs="Times New Roman"/>
                <w:color w:val="FF0000"/>
                <w:sz w:val="20"/>
                <w:szCs w:val="20"/>
              </w:rPr>
              <w:t>loss</w:t>
            </w:r>
            <w:proofErr w:type="gramEnd"/>
            <w:r w:rsidRPr="000A4151">
              <w:rPr>
                <w:rFonts w:ascii="Calibri" w:eastAsia="Calibri" w:hAnsi="Calibri" w:cs="Times New Roman"/>
                <w:color w:val="FF0000"/>
                <w:sz w:val="20"/>
                <w:szCs w:val="20"/>
              </w:rPr>
              <w:t xml:space="preserve"> of bone density, deconditioning, respiratory complications, malnutrition, psychological harm, social isolation, and financial challenges. Some antiseptics are cytotoxic to skin and tissue cells in higher concentrations. Additionally, some antiseptics can be painful on application. </w:t>
            </w:r>
            <w:r w:rsidR="00800521" w:rsidRPr="000A4151">
              <w:rPr>
                <w:rFonts w:ascii="Calibri" w:eastAsia="Calibri" w:hAnsi="Calibri" w:cs="Times New Roman"/>
                <w:color w:val="FF0000"/>
                <w:sz w:val="20"/>
                <w:szCs w:val="20"/>
              </w:rPr>
              <w:t>Using too much of a topical antibiotic on an infected pressure injury could cause side effects and antibiotic</w:t>
            </w:r>
            <w:r w:rsidR="000F57E7" w:rsidRPr="000A4151">
              <w:rPr>
                <w:rFonts w:ascii="Calibri" w:eastAsia="Calibri" w:hAnsi="Calibri" w:cs="Times New Roman"/>
                <w:color w:val="FF0000"/>
                <w:sz w:val="20"/>
                <w:szCs w:val="20"/>
              </w:rPr>
              <w:t xml:space="preserve"> resistance.</w:t>
            </w:r>
            <w:r w:rsidRPr="000A4151">
              <w:rPr>
                <w:rFonts w:ascii="Calibri" w:eastAsia="Calibri" w:hAnsi="Calibri" w:cs="Times New Roman"/>
                <w:color w:val="FF0000"/>
                <w:sz w:val="20"/>
                <w:szCs w:val="20"/>
              </w:rPr>
              <w:t xml:space="preserve"> </w:t>
            </w:r>
            <w:r w:rsidR="00800521" w:rsidRPr="000A4151">
              <w:rPr>
                <w:rFonts w:ascii="Calibri" w:eastAsia="Calibri" w:hAnsi="Calibri" w:cs="Times New Roman"/>
                <w:color w:val="FF0000"/>
                <w:sz w:val="20"/>
                <w:szCs w:val="20"/>
              </w:rPr>
              <w:t xml:space="preserve">Wound dressings could impact the fragile skin of older adults. </w:t>
            </w:r>
            <w:r w:rsidR="00305753" w:rsidRPr="000A4151">
              <w:rPr>
                <w:rFonts w:ascii="Calibri" w:eastAsia="Calibri" w:hAnsi="Calibri" w:cs="Times New Roman"/>
                <w:color w:val="FF0000"/>
                <w:sz w:val="20"/>
                <w:szCs w:val="20"/>
              </w:rPr>
              <w:t>Lastly, h</w:t>
            </w:r>
            <w:r w:rsidR="00800521" w:rsidRPr="000A4151">
              <w:rPr>
                <w:rFonts w:ascii="Calibri" w:eastAsia="Calibri" w:hAnsi="Calibri" w:cs="Times New Roman"/>
                <w:color w:val="FF0000"/>
                <w:sz w:val="20"/>
                <w:szCs w:val="20"/>
              </w:rPr>
              <w:t xml:space="preserve">ydrocolloid dressings should be used cautiously in older adults who are at a higher risk for skim trauma. </w:t>
            </w:r>
          </w:p>
        </w:tc>
      </w:tr>
      <w:tr w:rsidR="00014A70" w14:paraId="08176301" w14:textId="77777777" w:rsidTr="009D2D8A">
        <w:tc>
          <w:tcPr>
            <w:tcW w:w="3595" w:type="dxa"/>
          </w:tcPr>
          <w:p w14:paraId="2FD8D58B" w14:textId="77777777" w:rsidR="00014A70" w:rsidRPr="00552F57" w:rsidRDefault="00014A70" w:rsidP="009D2D8A">
            <w:pPr>
              <w:ind w:left="0" w:firstLine="0"/>
              <w:rPr>
                <w:rFonts w:ascii="Calibri" w:eastAsia="Calibri" w:hAnsi="Calibri" w:cs="Times New Roman"/>
                <w:sz w:val="20"/>
                <w:szCs w:val="20"/>
              </w:rPr>
            </w:pPr>
            <w:r w:rsidRPr="00552F57">
              <w:rPr>
                <w:rFonts w:ascii="Calibri" w:eastAsia="Calibri" w:hAnsi="Calibri" w:cs="Times New Roman"/>
                <w:sz w:val="20"/>
                <w:szCs w:val="20"/>
              </w:rPr>
              <w:t>Identify any new studies conducted since the SR. Do the new studies change the conclusions from the SR?</w:t>
            </w:r>
          </w:p>
        </w:tc>
        <w:tc>
          <w:tcPr>
            <w:tcW w:w="5755" w:type="dxa"/>
          </w:tcPr>
          <w:p w14:paraId="520CE6D8" w14:textId="40C4316E" w:rsidR="00590E43" w:rsidRPr="000A4151" w:rsidRDefault="00590E43" w:rsidP="00590E43">
            <w:pPr>
              <w:ind w:left="0" w:firstLine="0"/>
              <w:rPr>
                <w:rFonts w:ascii="Calibri" w:eastAsia="Calibri" w:hAnsi="Calibri" w:cs="Times New Roman"/>
                <w:color w:val="FF0000"/>
                <w:sz w:val="20"/>
                <w:szCs w:val="20"/>
              </w:rPr>
            </w:pPr>
            <w:r w:rsidRPr="000A4151">
              <w:rPr>
                <w:rFonts w:ascii="Calibri" w:eastAsia="Calibri" w:hAnsi="Calibri" w:cs="Times New Roman"/>
                <w:color w:val="FF0000"/>
                <w:sz w:val="20"/>
                <w:szCs w:val="20"/>
              </w:rPr>
              <w:t>One 2020 article sought exper</w:t>
            </w:r>
            <w:r w:rsidR="00305753" w:rsidRPr="000A4151">
              <w:rPr>
                <w:rFonts w:ascii="Calibri" w:eastAsia="Calibri" w:hAnsi="Calibri" w:cs="Times New Roman"/>
                <w:color w:val="FF0000"/>
                <w:sz w:val="20"/>
                <w:szCs w:val="20"/>
              </w:rPr>
              <w:t xml:space="preserve">t opinion to assess COVID-19’s </w:t>
            </w:r>
            <w:r w:rsidRPr="000A4151">
              <w:rPr>
                <w:rFonts w:ascii="Calibri" w:eastAsia="Calibri" w:hAnsi="Calibri" w:cs="Times New Roman"/>
                <w:color w:val="FF0000"/>
                <w:sz w:val="20"/>
                <w:szCs w:val="20"/>
              </w:rPr>
              <w:t xml:space="preserve">potential impact on pressure ulcer development. The article </w:t>
            </w:r>
          </w:p>
          <w:p w14:paraId="29EC656E" w14:textId="77777777" w:rsidR="00590E43" w:rsidRPr="000A4151" w:rsidRDefault="00590E43" w:rsidP="00590E43">
            <w:pPr>
              <w:rPr>
                <w:rFonts w:ascii="Calibri" w:eastAsia="Calibri" w:hAnsi="Calibri" w:cs="Times New Roman"/>
                <w:color w:val="FF0000"/>
                <w:sz w:val="20"/>
                <w:szCs w:val="20"/>
              </w:rPr>
            </w:pPr>
            <w:r w:rsidRPr="000A4151">
              <w:rPr>
                <w:rFonts w:ascii="Calibri" w:eastAsia="Calibri" w:hAnsi="Calibri" w:cs="Times New Roman"/>
                <w:color w:val="FF0000"/>
                <w:sz w:val="20"/>
                <w:szCs w:val="20"/>
              </w:rPr>
              <w:t xml:space="preserve">concluded that since the virus affects oxygen perfusion in </w:t>
            </w:r>
          </w:p>
          <w:p w14:paraId="65D4F7B6" w14:textId="77777777" w:rsidR="00305753" w:rsidRPr="000A4151" w:rsidRDefault="00590E43" w:rsidP="00305753">
            <w:pPr>
              <w:rPr>
                <w:rFonts w:ascii="Calibri" w:eastAsia="Calibri" w:hAnsi="Calibri" w:cs="Times New Roman"/>
                <w:color w:val="FF0000"/>
                <w:sz w:val="20"/>
                <w:szCs w:val="20"/>
              </w:rPr>
            </w:pPr>
            <w:r w:rsidRPr="000A4151">
              <w:rPr>
                <w:rFonts w:ascii="Calibri" w:eastAsia="Calibri" w:hAnsi="Calibri" w:cs="Times New Roman"/>
                <w:color w:val="FF0000"/>
                <w:sz w:val="20"/>
                <w:szCs w:val="20"/>
              </w:rPr>
              <w:t>combination with vascular system effects, it could devastate the</w:t>
            </w:r>
            <w:r w:rsidR="00305753" w:rsidRPr="000A4151">
              <w:rPr>
                <w:rFonts w:ascii="Calibri" w:eastAsia="Calibri" w:hAnsi="Calibri" w:cs="Times New Roman"/>
                <w:color w:val="FF0000"/>
                <w:sz w:val="20"/>
                <w:szCs w:val="20"/>
              </w:rPr>
              <w:t xml:space="preserve"> </w:t>
            </w:r>
          </w:p>
          <w:p w14:paraId="293741CC" w14:textId="77777777" w:rsidR="00305753" w:rsidRPr="000A4151" w:rsidRDefault="00590E43" w:rsidP="00305753">
            <w:pPr>
              <w:ind w:left="0" w:firstLine="0"/>
              <w:rPr>
                <w:rFonts w:ascii="Calibri" w:eastAsia="Calibri" w:hAnsi="Calibri" w:cs="Times New Roman"/>
                <w:color w:val="FF0000"/>
                <w:sz w:val="20"/>
                <w:szCs w:val="20"/>
              </w:rPr>
            </w:pPr>
            <w:proofErr w:type="gramStart"/>
            <w:r w:rsidRPr="000A4151">
              <w:rPr>
                <w:rFonts w:ascii="Calibri" w:eastAsia="Calibri" w:hAnsi="Calibri" w:cs="Times New Roman"/>
                <w:color w:val="FF0000"/>
                <w:sz w:val="20"/>
                <w:szCs w:val="20"/>
              </w:rPr>
              <w:t>skin</w:t>
            </w:r>
            <w:proofErr w:type="gramEnd"/>
            <w:r w:rsidRPr="000A4151">
              <w:rPr>
                <w:rFonts w:ascii="Calibri" w:eastAsia="Calibri" w:hAnsi="Calibri" w:cs="Times New Roman"/>
                <w:color w:val="FF0000"/>
                <w:sz w:val="20"/>
                <w:szCs w:val="20"/>
              </w:rPr>
              <w:t xml:space="preserve"> and increase the rate of pressure injury formation. </w:t>
            </w:r>
            <w:r w:rsidR="00305753" w:rsidRPr="000A4151">
              <w:rPr>
                <w:rFonts w:ascii="Calibri" w:eastAsia="Calibri" w:hAnsi="Calibri" w:cs="Times New Roman"/>
                <w:color w:val="FF0000"/>
                <w:sz w:val="20"/>
                <w:szCs w:val="20"/>
              </w:rPr>
              <w:t xml:space="preserve">Therefore, </w:t>
            </w:r>
          </w:p>
          <w:p w14:paraId="5150F1CB" w14:textId="77777777" w:rsidR="00305753" w:rsidRPr="000A4151" w:rsidRDefault="00305753" w:rsidP="00305753">
            <w:pPr>
              <w:rPr>
                <w:rFonts w:ascii="Calibri" w:eastAsia="Calibri" w:hAnsi="Calibri" w:cs="Times New Roman"/>
                <w:color w:val="FF0000"/>
                <w:sz w:val="20"/>
                <w:szCs w:val="20"/>
              </w:rPr>
            </w:pPr>
            <w:r w:rsidRPr="000A4151">
              <w:rPr>
                <w:rFonts w:ascii="Calibri" w:eastAsia="Calibri" w:hAnsi="Calibri" w:cs="Times New Roman"/>
                <w:color w:val="FF0000"/>
                <w:sz w:val="20"/>
                <w:szCs w:val="20"/>
              </w:rPr>
              <w:t xml:space="preserve">additional </w:t>
            </w:r>
            <w:r w:rsidR="00590E43" w:rsidRPr="000A4151">
              <w:rPr>
                <w:rFonts w:ascii="Calibri" w:eastAsia="Calibri" w:hAnsi="Calibri" w:cs="Times New Roman"/>
                <w:color w:val="FF0000"/>
                <w:sz w:val="20"/>
                <w:szCs w:val="20"/>
              </w:rPr>
              <w:t>recommendations</w:t>
            </w:r>
            <w:r w:rsidRPr="000A4151">
              <w:rPr>
                <w:rFonts w:ascii="Calibri" w:eastAsia="Calibri" w:hAnsi="Calibri" w:cs="Times New Roman"/>
                <w:color w:val="FF0000"/>
                <w:sz w:val="20"/>
                <w:szCs w:val="20"/>
              </w:rPr>
              <w:t xml:space="preserve"> may need to be added to future </w:t>
            </w:r>
          </w:p>
          <w:p w14:paraId="1B008455" w14:textId="33EAC9EA" w:rsidR="00014A70" w:rsidRPr="000A4151" w:rsidRDefault="00305753" w:rsidP="00305753">
            <w:pPr>
              <w:rPr>
                <w:rFonts w:ascii="Calibri" w:eastAsia="Calibri" w:hAnsi="Calibri" w:cs="Times New Roman"/>
                <w:color w:val="FF0000"/>
                <w:sz w:val="20"/>
                <w:szCs w:val="20"/>
              </w:rPr>
            </w:pPr>
            <w:proofErr w:type="gramStart"/>
            <w:r w:rsidRPr="000A4151">
              <w:rPr>
                <w:rFonts w:ascii="Calibri" w:eastAsia="Calibri" w:hAnsi="Calibri" w:cs="Times New Roman"/>
                <w:color w:val="FF0000"/>
                <w:sz w:val="20"/>
                <w:szCs w:val="20"/>
              </w:rPr>
              <w:t>clinical</w:t>
            </w:r>
            <w:proofErr w:type="gramEnd"/>
            <w:r w:rsidRPr="000A4151">
              <w:rPr>
                <w:rFonts w:ascii="Calibri" w:eastAsia="Calibri" w:hAnsi="Calibri" w:cs="Times New Roman"/>
                <w:color w:val="FF0000"/>
                <w:sz w:val="20"/>
                <w:szCs w:val="20"/>
              </w:rPr>
              <w:t xml:space="preserve"> practice </w:t>
            </w:r>
            <w:r w:rsidR="00590E43" w:rsidRPr="000A4151">
              <w:rPr>
                <w:rFonts w:ascii="Calibri" w:eastAsia="Calibri" w:hAnsi="Calibri" w:cs="Times New Roman"/>
                <w:color w:val="FF0000"/>
                <w:sz w:val="20"/>
                <w:szCs w:val="20"/>
              </w:rPr>
              <w:t>guidelines to address COVID-19.</w:t>
            </w:r>
          </w:p>
          <w:p w14:paraId="2C85122F" w14:textId="6AB8E597" w:rsidR="00AB0EFF" w:rsidRPr="000A4151" w:rsidRDefault="00AB0EFF" w:rsidP="00AB0EFF">
            <w:pPr>
              <w:ind w:left="0" w:firstLine="0"/>
              <w:rPr>
                <w:rFonts w:ascii="Calibri" w:eastAsia="Calibri" w:hAnsi="Calibri" w:cs="Times New Roman"/>
                <w:color w:val="FF0000"/>
                <w:sz w:val="20"/>
                <w:szCs w:val="20"/>
              </w:rPr>
            </w:pPr>
            <w:r w:rsidRPr="000A4151">
              <w:rPr>
                <w:rFonts w:ascii="Calibri" w:eastAsia="Calibri" w:hAnsi="Calibri" w:cs="Times New Roman"/>
                <w:b/>
                <w:color w:val="FF0000"/>
                <w:sz w:val="20"/>
                <w:szCs w:val="20"/>
              </w:rPr>
              <w:t xml:space="preserve">Source: </w:t>
            </w:r>
            <w:r w:rsidRPr="000A4151">
              <w:rPr>
                <w:rFonts w:ascii="Calibri" w:eastAsia="Calibri" w:hAnsi="Calibri" w:cs="Times New Roman"/>
                <w:color w:val="FF0000"/>
                <w:sz w:val="20"/>
                <w:szCs w:val="20"/>
              </w:rPr>
              <w:t xml:space="preserve">Britton, Julie, Tony Costa, Clive </w:t>
            </w:r>
            <w:proofErr w:type="spellStart"/>
            <w:r w:rsidRPr="000A4151">
              <w:rPr>
                <w:rFonts w:ascii="Calibri" w:eastAsia="Calibri" w:hAnsi="Calibri" w:cs="Times New Roman"/>
                <w:color w:val="FF0000"/>
                <w:sz w:val="20"/>
                <w:szCs w:val="20"/>
              </w:rPr>
              <w:t>Horrocks</w:t>
            </w:r>
            <w:proofErr w:type="spellEnd"/>
            <w:r w:rsidRPr="000A4151">
              <w:rPr>
                <w:rFonts w:ascii="Calibri" w:eastAsia="Calibri" w:hAnsi="Calibri" w:cs="Times New Roman"/>
                <w:color w:val="FF0000"/>
                <w:sz w:val="20"/>
                <w:szCs w:val="20"/>
              </w:rPr>
              <w:t xml:space="preserve">, Loretta </w:t>
            </w:r>
            <w:proofErr w:type="spellStart"/>
            <w:r w:rsidRPr="000A4151">
              <w:rPr>
                <w:rFonts w:ascii="Calibri" w:eastAsia="Calibri" w:hAnsi="Calibri" w:cs="Times New Roman"/>
                <w:color w:val="FF0000"/>
                <w:sz w:val="20"/>
                <w:szCs w:val="20"/>
              </w:rPr>
              <w:t>Kaes</w:t>
            </w:r>
            <w:proofErr w:type="spellEnd"/>
            <w:r w:rsidRPr="000A4151">
              <w:rPr>
                <w:rFonts w:ascii="Calibri" w:eastAsia="Calibri" w:hAnsi="Calibri" w:cs="Times New Roman"/>
                <w:color w:val="FF0000"/>
                <w:sz w:val="20"/>
                <w:szCs w:val="20"/>
              </w:rPr>
              <w:t>, Karen Kennedy-Evans, Diane Krasner, Janine Maguire, et al. 2020. “How COVID-19 Is Changing Skin: Post-Acute Care Wound Experts From Across the United States Speak Out.” Wound Management &amp; Prevention 66 (9): 5–7.</w:t>
            </w:r>
          </w:p>
        </w:tc>
      </w:tr>
    </w:tbl>
    <w:p w14:paraId="5F7DCDC6" w14:textId="77777777" w:rsidR="00014A70" w:rsidRDefault="00014A70" w:rsidP="002E2177">
      <w:pPr>
        <w:ind w:left="0" w:firstLine="0"/>
        <w:rPr>
          <w:rFonts w:ascii="Calibri" w:eastAsia="Calibri" w:hAnsi="Calibri" w:cs="Times New Roman"/>
        </w:rPr>
      </w:pPr>
    </w:p>
    <w:p w14:paraId="55B8DA96" w14:textId="54FB85CA" w:rsidR="00837121" w:rsidRPr="0021491C" w:rsidRDefault="000E5C93" w:rsidP="00797A43">
      <w:pPr>
        <w:ind w:left="547" w:hanging="547"/>
        <w:rPr>
          <w:b/>
        </w:rPr>
      </w:pPr>
      <w:bookmarkStart w:id="8" w:name="Section1a8"/>
      <w:bookmarkEnd w:id="8"/>
      <w:r w:rsidRPr="0021491C">
        <w:rPr>
          <w:b/>
        </w:rPr>
        <w:t>1a.4</w:t>
      </w:r>
      <w:r w:rsidR="00797A43" w:rsidRPr="0021491C">
        <w:rPr>
          <w:b/>
        </w:rPr>
        <w:tab/>
      </w:r>
      <w:r w:rsidR="00837121" w:rsidRPr="0021491C">
        <w:rPr>
          <w:b/>
        </w:rPr>
        <w:t>OTHER SOURCE OF EVIDENCE</w:t>
      </w:r>
    </w:p>
    <w:p w14:paraId="55B8DA97" w14:textId="3E631DBE" w:rsidR="00837121" w:rsidRDefault="00837121" w:rsidP="002E2177">
      <w:pPr>
        <w:ind w:left="0" w:firstLine="0"/>
        <w:rPr>
          <w:i/>
        </w:rPr>
      </w:pPr>
      <w:r w:rsidRPr="0021491C">
        <w:rPr>
          <w:i/>
        </w:rPr>
        <w:t xml:space="preserve">If source of evidence is </w:t>
      </w:r>
      <w:r w:rsidR="002B06BD" w:rsidRPr="0021491C">
        <w:rPr>
          <w:i/>
        </w:rPr>
        <w:t xml:space="preserve">NOT </w:t>
      </w:r>
      <w:r w:rsidRPr="0021491C">
        <w:rPr>
          <w:i/>
        </w:rPr>
        <w:t xml:space="preserve">from a clinical practice guideline, USPSTF, or systematic review, please describe the evidence on which you are basing </w:t>
      </w:r>
      <w:r w:rsidR="00EE1F87" w:rsidRPr="0021491C">
        <w:rPr>
          <w:i/>
        </w:rPr>
        <w:t xml:space="preserve">the </w:t>
      </w:r>
      <w:r w:rsidRPr="0021491C">
        <w:rPr>
          <w:i/>
        </w:rPr>
        <w:t>performance measure.</w:t>
      </w:r>
    </w:p>
    <w:p w14:paraId="7B78CD40" w14:textId="394612CE" w:rsidR="00305753" w:rsidRDefault="00305753" w:rsidP="002E2177">
      <w:pPr>
        <w:ind w:left="0" w:firstLine="0"/>
        <w:rPr>
          <w:i/>
        </w:rPr>
      </w:pPr>
    </w:p>
    <w:p w14:paraId="504C4CDD" w14:textId="5D224149" w:rsidR="00305753" w:rsidRPr="00305753" w:rsidRDefault="00305753" w:rsidP="002E2177">
      <w:pPr>
        <w:ind w:left="0" w:firstLine="0"/>
      </w:pPr>
      <w:r>
        <w:rPr>
          <w:color w:val="0000FF"/>
        </w:rPr>
        <w:t>Not applic</w:t>
      </w:r>
      <w:r w:rsidRPr="00EE53F2">
        <w:rPr>
          <w:color w:val="0000FF"/>
        </w:rPr>
        <w:t>able</w:t>
      </w:r>
    </w:p>
    <w:p w14:paraId="55B8DA98" w14:textId="77777777" w:rsidR="00837121" w:rsidRPr="0021491C" w:rsidRDefault="00837121" w:rsidP="002E2177">
      <w:pPr>
        <w:ind w:left="0" w:firstLine="0"/>
      </w:pPr>
    </w:p>
    <w:p w14:paraId="55B8DA99" w14:textId="04C79BE4" w:rsidR="000E5C93" w:rsidRDefault="000E5C93" w:rsidP="00797A43">
      <w:pPr>
        <w:ind w:left="630" w:hanging="630"/>
      </w:pPr>
      <w:r w:rsidRPr="0021491C">
        <w:rPr>
          <w:b/>
        </w:rPr>
        <w:t>1a.4</w:t>
      </w:r>
      <w:r w:rsidR="00837121" w:rsidRPr="0021491C">
        <w:rPr>
          <w:b/>
        </w:rPr>
        <w:t>.1</w:t>
      </w:r>
      <w:r w:rsidR="00797A43" w:rsidRPr="0021491C">
        <w:rPr>
          <w:b/>
        </w:rPr>
        <w:tab/>
      </w:r>
      <w:proofErr w:type="gramStart"/>
      <w:r w:rsidRPr="0021491C">
        <w:rPr>
          <w:b/>
        </w:rPr>
        <w:t>Briefly</w:t>
      </w:r>
      <w:proofErr w:type="gramEnd"/>
      <w:r w:rsidRPr="0021491C">
        <w:rPr>
          <w:b/>
        </w:rPr>
        <w:t xml:space="preserve"> </w:t>
      </w:r>
      <w:r w:rsidR="00E42FAA" w:rsidRPr="0021491C">
        <w:rPr>
          <w:b/>
        </w:rPr>
        <w:t xml:space="preserve">SYNTHESIZE </w:t>
      </w:r>
      <w:r w:rsidRPr="0021491C">
        <w:rPr>
          <w:b/>
        </w:rPr>
        <w:t xml:space="preserve">the evidence that supports the measure. </w:t>
      </w:r>
      <w:r w:rsidRPr="0021491C">
        <w:t>A list of references without a summary is not acceptable.</w:t>
      </w:r>
    </w:p>
    <w:p w14:paraId="1AF08506" w14:textId="77777777" w:rsidR="008E22D6" w:rsidRDefault="008E22D6" w:rsidP="008E22D6">
      <w:pPr>
        <w:ind w:left="0" w:firstLine="0"/>
        <w:rPr>
          <w:color w:val="0000FF"/>
        </w:rPr>
      </w:pPr>
    </w:p>
    <w:p w14:paraId="345989A9" w14:textId="7C74766F" w:rsidR="008E22D6" w:rsidRPr="00305753" w:rsidRDefault="008E22D6" w:rsidP="008E22D6">
      <w:pPr>
        <w:ind w:left="0" w:firstLine="0"/>
      </w:pPr>
      <w:r>
        <w:rPr>
          <w:color w:val="0000FF"/>
        </w:rPr>
        <w:t>Not applicable</w:t>
      </w:r>
    </w:p>
    <w:p w14:paraId="7D88CDD4" w14:textId="457F33EF" w:rsidR="008E22D6" w:rsidRPr="0021491C" w:rsidRDefault="008E22D6" w:rsidP="00797A43">
      <w:pPr>
        <w:ind w:left="630" w:hanging="630"/>
        <w:rPr>
          <w:b/>
        </w:rPr>
      </w:pPr>
    </w:p>
    <w:p w14:paraId="55B8DA9B" w14:textId="7B7BB826" w:rsidR="00837121" w:rsidRDefault="000E5C93" w:rsidP="00797A43">
      <w:pPr>
        <w:ind w:left="630" w:hanging="630"/>
        <w:rPr>
          <w:b/>
        </w:rPr>
      </w:pPr>
      <w:r w:rsidRPr="0021491C">
        <w:rPr>
          <w:b/>
        </w:rPr>
        <w:t>1a.4.2</w:t>
      </w:r>
      <w:r w:rsidR="00797A43" w:rsidRPr="0021491C">
        <w:rPr>
          <w:b/>
        </w:rPr>
        <w:tab/>
      </w:r>
      <w:proofErr w:type="gramStart"/>
      <w:r w:rsidR="00837121" w:rsidRPr="0021491C">
        <w:rPr>
          <w:b/>
        </w:rPr>
        <w:t>What</w:t>
      </w:r>
      <w:proofErr w:type="gramEnd"/>
      <w:r w:rsidR="00837121" w:rsidRPr="0021491C">
        <w:rPr>
          <w:b/>
        </w:rPr>
        <w:t xml:space="preserve"> process was used to identify the evidence?</w:t>
      </w:r>
    </w:p>
    <w:p w14:paraId="54548F2D" w14:textId="77777777" w:rsidR="008E22D6" w:rsidRDefault="008E22D6" w:rsidP="00797A43">
      <w:pPr>
        <w:ind w:left="630" w:hanging="630"/>
        <w:rPr>
          <w:b/>
        </w:rPr>
      </w:pPr>
    </w:p>
    <w:p w14:paraId="773DF565" w14:textId="77777777" w:rsidR="008E22D6" w:rsidRPr="00305753" w:rsidRDefault="008E22D6" w:rsidP="008E22D6">
      <w:pPr>
        <w:ind w:left="0" w:firstLine="0"/>
      </w:pPr>
      <w:r>
        <w:rPr>
          <w:color w:val="0000FF"/>
        </w:rPr>
        <w:t>Not applicable</w:t>
      </w:r>
    </w:p>
    <w:p w14:paraId="3F7A90CD" w14:textId="7982E11B" w:rsidR="008E22D6" w:rsidRPr="0021491C" w:rsidRDefault="008E22D6" w:rsidP="00797A43">
      <w:pPr>
        <w:ind w:left="630" w:hanging="630"/>
      </w:pPr>
    </w:p>
    <w:p w14:paraId="1DC79279" w14:textId="2A4E6FB3" w:rsidR="00F07701" w:rsidRDefault="000E5C93" w:rsidP="000B0249">
      <w:pPr>
        <w:ind w:left="630" w:hanging="630"/>
        <w:rPr>
          <w:b/>
        </w:rPr>
      </w:pPr>
      <w:r w:rsidRPr="0021491C">
        <w:rPr>
          <w:b/>
        </w:rPr>
        <w:t>1a.4.3</w:t>
      </w:r>
      <w:r w:rsidR="00837121" w:rsidRPr="0021491C">
        <w:rPr>
          <w:b/>
        </w:rPr>
        <w:t>.</w:t>
      </w:r>
      <w:r w:rsidR="00797A43" w:rsidRPr="0021491C">
        <w:rPr>
          <w:b/>
        </w:rPr>
        <w:tab/>
      </w:r>
      <w:r w:rsidR="006C7F30" w:rsidRPr="0021491C">
        <w:rPr>
          <w:b/>
        </w:rPr>
        <w:t xml:space="preserve">Provide </w:t>
      </w:r>
      <w:r w:rsidR="006C7F30" w:rsidRPr="003B1CC5">
        <w:rPr>
          <w:b/>
        </w:rPr>
        <w:t>the citation</w:t>
      </w:r>
      <w:r>
        <w:rPr>
          <w:b/>
        </w:rPr>
        <w:t>(s)</w:t>
      </w:r>
      <w:r w:rsidR="009E6B86" w:rsidRPr="003B1CC5">
        <w:rPr>
          <w:b/>
        </w:rPr>
        <w:t xml:space="preserve"> </w:t>
      </w:r>
      <w:r>
        <w:rPr>
          <w:b/>
        </w:rPr>
        <w:t>for the</w:t>
      </w:r>
      <w:r w:rsidR="006C7F30" w:rsidRPr="003B1CC5">
        <w:rPr>
          <w:b/>
        </w:rPr>
        <w:t xml:space="preserve"> evidence.</w:t>
      </w:r>
    </w:p>
    <w:p w14:paraId="1E1FFC6C" w14:textId="54D923F2" w:rsidR="00FA4D5A" w:rsidRDefault="00FA4D5A" w:rsidP="000B0249">
      <w:pPr>
        <w:ind w:left="630" w:hanging="630"/>
        <w:rPr>
          <w:b/>
        </w:rPr>
      </w:pPr>
    </w:p>
    <w:p w14:paraId="43F29FE5" w14:textId="77777777" w:rsidR="008E22D6" w:rsidRPr="00305753" w:rsidRDefault="008E22D6" w:rsidP="008E22D6">
      <w:pPr>
        <w:ind w:left="0" w:firstLine="0"/>
      </w:pPr>
      <w:r>
        <w:rPr>
          <w:color w:val="0000FF"/>
        </w:rPr>
        <w:t>Not applicable</w:t>
      </w:r>
    </w:p>
    <w:p w14:paraId="2944E8B0" w14:textId="77777777" w:rsidR="008E22D6" w:rsidRPr="000B0249" w:rsidRDefault="008E22D6" w:rsidP="000B0249">
      <w:pPr>
        <w:ind w:left="630" w:hanging="630"/>
        <w:rPr>
          <w:b/>
        </w:rPr>
      </w:pPr>
    </w:p>
    <w:sectPr w:rsidR="008E22D6" w:rsidRPr="000B0249" w:rsidSect="0045708D">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C2DAB" w16cex:dateUtc="2021-03-05T12:10:00Z"/>
  <w16cex:commentExtensible w16cex:durableId="23EF79FB" w16cex:dateUtc="2021-03-07T23:12:00Z"/>
  <w16cex:commentExtensible w16cex:durableId="23EC2DF3" w16cex:dateUtc="2021-03-05T12:11:00Z"/>
  <w16cex:commentExtensible w16cex:durableId="23EF7B7F" w16cex:dateUtc="2021-03-07T23:19:00Z"/>
  <w16cex:commentExtensible w16cex:durableId="23EF7BD8" w16cex:dateUtc="2021-03-07T23:20:00Z"/>
  <w16cex:commentExtensible w16cex:durableId="23EF7EFF" w16cex:dateUtc="2021-03-07T23:34:00Z"/>
  <w16cex:commentExtensible w16cex:durableId="23EF7FD9" w16cex:dateUtc="2021-03-07T23:37:00Z"/>
  <w16cex:commentExtensible w16cex:durableId="23EF7FA5" w16cex:dateUtc="2021-03-07T23:36:00Z"/>
  <w16cex:commentExtensible w16cex:durableId="23EC2EE1" w16cex:dateUtc="2021-03-05T12:15:00Z"/>
  <w16cex:commentExtensible w16cex:durableId="23EC2F1A" w16cex:dateUtc="2021-03-05T12:16:00Z"/>
  <w16cex:commentExtensible w16cex:durableId="23EF80CE" w16cex:dateUtc="2021-03-07T23:41:00Z"/>
  <w16cex:commentExtensible w16cex:durableId="23EF8226" w16cex:dateUtc="2021-03-07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5455AE" w16cid:durableId="23EC2D08"/>
  <w16cid:commentId w16cid:paraId="2B1700F1" w16cid:durableId="23EC2D09"/>
  <w16cid:commentId w16cid:paraId="5A965F4F" w16cid:durableId="23EC2DAB"/>
  <w16cid:commentId w16cid:paraId="7A3A60CC" w16cid:durableId="23EF79FB"/>
  <w16cid:commentId w16cid:paraId="6956EA14" w16cid:durableId="23EC2D0A"/>
  <w16cid:commentId w16cid:paraId="5A32465D" w16cid:durableId="23EC2DF3"/>
  <w16cid:commentId w16cid:paraId="5009377C" w16cid:durableId="23EC2D0B"/>
  <w16cid:commentId w16cid:paraId="7C1BA2ED" w16cid:durableId="23EC2D0C"/>
  <w16cid:commentId w16cid:paraId="33CD77C0" w16cid:durableId="23EC2D0D"/>
  <w16cid:commentId w16cid:paraId="62657FC3" w16cid:durableId="23EF7B7F"/>
  <w16cid:commentId w16cid:paraId="1F82FB43" w16cid:durableId="23EC2D0E"/>
  <w16cid:commentId w16cid:paraId="5EE1E940" w16cid:durableId="23EF7BD8"/>
  <w16cid:commentId w16cid:paraId="3A4B4695" w16cid:durableId="23EF7EFF"/>
  <w16cid:commentId w16cid:paraId="4BAFE548" w16cid:durableId="23EC2D0F"/>
  <w16cid:commentId w16cid:paraId="339DE478" w16cid:durableId="23EF7FD9"/>
  <w16cid:commentId w16cid:paraId="3285D8D8" w16cid:durableId="23EC2D10"/>
  <w16cid:commentId w16cid:paraId="37463B65" w16cid:durableId="23EF7FA5"/>
  <w16cid:commentId w16cid:paraId="1D3EA9A2" w16cid:durableId="23EC2EE1"/>
  <w16cid:commentId w16cid:paraId="6BC36453" w16cid:durableId="23EC2D11"/>
  <w16cid:commentId w16cid:paraId="7E072F82" w16cid:durableId="23EC2F1A"/>
  <w16cid:commentId w16cid:paraId="7ABD4933" w16cid:durableId="23EF80CE"/>
  <w16cid:commentId w16cid:paraId="426F360B" w16cid:durableId="23EF822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5B42A" w14:textId="77777777" w:rsidR="00B043C4" w:rsidRDefault="00B043C4" w:rsidP="007E37A5">
      <w:r>
        <w:separator/>
      </w:r>
    </w:p>
  </w:endnote>
  <w:endnote w:type="continuationSeparator" w:id="0">
    <w:p w14:paraId="64681467" w14:textId="77777777" w:rsidR="00B043C4" w:rsidRDefault="00B043C4" w:rsidP="007E37A5">
      <w:r>
        <w:continuationSeparator/>
      </w:r>
    </w:p>
  </w:endnote>
  <w:endnote w:type="continuationNotice" w:id="1">
    <w:p w14:paraId="42413108" w14:textId="77777777" w:rsidR="00B043C4" w:rsidRDefault="00B043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utura Std">
    <w:altName w:val="Century Gothic"/>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pitch w:val="variable"/>
    <w:sig w:usb0="0000A003" w:usb1="00000000" w:usb2="00000000" w:usb3="00000000" w:csb0="00000001" w:csb1="00000000"/>
  </w:font>
  <w:font w:name="AvenirNextLTPro-Regular">
    <w:altName w:val="MS Gothic"/>
    <w:charset w:val="80"/>
    <w:family w:val="auto"/>
    <w:pitch w:val="default"/>
    <w:sig w:usb0="00000003" w:usb1="08070000" w:usb2="00000010" w:usb3="00000000" w:csb0="00020001" w:csb1="00000000"/>
  </w:font>
  <w:font w:name="MathematicalPiLTStd">
    <w:altName w:val="MS Gothic"/>
    <w:charset w:val="80"/>
    <w:family w:val="auto"/>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Bold">
    <w:altName w:val="MS Gothic"/>
    <w:charset w:val="80"/>
    <w:family w:val="auto"/>
    <w:pitch w:val="default"/>
    <w:sig w:usb0="00000001" w:usb1="08070000" w:usb2="00000010" w:usb3="00000000" w:csb0="00020000" w:csb1="00000000"/>
  </w:font>
  <w:font w:name="Frutiger-Roman">
    <w:altName w:val="MS Gothic"/>
    <w:charset w:val="80"/>
    <w:family w:val="swiss"/>
    <w:pitch w:val="default"/>
    <w:sig w:usb0="00000001" w:usb1="08070000" w:usb2="00000010" w:usb3="00000000" w:csb0="00020000" w:csb1="00000000"/>
  </w:font>
  <w:font w:name="Frutiger-Bold">
    <w:charset w:val="00"/>
    <w:family w:val="swiss"/>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3" w14:textId="520CEC98" w:rsidR="00B043C4" w:rsidRDefault="00B043C4" w:rsidP="00FB4D30">
    <w:pPr>
      <w:pStyle w:val="Footer"/>
      <w:ind w:left="0" w:firstLine="0"/>
    </w:pP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544B54">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07332" w14:textId="77777777" w:rsidR="00B043C4" w:rsidRDefault="00B043C4" w:rsidP="007E37A5">
      <w:r>
        <w:separator/>
      </w:r>
    </w:p>
  </w:footnote>
  <w:footnote w:type="continuationSeparator" w:id="0">
    <w:p w14:paraId="2F09BC88" w14:textId="77777777" w:rsidR="00B043C4" w:rsidRDefault="00B043C4" w:rsidP="007E37A5">
      <w:r>
        <w:continuationSeparator/>
      </w:r>
    </w:p>
  </w:footnote>
  <w:footnote w:type="continuationNotice" w:id="1">
    <w:p w14:paraId="46447A1A" w14:textId="77777777" w:rsidR="00B043C4" w:rsidRDefault="00B043C4"/>
  </w:footnote>
  <w:footnote w:id="2">
    <w:p w14:paraId="62BB66AA" w14:textId="0E63366A"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w:t>
      </w:r>
      <w:proofErr w:type="spellStart"/>
      <w:r w:rsidRPr="003A7025">
        <w:rPr>
          <w:rFonts w:asciiTheme="minorHAnsi" w:hAnsiTheme="minorHAnsi"/>
          <w:color w:val="FF0000"/>
        </w:rPr>
        <w:t>Anrys</w:t>
      </w:r>
      <w:proofErr w:type="spellEnd"/>
      <w:r w:rsidRPr="003A7025">
        <w:rPr>
          <w:rFonts w:asciiTheme="minorHAnsi" w:hAnsiTheme="minorHAnsi"/>
          <w:color w:val="FF0000"/>
        </w:rPr>
        <w:t xml:space="preserve">, Charlotte, Hanne Van </w:t>
      </w:r>
      <w:proofErr w:type="spellStart"/>
      <w:r w:rsidRPr="003A7025">
        <w:rPr>
          <w:rFonts w:asciiTheme="minorHAnsi" w:hAnsiTheme="minorHAnsi"/>
          <w:color w:val="FF0000"/>
        </w:rPr>
        <w:t>Tiggelen</w:t>
      </w:r>
      <w:proofErr w:type="spellEnd"/>
      <w:r w:rsidRPr="003A7025">
        <w:rPr>
          <w:rFonts w:asciiTheme="minorHAnsi" w:hAnsiTheme="minorHAnsi"/>
          <w:color w:val="FF0000"/>
        </w:rPr>
        <w:t xml:space="preserve">, </w:t>
      </w:r>
      <w:proofErr w:type="spellStart"/>
      <w:r w:rsidRPr="003A7025">
        <w:rPr>
          <w:rFonts w:asciiTheme="minorHAnsi" w:hAnsiTheme="minorHAnsi"/>
          <w:color w:val="FF0000"/>
        </w:rPr>
        <w:t>Sofie</w:t>
      </w:r>
      <w:proofErr w:type="spellEnd"/>
      <w:r w:rsidRPr="003A7025">
        <w:rPr>
          <w:rFonts w:asciiTheme="minorHAnsi" w:hAnsiTheme="minorHAnsi"/>
          <w:color w:val="FF0000"/>
        </w:rPr>
        <w:t xml:space="preserve"> </w:t>
      </w:r>
      <w:proofErr w:type="spellStart"/>
      <w:r w:rsidRPr="003A7025">
        <w:rPr>
          <w:rFonts w:asciiTheme="minorHAnsi" w:hAnsiTheme="minorHAnsi"/>
          <w:color w:val="FF0000"/>
        </w:rPr>
        <w:t>Verhaeghe</w:t>
      </w:r>
      <w:proofErr w:type="spellEnd"/>
      <w:r w:rsidRPr="003A7025">
        <w:rPr>
          <w:rFonts w:asciiTheme="minorHAnsi" w:hAnsiTheme="minorHAnsi"/>
          <w:color w:val="FF0000"/>
        </w:rPr>
        <w:t xml:space="preserve">, Ann Van </w:t>
      </w:r>
      <w:proofErr w:type="spellStart"/>
      <w:r w:rsidRPr="003A7025">
        <w:rPr>
          <w:rFonts w:asciiTheme="minorHAnsi" w:hAnsiTheme="minorHAnsi"/>
          <w:color w:val="FF0000"/>
        </w:rPr>
        <w:t>Hecke</w:t>
      </w:r>
      <w:proofErr w:type="spellEnd"/>
      <w:r w:rsidRPr="003A7025">
        <w:rPr>
          <w:rFonts w:asciiTheme="minorHAnsi" w:hAnsiTheme="minorHAnsi"/>
          <w:color w:val="FF0000"/>
        </w:rPr>
        <w:t xml:space="preserve">, and Dimitri </w:t>
      </w:r>
      <w:proofErr w:type="spellStart"/>
      <w:r w:rsidRPr="003A7025">
        <w:rPr>
          <w:rFonts w:asciiTheme="minorHAnsi" w:hAnsiTheme="minorHAnsi"/>
          <w:color w:val="FF0000"/>
        </w:rPr>
        <w:t>Beeckman</w:t>
      </w:r>
      <w:proofErr w:type="spellEnd"/>
      <w:r w:rsidRPr="003A7025">
        <w:rPr>
          <w:rFonts w:asciiTheme="minorHAnsi" w:hAnsiTheme="minorHAnsi"/>
          <w:color w:val="FF0000"/>
        </w:rPr>
        <w:t xml:space="preserve">. 2019. “Independent Risk Factors for Pressure Ulcer Development in a High-Risk Nursing Home Population Receiving Evidence-Based Pressure Ulcer Prevention: Results from a Study in 26 Nursing Homes in Belgium.” International Wound Journal 16 (2): 325–33. </w:t>
      </w:r>
      <w:hyperlink r:id="rId1" w:history="1">
        <w:r w:rsidRPr="003A7025">
          <w:rPr>
            <w:rStyle w:val="Hyperlink"/>
            <w:rFonts w:asciiTheme="minorHAnsi" w:hAnsiTheme="minorHAnsi"/>
            <w:color w:val="FF0000"/>
          </w:rPr>
          <w:t>https://doi.org/10.1111/iwj.13032</w:t>
        </w:r>
      </w:hyperlink>
      <w:r w:rsidRPr="003A7025">
        <w:rPr>
          <w:rFonts w:asciiTheme="minorHAnsi" w:hAnsiTheme="minorHAnsi"/>
          <w:color w:val="FF0000"/>
        </w:rPr>
        <w:t>.</w:t>
      </w:r>
    </w:p>
  </w:footnote>
  <w:footnote w:id="3">
    <w:p w14:paraId="147439BC" w14:textId="40326E4C"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w:t>
      </w:r>
      <w:proofErr w:type="spellStart"/>
      <w:r w:rsidRPr="003A7025">
        <w:rPr>
          <w:rFonts w:asciiTheme="minorHAnsi" w:hAnsiTheme="minorHAnsi"/>
          <w:color w:val="FF0000"/>
        </w:rPr>
        <w:t>Kottner</w:t>
      </w:r>
      <w:proofErr w:type="spellEnd"/>
      <w:r w:rsidRPr="003A7025">
        <w:rPr>
          <w:rFonts w:asciiTheme="minorHAnsi" w:hAnsiTheme="minorHAnsi"/>
          <w:color w:val="FF0000"/>
        </w:rPr>
        <w:t xml:space="preserve">, Jan, Joyce Black, Evan Call, Amit </w:t>
      </w:r>
      <w:proofErr w:type="spellStart"/>
      <w:r w:rsidRPr="003A7025">
        <w:rPr>
          <w:rFonts w:asciiTheme="minorHAnsi" w:hAnsiTheme="minorHAnsi"/>
          <w:color w:val="FF0000"/>
        </w:rPr>
        <w:t>Gefen</w:t>
      </w:r>
      <w:proofErr w:type="spellEnd"/>
      <w:r w:rsidRPr="003A7025">
        <w:rPr>
          <w:rFonts w:asciiTheme="minorHAnsi" w:hAnsiTheme="minorHAnsi"/>
          <w:color w:val="FF0000"/>
        </w:rPr>
        <w:t xml:space="preserve">, and Nick Santamaria. 2018. “Microclimate: A Critical Review in the Context of Pressure Ulcer Prevention.” Clinical Biomechanics. 59 (November): 62–70. </w:t>
      </w:r>
      <w:hyperlink r:id="rId2" w:history="1">
        <w:r w:rsidRPr="003A7025">
          <w:rPr>
            <w:rStyle w:val="Hyperlink"/>
            <w:rFonts w:asciiTheme="minorHAnsi" w:hAnsiTheme="minorHAnsi"/>
            <w:color w:val="FF0000"/>
          </w:rPr>
          <w:t>https://doi.org/10.1016/j.clinbiomech.2018.09.010</w:t>
        </w:r>
      </w:hyperlink>
      <w:r w:rsidRPr="003A7025">
        <w:rPr>
          <w:rFonts w:asciiTheme="minorHAnsi" w:hAnsiTheme="minorHAnsi"/>
          <w:color w:val="FF0000"/>
        </w:rPr>
        <w:t>.</w:t>
      </w:r>
    </w:p>
  </w:footnote>
  <w:footnote w:id="4">
    <w:p w14:paraId="3704E9DF" w14:textId="494E9C5C"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w:t>
      </w:r>
      <w:proofErr w:type="spellStart"/>
      <w:r w:rsidRPr="003A7025">
        <w:rPr>
          <w:rFonts w:asciiTheme="minorHAnsi" w:hAnsiTheme="minorHAnsi"/>
          <w:color w:val="FF0000"/>
        </w:rPr>
        <w:t>Ahn</w:t>
      </w:r>
      <w:proofErr w:type="spellEnd"/>
      <w:r w:rsidRPr="003A7025">
        <w:rPr>
          <w:rFonts w:asciiTheme="minorHAnsi" w:hAnsiTheme="minorHAnsi"/>
          <w:color w:val="FF0000"/>
        </w:rPr>
        <w:t xml:space="preserve">, </w:t>
      </w:r>
      <w:proofErr w:type="spellStart"/>
      <w:r w:rsidRPr="003A7025">
        <w:rPr>
          <w:rFonts w:asciiTheme="minorHAnsi" w:hAnsiTheme="minorHAnsi"/>
          <w:color w:val="FF0000"/>
        </w:rPr>
        <w:t>Hyochol</w:t>
      </w:r>
      <w:proofErr w:type="spellEnd"/>
      <w:r w:rsidRPr="003A7025">
        <w:rPr>
          <w:rFonts w:asciiTheme="minorHAnsi" w:hAnsiTheme="minorHAnsi"/>
          <w:color w:val="FF0000"/>
        </w:rPr>
        <w:t xml:space="preserve">, Linda Cowan, Cynthia </w:t>
      </w:r>
      <w:proofErr w:type="spellStart"/>
      <w:r w:rsidRPr="003A7025">
        <w:rPr>
          <w:rFonts w:asciiTheme="minorHAnsi" w:hAnsiTheme="minorHAnsi"/>
          <w:color w:val="FF0000"/>
        </w:rPr>
        <w:t>Garvan</w:t>
      </w:r>
      <w:proofErr w:type="spellEnd"/>
      <w:r w:rsidRPr="003A7025">
        <w:rPr>
          <w:rFonts w:asciiTheme="minorHAnsi" w:hAnsiTheme="minorHAnsi"/>
          <w:color w:val="FF0000"/>
        </w:rPr>
        <w:t xml:space="preserve">, Debra Lyon, and Joyce </w:t>
      </w:r>
      <w:proofErr w:type="spellStart"/>
      <w:r w:rsidRPr="003A7025">
        <w:rPr>
          <w:rFonts w:asciiTheme="minorHAnsi" w:hAnsiTheme="minorHAnsi"/>
          <w:color w:val="FF0000"/>
        </w:rPr>
        <w:t>Stechmiller</w:t>
      </w:r>
      <w:proofErr w:type="spellEnd"/>
      <w:r w:rsidRPr="003A7025">
        <w:rPr>
          <w:rFonts w:asciiTheme="minorHAnsi" w:hAnsiTheme="minorHAnsi"/>
          <w:color w:val="FF0000"/>
        </w:rPr>
        <w:t xml:space="preserve">. 2016. “Risk Factors for Pressure Ulcers Including Suspected Deep Tissue Injury in Nursing Home Facility Residents: Analysis of National Minimum Data Set 3.0.” Advances in Skin and Wound Care 29 (4): 178–90. </w:t>
      </w:r>
      <w:hyperlink r:id="rId3" w:history="1">
        <w:r w:rsidRPr="003A7025">
          <w:rPr>
            <w:rStyle w:val="Hyperlink"/>
            <w:rFonts w:asciiTheme="minorHAnsi" w:hAnsiTheme="minorHAnsi"/>
            <w:color w:val="FF0000"/>
          </w:rPr>
          <w:t>https://doi.org/10.1097/01.ASW.0000481115.78879.63</w:t>
        </w:r>
      </w:hyperlink>
      <w:r w:rsidRPr="003A7025">
        <w:rPr>
          <w:rFonts w:asciiTheme="minorHAnsi" w:hAnsiTheme="minorHAnsi"/>
          <w:color w:val="FF0000"/>
        </w:rPr>
        <w:t>.</w:t>
      </w:r>
    </w:p>
  </w:footnote>
  <w:footnote w:id="5">
    <w:p w14:paraId="0EF8B69E" w14:textId="404379E9" w:rsidR="00B043C4" w:rsidRPr="00390ED3" w:rsidRDefault="00B043C4">
      <w:pPr>
        <w:pStyle w:val="FootnoteText"/>
        <w:rPr>
          <w:rFonts w:asciiTheme="minorHAnsi" w:hAnsiTheme="minorHAnsi"/>
          <w:color w:val="0000FF"/>
        </w:rPr>
      </w:pPr>
      <w:r w:rsidRPr="003A7025">
        <w:rPr>
          <w:rStyle w:val="FootnoteReference"/>
          <w:rFonts w:asciiTheme="minorHAnsi" w:hAnsiTheme="minorHAnsi"/>
          <w:color w:val="FF0000"/>
        </w:rPr>
        <w:footnoteRef/>
      </w:r>
      <w:r w:rsidRPr="003A7025">
        <w:rPr>
          <w:rFonts w:asciiTheme="minorHAnsi" w:hAnsiTheme="minorHAnsi"/>
          <w:color w:val="FF0000"/>
        </w:rPr>
        <w:t xml:space="preserve"> Refer to footnote 1</w:t>
      </w:r>
    </w:p>
  </w:footnote>
  <w:footnote w:id="6">
    <w:p w14:paraId="595F43B4" w14:textId="3E5195F5" w:rsidR="00B043C4" w:rsidRPr="003A7025" w:rsidRDefault="00B043C4">
      <w:pPr>
        <w:pStyle w:val="FootnoteText"/>
        <w:rPr>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Refer to footnote 1</w:t>
      </w:r>
    </w:p>
  </w:footnote>
  <w:footnote w:id="7">
    <w:p w14:paraId="753435E7" w14:textId="7FD74245"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Refer to footnote 3</w:t>
      </w:r>
    </w:p>
  </w:footnote>
  <w:footnote w:id="8">
    <w:p w14:paraId="5CD6099F" w14:textId="36A91E98"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w:t>
      </w:r>
      <w:proofErr w:type="spellStart"/>
      <w:r w:rsidRPr="003A7025">
        <w:rPr>
          <w:rFonts w:asciiTheme="minorHAnsi" w:hAnsiTheme="minorHAnsi"/>
          <w:color w:val="FF0000"/>
        </w:rPr>
        <w:t>Alderden</w:t>
      </w:r>
      <w:proofErr w:type="spellEnd"/>
      <w:r w:rsidRPr="003A7025">
        <w:rPr>
          <w:rFonts w:asciiTheme="minorHAnsi" w:hAnsiTheme="minorHAnsi"/>
          <w:color w:val="FF0000"/>
        </w:rPr>
        <w:t xml:space="preserve">, Jenny, </w:t>
      </w:r>
      <w:proofErr w:type="spellStart"/>
      <w:r w:rsidRPr="003A7025">
        <w:rPr>
          <w:rFonts w:asciiTheme="minorHAnsi" w:hAnsiTheme="minorHAnsi"/>
          <w:color w:val="FF0000"/>
        </w:rPr>
        <w:t>Ginette</w:t>
      </w:r>
      <w:proofErr w:type="spellEnd"/>
      <w:r w:rsidRPr="003A7025">
        <w:rPr>
          <w:rFonts w:asciiTheme="minorHAnsi" w:hAnsiTheme="minorHAnsi"/>
          <w:color w:val="FF0000"/>
        </w:rPr>
        <w:t xml:space="preserve"> </w:t>
      </w:r>
      <w:proofErr w:type="spellStart"/>
      <w:r w:rsidRPr="003A7025">
        <w:rPr>
          <w:rFonts w:asciiTheme="minorHAnsi" w:hAnsiTheme="minorHAnsi"/>
          <w:color w:val="FF0000"/>
        </w:rPr>
        <w:t>Alyce</w:t>
      </w:r>
      <w:proofErr w:type="spellEnd"/>
      <w:r w:rsidRPr="003A7025">
        <w:rPr>
          <w:rFonts w:asciiTheme="minorHAnsi" w:hAnsiTheme="minorHAnsi"/>
          <w:color w:val="FF0000"/>
        </w:rPr>
        <w:t xml:space="preserve"> Pepper, Andrew Wilson, Joanne D. Whitney, Stephanie Richardson, Ryan Butcher, </w:t>
      </w:r>
      <w:proofErr w:type="spellStart"/>
      <w:r w:rsidRPr="003A7025">
        <w:rPr>
          <w:rFonts w:asciiTheme="minorHAnsi" w:hAnsiTheme="minorHAnsi"/>
          <w:color w:val="FF0000"/>
        </w:rPr>
        <w:t>Yeonjung</w:t>
      </w:r>
      <w:proofErr w:type="spellEnd"/>
      <w:r w:rsidRPr="003A7025">
        <w:rPr>
          <w:rFonts w:asciiTheme="minorHAnsi" w:hAnsiTheme="minorHAnsi"/>
          <w:color w:val="FF0000"/>
        </w:rPr>
        <w:t xml:space="preserve"> Jo, and Mollie Rebecca Cummins. 2018. “Predicting Pressure Injury in Critical Care Patients: A Machine-Learning Model.” American Journal of Critical Care 27 (6): 461–68. </w:t>
      </w:r>
      <w:hyperlink r:id="rId4" w:history="1">
        <w:r w:rsidRPr="003A7025">
          <w:rPr>
            <w:rStyle w:val="Hyperlink"/>
            <w:rFonts w:asciiTheme="minorHAnsi" w:hAnsiTheme="minorHAnsi"/>
            <w:color w:val="FF0000"/>
          </w:rPr>
          <w:t>https://doi.org/10.4037/ajcc2018525</w:t>
        </w:r>
      </w:hyperlink>
      <w:r w:rsidRPr="003A7025">
        <w:rPr>
          <w:rFonts w:asciiTheme="minorHAnsi" w:hAnsiTheme="minorHAnsi"/>
          <w:color w:val="FF0000"/>
        </w:rPr>
        <w:t>.</w:t>
      </w:r>
    </w:p>
  </w:footnote>
  <w:footnote w:id="9">
    <w:p w14:paraId="49C0376F" w14:textId="1EF8D1E2"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Refer to footnote 1</w:t>
      </w:r>
    </w:p>
  </w:footnote>
  <w:footnote w:id="10">
    <w:p w14:paraId="406BEB7B" w14:textId="6445F533"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Bauer, Karen, Kathryn Rock, </w:t>
      </w:r>
      <w:proofErr w:type="spellStart"/>
      <w:r w:rsidRPr="003A7025">
        <w:rPr>
          <w:rFonts w:asciiTheme="minorHAnsi" w:hAnsiTheme="minorHAnsi"/>
          <w:color w:val="FF0000"/>
        </w:rPr>
        <w:t>Munier</w:t>
      </w:r>
      <w:proofErr w:type="spellEnd"/>
      <w:r w:rsidRPr="003A7025">
        <w:rPr>
          <w:rFonts w:asciiTheme="minorHAnsi" w:hAnsiTheme="minorHAnsi"/>
          <w:color w:val="FF0000"/>
        </w:rPr>
        <w:t xml:space="preserve"> </w:t>
      </w:r>
      <w:proofErr w:type="spellStart"/>
      <w:r w:rsidRPr="003A7025">
        <w:rPr>
          <w:rFonts w:asciiTheme="minorHAnsi" w:hAnsiTheme="minorHAnsi"/>
          <w:color w:val="FF0000"/>
        </w:rPr>
        <w:t>Nazzal</w:t>
      </w:r>
      <w:proofErr w:type="spellEnd"/>
      <w:r w:rsidRPr="003A7025">
        <w:rPr>
          <w:rFonts w:asciiTheme="minorHAnsi" w:hAnsiTheme="minorHAnsi"/>
          <w:color w:val="FF0000"/>
        </w:rPr>
        <w:t xml:space="preserve">, Olivia Jones, and </w:t>
      </w:r>
      <w:proofErr w:type="spellStart"/>
      <w:r w:rsidRPr="003A7025">
        <w:rPr>
          <w:rFonts w:asciiTheme="minorHAnsi" w:hAnsiTheme="minorHAnsi"/>
          <w:color w:val="FF0000"/>
        </w:rPr>
        <w:t>Weikai</w:t>
      </w:r>
      <w:proofErr w:type="spellEnd"/>
      <w:r w:rsidRPr="003A7025">
        <w:rPr>
          <w:rFonts w:asciiTheme="minorHAnsi" w:hAnsiTheme="minorHAnsi"/>
          <w:color w:val="FF0000"/>
        </w:rPr>
        <w:t xml:space="preserve"> Qu. 2016. “Pressure Ulcers in the United States’ Inpatient Population from 2008 to 2012: Results of a Retrospective Nationwide Study.” Ostomy Wound Management 62 (11): 30–38.</w:t>
      </w:r>
    </w:p>
  </w:footnote>
  <w:footnote w:id="11">
    <w:p w14:paraId="2ECDCD5D" w14:textId="7390FA8F"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Chen, Hong-Lin, Ying-Juan Cao, Wang-Qin Shen, and Bin Zhu. 2017. “Construct Validity of the Braden Scale for Pressure Ulcer Assessment in Acute Care: A Structural Equation Modeling Approach.” Ostomy Wound Management 63 (2): 38–41.</w:t>
      </w:r>
    </w:p>
  </w:footnote>
  <w:footnote w:id="12">
    <w:p w14:paraId="0648A9ED" w14:textId="3CED56AA"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w:t>
      </w:r>
      <w:proofErr w:type="spellStart"/>
      <w:r w:rsidRPr="003A7025">
        <w:rPr>
          <w:rFonts w:asciiTheme="minorHAnsi" w:hAnsiTheme="minorHAnsi"/>
          <w:color w:val="FF0000"/>
        </w:rPr>
        <w:t>Demarre</w:t>
      </w:r>
      <w:proofErr w:type="spellEnd"/>
      <w:r w:rsidRPr="003A7025">
        <w:rPr>
          <w:rFonts w:asciiTheme="minorHAnsi" w:hAnsiTheme="minorHAnsi"/>
          <w:color w:val="FF0000"/>
        </w:rPr>
        <w:t xml:space="preserve">, </w:t>
      </w:r>
      <w:proofErr w:type="spellStart"/>
      <w:r w:rsidRPr="003A7025">
        <w:rPr>
          <w:rFonts w:asciiTheme="minorHAnsi" w:hAnsiTheme="minorHAnsi"/>
          <w:color w:val="FF0000"/>
        </w:rPr>
        <w:t>Liesbet</w:t>
      </w:r>
      <w:proofErr w:type="spellEnd"/>
      <w:r w:rsidRPr="003A7025">
        <w:rPr>
          <w:rFonts w:asciiTheme="minorHAnsi" w:hAnsiTheme="minorHAnsi"/>
          <w:color w:val="FF0000"/>
        </w:rPr>
        <w:t xml:space="preserve">, </w:t>
      </w:r>
      <w:proofErr w:type="spellStart"/>
      <w:r w:rsidRPr="003A7025">
        <w:rPr>
          <w:rFonts w:asciiTheme="minorHAnsi" w:hAnsiTheme="minorHAnsi"/>
          <w:color w:val="FF0000"/>
        </w:rPr>
        <w:t>Sofie</w:t>
      </w:r>
      <w:proofErr w:type="spellEnd"/>
      <w:r w:rsidRPr="003A7025">
        <w:rPr>
          <w:rFonts w:asciiTheme="minorHAnsi" w:hAnsiTheme="minorHAnsi"/>
          <w:color w:val="FF0000"/>
        </w:rPr>
        <w:t xml:space="preserve"> </w:t>
      </w:r>
      <w:proofErr w:type="spellStart"/>
      <w:r w:rsidRPr="003A7025">
        <w:rPr>
          <w:rFonts w:asciiTheme="minorHAnsi" w:hAnsiTheme="minorHAnsi"/>
          <w:color w:val="FF0000"/>
        </w:rPr>
        <w:t>Verhaeghe</w:t>
      </w:r>
      <w:proofErr w:type="spellEnd"/>
      <w:r w:rsidRPr="003A7025">
        <w:rPr>
          <w:rFonts w:asciiTheme="minorHAnsi" w:hAnsiTheme="minorHAnsi"/>
          <w:color w:val="FF0000"/>
        </w:rPr>
        <w:t xml:space="preserve">, Ann Van </w:t>
      </w:r>
      <w:proofErr w:type="spellStart"/>
      <w:r w:rsidRPr="003A7025">
        <w:rPr>
          <w:rFonts w:asciiTheme="minorHAnsi" w:hAnsiTheme="minorHAnsi"/>
          <w:color w:val="FF0000"/>
        </w:rPr>
        <w:t>Hecke</w:t>
      </w:r>
      <w:proofErr w:type="spellEnd"/>
      <w:r w:rsidRPr="003A7025">
        <w:rPr>
          <w:rFonts w:asciiTheme="minorHAnsi" w:hAnsiTheme="minorHAnsi"/>
          <w:color w:val="FF0000"/>
        </w:rPr>
        <w:t xml:space="preserve">, </w:t>
      </w:r>
      <w:proofErr w:type="spellStart"/>
      <w:r w:rsidRPr="003A7025">
        <w:rPr>
          <w:rFonts w:asciiTheme="minorHAnsi" w:hAnsiTheme="minorHAnsi"/>
          <w:color w:val="FF0000"/>
        </w:rPr>
        <w:t>Els</w:t>
      </w:r>
      <w:proofErr w:type="spellEnd"/>
      <w:r w:rsidRPr="003A7025">
        <w:rPr>
          <w:rFonts w:asciiTheme="minorHAnsi" w:hAnsiTheme="minorHAnsi"/>
          <w:color w:val="FF0000"/>
        </w:rPr>
        <w:t xml:space="preserve"> Clays, Maria </w:t>
      </w:r>
      <w:proofErr w:type="spellStart"/>
      <w:r w:rsidRPr="003A7025">
        <w:rPr>
          <w:rFonts w:asciiTheme="minorHAnsi" w:hAnsiTheme="minorHAnsi"/>
          <w:color w:val="FF0000"/>
        </w:rPr>
        <w:t>Grypdonck</w:t>
      </w:r>
      <w:proofErr w:type="spellEnd"/>
      <w:r w:rsidRPr="003A7025">
        <w:rPr>
          <w:rFonts w:asciiTheme="minorHAnsi" w:hAnsiTheme="minorHAnsi"/>
          <w:color w:val="FF0000"/>
        </w:rPr>
        <w:t xml:space="preserve">, and Dimitri </w:t>
      </w:r>
      <w:proofErr w:type="spellStart"/>
      <w:r w:rsidRPr="003A7025">
        <w:rPr>
          <w:rFonts w:asciiTheme="minorHAnsi" w:hAnsiTheme="minorHAnsi"/>
          <w:color w:val="FF0000"/>
        </w:rPr>
        <w:t>Beeckman</w:t>
      </w:r>
      <w:proofErr w:type="spellEnd"/>
      <w:r w:rsidRPr="003A7025">
        <w:rPr>
          <w:rFonts w:asciiTheme="minorHAnsi" w:hAnsiTheme="minorHAnsi"/>
          <w:color w:val="FF0000"/>
        </w:rPr>
        <w:t xml:space="preserve">. 2015. “Factors Predicting the Development of Pressure Ulcers in an At-Risk Population Who Receive Standardized Preventive Care: Secondary Analyses of a </w:t>
      </w:r>
      <w:proofErr w:type="spellStart"/>
      <w:r w:rsidRPr="003A7025">
        <w:rPr>
          <w:rFonts w:asciiTheme="minorHAnsi" w:hAnsiTheme="minorHAnsi"/>
          <w:color w:val="FF0000"/>
        </w:rPr>
        <w:t>Multicentre</w:t>
      </w:r>
      <w:proofErr w:type="spellEnd"/>
      <w:r w:rsidRPr="003A7025">
        <w:rPr>
          <w:rFonts w:asciiTheme="minorHAnsi" w:hAnsiTheme="minorHAnsi"/>
          <w:color w:val="FF0000"/>
        </w:rPr>
        <w:t xml:space="preserve"> </w:t>
      </w:r>
      <w:proofErr w:type="spellStart"/>
      <w:r w:rsidRPr="003A7025">
        <w:rPr>
          <w:rFonts w:asciiTheme="minorHAnsi" w:hAnsiTheme="minorHAnsi"/>
          <w:color w:val="FF0000"/>
        </w:rPr>
        <w:t>Randomised</w:t>
      </w:r>
      <w:proofErr w:type="spellEnd"/>
      <w:r w:rsidRPr="003A7025">
        <w:rPr>
          <w:rFonts w:asciiTheme="minorHAnsi" w:hAnsiTheme="minorHAnsi"/>
          <w:color w:val="FF0000"/>
        </w:rPr>
        <w:t xml:space="preserve"> Controlled Trial.” Journal of Advanced Nursing 71 (2): 391–403. </w:t>
      </w:r>
      <w:hyperlink r:id="rId5" w:history="1">
        <w:r w:rsidRPr="003A7025">
          <w:rPr>
            <w:rStyle w:val="Hyperlink"/>
            <w:rFonts w:asciiTheme="minorHAnsi" w:hAnsiTheme="minorHAnsi"/>
            <w:color w:val="FF0000"/>
          </w:rPr>
          <w:t>https://doi.org/10.1111/jan.12497</w:t>
        </w:r>
      </w:hyperlink>
      <w:r w:rsidRPr="003A7025">
        <w:rPr>
          <w:rFonts w:asciiTheme="minorHAnsi" w:hAnsiTheme="minorHAnsi"/>
          <w:color w:val="FF0000"/>
        </w:rPr>
        <w:t>.</w:t>
      </w:r>
    </w:p>
  </w:footnote>
  <w:footnote w:id="13">
    <w:p w14:paraId="372C2377" w14:textId="488EA59D"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w:t>
      </w:r>
      <w:proofErr w:type="spellStart"/>
      <w:r w:rsidRPr="003A7025">
        <w:rPr>
          <w:rFonts w:asciiTheme="minorHAnsi" w:hAnsiTheme="minorHAnsi"/>
          <w:color w:val="FF0000"/>
        </w:rPr>
        <w:t>Jaul</w:t>
      </w:r>
      <w:proofErr w:type="spellEnd"/>
      <w:r w:rsidRPr="003A7025">
        <w:rPr>
          <w:rFonts w:asciiTheme="minorHAnsi" w:hAnsiTheme="minorHAnsi"/>
          <w:color w:val="FF0000"/>
        </w:rPr>
        <w:t xml:space="preserve">, </w:t>
      </w:r>
      <w:proofErr w:type="spellStart"/>
      <w:r w:rsidRPr="003A7025">
        <w:rPr>
          <w:rFonts w:asciiTheme="minorHAnsi" w:hAnsiTheme="minorHAnsi"/>
          <w:color w:val="FF0000"/>
        </w:rPr>
        <w:t>Efraim</w:t>
      </w:r>
      <w:proofErr w:type="spellEnd"/>
      <w:r w:rsidRPr="003A7025">
        <w:rPr>
          <w:rFonts w:asciiTheme="minorHAnsi" w:hAnsiTheme="minorHAnsi"/>
          <w:color w:val="FF0000"/>
        </w:rPr>
        <w:t xml:space="preserve">, Jeremy Barron, Joshua P. </w:t>
      </w:r>
      <w:proofErr w:type="spellStart"/>
      <w:r w:rsidRPr="003A7025">
        <w:rPr>
          <w:rFonts w:asciiTheme="minorHAnsi" w:hAnsiTheme="minorHAnsi"/>
          <w:color w:val="FF0000"/>
        </w:rPr>
        <w:t>Rosenzweig</w:t>
      </w:r>
      <w:proofErr w:type="spellEnd"/>
      <w:r w:rsidRPr="003A7025">
        <w:rPr>
          <w:rFonts w:asciiTheme="minorHAnsi" w:hAnsiTheme="minorHAnsi"/>
          <w:color w:val="FF0000"/>
        </w:rPr>
        <w:t xml:space="preserve">, and Jacob </w:t>
      </w:r>
      <w:proofErr w:type="spellStart"/>
      <w:r w:rsidRPr="003A7025">
        <w:rPr>
          <w:rFonts w:asciiTheme="minorHAnsi" w:hAnsiTheme="minorHAnsi"/>
          <w:color w:val="FF0000"/>
        </w:rPr>
        <w:t>Menczel</w:t>
      </w:r>
      <w:proofErr w:type="spellEnd"/>
      <w:r w:rsidRPr="003A7025">
        <w:rPr>
          <w:rFonts w:asciiTheme="minorHAnsi" w:hAnsiTheme="minorHAnsi"/>
          <w:color w:val="FF0000"/>
        </w:rPr>
        <w:t xml:space="preserve">. 2018. “An Overview of Co-Morbidities and the Development of Pressure Ulcers among Older Adults.” BMC Geriatrics 18 (1): 305. </w:t>
      </w:r>
      <w:hyperlink r:id="rId6" w:history="1">
        <w:r w:rsidRPr="003A7025">
          <w:rPr>
            <w:rStyle w:val="Hyperlink"/>
            <w:rFonts w:asciiTheme="minorHAnsi" w:hAnsiTheme="minorHAnsi"/>
            <w:color w:val="FF0000"/>
          </w:rPr>
          <w:t>https://doi.org/10.1186/s12877-018-0997-7</w:t>
        </w:r>
      </w:hyperlink>
      <w:r w:rsidRPr="003A7025">
        <w:rPr>
          <w:rFonts w:asciiTheme="minorHAnsi" w:hAnsiTheme="minorHAnsi"/>
          <w:color w:val="FF0000"/>
        </w:rPr>
        <w:t>.</w:t>
      </w:r>
    </w:p>
  </w:footnote>
  <w:footnote w:id="14">
    <w:p w14:paraId="5A78039F" w14:textId="2A0BB40E"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Kwok, Alvin C., Andrew M. Simpson, James </w:t>
      </w:r>
      <w:proofErr w:type="spellStart"/>
      <w:r w:rsidRPr="003A7025">
        <w:rPr>
          <w:rFonts w:asciiTheme="minorHAnsi" w:hAnsiTheme="minorHAnsi"/>
          <w:color w:val="FF0000"/>
        </w:rPr>
        <w:t>Willcockson</w:t>
      </w:r>
      <w:proofErr w:type="spellEnd"/>
      <w:r w:rsidRPr="003A7025">
        <w:rPr>
          <w:rFonts w:asciiTheme="minorHAnsi" w:hAnsiTheme="minorHAnsi"/>
          <w:color w:val="FF0000"/>
        </w:rPr>
        <w:t xml:space="preserve">, Daniel P. Donato, </w:t>
      </w:r>
      <w:proofErr w:type="spellStart"/>
      <w:r w:rsidRPr="003A7025">
        <w:rPr>
          <w:rFonts w:asciiTheme="minorHAnsi" w:hAnsiTheme="minorHAnsi"/>
          <w:color w:val="FF0000"/>
        </w:rPr>
        <w:t>Isak</w:t>
      </w:r>
      <w:proofErr w:type="spellEnd"/>
      <w:r w:rsidRPr="003A7025">
        <w:rPr>
          <w:rFonts w:asciiTheme="minorHAnsi" w:hAnsiTheme="minorHAnsi"/>
          <w:color w:val="FF0000"/>
        </w:rPr>
        <w:t xml:space="preserve"> A. Goodwin, and Jayant P. Agarwal. 2018. “Complications and Their Associations Following the Surgical Repair of Pressure Ulcers.” American Journal of Surgery 216 (6): 1177–81. https://doi.org/10.1016/j.amjsurg.2018.01.012.</w:t>
      </w:r>
    </w:p>
  </w:footnote>
  <w:footnote w:id="15">
    <w:p w14:paraId="2D20EBFE" w14:textId="6636B201"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w:t>
      </w:r>
      <w:proofErr w:type="spellStart"/>
      <w:r w:rsidRPr="003A7025">
        <w:rPr>
          <w:rFonts w:asciiTheme="minorHAnsi" w:hAnsiTheme="minorHAnsi"/>
          <w:color w:val="FF0000"/>
        </w:rPr>
        <w:t>Sprigle</w:t>
      </w:r>
      <w:proofErr w:type="spellEnd"/>
      <w:r w:rsidRPr="003A7025">
        <w:rPr>
          <w:rFonts w:asciiTheme="minorHAnsi" w:hAnsiTheme="minorHAnsi"/>
          <w:color w:val="FF0000"/>
        </w:rPr>
        <w:t xml:space="preserve">, Stephen, Douglas McNair, and Sharon </w:t>
      </w:r>
      <w:proofErr w:type="spellStart"/>
      <w:r w:rsidRPr="003A7025">
        <w:rPr>
          <w:rFonts w:asciiTheme="minorHAnsi" w:hAnsiTheme="minorHAnsi"/>
          <w:color w:val="FF0000"/>
        </w:rPr>
        <w:t>Sonenblum</w:t>
      </w:r>
      <w:proofErr w:type="spellEnd"/>
      <w:r w:rsidRPr="003A7025">
        <w:rPr>
          <w:rFonts w:asciiTheme="minorHAnsi" w:hAnsiTheme="minorHAnsi"/>
          <w:color w:val="FF0000"/>
        </w:rPr>
        <w:t xml:space="preserve">. 2020. “Pressure Ulcer Risk Factors in Persons with Mobility-Related Disabilities.” Advances in Skin and Wound Care 33 (3): 146–54. </w:t>
      </w:r>
      <w:hyperlink r:id="rId7" w:history="1">
        <w:r w:rsidRPr="003A7025">
          <w:rPr>
            <w:rStyle w:val="Hyperlink"/>
            <w:rFonts w:asciiTheme="minorHAnsi" w:hAnsiTheme="minorHAnsi"/>
            <w:color w:val="FF0000"/>
          </w:rPr>
          <w:t>https://doi.org/10.1097/01.ASW.0000653152.36482.7d</w:t>
        </w:r>
      </w:hyperlink>
      <w:r w:rsidRPr="003A7025">
        <w:rPr>
          <w:rFonts w:asciiTheme="minorHAnsi" w:hAnsiTheme="minorHAnsi"/>
          <w:color w:val="FF0000"/>
        </w:rPr>
        <w:t>.</w:t>
      </w:r>
    </w:p>
  </w:footnote>
  <w:footnote w:id="16">
    <w:p w14:paraId="27DE9A75" w14:textId="77E9F2BB" w:rsidR="00B043C4" w:rsidRPr="00390ED3" w:rsidRDefault="00B043C4">
      <w:pPr>
        <w:pStyle w:val="FootnoteText"/>
        <w:rPr>
          <w:rFonts w:asciiTheme="minorHAnsi" w:hAnsiTheme="minorHAnsi"/>
          <w:color w:val="0000FF"/>
        </w:rPr>
      </w:pPr>
      <w:r w:rsidRPr="003A7025">
        <w:rPr>
          <w:rStyle w:val="FootnoteReference"/>
          <w:rFonts w:asciiTheme="minorHAnsi" w:hAnsiTheme="minorHAnsi"/>
          <w:color w:val="FF0000"/>
        </w:rPr>
        <w:footnoteRef/>
      </w:r>
      <w:r w:rsidRPr="003A7025">
        <w:rPr>
          <w:rFonts w:asciiTheme="minorHAnsi" w:hAnsiTheme="minorHAnsi"/>
          <w:color w:val="FF0000"/>
        </w:rPr>
        <w:t xml:space="preserve"> Chen, Hong Lin, Bin Zhu, </w:t>
      </w:r>
      <w:proofErr w:type="spellStart"/>
      <w:r w:rsidRPr="003A7025">
        <w:rPr>
          <w:rFonts w:asciiTheme="minorHAnsi" w:hAnsiTheme="minorHAnsi"/>
          <w:color w:val="FF0000"/>
        </w:rPr>
        <w:t>Rong</w:t>
      </w:r>
      <w:proofErr w:type="spellEnd"/>
      <w:r w:rsidRPr="003A7025">
        <w:rPr>
          <w:rFonts w:asciiTheme="minorHAnsi" w:hAnsiTheme="minorHAnsi"/>
          <w:color w:val="FF0000"/>
        </w:rPr>
        <w:t xml:space="preserve"> Wei, and Zhen Yu Zhou. 2018. “A Retrospective Analysis to Evaluate Seasonal Pressure Injury Incidence Differences among Hip Fracture Patients in a Tertiary Hospital in East China.” Ostomy Wound Management 64 (2): 40–44. </w:t>
      </w:r>
      <w:hyperlink r:id="rId8" w:history="1">
        <w:r w:rsidRPr="003A7025">
          <w:rPr>
            <w:rStyle w:val="Hyperlink"/>
            <w:rFonts w:asciiTheme="minorHAnsi" w:hAnsiTheme="minorHAnsi"/>
            <w:color w:val="FF0000"/>
          </w:rPr>
          <w:t>https://doi.org/10.25270/owm.2018.2.4044</w:t>
        </w:r>
      </w:hyperlink>
      <w:r w:rsidRPr="003A7025">
        <w:rPr>
          <w:rFonts w:asciiTheme="minorHAnsi" w:hAnsiTheme="minorHAnsi"/>
          <w:color w:val="FF0000"/>
        </w:rPr>
        <w:t>.</w:t>
      </w:r>
    </w:p>
  </w:footnote>
  <w:footnote w:id="17">
    <w:p w14:paraId="2EF21FF9" w14:textId="3E359EBA"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Refer to footnote 15</w:t>
      </w:r>
    </w:p>
  </w:footnote>
  <w:footnote w:id="18">
    <w:p w14:paraId="57933EAA" w14:textId="1BF3E52F" w:rsidR="00B043C4" w:rsidRPr="003A7025" w:rsidRDefault="00B043C4">
      <w:pPr>
        <w:pStyle w:val="FootnoteText"/>
        <w:rPr>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Refer to footnote 2</w:t>
      </w:r>
    </w:p>
  </w:footnote>
  <w:footnote w:id="19">
    <w:p w14:paraId="716C49FD" w14:textId="7D820994"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Refer to footnote 15</w:t>
      </w:r>
    </w:p>
  </w:footnote>
  <w:footnote w:id="20">
    <w:p w14:paraId="21FE48EF" w14:textId="6318AFC7"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He, </w:t>
      </w:r>
      <w:proofErr w:type="spellStart"/>
      <w:r w:rsidRPr="003A7025">
        <w:rPr>
          <w:rFonts w:asciiTheme="minorHAnsi" w:hAnsiTheme="minorHAnsi"/>
          <w:color w:val="FF0000"/>
        </w:rPr>
        <w:t>Jianghua</w:t>
      </w:r>
      <w:proofErr w:type="spellEnd"/>
      <w:r w:rsidRPr="003A7025">
        <w:rPr>
          <w:rFonts w:asciiTheme="minorHAnsi" w:hAnsiTheme="minorHAnsi"/>
          <w:color w:val="FF0000"/>
        </w:rPr>
        <w:t xml:space="preserve">, Vincent S. Staggs, Sandra </w:t>
      </w:r>
      <w:proofErr w:type="spellStart"/>
      <w:r w:rsidRPr="003A7025">
        <w:rPr>
          <w:rFonts w:asciiTheme="minorHAnsi" w:hAnsiTheme="minorHAnsi"/>
          <w:color w:val="FF0000"/>
        </w:rPr>
        <w:t>Bergquist-Beringer</w:t>
      </w:r>
      <w:proofErr w:type="spellEnd"/>
      <w:r w:rsidRPr="003A7025">
        <w:rPr>
          <w:rFonts w:asciiTheme="minorHAnsi" w:hAnsiTheme="minorHAnsi"/>
          <w:color w:val="FF0000"/>
        </w:rPr>
        <w:t xml:space="preserve">, and Nancy </w:t>
      </w:r>
      <w:proofErr w:type="spellStart"/>
      <w:r w:rsidRPr="003A7025">
        <w:rPr>
          <w:rFonts w:asciiTheme="minorHAnsi" w:hAnsiTheme="minorHAnsi"/>
          <w:color w:val="FF0000"/>
        </w:rPr>
        <w:t>Dunton</w:t>
      </w:r>
      <w:proofErr w:type="spellEnd"/>
      <w:r w:rsidRPr="003A7025">
        <w:rPr>
          <w:rFonts w:asciiTheme="minorHAnsi" w:hAnsiTheme="minorHAnsi"/>
          <w:color w:val="FF0000"/>
        </w:rPr>
        <w:t xml:space="preserve">. 2013. “Unit-Level Time Trends and Seasonality in the Rate of Hospital-Acquired Pressure Ulcers in US Acute Care Hospitals.” Research in Nursing and Health 36 (2): 171–80. </w:t>
      </w:r>
      <w:hyperlink r:id="rId9" w:history="1">
        <w:r w:rsidRPr="003A7025">
          <w:rPr>
            <w:rStyle w:val="Hyperlink"/>
            <w:rFonts w:asciiTheme="minorHAnsi" w:hAnsiTheme="minorHAnsi"/>
            <w:color w:val="FF0000"/>
          </w:rPr>
          <w:t>https://doi.org/10.1002/nur.21527</w:t>
        </w:r>
      </w:hyperlink>
      <w:r w:rsidRPr="003A7025">
        <w:rPr>
          <w:rFonts w:asciiTheme="minorHAnsi" w:hAnsiTheme="minorHAnsi"/>
          <w:color w:val="FF0000"/>
        </w:rPr>
        <w:t>.</w:t>
      </w:r>
    </w:p>
  </w:footnote>
  <w:footnote w:id="21">
    <w:p w14:paraId="79EFC56B" w14:textId="063A31EE"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Black, Joyce M., Laura E. </w:t>
      </w:r>
      <w:proofErr w:type="spellStart"/>
      <w:r w:rsidRPr="003A7025">
        <w:rPr>
          <w:rFonts w:asciiTheme="minorHAnsi" w:hAnsiTheme="minorHAnsi"/>
          <w:color w:val="FF0000"/>
        </w:rPr>
        <w:t>Edsberg</w:t>
      </w:r>
      <w:proofErr w:type="spellEnd"/>
      <w:r w:rsidRPr="003A7025">
        <w:rPr>
          <w:rFonts w:asciiTheme="minorHAnsi" w:hAnsiTheme="minorHAnsi"/>
          <w:color w:val="FF0000"/>
        </w:rPr>
        <w:t xml:space="preserve">, Mona M. </w:t>
      </w:r>
      <w:proofErr w:type="spellStart"/>
      <w:r w:rsidRPr="003A7025">
        <w:rPr>
          <w:rFonts w:asciiTheme="minorHAnsi" w:hAnsiTheme="minorHAnsi"/>
          <w:color w:val="FF0000"/>
        </w:rPr>
        <w:t>Baharestani</w:t>
      </w:r>
      <w:proofErr w:type="spellEnd"/>
      <w:r w:rsidRPr="003A7025">
        <w:rPr>
          <w:rFonts w:asciiTheme="minorHAnsi" w:hAnsiTheme="minorHAnsi"/>
          <w:color w:val="FF0000"/>
        </w:rPr>
        <w:t xml:space="preserve">, Diane </w:t>
      </w:r>
      <w:proofErr w:type="spellStart"/>
      <w:r w:rsidRPr="003A7025">
        <w:rPr>
          <w:rFonts w:asciiTheme="minorHAnsi" w:hAnsiTheme="minorHAnsi"/>
          <w:color w:val="FF0000"/>
        </w:rPr>
        <w:t>Langemo</w:t>
      </w:r>
      <w:proofErr w:type="spellEnd"/>
      <w:r w:rsidRPr="003A7025">
        <w:rPr>
          <w:rFonts w:asciiTheme="minorHAnsi" w:hAnsiTheme="minorHAnsi"/>
          <w:color w:val="FF0000"/>
        </w:rPr>
        <w:t xml:space="preserve">, Margaret Goldberg, Laurie McNichol, and Janet </w:t>
      </w:r>
      <w:proofErr w:type="spellStart"/>
      <w:r w:rsidRPr="003A7025">
        <w:rPr>
          <w:rFonts w:asciiTheme="minorHAnsi" w:hAnsiTheme="minorHAnsi"/>
          <w:color w:val="FF0000"/>
        </w:rPr>
        <w:t>Cuddigan</w:t>
      </w:r>
      <w:proofErr w:type="spellEnd"/>
      <w:r w:rsidRPr="003A7025">
        <w:rPr>
          <w:rFonts w:asciiTheme="minorHAnsi" w:hAnsiTheme="minorHAnsi"/>
          <w:color w:val="FF0000"/>
        </w:rPr>
        <w:t>. 2011. “Pressure Ulcers: Avoidable or Unavoidable? Results of the National Pressure Ulcer Advisory Panel Consensus Conference.” Ostomy Wound Management 57 (2): 24–37.</w:t>
      </w:r>
    </w:p>
  </w:footnote>
  <w:footnote w:id="22">
    <w:p w14:paraId="234C889B" w14:textId="6FDD2173"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w:t>
      </w:r>
      <w:proofErr w:type="spellStart"/>
      <w:r w:rsidRPr="003A7025">
        <w:rPr>
          <w:rFonts w:asciiTheme="minorHAnsi" w:hAnsiTheme="minorHAnsi"/>
          <w:color w:val="FF0000"/>
        </w:rPr>
        <w:t>Kwong</w:t>
      </w:r>
      <w:proofErr w:type="spellEnd"/>
      <w:r w:rsidRPr="003A7025">
        <w:rPr>
          <w:rFonts w:asciiTheme="minorHAnsi" w:hAnsiTheme="minorHAnsi"/>
          <w:color w:val="FF0000"/>
        </w:rPr>
        <w:t xml:space="preserve">, Enid W.Y., Liang Y. Chen, Rick Y.C. Kwan, and Paul H. Lee. 2020. “The Effectiveness of a Pressure Injury Prevention Program for Nursing Assistants in Private For-Profit Nursing Homes: A Cluster Randomized Controlled Trial.” Journal of Advanced Nursing 76 (7): 1780–93. </w:t>
      </w:r>
      <w:hyperlink r:id="rId10" w:history="1">
        <w:r w:rsidRPr="003A7025">
          <w:rPr>
            <w:rStyle w:val="Hyperlink"/>
            <w:rFonts w:asciiTheme="minorHAnsi" w:hAnsiTheme="minorHAnsi"/>
            <w:color w:val="FF0000"/>
          </w:rPr>
          <w:t>https://doi.org/10.1111/jan.14391</w:t>
        </w:r>
      </w:hyperlink>
      <w:r w:rsidRPr="003A7025">
        <w:rPr>
          <w:rFonts w:asciiTheme="minorHAnsi" w:hAnsiTheme="minorHAnsi"/>
          <w:color w:val="FF0000"/>
        </w:rPr>
        <w:t>.</w:t>
      </w:r>
    </w:p>
  </w:footnote>
  <w:footnote w:id="23">
    <w:p w14:paraId="75C737D2" w14:textId="7D48CDBE"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Refer to footnote 21</w:t>
      </w:r>
    </w:p>
  </w:footnote>
  <w:footnote w:id="24">
    <w:p w14:paraId="067B58A8" w14:textId="211DAF45"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w:t>
      </w:r>
      <w:proofErr w:type="spellStart"/>
      <w:r w:rsidRPr="003A7025">
        <w:rPr>
          <w:rFonts w:asciiTheme="minorHAnsi" w:hAnsiTheme="minorHAnsi"/>
          <w:color w:val="FF0000"/>
        </w:rPr>
        <w:t>Furterer</w:t>
      </w:r>
      <w:proofErr w:type="spellEnd"/>
      <w:r w:rsidRPr="003A7025">
        <w:rPr>
          <w:rFonts w:asciiTheme="minorHAnsi" w:hAnsiTheme="minorHAnsi"/>
          <w:color w:val="FF0000"/>
        </w:rPr>
        <w:t xml:space="preserve">, Sandra L., and </w:t>
      </w:r>
      <w:proofErr w:type="spellStart"/>
      <w:r w:rsidRPr="003A7025">
        <w:rPr>
          <w:rFonts w:asciiTheme="minorHAnsi" w:hAnsiTheme="minorHAnsi"/>
          <w:color w:val="FF0000"/>
        </w:rPr>
        <w:t>Ethling</w:t>
      </w:r>
      <w:proofErr w:type="spellEnd"/>
      <w:r w:rsidRPr="003A7025">
        <w:rPr>
          <w:rFonts w:asciiTheme="minorHAnsi" w:hAnsiTheme="minorHAnsi"/>
          <w:color w:val="FF0000"/>
        </w:rPr>
        <w:t xml:space="preserve"> Hernandez. 2019. “Improving the Healthcare Quality Measurement System Using Attribute Agreement Analysis Assessing the Presence and Stage of Pressure Ulcers.” International Journal of Statistics and Probability 8 (4): 47–59. </w:t>
      </w:r>
      <w:hyperlink r:id="rId11" w:history="1">
        <w:r w:rsidRPr="003A7025">
          <w:rPr>
            <w:rStyle w:val="Hyperlink"/>
            <w:rFonts w:asciiTheme="minorHAnsi" w:hAnsiTheme="minorHAnsi"/>
            <w:color w:val="FF0000"/>
          </w:rPr>
          <w:t>https://doi.org/10.5539/ijsp.v8n4p47</w:t>
        </w:r>
      </w:hyperlink>
      <w:r w:rsidRPr="003A7025">
        <w:rPr>
          <w:rFonts w:asciiTheme="minorHAnsi" w:hAnsiTheme="minorHAnsi"/>
          <w:color w:val="FF0000"/>
        </w:rPr>
        <w:t>.</w:t>
      </w:r>
    </w:p>
  </w:footnote>
  <w:footnote w:id="25">
    <w:p w14:paraId="773ADD3A" w14:textId="39164C5D"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Refer to footnote 23</w:t>
      </w:r>
    </w:p>
  </w:footnote>
  <w:footnote w:id="26">
    <w:p w14:paraId="17BB0353" w14:textId="54697898" w:rsidR="00B043C4" w:rsidRPr="00390ED3" w:rsidRDefault="00B043C4">
      <w:pPr>
        <w:pStyle w:val="FootnoteText"/>
        <w:rPr>
          <w:rFonts w:asciiTheme="minorHAnsi" w:hAnsiTheme="minorHAnsi"/>
          <w:color w:val="0000FF"/>
        </w:rPr>
      </w:pPr>
      <w:r w:rsidRPr="003A7025">
        <w:rPr>
          <w:rStyle w:val="FootnoteReference"/>
          <w:rFonts w:asciiTheme="minorHAnsi" w:hAnsiTheme="minorHAnsi"/>
          <w:color w:val="FF0000"/>
        </w:rPr>
        <w:footnoteRef/>
      </w:r>
      <w:r w:rsidRPr="003A7025">
        <w:rPr>
          <w:rFonts w:asciiTheme="minorHAnsi" w:hAnsiTheme="minorHAnsi"/>
          <w:color w:val="FF0000"/>
        </w:rPr>
        <w:t xml:space="preserve"> Kang, Yu, Huey Ming </w:t>
      </w:r>
      <w:proofErr w:type="spellStart"/>
      <w:r w:rsidRPr="003A7025">
        <w:rPr>
          <w:rFonts w:asciiTheme="minorHAnsi" w:hAnsiTheme="minorHAnsi"/>
          <w:color w:val="FF0000"/>
        </w:rPr>
        <w:t>Tzeng</w:t>
      </w:r>
      <w:proofErr w:type="spellEnd"/>
      <w:r w:rsidRPr="003A7025">
        <w:rPr>
          <w:rFonts w:asciiTheme="minorHAnsi" w:hAnsiTheme="minorHAnsi"/>
          <w:color w:val="FF0000"/>
        </w:rPr>
        <w:t xml:space="preserve">, and Nancy A. Miller. 2016. “Facility Characteristics and Risk of Developing Pressure Ulcers in US Nursing Homes.” Journal of Nursing Care Quality 31 (1): E9–16. </w:t>
      </w:r>
      <w:hyperlink r:id="rId12" w:history="1">
        <w:r w:rsidRPr="003A7025">
          <w:rPr>
            <w:rStyle w:val="Hyperlink"/>
            <w:rFonts w:asciiTheme="minorHAnsi" w:hAnsiTheme="minorHAnsi"/>
            <w:color w:val="FF0000"/>
          </w:rPr>
          <w:t>https://doi.org/10.1097/NCQ.0000000000000136</w:t>
        </w:r>
      </w:hyperlink>
      <w:r w:rsidRPr="003A7025">
        <w:rPr>
          <w:rFonts w:asciiTheme="minorHAnsi" w:hAnsiTheme="minorHAnsi"/>
          <w:color w:val="FF0000"/>
        </w:rPr>
        <w:t>.</w:t>
      </w:r>
    </w:p>
  </w:footnote>
  <w:footnote w:id="27">
    <w:p w14:paraId="664D74B1" w14:textId="4739D1AA"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Refer to footnote 25</w:t>
      </w:r>
    </w:p>
  </w:footnote>
  <w:footnote w:id="28">
    <w:p w14:paraId="6E67E0A4" w14:textId="04B3DA9C"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Hartmann, Christine W., Jeffrey Solomon, Jennifer A. Palmer, and Carol </w:t>
      </w:r>
      <w:proofErr w:type="spellStart"/>
      <w:r w:rsidRPr="003A7025">
        <w:rPr>
          <w:rFonts w:asciiTheme="minorHAnsi" w:hAnsiTheme="minorHAnsi"/>
          <w:color w:val="FF0000"/>
        </w:rPr>
        <w:t>Vandeusen</w:t>
      </w:r>
      <w:proofErr w:type="spellEnd"/>
      <w:r w:rsidRPr="003A7025">
        <w:rPr>
          <w:rFonts w:asciiTheme="minorHAnsi" w:hAnsiTheme="minorHAnsi"/>
          <w:color w:val="FF0000"/>
        </w:rPr>
        <w:t xml:space="preserve"> Lukas. 2016. “Contextual Facilitators of and Barriers to Nursing Home Pressure Ulcer Prevention.” Advances in Skin and Wound Care 29 (5): 226–38. </w:t>
      </w:r>
      <w:hyperlink r:id="rId13" w:history="1">
        <w:r w:rsidRPr="003A7025">
          <w:rPr>
            <w:rStyle w:val="Hyperlink"/>
            <w:rFonts w:asciiTheme="minorHAnsi" w:hAnsiTheme="minorHAnsi"/>
            <w:color w:val="FF0000"/>
          </w:rPr>
          <w:t>https://doi.org/10.1097/01.ASW.0000482113.18800.1c</w:t>
        </w:r>
      </w:hyperlink>
      <w:r w:rsidRPr="003A7025">
        <w:rPr>
          <w:rFonts w:asciiTheme="minorHAnsi" w:hAnsiTheme="minorHAnsi"/>
          <w:color w:val="FF0000"/>
        </w:rPr>
        <w:t>.</w:t>
      </w:r>
    </w:p>
  </w:footnote>
  <w:footnote w:id="29">
    <w:p w14:paraId="5CDE24CA" w14:textId="474E93AD"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Refer to footnote 27</w:t>
      </w:r>
    </w:p>
  </w:footnote>
  <w:footnote w:id="30">
    <w:p w14:paraId="5146D33B" w14:textId="7E868973"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Refer to footnote 25</w:t>
      </w:r>
    </w:p>
  </w:footnote>
  <w:footnote w:id="31">
    <w:p w14:paraId="7F94B7D8" w14:textId="76F8F9C4"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Refer to footnote 25</w:t>
      </w:r>
    </w:p>
  </w:footnote>
  <w:footnote w:id="32">
    <w:p w14:paraId="61853CD5" w14:textId="39C75559"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Refer to footnote 25</w:t>
      </w:r>
    </w:p>
  </w:footnote>
  <w:footnote w:id="33">
    <w:p w14:paraId="139D36D5" w14:textId="61849717"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Refer to footnote 3</w:t>
      </w:r>
    </w:p>
  </w:footnote>
  <w:footnote w:id="34">
    <w:p w14:paraId="5A10B933" w14:textId="4A512573"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Refer to footnote 25</w:t>
      </w:r>
    </w:p>
  </w:footnote>
  <w:footnote w:id="35">
    <w:p w14:paraId="7E41AD64" w14:textId="529D1E18"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Li, Yue, Jun Yin, </w:t>
      </w:r>
      <w:proofErr w:type="spellStart"/>
      <w:r w:rsidRPr="003A7025">
        <w:rPr>
          <w:rFonts w:asciiTheme="minorHAnsi" w:hAnsiTheme="minorHAnsi"/>
          <w:color w:val="FF0000"/>
        </w:rPr>
        <w:t>Xueya</w:t>
      </w:r>
      <w:proofErr w:type="spellEnd"/>
      <w:r w:rsidRPr="003A7025">
        <w:rPr>
          <w:rFonts w:asciiTheme="minorHAnsi" w:hAnsiTheme="minorHAnsi"/>
          <w:color w:val="FF0000"/>
        </w:rPr>
        <w:t xml:space="preserve"> </w:t>
      </w:r>
      <w:proofErr w:type="spellStart"/>
      <w:proofErr w:type="gramStart"/>
      <w:r w:rsidRPr="003A7025">
        <w:rPr>
          <w:rFonts w:asciiTheme="minorHAnsi" w:hAnsiTheme="minorHAnsi"/>
          <w:color w:val="FF0000"/>
        </w:rPr>
        <w:t>Cai</w:t>
      </w:r>
      <w:proofErr w:type="spellEnd"/>
      <w:proofErr w:type="gramEnd"/>
      <w:r w:rsidRPr="003A7025">
        <w:rPr>
          <w:rFonts w:asciiTheme="minorHAnsi" w:hAnsiTheme="minorHAnsi"/>
          <w:color w:val="FF0000"/>
        </w:rPr>
        <w:t xml:space="preserve">, Helena </w:t>
      </w:r>
      <w:proofErr w:type="spellStart"/>
      <w:r w:rsidRPr="003A7025">
        <w:rPr>
          <w:rFonts w:asciiTheme="minorHAnsi" w:hAnsiTheme="minorHAnsi"/>
          <w:color w:val="FF0000"/>
        </w:rPr>
        <w:t>Temkin</w:t>
      </w:r>
      <w:proofErr w:type="spellEnd"/>
      <w:r w:rsidRPr="003A7025">
        <w:rPr>
          <w:rFonts w:asciiTheme="minorHAnsi" w:hAnsiTheme="minorHAnsi"/>
          <w:color w:val="FF0000"/>
        </w:rPr>
        <w:t xml:space="preserve">-Greener, and Dana B. </w:t>
      </w:r>
      <w:proofErr w:type="spellStart"/>
      <w:r w:rsidRPr="003A7025">
        <w:rPr>
          <w:rFonts w:asciiTheme="minorHAnsi" w:hAnsiTheme="minorHAnsi"/>
          <w:color w:val="FF0000"/>
        </w:rPr>
        <w:t>Mukamel</w:t>
      </w:r>
      <w:proofErr w:type="spellEnd"/>
      <w:r w:rsidRPr="003A7025">
        <w:rPr>
          <w:rFonts w:asciiTheme="minorHAnsi" w:hAnsiTheme="minorHAnsi"/>
          <w:color w:val="FF0000"/>
        </w:rPr>
        <w:t xml:space="preserve">. 2011. “Association of Race and Sites of Care with Pressure Ulcers in High-Risk Nursing Home Residents.” Journal of the American Medical Association 306 (2): 179–86. </w:t>
      </w:r>
      <w:hyperlink r:id="rId14" w:history="1">
        <w:r w:rsidRPr="003A7025">
          <w:rPr>
            <w:rStyle w:val="Hyperlink"/>
            <w:rFonts w:asciiTheme="minorHAnsi" w:hAnsiTheme="minorHAnsi"/>
            <w:color w:val="FF0000"/>
          </w:rPr>
          <w:t>https://doi.org/10.1001/jama.2011.942</w:t>
        </w:r>
      </w:hyperlink>
      <w:r w:rsidRPr="003A7025">
        <w:rPr>
          <w:rFonts w:asciiTheme="minorHAnsi" w:hAnsiTheme="minorHAnsi"/>
          <w:color w:val="FF0000"/>
        </w:rPr>
        <w:t>.</w:t>
      </w:r>
    </w:p>
  </w:footnote>
  <w:footnote w:id="36">
    <w:p w14:paraId="74579A7F" w14:textId="42597B22"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Seibert, Julie, Daniel </w:t>
      </w:r>
      <w:proofErr w:type="spellStart"/>
      <w:r w:rsidRPr="003A7025">
        <w:rPr>
          <w:rFonts w:asciiTheme="minorHAnsi" w:hAnsiTheme="minorHAnsi"/>
          <w:color w:val="FF0000"/>
        </w:rPr>
        <w:t>Barch</w:t>
      </w:r>
      <w:proofErr w:type="spellEnd"/>
      <w:r w:rsidRPr="003A7025">
        <w:rPr>
          <w:rFonts w:asciiTheme="minorHAnsi" w:hAnsiTheme="minorHAnsi"/>
          <w:color w:val="FF0000"/>
        </w:rPr>
        <w:t xml:space="preserve">, </w:t>
      </w:r>
      <w:proofErr w:type="spellStart"/>
      <w:r w:rsidRPr="003A7025">
        <w:rPr>
          <w:rFonts w:asciiTheme="minorHAnsi" w:hAnsiTheme="minorHAnsi"/>
          <w:color w:val="FF0000"/>
        </w:rPr>
        <w:t>Amarilys</w:t>
      </w:r>
      <w:proofErr w:type="spellEnd"/>
      <w:r w:rsidRPr="003A7025">
        <w:rPr>
          <w:rFonts w:asciiTheme="minorHAnsi" w:hAnsiTheme="minorHAnsi"/>
          <w:color w:val="FF0000"/>
        </w:rPr>
        <w:t xml:space="preserve"> </w:t>
      </w:r>
      <w:proofErr w:type="spellStart"/>
      <w:r w:rsidRPr="003A7025">
        <w:rPr>
          <w:rFonts w:asciiTheme="minorHAnsi" w:hAnsiTheme="minorHAnsi"/>
          <w:color w:val="FF0000"/>
        </w:rPr>
        <w:t>Bernacet</w:t>
      </w:r>
      <w:proofErr w:type="spellEnd"/>
      <w:r w:rsidRPr="003A7025">
        <w:rPr>
          <w:rFonts w:asciiTheme="minorHAnsi" w:hAnsiTheme="minorHAnsi"/>
          <w:color w:val="FF0000"/>
        </w:rPr>
        <w:t xml:space="preserve">, Amy </w:t>
      </w:r>
      <w:proofErr w:type="spellStart"/>
      <w:r w:rsidRPr="003A7025">
        <w:rPr>
          <w:rFonts w:asciiTheme="minorHAnsi" w:hAnsiTheme="minorHAnsi"/>
          <w:color w:val="FF0000"/>
        </w:rPr>
        <w:t>Kandilov</w:t>
      </w:r>
      <w:proofErr w:type="spellEnd"/>
      <w:r w:rsidRPr="003A7025">
        <w:rPr>
          <w:rFonts w:asciiTheme="minorHAnsi" w:hAnsiTheme="minorHAnsi"/>
          <w:color w:val="FF0000"/>
        </w:rPr>
        <w:t xml:space="preserve">, Jennifer Frank, Lindsey Free, </w:t>
      </w:r>
      <w:proofErr w:type="spellStart"/>
      <w:r w:rsidRPr="003A7025">
        <w:rPr>
          <w:rFonts w:asciiTheme="minorHAnsi" w:hAnsiTheme="minorHAnsi"/>
          <w:color w:val="FF0000"/>
        </w:rPr>
        <w:t>Quantesa</w:t>
      </w:r>
      <w:proofErr w:type="spellEnd"/>
      <w:r w:rsidRPr="003A7025">
        <w:rPr>
          <w:rFonts w:asciiTheme="minorHAnsi" w:hAnsiTheme="minorHAnsi"/>
          <w:color w:val="FF0000"/>
        </w:rPr>
        <w:t xml:space="preserve"> Roberts, et al. 2020. “Examining Social Risk Factors in a Pressure Ulcer Quality Measure for Three Post-Acute Care Settings.” Advances in Skin and Wound Care 33 (3): 156–63. https://doi.org/10.1097/01.ASW.0000651456.30210.8a.</w:t>
      </w:r>
    </w:p>
  </w:footnote>
  <w:footnote w:id="37">
    <w:p w14:paraId="21C49492" w14:textId="58EDCA06"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w:t>
      </w:r>
      <w:proofErr w:type="spellStart"/>
      <w:r w:rsidRPr="003A7025">
        <w:rPr>
          <w:rFonts w:asciiTheme="minorHAnsi" w:hAnsiTheme="minorHAnsi"/>
          <w:color w:val="FF0000"/>
        </w:rPr>
        <w:t>Sprigle</w:t>
      </w:r>
      <w:proofErr w:type="spellEnd"/>
      <w:r w:rsidRPr="003A7025">
        <w:rPr>
          <w:rFonts w:asciiTheme="minorHAnsi" w:hAnsiTheme="minorHAnsi"/>
          <w:color w:val="FF0000"/>
        </w:rPr>
        <w:t xml:space="preserve">, Stephen, Douglas McNair, and Sharon </w:t>
      </w:r>
      <w:proofErr w:type="spellStart"/>
      <w:r w:rsidRPr="003A7025">
        <w:rPr>
          <w:rFonts w:asciiTheme="minorHAnsi" w:hAnsiTheme="minorHAnsi"/>
          <w:color w:val="FF0000"/>
        </w:rPr>
        <w:t>Sonenblum</w:t>
      </w:r>
      <w:proofErr w:type="spellEnd"/>
      <w:r w:rsidRPr="003A7025">
        <w:rPr>
          <w:rFonts w:asciiTheme="minorHAnsi" w:hAnsiTheme="minorHAnsi"/>
          <w:color w:val="FF0000"/>
        </w:rPr>
        <w:t xml:space="preserve">. 2020. “Pressure Ulcer Risk Factors in Persons with Mobility-Related Disabilities.” Advances in Skin and Wound Care 33 (3): 146–54. </w:t>
      </w:r>
      <w:hyperlink r:id="rId15" w:history="1">
        <w:r w:rsidRPr="003A7025">
          <w:rPr>
            <w:rStyle w:val="Hyperlink"/>
            <w:rFonts w:asciiTheme="minorHAnsi" w:hAnsiTheme="minorHAnsi"/>
            <w:color w:val="FF0000"/>
          </w:rPr>
          <w:t>https://doi.org/10.1097/01.ASW.0000653152.36482.7d</w:t>
        </w:r>
      </w:hyperlink>
      <w:r w:rsidRPr="003A7025">
        <w:rPr>
          <w:rFonts w:asciiTheme="minorHAnsi" w:hAnsiTheme="minorHAnsi"/>
          <w:color w:val="FF0000"/>
        </w:rPr>
        <w:t>.</w:t>
      </w:r>
    </w:p>
  </w:footnote>
  <w:footnote w:id="38">
    <w:p w14:paraId="50AD7067" w14:textId="429F7F83" w:rsidR="00B043C4" w:rsidRPr="003A7025" w:rsidRDefault="00B043C4">
      <w:pPr>
        <w:pStyle w:val="FootnoteText"/>
        <w:rPr>
          <w:rFonts w:asciiTheme="minorHAnsi" w:hAnsiTheme="minorHAnsi"/>
          <w:color w:val="FF0000"/>
        </w:rPr>
      </w:pPr>
      <w:r w:rsidRPr="003A7025">
        <w:rPr>
          <w:rStyle w:val="FootnoteReference"/>
          <w:rFonts w:asciiTheme="minorHAnsi" w:hAnsiTheme="minorHAnsi"/>
          <w:color w:val="FF0000"/>
        </w:rPr>
        <w:footnoteRef/>
      </w:r>
      <w:r w:rsidRPr="003A7025">
        <w:rPr>
          <w:rFonts w:asciiTheme="minorHAnsi" w:hAnsiTheme="minorHAnsi"/>
          <w:color w:val="FF0000"/>
        </w:rPr>
        <w:t xml:space="preserve"> Refer to footnote 34</w:t>
      </w:r>
    </w:p>
  </w:footnote>
  <w:footnote w:id="39">
    <w:p w14:paraId="19E21621" w14:textId="50B920FE" w:rsidR="00B043C4" w:rsidRDefault="00B043C4">
      <w:pPr>
        <w:pStyle w:val="FootnoteText"/>
      </w:pPr>
      <w:r w:rsidRPr="003A7025">
        <w:rPr>
          <w:rStyle w:val="FootnoteReference"/>
          <w:rFonts w:asciiTheme="minorHAnsi" w:hAnsiTheme="minorHAnsi"/>
          <w:color w:val="FF0000"/>
        </w:rPr>
        <w:footnoteRef/>
      </w:r>
      <w:r w:rsidRPr="003A7025">
        <w:rPr>
          <w:rFonts w:asciiTheme="minorHAnsi" w:hAnsiTheme="minorHAnsi"/>
          <w:color w:val="FF0000"/>
        </w:rPr>
        <w:t xml:space="preserve"> Refer to footnote 34</w:t>
      </w:r>
    </w:p>
  </w:footnote>
  <w:footnote w:id="40">
    <w:p w14:paraId="062C8A3E" w14:textId="211B5B67" w:rsidR="00B043C4" w:rsidRPr="00390ED3" w:rsidRDefault="00B043C4">
      <w:pPr>
        <w:pStyle w:val="FootnoteText"/>
        <w:rPr>
          <w:rFonts w:asciiTheme="minorHAnsi" w:hAnsiTheme="minorHAnsi"/>
          <w:color w:val="0000FF"/>
        </w:rPr>
      </w:pPr>
      <w:r w:rsidRPr="00390ED3">
        <w:rPr>
          <w:rStyle w:val="FootnoteReference"/>
          <w:rFonts w:asciiTheme="minorHAnsi" w:hAnsiTheme="minorHAnsi"/>
          <w:color w:val="0000FF"/>
        </w:rPr>
        <w:footnoteRef/>
      </w:r>
      <w:r w:rsidRPr="00390ED3">
        <w:rPr>
          <w:rFonts w:asciiTheme="minorHAnsi" w:hAnsiTheme="minorHAnsi"/>
          <w:color w:val="0000FF"/>
        </w:rPr>
        <w:t xml:space="preserve"> European Pressure Ulcer Advisory Panel (EPUAP), National Pressure Injury Advisory Panel (NPIAP), and Pan Pacific Pressure Injury Alliance (PPPIA).</w:t>
      </w:r>
      <w:r w:rsidRPr="007E359B">
        <w:rPr>
          <w:rFonts w:asciiTheme="minorHAnsi" w:hAnsiTheme="minorHAnsi"/>
          <w:color w:val="FF0000"/>
        </w:rPr>
        <w:t xml:space="preserve"> 2019</w:t>
      </w:r>
      <w:r w:rsidRPr="00390ED3">
        <w:rPr>
          <w:rFonts w:asciiTheme="minorHAnsi" w:hAnsiTheme="minorHAnsi"/>
          <w:color w:val="0000FF"/>
        </w:rPr>
        <w:t xml:space="preserve">. “Prevention and Treatment of Pressure Ulcers/Injuries: Clinical Practice Guideline. The International Guideline 2019.” Emily </w:t>
      </w:r>
      <w:proofErr w:type="spellStart"/>
      <w:r w:rsidRPr="00390ED3">
        <w:rPr>
          <w:rFonts w:asciiTheme="minorHAnsi" w:hAnsiTheme="minorHAnsi"/>
          <w:color w:val="0000FF"/>
        </w:rPr>
        <w:t>Haesler</w:t>
      </w:r>
      <w:proofErr w:type="spellEnd"/>
      <w:r w:rsidRPr="00390ED3">
        <w:rPr>
          <w:rFonts w:asciiTheme="minorHAnsi" w:hAnsiTheme="minorHAnsi"/>
          <w:color w:val="0000FF"/>
        </w:rPr>
        <w:t xml:space="preserve"> (Ed.).</w:t>
      </w:r>
    </w:p>
  </w:footnote>
  <w:footnote w:id="41">
    <w:p w14:paraId="317E55A9" w14:textId="7C8FBF10" w:rsidR="00B043C4" w:rsidRPr="007E359B" w:rsidRDefault="00B043C4">
      <w:pPr>
        <w:pStyle w:val="FootnoteText"/>
        <w:rPr>
          <w:rFonts w:asciiTheme="minorHAnsi" w:hAnsiTheme="minorHAnsi"/>
          <w:color w:val="FF0000"/>
        </w:rPr>
      </w:pPr>
      <w:r w:rsidRPr="007E359B">
        <w:rPr>
          <w:rStyle w:val="FootnoteReference"/>
          <w:rFonts w:asciiTheme="minorHAnsi" w:hAnsiTheme="minorHAnsi"/>
          <w:color w:val="FF0000"/>
        </w:rPr>
        <w:footnoteRef/>
      </w:r>
      <w:r w:rsidRPr="007E359B">
        <w:rPr>
          <w:rFonts w:asciiTheme="minorHAnsi" w:hAnsiTheme="minorHAnsi"/>
          <w:color w:val="FF0000"/>
        </w:rPr>
        <w:t xml:space="preserve"> Refer to footnote 39</w:t>
      </w:r>
    </w:p>
  </w:footnote>
  <w:footnote w:id="42">
    <w:p w14:paraId="22B4F2A0" w14:textId="06D43F05" w:rsidR="00B043C4" w:rsidRPr="007E359B" w:rsidRDefault="00B043C4">
      <w:pPr>
        <w:pStyle w:val="FootnoteText"/>
        <w:rPr>
          <w:rFonts w:asciiTheme="minorHAnsi" w:hAnsiTheme="minorHAnsi"/>
          <w:color w:val="FF0000"/>
        </w:rPr>
      </w:pPr>
      <w:r w:rsidRPr="007E359B">
        <w:rPr>
          <w:rStyle w:val="FootnoteReference"/>
          <w:rFonts w:asciiTheme="minorHAnsi" w:hAnsiTheme="minorHAnsi"/>
          <w:color w:val="FF0000"/>
        </w:rPr>
        <w:footnoteRef/>
      </w:r>
      <w:r w:rsidRPr="007E359B">
        <w:rPr>
          <w:rFonts w:asciiTheme="minorHAnsi" w:hAnsiTheme="minorHAnsi"/>
          <w:color w:val="FF0000"/>
        </w:rPr>
        <w:t xml:space="preserve"> Shi, </w:t>
      </w:r>
      <w:proofErr w:type="spellStart"/>
      <w:r w:rsidRPr="007E359B">
        <w:rPr>
          <w:rFonts w:asciiTheme="minorHAnsi" w:hAnsiTheme="minorHAnsi"/>
          <w:color w:val="FF0000"/>
        </w:rPr>
        <w:t>Chunhu</w:t>
      </w:r>
      <w:proofErr w:type="spellEnd"/>
      <w:r w:rsidRPr="007E359B">
        <w:rPr>
          <w:rFonts w:asciiTheme="minorHAnsi" w:hAnsiTheme="minorHAnsi"/>
          <w:color w:val="FF0000"/>
        </w:rPr>
        <w:t xml:space="preserve">, Jo C. </w:t>
      </w:r>
      <w:proofErr w:type="spellStart"/>
      <w:r w:rsidRPr="007E359B">
        <w:rPr>
          <w:rFonts w:asciiTheme="minorHAnsi" w:hAnsiTheme="minorHAnsi"/>
          <w:color w:val="FF0000"/>
        </w:rPr>
        <w:t>Dumville</w:t>
      </w:r>
      <w:proofErr w:type="spellEnd"/>
      <w:r w:rsidRPr="007E359B">
        <w:rPr>
          <w:rFonts w:asciiTheme="minorHAnsi" w:hAnsiTheme="minorHAnsi"/>
          <w:color w:val="FF0000"/>
        </w:rPr>
        <w:t xml:space="preserve">, and Nicky Cullum. 2018. “Support Surfaces for Pressure Ulcer Prevention: A Network Meta-Analysis.” PLOS ONE 13 (2). </w:t>
      </w:r>
      <w:hyperlink r:id="rId16" w:history="1">
        <w:r w:rsidRPr="007E359B">
          <w:rPr>
            <w:rStyle w:val="Hyperlink"/>
            <w:rFonts w:asciiTheme="minorHAnsi" w:hAnsiTheme="minorHAnsi"/>
            <w:color w:val="FF0000"/>
          </w:rPr>
          <w:t>https://doi.org/10.1371/journal.pone.0192707</w:t>
        </w:r>
      </w:hyperlink>
      <w:r w:rsidRPr="007E359B">
        <w:rPr>
          <w:rFonts w:asciiTheme="minorHAnsi" w:hAnsiTheme="minorHAnsi"/>
          <w:color w:val="FF0000"/>
        </w:rPr>
        <w:t>.</w:t>
      </w:r>
    </w:p>
  </w:footnote>
  <w:footnote w:id="43">
    <w:p w14:paraId="2156EDF5" w14:textId="157F42A9" w:rsidR="00B043C4" w:rsidRPr="007E359B" w:rsidRDefault="00B043C4">
      <w:pPr>
        <w:pStyle w:val="FootnoteText"/>
        <w:rPr>
          <w:rFonts w:asciiTheme="minorHAnsi" w:hAnsiTheme="minorHAnsi"/>
          <w:color w:val="FF0000"/>
        </w:rPr>
      </w:pPr>
      <w:r w:rsidRPr="007E359B">
        <w:rPr>
          <w:rStyle w:val="FootnoteReference"/>
          <w:rFonts w:asciiTheme="minorHAnsi" w:hAnsiTheme="minorHAnsi"/>
          <w:color w:val="FF0000"/>
        </w:rPr>
        <w:footnoteRef/>
      </w:r>
      <w:r w:rsidRPr="007E359B">
        <w:rPr>
          <w:rFonts w:asciiTheme="minorHAnsi" w:hAnsiTheme="minorHAnsi"/>
          <w:color w:val="FF0000"/>
        </w:rPr>
        <w:t xml:space="preserve"> Refer to footnote 20</w:t>
      </w:r>
    </w:p>
  </w:footnote>
  <w:footnote w:id="44">
    <w:p w14:paraId="68E93DBD" w14:textId="5E5EF29E" w:rsidR="00B043C4" w:rsidRPr="007E359B" w:rsidRDefault="00B043C4">
      <w:pPr>
        <w:pStyle w:val="FootnoteText"/>
        <w:rPr>
          <w:rFonts w:asciiTheme="minorHAnsi" w:hAnsiTheme="minorHAnsi"/>
          <w:color w:val="FF0000"/>
        </w:rPr>
      </w:pPr>
      <w:r w:rsidRPr="007E359B">
        <w:rPr>
          <w:rStyle w:val="FootnoteReference"/>
          <w:rFonts w:asciiTheme="minorHAnsi" w:hAnsiTheme="minorHAnsi"/>
          <w:color w:val="FF0000"/>
        </w:rPr>
        <w:footnoteRef/>
      </w:r>
      <w:r w:rsidRPr="007E359B">
        <w:rPr>
          <w:rFonts w:asciiTheme="minorHAnsi" w:hAnsiTheme="minorHAnsi"/>
          <w:color w:val="FF0000"/>
        </w:rPr>
        <w:t xml:space="preserve"> </w:t>
      </w:r>
      <w:proofErr w:type="spellStart"/>
      <w:r w:rsidRPr="007E359B">
        <w:rPr>
          <w:rFonts w:asciiTheme="minorHAnsi" w:hAnsiTheme="minorHAnsi"/>
          <w:color w:val="FF0000"/>
        </w:rPr>
        <w:t>Qaseem</w:t>
      </w:r>
      <w:proofErr w:type="spellEnd"/>
      <w:r w:rsidRPr="007E359B">
        <w:rPr>
          <w:rFonts w:asciiTheme="minorHAnsi" w:hAnsiTheme="minorHAnsi"/>
          <w:color w:val="FF0000"/>
        </w:rPr>
        <w:t xml:space="preserve">, Amir, </w:t>
      </w:r>
      <w:proofErr w:type="spellStart"/>
      <w:r w:rsidRPr="007E359B">
        <w:rPr>
          <w:rFonts w:asciiTheme="minorHAnsi" w:hAnsiTheme="minorHAnsi"/>
          <w:color w:val="FF0000"/>
        </w:rPr>
        <w:t>Tanveer</w:t>
      </w:r>
      <w:proofErr w:type="spellEnd"/>
      <w:r w:rsidRPr="007E359B">
        <w:rPr>
          <w:rFonts w:asciiTheme="minorHAnsi" w:hAnsiTheme="minorHAnsi"/>
          <w:color w:val="FF0000"/>
        </w:rPr>
        <w:t xml:space="preserve"> P. Mir, Melissa Starkey, and Thomas D. </w:t>
      </w:r>
      <w:proofErr w:type="spellStart"/>
      <w:r w:rsidRPr="007E359B">
        <w:rPr>
          <w:rFonts w:asciiTheme="minorHAnsi" w:hAnsiTheme="minorHAnsi"/>
          <w:color w:val="FF0000"/>
        </w:rPr>
        <w:t>Denberg</w:t>
      </w:r>
      <w:proofErr w:type="spellEnd"/>
      <w:r w:rsidRPr="007E359B">
        <w:rPr>
          <w:rFonts w:asciiTheme="minorHAnsi" w:hAnsiTheme="minorHAnsi"/>
          <w:color w:val="FF0000"/>
        </w:rPr>
        <w:t xml:space="preserve">. 2015. “Risk Assessment and Prevention of Pressure Ulcers: A Clinical Practice Guideline from the American College of Physicians.” Annals of Internal Medicine 162 (5): 359–69. </w:t>
      </w:r>
      <w:hyperlink r:id="rId17" w:history="1">
        <w:r w:rsidRPr="007E359B">
          <w:rPr>
            <w:rStyle w:val="Hyperlink"/>
            <w:rFonts w:asciiTheme="minorHAnsi" w:hAnsiTheme="minorHAnsi"/>
            <w:color w:val="FF0000"/>
          </w:rPr>
          <w:t>https://doi.org/10.7326/M14-1567</w:t>
        </w:r>
      </w:hyperlink>
      <w:r w:rsidRPr="007E359B">
        <w:rPr>
          <w:rFonts w:asciiTheme="minorHAnsi" w:hAnsiTheme="minorHAnsi"/>
          <w:color w:val="FF0000"/>
        </w:rPr>
        <w:t>.</w:t>
      </w:r>
    </w:p>
  </w:footnote>
  <w:footnote w:id="45">
    <w:p w14:paraId="797AD31A" w14:textId="5EBB6DC7" w:rsidR="00B043C4" w:rsidRPr="007E359B" w:rsidRDefault="00B043C4">
      <w:pPr>
        <w:pStyle w:val="FootnoteText"/>
        <w:rPr>
          <w:rFonts w:asciiTheme="minorHAnsi" w:hAnsiTheme="minorHAnsi" w:cstheme="minorHAnsi"/>
          <w:color w:val="FF0000"/>
        </w:rPr>
      </w:pPr>
      <w:r w:rsidRPr="007E359B">
        <w:rPr>
          <w:rStyle w:val="FootnoteReference"/>
          <w:rFonts w:asciiTheme="minorHAnsi" w:hAnsiTheme="minorHAnsi" w:cstheme="minorHAnsi"/>
          <w:color w:val="FF0000"/>
        </w:rPr>
        <w:footnoteRef/>
      </w:r>
      <w:r w:rsidRPr="007E359B">
        <w:rPr>
          <w:rFonts w:asciiTheme="minorHAnsi" w:hAnsiTheme="minorHAnsi" w:cstheme="minorHAnsi"/>
          <w:color w:val="FF0000"/>
        </w:rPr>
        <w:t xml:space="preserve"> Refer to footnote 43</w:t>
      </w:r>
    </w:p>
  </w:footnote>
  <w:footnote w:id="46">
    <w:p w14:paraId="53E4FA90" w14:textId="71C9A912" w:rsidR="00B043C4" w:rsidRPr="00390ED3" w:rsidRDefault="00B043C4">
      <w:pPr>
        <w:pStyle w:val="FootnoteText"/>
        <w:rPr>
          <w:rFonts w:asciiTheme="minorHAnsi" w:hAnsiTheme="minorHAnsi"/>
          <w:color w:val="0000FF"/>
        </w:rPr>
      </w:pPr>
      <w:r w:rsidRPr="007E359B">
        <w:rPr>
          <w:rStyle w:val="FootnoteReference"/>
          <w:rFonts w:asciiTheme="minorHAnsi" w:hAnsiTheme="minorHAnsi"/>
          <w:color w:val="FF0000"/>
        </w:rPr>
        <w:footnoteRef/>
      </w:r>
      <w:r w:rsidRPr="007E359B">
        <w:rPr>
          <w:rFonts w:asciiTheme="minorHAnsi" w:hAnsiTheme="minorHAnsi"/>
          <w:color w:val="FF0000"/>
        </w:rPr>
        <w:t xml:space="preserve"> Refer to footnote 43</w:t>
      </w:r>
    </w:p>
  </w:footnote>
  <w:footnote w:id="47">
    <w:p w14:paraId="0BA445DA" w14:textId="48053CB5" w:rsidR="00B043C4" w:rsidRPr="00390ED3" w:rsidRDefault="00B043C4">
      <w:pPr>
        <w:pStyle w:val="FootnoteText"/>
        <w:rPr>
          <w:rFonts w:asciiTheme="minorHAnsi" w:hAnsiTheme="minorHAnsi"/>
        </w:rPr>
      </w:pPr>
      <w:r w:rsidRPr="00390ED3">
        <w:rPr>
          <w:rStyle w:val="FootnoteReference"/>
          <w:rFonts w:asciiTheme="minorHAnsi" w:hAnsiTheme="minorHAnsi"/>
          <w:color w:val="0000FF"/>
        </w:rPr>
        <w:footnoteRef/>
      </w:r>
      <w:r w:rsidRPr="00390ED3">
        <w:rPr>
          <w:rFonts w:asciiTheme="minorHAnsi" w:hAnsiTheme="minorHAnsi"/>
          <w:color w:val="0000FF"/>
        </w:rPr>
        <w:t xml:space="preserve"> Wound, Ostomy and Continence Nurses Society-Wound Guidelines Task Force, Catherine R. Ratliff, Linda R. </w:t>
      </w:r>
      <w:proofErr w:type="spellStart"/>
      <w:r w:rsidRPr="00390ED3">
        <w:rPr>
          <w:rFonts w:asciiTheme="minorHAnsi" w:hAnsiTheme="minorHAnsi"/>
          <w:color w:val="0000FF"/>
        </w:rPr>
        <w:t>Droste</w:t>
      </w:r>
      <w:proofErr w:type="spellEnd"/>
      <w:r w:rsidRPr="00390ED3">
        <w:rPr>
          <w:rFonts w:asciiTheme="minorHAnsi" w:hAnsiTheme="minorHAnsi"/>
          <w:color w:val="0000FF"/>
        </w:rPr>
        <w:t xml:space="preserve">, Phyllis Bonham, Lea </w:t>
      </w:r>
      <w:proofErr w:type="spellStart"/>
      <w:r w:rsidRPr="00390ED3">
        <w:rPr>
          <w:rFonts w:asciiTheme="minorHAnsi" w:hAnsiTheme="minorHAnsi"/>
          <w:color w:val="0000FF"/>
        </w:rPr>
        <w:t>Crestodina</w:t>
      </w:r>
      <w:proofErr w:type="spellEnd"/>
      <w:r w:rsidRPr="00390ED3">
        <w:rPr>
          <w:rFonts w:asciiTheme="minorHAnsi" w:hAnsiTheme="minorHAnsi"/>
          <w:color w:val="0000FF"/>
        </w:rPr>
        <w:t xml:space="preserve">, Jan J. Johnson, Teresa Kelechi, Myra F. </w:t>
      </w:r>
      <w:proofErr w:type="spellStart"/>
      <w:r w:rsidRPr="00390ED3">
        <w:rPr>
          <w:rFonts w:asciiTheme="minorHAnsi" w:hAnsiTheme="minorHAnsi"/>
          <w:color w:val="0000FF"/>
        </w:rPr>
        <w:t>Varnado</w:t>
      </w:r>
      <w:proofErr w:type="spellEnd"/>
      <w:r w:rsidRPr="00390ED3">
        <w:rPr>
          <w:rFonts w:asciiTheme="minorHAnsi" w:hAnsiTheme="minorHAnsi"/>
          <w:color w:val="0000FF"/>
        </w:rPr>
        <w:t xml:space="preserve">, Ronald Palmer, and Becky Carroll. </w:t>
      </w:r>
      <w:r w:rsidRPr="007E359B">
        <w:rPr>
          <w:rFonts w:asciiTheme="minorHAnsi" w:hAnsiTheme="minorHAnsi"/>
          <w:color w:val="FF0000"/>
        </w:rPr>
        <w:t>2017</w:t>
      </w:r>
      <w:r w:rsidRPr="00390ED3">
        <w:rPr>
          <w:rFonts w:asciiTheme="minorHAnsi" w:hAnsiTheme="minorHAnsi"/>
          <w:color w:val="0000FF"/>
        </w:rPr>
        <w:t xml:space="preserve">. “WOCN </w:t>
      </w:r>
      <w:r w:rsidRPr="003A7025">
        <w:rPr>
          <w:rFonts w:asciiTheme="minorHAnsi" w:hAnsiTheme="minorHAnsi"/>
          <w:color w:val="FF0000"/>
        </w:rPr>
        <w:t>2016</w:t>
      </w:r>
      <w:r w:rsidRPr="00390ED3">
        <w:rPr>
          <w:rFonts w:asciiTheme="minorHAnsi" w:hAnsiTheme="minorHAnsi"/>
          <w:color w:val="0000FF"/>
        </w:rPr>
        <w:t xml:space="preserve"> Guideline for Prevention and Management of Pressure Injuries (Ulcers</w:t>
      </w:r>
      <w:r w:rsidRPr="003A7025">
        <w:rPr>
          <w:rFonts w:asciiTheme="minorHAnsi" w:hAnsiTheme="minorHAnsi"/>
          <w:color w:val="0000FF"/>
        </w:rPr>
        <w:t>):</w:t>
      </w:r>
      <w:r w:rsidRPr="003A7025">
        <w:rPr>
          <w:rFonts w:asciiTheme="minorHAnsi" w:hAnsiTheme="minorHAnsi"/>
          <w:color w:val="FF0000"/>
        </w:rPr>
        <w:t xml:space="preserve"> An Executive Summary</w:t>
      </w:r>
      <w:r w:rsidRPr="00390ED3">
        <w:rPr>
          <w:rFonts w:asciiTheme="minorHAnsi" w:hAnsiTheme="minorHAnsi"/>
          <w:color w:val="0000FF"/>
        </w:rPr>
        <w:t xml:space="preserve">.” Journal of Wound, Ostomy and Continence Nursing 44 (3): 241–46. </w:t>
      </w:r>
      <w:hyperlink r:id="rId18" w:history="1">
        <w:r w:rsidRPr="004E5137">
          <w:rPr>
            <w:rStyle w:val="Hyperlink"/>
            <w:rFonts w:asciiTheme="minorHAnsi" w:hAnsiTheme="minorHAnsi"/>
          </w:rPr>
          <w:t>https://doi.org/10.1097/WON.0000000000000321</w:t>
        </w:r>
      </w:hyperlink>
      <w:r w:rsidRPr="00390ED3">
        <w:rPr>
          <w:rFonts w:asciiTheme="minorHAnsi" w:hAnsiTheme="minorHAnsi"/>
          <w:color w:val="0000FF"/>
        </w:rPr>
        <w:t>.</w:t>
      </w:r>
    </w:p>
  </w:footnote>
  <w:footnote w:id="48">
    <w:p w14:paraId="60B9D173" w14:textId="38994979" w:rsidR="00B043C4" w:rsidRPr="007E359B" w:rsidRDefault="00B043C4">
      <w:pPr>
        <w:pStyle w:val="FootnoteText"/>
        <w:rPr>
          <w:rFonts w:asciiTheme="minorHAnsi" w:hAnsiTheme="minorHAnsi"/>
          <w:color w:val="FF0000"/>
        </w:rPr>
      </w:pPr>
      <w:r w:rsidRPr="007E359B">
        <w:rPr>
          <w:rStyle w:val="FootnoteReference"/>
          <w:rFonts w:asciiTheme="minorHAnsi" w:hAnsiTheme="minorHAnsi"/>
          <w:color w:val="FF0000"/>
        </w:rPr>
        <w:footnoteRef/>
      </w:r>
      <w:r w:rsidRPr="007E359B">
        <w:rPr>
          <w:rFonts w:asciiTheme="minorHAnsi" w:hAnsiTheme="minorHAnsi"/>
          <w:color w:val="FF0000"/>
        </w:rPr>
        <w:t xml:space="preserve"> Gaspar, Susana, Miguel Peralta, </w:t>
      </w:r>
      <w:proofErr w:type="spellStart"/>
      <w:r w:rsidRPr="007E359B">
        <w:rPr>
          <w:rFonts w:asciiTheme="minorHAnsi" w:hAnsiTheme="minorHAnsi"/>
          <w:color w:val="FF0000"/>
        </w:rPr>
        <w:t>Adilson</w:t>
      </w:r>
      <w:proofErr w:type="spellEnd"/>
      <w:r w:rsidRPr="007E359B">
        <w:rPr>
          <w:rFonts w:asciiTheme="minorHAnsi" w:hAnsiTheme="minorHAnsi"/>
          <w:color w:val="FF0000"/>
        </w:rPr>
        <w:t xml:space="preserve"> Marques, </w:t>
      </w:r>
      <w:proofErr w:type="spellStart"/>
      <w:r w:rsidRPr="007E359B">
        <w:rPr>
          <w:rFonts w:asciiTheme="minorHAnsi" w:hAnsiTheme="minorHAnsi"/>
          <w:color w:val="FF0000"/>
        </w:rPr>
        <w:t>Aglécia</w:t>
      </w:r>
      <w:proofErr w:type="spellEnd"/>
      <w:r w:rsidRPr="007E359B">
        <w:rPr>
          <w:rFonts w:asciiTheme="minorHAnsi" w:hAnsiTheme="minorHAnsi"/>
          <w:color w:val="FF0000"/>
        </w:rPr>
        <w:t xml:space="preserve"> </w:t>
      </w:r>
      <w:proofErr w:type="spellStart"/>
      <w:r w:rsidRPr="007E359B">
        <w:rPr>
          <w:rFonts w:asciiTheme="minorHAnsi" w:hAnsiTheme="minorHAnsi"/>
          <w:color w:val="FF0000"/>
        </w:rPr>
        <w:t>Budri</w:t>
      </w:r>
      <w:proofErr w:type="spellEnd"/>
      <w:r w:rsidRPr="007E359B">
        <w:rPr>
          <w:rFonts w:asciiTheme="minorHAnsi" w:hAnsiTheme="minorHAnsi"/>
          <w:color w:val="FF0000"/>
        </w:rPr>
        <w:t xml:space="preserve">, and Margarida Gaspar de Matos. 2019. “Effectiveness on Hospital-Acquired Pressure Ulcers Prevention: A Systematic Review.” International Wound Journal 16 (5): 1087–1102. </w:t>
      </w:r>
      <w:hyperlink r:id="rId19" w:history="1">
        <w:r w:rsidRPr="007E359B">
          <w:rPr>
            <w:rStyle w:val="Hyperlink"/>
            <w:rFonts w:asciiTheme="minorHAnsi" w:hAnsiTheme="minorHAnsi"/>
            <w:color w:val="FF0000"/>
          </w:rPr>
          <w:t>https://doi.org/10.1111/iwj.13147</w:t>
        </w:r>
      </w:hyperlink>
      <w:r w:rsidRPr="007E359B">
        <w:rPr>
          <w:rFonts w:asciiTheme="minorHAnsi" w:hAnsiTheme="minorHAnsi"/>
          <w:color w:val="FF0000"/>
        </w:rPr>
        <w:t>.</w:t>
      </w:r>
    </w:p>
  </w:footnote>
  <w:footnote w:id="49">
    <w:p w14:paraId="5052CB23" w14:textId="4D0E23AA" w:rsidR="00B043C4" w:rsidRPr="007E359B" w:rsidRDefault="00B043C4">
      <w:pPr>
        <w:pStyle w:val="FootnoteText"/>
        <w:rPr>
          <w:rFonts w:asciiTheme="minorHAnsi" w:hAnsiTheme="minorHAnsi"/>
          <w:color w:val="FF0000"/>
        </w:rPr>
      </w:pPr>
      <w:r w:rsidRPr="007E359B">
        <w:rPr>
          <w:rStyle w:val="FootnoteReference"/>
          <w:rFonts w:asciiTheme="minorHAnsi" w:hAnsiTheme="minorHAnsi"/>
          <w:color w:val="FF0000"/>
        </w:rPr>
        <w:footnoteRef/>
      </w:r>
      <w:r w:rsidRPr="007E359B">
        <w:rPr>
          <w:rFonts w:asciiTheme="minorHAnsi" w:hAnsiTheme="minorHAnsi"/>
          <w:color w:val="FF0000"/>
        </w:rPr>
        <w:t xml:space="preserve"> Refer to footnote 46</w:t>
      </w:r>
    </w:p>
  </w:footnote>
  <w:footnote w:id="50">
    <w:p w14:paraId="5BE845FD" w14:textId="111A6037" w:rsidR="00B043C4" w:rsidRPr="007E359B" w:rsidRDefault="00B043C4">
      <w:pPr>
        <w:pStyle w:val="FootnoteText"/>
        <w:rPr>
          <w:rFonts w:asciiTheme="minorHAnsi" w:hAnsiTheme="minorHAnsi"/>
          <w:color w:val="FF0000"/>
        </w:rPr>
      </w:pPr>
      <w:r w:rsidRPr="007E359B">
        <w:rPr>
          <w:rStyle w:val="FootnoteReference"/>
          <w:rFonts w:asciiTheme="minorHAnsi" w:hAnsiTheme="minorHAnsi"/>
          <w:color w:val="FF0000"/>
        </w:rPr>
        <w:footnoteRef/>
      </w:r>
      <w:r w:rsidRPr="007E359B">
        <w:rPr>
          <w:rFonts w:asciiTheme="minorHAnsi" w:hAnsiTheme="minorHAnsi"/>
          <w:color w:val="FF0000"/>
        </w:rPr>
        <w:t xml:space="preserve"> Bergstrom, Nancy, Susan D. Horn, Mary Pat Rapp, Anita Stern, Ryan Barrett, and Michael </w:t>
      </w:r>
      <w:proofErr w:type="spellStart"/>
      <w:r w:rsidRPr="007E359B">
        <w:rPr>
          <w:rFonts w:asciiTheme="minorHAnsi" w:hAnsiTheme="minorHAnsi"/>
          <w:color w:val="FF0000"/>
        </w:rPr>
        <w:t>Watkiss</w:t>
      </w:r>
      <w:proofErr w:type="spellEnd"/>
      <w:r w:rsidRPr="007E359B">
        <w:rPr>
          <w:rFonts w:asciiTheme="minorHAnsi" w:hAnsiTheme="minorHAnsi"/>
          <w:color w:val="FF0000"/>
        </w:rPr>
        <w:t xml:space="preserve">. 2013. “Turning for Ulcer Reduction: A Multisite Randomized Clinical Trial in Nursing Homes.” Journal of the American Geriatrics Society 61 (10): 1705–13. </w:t>
      </w:r>
      <w:hyperlink r:id="rId20" w:history="1">
        <w:r w:rsidRPr="007E359B">
          <w:rPr>
            <w:rStyle w:val="Hyperlink"/>
            <w:rFonts w:asciiTheme="minorHAnsi" w:hAnsiTheme="minorHAnsi"/>
            <w:color w:val="FF0000"/>
          </w:rPr>
          <w:t>https://doi.org/10.1111/jgs.12440</w:t>
        </w:r>
      </w:hyperlink>
      <w:r w:rsidRPr="007E359B">
        <w:rPr>
          <w:rFonts w:asciiTheme="minorHAnsi" w:hAnsiTheme="minorHAnsi"/>
          <w:color w:val="FF0000"/>
        </w:rPr>
        <w:t>.</w:t>
      </w:r>
    </w:p>
  </w:footnote>
  <w:footnote w:id="51">
    <w:p w14:paraId="5622819B" w14:textId="202E40E5" w:rsidR="00B043C4" w:rsidRPr="007E359B" w:rsidRDefault="00B043C4">
      <w:pPr>
        <w:pStyle w:val="FootnoteText"/>
        <w:rPr>
          <w:rFonts w:asciiTheme="minorHAnsi" w:hAnsiTheme="minorHAnsi"/>
          <w:color w:val="FF0000"/>
        </w:rPr>
      </w:pPr>
      <w:r w:rsidRPr="007E359B">
        <w:rPr>
          <w:rStyle w:val="FootnoteReference"/>
          <w:rFonts w:asciiTheme="minorHAnsi" w:hAnsiTheme="minorHAnsi"/>
          <w:color w:val="FF0000"/>
        </w:rPr>
        <w:footnoteRef/>
      </w:r>
      <w:r w:rsidRPr="007E359B">
        <w:rPr>
          <w:rFonts w:asciiTheme="minorHAnsi" w:hAnsiTheme="minorHAnsi"/>
          <w:color w:val="FF0000"/>
        </w:rPr>
        <w:t xml:space="preserve"> Refer to footnote 48</w:t>
      </w:r>
    </w:p>
  </w:footnote>
  <w:footnote w:id="52">
    <w:p w14:paraId="48C9DD36" w14:textId="6A745096" w:rsidR="00B043C4" w:rsidRPr="007E359B" w:rsidRDefault="00B043C4">
      <w:pPr>
        <w:pStyle w:val="FootnoteText"/>
        <w:rPr>
          <w:rFonts w:asciiTheme="minorHAnsi" w:hAnsiTheme="minorHAnsi"/>
          <w:color w:val="FF0000"/>
        </w:rPr>
      </w:pPr>
      <w:r w:rsidRPr="007E359B">
        <w:rPr>
          <w:rStyle w:val="FootnoteReference"/>
          <w:rFonts w:asciiTheme="minorHAnsi" w:hAnsiTheme="minorHAnsi"/>
          <w:color w:val="FF0000"/>
        </w:rPr>
        <w:footnoteRef/>
      </w:r>
      <w:r w:rsidRPr="007E359B">
        <w:rPr>
          <w:rFonts w:asciiTheme="minorHAnsi" w:hAnsiTheme="minorHAnsi"/>
          <w:color w:val="FF0000"/>
        </w:rPr>
        <w:t xml:space="preserve"> Oliveira, A. L., Z. Moore, T. O’Connor, and D. Patton. 2017. “Accuracy of Ultrasound, Thermography and </w:t>
      </w:r>
      <w:proofErr w:type="spellStart"/>
      <w:r w:rsidRPr="007E359B">
        <w:rPr>
          <w:rFonts w:asciiTheme="minorHAnsi" w:hAnsiTheme="minorHAnsi"/>
          <w:color w:val="FF0000"/>
        </w:rPr>
        <w:t>Subepidermal</w:t>
      </w:r>
      <w:proofErr w:type="spellEnd"/>
      <w:r w:rsidRPr="007E359B">
        <w:rPr>
          <w:rFonts w:asciiTheme="minorHAnsi" w:hAnsiTheme="minorHAnsi"/>
          <w:color w:val="FF0000"/>
        </w:rPr>
        <w:t xml:space="preserve"> Moisture in Predicting Pressure Ulcers: A Systematic Review.” Journal of Wound Care. MA Healthcare Ltd. </w:t>
      </w:r>
      <w:hyperlink r:id="rId21" w:history="1">
        <w:r w:rsidRPr="007E359B">
          <w:rPr>
            <w:rStyle w:val="Hyperlink"/>
            <w:rFonts w:asciiTheme="minorHAnsi" w:hAnsiTheme="minorHAnsi"/>
            <w:color w:val="FF0000"/>
          </w:rPr>
          <w:t>https://doi.org/10.12968/jowc.2017.26.5.199</w:t>
        </w:r>
      </w:hyperlink>
      <w:r w:rsidRPr="007E359B">
        <w:rPr>
          <w:rFonts w:asciiTheme="minorHAnsi" w:hAnsiTheme="minorHAnsi"/>
          <w:color w:val="FF0000"/>
        </w:rPr>
        <w:t>.</w:t>
      </w:r>
    </w:p>
  </w:footnote>
  <w:footnote w:id="53">
    <w:p w14:paraId="75998A76" w14:textId="143B4244" w:rsidR="00B043C4" w:rsidRPr="00390ED3" w:rsidRDefault="00B043C4">
      <w:pPr>
        <w:pStyle w:val="FootnoteText"/>
        <w:rPr>
          <w:rFonts w:asciiTheme="minorHAnsi" w:hAnsiTheme="minorHAnsi"/>
          <w:color w:val="0000FF"/>
        </w:rPr>
      </w:pPr>
      <w:r w:rsidRPr="007E359B">
        <w:rPr>
          <w:rStyle w:val="FootnoteReference"/>
          <w:rFonts w:asciiTheme="minorHAnsi" w:hAnsiTheme="minorHAnsi"/>
          <w:color w:val="FF0000"/>
        </w:rPr>
        <w:footnoteRef/>
      </w:r>
      <w:r w:rsidRPr="007E359B">
        <w:rPr>
          <w:rFonts w:asciiTheme="minorHAnsi" w:hAnsiTheme="minorHAnsi"/>
          <w:color w:val="FF0000"/>
        </w:rPr>
        <w:t xml:space="preserve"> Refer to footnote 39</w:t>
      </w:r>
    </w:p>
  </w:footnote>
  <w:footnote w:id="54">
    <w:p w14:paraId="1EC3A41E" w14:textId="46090291" w:rsidR="00B043C4" w:rsidRPr="007E359B" w:rsidRDefault="00B043C4">
      <w:pPr>
        <w:pStyle w:val="FootnoteText"/>
        <w:rPr>
          <w:color w:val="FF0000"/>
        </w:rPr>
      </w:pPr>
      <w:r w:rsidRPr="007E359B">
        <w:rPr>
          <w:rStyle w:val="FootnoteReference"/>
          <w:rFonts w:asciiTheme="minorHAnsi" w:hAnsiTheme="minorHAnsi"/>
          <w:color w:val="FF0000"/>
        </w:rPr>
        <w:footnoteRef/>
      </w:r>
      <w:r w:rsidRPr="007E359B">
        <w:rPr>
          <w:rFonts w:asciiTheme="minorHAnsi" w:hAnsiTheme="minorHAnsi"/>
          <w:color w:val="FF0000"/>
        </w:rPr>
        <w:t xml:space="preserve"> Refer to footnote 23</w:t>
      </w:r>
    </w:p>
  </w:footnote>
  <w:footnote w:id="55">
    <w:p w14:paraId="70E306CA" w14:textId="4A30D6FC" w:rsidR="00B043C4" w:rsidRPr="007E359B" w:rsidRDefault="00B043C4">
      <w:pPr>
        <w:pStyle w:val="FootnoteText"/>
        <w:rPr>
          <w:rFonts w:asciiTheme="minorHAnsi" w:hAnsiTheme="minorHAnsi"/>
          <w:color w:val="FF0000"/>
        </w:rPr>
      </w:pPr>
      <w:r w:rsidRPr="007E359B">
        <w:rPr>
          <w:rStyle w:val="FootnoteReference"/>
          <w:rFonts w:asciiTheme="minorHAnsi" w:hAnsiTheme="minorHAnsi"/>
          <w:color w:val="FF0000"/>
        </w:rPr>
        <w:footnoteRef/>
      </w:r>
      <w:r w:rsidRPr="007E359B">
        <w:rPr>
          <w:rFonts w:asciiTheme="minorHAnsi" w:hAnsiTheme="minorHAnsi"/>
          <w:color w:val="FF0000"/>
        </w:rPr>
        <w:t xml:space="preserve"> Refer to footnote 39</w:t>
      </w:r>
    </w:p>
  </w:footnote>
  <w:footnote w:id="56">
    <w:p w14:paraId="0E3A76D7" w14:textId="1AF2D3A7" w:rsidR="00B043C4" w:rsidRPr="007E359B" w:rsidRDefault="00B043C4">
      <w:pPr>
        <w:pStyle w:val="FootnoteText"/>
        <w:rPr>
          <w:rFonts w:asciiTheme="minorHAnsi" w:hAnsiTheme="minorHAnsi"/>
          <w:color w:val="FF0000"/>
        </w:rPr>
      </w:pPr>
      <w:r w:rsidRPr="007E359B">
        <w:rPr>
          <w:rStyle w:val="FootnoteReference"/>
          <w:rFonts w:asciiTheme="minorHAnsi" w:hAnsiTheme="minorHAnsi"/>
          <w:color w:val="FF0000"/>
        </w:rPr>
        <w:footnoteRef/>
      </w:r>
      <w:r w:rsidRPr="007E359B">
        <w:rPr>
          <w:rFonts w:asciiTheme="minorHAnsi" w:hAnsiTheme="minorHAnsi"/>
          <w:color w:val="FF0000"/>
        </w:rPr>
        <w:t xml:space="preserve"> Refer to footnote 45</w:t>
      </w:r>
    </w:p>
  </w:footnote>
  <w:footnote w:id="57">
    <w:p w14:paraId="4CEF1F99" w14:textId="008F773D" w:rsidR="00B043C4" w:rsidRPr="007E359B" w:rsidRDefault="00B043C4">
      <w:pPr>
        <w:pStyle w:val="FootnoteText"/>
        <w:rPr>
          <w:rFonts w:asciiTheme="minorHAnsi" w:hAnsiTheme="minorHAnsi"/>
          <w:color w:val="FF0000"/>
        </w:rPr>
      </w:pPr>
      <w:r w:rsidRPr="007E359B">
        <w:rPr>
          <w:rStyle w:val="FootnoteReference"/>
          <w:rFonts w:asciiTheme="minorHAnsi" w:hAnsiTheme="minorHAnsi"/>
          <w:color w:val="FF0000"/>
        </w:rPr>
        <w:footnoteRef/>
      </w:r>
      <w:r w:rsidRPr="007E359B">
        <w:rPr>
          <w:rFonts w:asciiTheme="minorHAnsi" w:hAnsiTheme="minorHAnsi"/>
          <w:color w:val="FF0000"/>
        </w:rPr>
        <w:t xml:space="preserve"> </w:t>
      </w:r>
      <w:proofErr w:type="spellStart"/>
      <w:r w:rsidRPr="007E359B">
        <w:rPr>
          <w:rFonts w:asciiTheme="minorHAnsi" w:hAnsiTheme="minorHAnsi"/>
          <w:color w:val="FF0000"/>
        </w:rPr>
        <w:t>Qaseem</w:t>
      </w:r>
      <w:proofErr w:type="spellEnd"/>
      <w:r w:rsidRPr="007E359B">
        <w:rPr>
          <w:rFonts w:asciiTheme="minorHAnsi" w:hAnsiTheme="minorHAnsi"/>
          <w:color w:val="FF0000"/>
        </w:rPr>
        <w:t xml:space="preserve">, Amir, Linda L. Humphrey, Mary Ann </w:t>
      </w:r>
      <w:proofErr w:type="spellStart"/>
      <w:r w:rsidRPr="007E359B">
        <w:rPr>
          <w:rFonts w:asciiTheme="minorHAnsi" w:hAnsiTheme="minorHAnsi"/>
          <w:color w:val="FF0000"/>
        </w:rPr>
        <w:t>Forciea</w:t>
      </w:r>
      <w:proofErr w:type="spellEnd"/>
      <w:r w:rsidRPr="007E359B">
        <w:rPr>
          <w:rFonts w:asciiTheme="minorHAnsi" w:hAnsiTheme="minorHAnsi"/>
          <w:color w:val="FF0000"/>
        </w:rPr>
        <w:t xml:space="preserve">, Melissa Starkey, and Thomas D. </w:t>
      </w:r>
      <w:proofErr w:type="spellStart"/>
      <w:r w:rsidRPr="007E359B">
        <w:rPr>
          <w:rFonts w:asciiTheme="minorHAnsi" w:hAnsiTheme="minorHAnsi"/>
          <w:color w:val="FF0000"/>
        </w:rPr>
        <w:t>Denberg</w:t>
      </w:r>
      <w:proofErr w:type="spellEnd"/>
      <w:r w:rsidRPr="007E359B">
        <w:rPr>
          <w:rFonts w:asciiTheme="minorHAnsi" w:hAnsiTheme="minorHAnsi"/>
          <w:color w:val="FF0000"/>
        </w:rPr>
        <w:t xml:space="preserve">. 2015. “Treatment of Pressure Ulcers: A Clinical Practice Guideline </w:t>
      </w:r>
      <w:proofErr w:type="gramStart"/>
      <w:r w:rsidRPr="007E359B">
        <w:rPr>
          <w:rFonts w:asciiTheme="minorHAnsi" w:hAnsiTheme="minorHAnsi"/>
          <w:color w:val="FF0000"/>
        </w:rPr>
        <w:t>From</w:t>
      </w:r>
      <w:proofErr w:type="gramEnd"/>
      <w:r w:rsidRPr="007E359B">
        <w:rPr>
          <w:rFonts w:asciiTheme="minorHAnsi" w:hAnsiTheme="minorHAnsi"/>
          <w:color w:val="FF0000"/>
        </w:rPr>
        <w:t xml:space="preserve"> the American College of Physicians.” Annals of Internal Medicine 162 (5): 370–79. </w:t>
      </w:r>
      <w:hyperlink r:id="rId22" w:history="1">
        <w:r w:rsidRPr="007E359B">
          <w:rPr>
            <w:rStyle w:val="Hyperlink"/>
            <w:rFonts w:asciiTheme="minorHAnsi" w:hAnsiTheme="minorHAnsi"/>
            <w:color w:val="FF0000"/>
          </w:rPr>
          <w:t>https://doi.org/10.7326/M14-1568</w:t>
        </w:r>
      </w:hyperlink>
      <w:r w:rsidRPr="007E359B">
        <w:rPr>
          <w:rFonts w:asciiTheme="minorHAnsi" w:hAnsiTheme="minorHAnsi"/>
          <w:color w:val="FF0000"/>
        </w:rPr>
        <w:t>.</w:t>
      </w:r>
    </w:p>
  </w:footnote>
  <w:footnote w:id="58">
    <w:p w14:paraId="199F2F49" w14:textId="2C9994FA" w:rsidR="00B043C4" w:rsidRDefault="00B043C4">
      <w:pPr>
        <w:pStyle w:val="FootnoteText"/>
      </w:pPr>
      <w:r w:rsidRPr="007E359B">
        <w:rPr>
          <w:rStyle w:val="FootnoteReference"/>
          <w:rFonts w:asciiTheme="minorHAnsi" w:hAnsiTheme="minorHAnsi"/>
          <w:color w:val="FF0000"/>
        </w:rPr>
        <w:footnoteRef/>
      </w:r>
      <w:r w:rsidRPr="007E359B">
        <w:rPr>
          <w:rFonts w:asciiTheme="minorHAnsi" w:hAnsiTheme="minorHAnsi"/>
          <w:color w:val="FF0000"/>
        </w:rPr>
        <w:t xml:space="preserve"> Refer to footnote 55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2" w14:textId="77777777" w:rsidR="00B043C4" w:rsidRDefault="00B043C4"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57698"/>
    <w:multiLevelType w:val="hybridMultilevel"/>
    <w:tmpl w:val="092A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A22412"/>
    <w:multiLevelType w:val="hybridMultilevel"/>
    <w:tmpl w:val="DA661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FA4474"/>
    <w:multiLevelType w:val="hybridMultilevel"/>
    <w:tmpl w:val="D33E7C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773335"/>
    <w:multiLevelType w:val="hybridMultilevel"/>
    <w:tmpl w:val="031EF0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0D64909"/>
    <w:multiLevelType w:val="hybridMultilevel"/>
    <w:tmpl w:val="4CB08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7D05B32"/>
    <w:multiLevelType w:val="hybridMultilevel"/>
    <w:tmpl w:val="CD826D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A614C0"/>
    <w:multiLevelType w:val="hybridMultilevel"/>
    <w:tmpl w:val="B4B4EDA2"/>
    <w:lvl w:ilvl="0" w:tplc="04090001">
      <w:start w:val="1"/>
      <w:numFmt w:val="bullet"/>
      <w:lvlText w:val=""/>
      <w:lvlJc w:val="left"/>
      <w:pPr>
        <w:ind w:left="720" w:hanging="360"/>
      </w:pPr>
      <w:rPr>
        <w:rFonts w:ascii="Symbol" w:hAnsi="Symbol" w:hint="default"/>
      </w:rPr>
    </w:lvl>
    <w:lvl w:ilvl="1" w:tplc="FB2A0596">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D361C5"/>
    <w:multiLevelType w:val="hybridMultilevel"/>
    <w:tmpl w:val="F6F84F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156525"/>
    <w:multiLevelType w:val="hybridMultilevel"/>
    <w:tmpl w:val="12C215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BCE2905"/>
    <w:multiLevelType w:val="hybridMultilevel"/>
    <w:tmpl w:val="B6C64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02412FF"/>
    <w:multiLevelType w:val="hybridMultilevel"/>
    <w:tmpl w:val="04A487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CC6841"/>
    <w:multiLevelType w:val="hybridMultilevel"/>
    <w:tmpl w:val="82A8CD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E76D8F"/>
    <w:multiLevelType w:val="hybridMultilevel"/>
    <w:tmpl w:val="A6522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3A11B7"/>
    <w:multiLevelType w:val="hybridMultilevel"/>
    <w:tmpl w:val="E1C86676"/>
    <w:lvl w:ilvl="0" w:tplc="C71877D6">
      <w:start w:val="1"/>
      <w:numFmt w:val="decimal"/>
      <w:lvlText w:val="%1."/>
      <w:lvlJc w:val="left"/>
      <w:pPr>
        <w:ind w:left="907"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7" w15:restartNumberingAfterBreak="0">
    <w:nsid w:val="76613B60"/>
    <w:multiLevelType w:val="hybridMultilevel"/>
    <w:tmpl w:val="19FC6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3"/>
  </w:num>
  <w:num w:numId="4">
    <w:abstractNumId w:val="7"/>
  </w:num>
  <w:num w:numId="5">
    <w:abstractNumId w:val="0"/>
  </w:num>
  <w:num w:numId="6">
    <w:abstractNumId w:val="16"/>
  </w:num>
  <w:num w:numId="7">
    <w:abstractNumId w:val="3"/>
  </w:num>
  <w:num w:numId="8">
    <w:abstractNumId w:val="8"/>
  </w:num>
  <w:num w:numId="9">
    <w:abstractNumId w:val="10"/>
  </w:num>
  <w:num w:numId="10">
    <w:abstractNumId w:val="9"/>
  </w:num>
  <w:num w:numId="11">
    <w:abstractNumId w:val="12"/>
  </w:num>
  <w:num w:numId="12">
    <w:abstractNumId w:val="14"/>
  </w:num>
  <w:num w:numId="13">
    <w:abstractNumId w:val="6"/>
  </w:num>
  <w:num w:numId="14">
    <w:abstractNumId w:val="4"/>
  </w:num>
  <w:num w:numId="15">
    <w:abstractNumId w:val="1"/>
  </w:num>
  <w:num w:numId="16">
    <w:abstractNumId w:val="2"/>
  </w:num>
  <w:num w:numId="17">
    <w:abstractNumId w:val="11"/>
  </w:num>
  <w:num w:numId="1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1"/>
  <w:proofState w:spelling="clean" w:grammar="clean"/>
  <w:defaultTabStop w:val="720"/>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007D8"/>
    <w:rsid w:val="00002569"/>
    <w:rsid w:val="00003C79"/>
    <w:rsid w:val="000043B9"/>
    <w:rsid w:val="0000773A"/>
    <w:rsid w:val="00010066"/>
    <w:rsid w:val="00010F2D"/>
    <w:rsid w:val="00013C6B"/>
    <w:rsid w:val="00014A70"/>
    <w:rsid w:val="00015268"/>
    <w:rsid w:val="00015986"/>
    <w:rsid w:val="000160E6"/>
    <w:rsid w:val="000204B3"/>
    <w:rsid w:val="00021448"/>
    <w:rsid w:val="00024526"/>
    <w:rsid w:val="00024B85"/>
    <w:rsid w:val="00024C4A"/>
    <w:rsid w:val="0002538A"/>
    <w:rsid w:val="00027E36"/>
    <w:rsid w:val="00030F43"/>
    <w:rsid w:val="000330CD"/>
    <w:rsid w:val="000348AF"/>
    <w:rsid w:val="00036244"/>
    <w:rsid w:val="00036377"/>
    <w:rsid w:val="00036F21"/>
    <w:rsid w:val="000375D9"/>
    <w:rsid w:val="00040226"/>
    <w:rsid w:val="00040421"/>
    <w:rsid w:val="00040DCF"/>
    <w:rsid w:val="00042201"/>
    <w:rsid w:val="0004431B"/>
    <w:rsid w:val="00044CD8"/>
    <w:rsid w:val="0004667A"/>
    <w:rsid w:val="00046869"/>
    <w:rsid w:val="00050382"/>
    <w:rsid w:val="00050520"/>
    <w:rsid w:val="00050E0B"/>
    <w:rsid w:val="000517AB"/>
    <w:rsid w:val="000523B5"/>
    <w:rsid w:val="00052C0B"/>
    <w:rsid w:val="0005368A"/>
    <w:rsid w:val="00055A34"/>
    <w:rsid w:val="00055B9A"/>
    <w:rsid w:val="00060D86"/>
    <w:rsid w:val="00060EE1"/>
    <w:rsid w:val="00061CF3"/>
    <w:rsid w:val="00062C80"/>
    <w:rsid w:val="00063583"/>
    <w:rsid w:val="00063601"/>
    <w:rsid w:val="0006411F"/>
    <w:rsid w:val="00065E05"/>
    <w:rsid w:val="00066BCC"/>
    <w:rsid w:val="00067918"/>
    <w:rsid w:val="0007036D"/>
    <w:rsid w:val="00073079"/>
    <w:rsid w:val="00073880"/>
    <w:rsid w:val="000743E9"/>
    <w:rsid w:val="0007593F"/>
    <w:rsid w:val="00076E58"/>
    <w:rsid w:val="000801D2"/>
    <w:rsid w:val="00085B15"/>
    <w:rsid w:val="000865D8"/>
    <w:rsid w:val="00086D7F"/>
    <w:rsid w:val="00091464"/>
    <w:rsid w:val="00094702"/>
    <w:rsid w:val="00095EC9"/>
    <w:rsid w:val="00096A37"/>
    <w:rsid w:val="00096FE1"/>
    <w:rsid w:val="000A0810"/>
    <w:rsid w:val="000A1EB4"/>
    <w:rsid w:val="000A34E7"/>
    <w:rsid w:val="000A37C3"/>
    <w:rsid w:val="000A3F50"/>
    <w:rsid w:val="000A4151"/>
    <w:rsid w:val="000A44B9"/>
    <w:rsid w:val="000B0249"/>
    <w:rsid w:val="000B1E35"/>
    <w:rsid w:val="000B2F6F"/>
    <w:rsid w:val="000B54C0"/>
    <w:rsid w:val="000B627F"/>
    <w:rsid w:val="000C0E98"/>
    <w:rsid w:val="000C1F49"/>
    <w:rsid w:val="000C32FE"/>
    <w:rsid w:val="000C3B38"/>
    <w:rsid w:val="000C5C84"/>
    <w:rsid w:val="000C6657"/>
    <w:rsid w:val="000D2153"/>
    <w:rsid w:val="000D21F8"/>
    <w:rsid w:val="000D649E"/>
    <w:rsid w:val="000D6D06"/>
    <w:rsid w:val="000E06E1"/>
    <w:rsid w:val="000E1D18"/>
    <w:rsid w:val="000E2B49"/>
    <w:rsid w:val="000E5C93"/>
    <w:rsid w:val="000F08DC"/>
    <w:rsid w:val="000F19BC"/>
    <w:rsid w:val="000F1CAA"/>
    <w:rsid w:val="000F4A7F"/>
    <w:rsid w:val="000F57E7"/>
    <w:rsid w:val="0010042F"/>
    <w:rsid w:val="0010112E"/>
    <w:rsid w:val="001013F5"/>
    <w:rsid w:val="00102648"/>
    <w:rsid w:val="00102773"/>
    <w:rsid w:val="001033B6"/>
    <w:rsid w:val="001038F3"/>
    <w:rsid w:val="00105775"/>
    <w:rsid w:val="0010659B"/>
    <w:rsid w:val="001075D6"/>
    <w:rsid w:val="00107A5A"/>
    <w:rsid w:val="00111C9D"/>
    <w:rsid w:val="00111E3B"/>
    <w:rsid w:val="001126E6"/>
    <w:rsid w:val="00113374"/>
    <w:rsid w:val="00114848"/>
    <w:rsid w:val="001155BC"/>
    <w:rsid w:val="0011624C"/>
    <w:rsid w:val="00120934"/>
    <w:rsid w:val="00123488"/>
    <w:rsid w:val="0012535B"/>
    <w:rsid w:val="00127DF3"/>
    <w:rsid w:val="00130286"/>
    <w:rsid w:val="001315F5"/>
    <w:rsid w:val="00132070"/>
    <w:rsid w:val="001320AA"/>
    <w:rsid w:val="00132910"/>
    <w:rsid w:val="001331EC"/>
    <w:rsid w:val="0013439F"/>
    <w:rsid w:val="00135251"/>
    <w:rsid w:val="00135E47"/>
    <w:rsid w:val="00141226"/>
    <w:rsid w:val="00141875"/>
    <w:rsid w:val="00141BDB"/>
    <w:rsid w:val="0014327F"/>
    <w:rsid w:val="00143434"/>
    <w:rsid w:val="0014347E"/>
    <w:rsid w:val="00145A0F"/>
    <w:rsid w:val="00146E4D"/>
    <w:rsid w:val="001527EC"/>
    <w:rsid w:val="0015343A"/>
    <w:rsid w:val="00154438"/>
    <w:rsid w:val="00155138"/>
    <w:rsid w:val="001551F6"/>
    <w:rsid w:val="0015535B"/>
    <w:rsid w:val="00161BF0"/>
    <w:rsid w:val="00162036"/>
    <w:rsid w:val="001632DD"/>
    <w:rsid w:val="001639B3"/>
    <w:rsid w:val="00163C62"/>
    <w:rsid w:val="001642C5"/>
    <w:rsid w:val="00164F11"/>
    <w:rsid w:val="0016531C"/>
    <w:rsid w:val="00166490"/>
    <w:rsid w:val="00166B55"/>
    <w:rsid w:val="00170C93"/>
    <w:rsid w:val="001710F3"/>
    <w:rsid w:val="00171EFD"/>
    <w:rsid w:val="001726F0"/>
    <w:rsid w:val="00172CCF"/>
    <w:rsid w:val="001766E3"/>
    <w:rsid w:val="00176E60"/>
    <w:rsid w:val="0018332A"/>
    <w:rsid w:val="0018429E"/>
    <w:rsid w:val="00184342"/>
    <w:rsid w:val="00186ABC"/>
    <w:rsid w:val="001870AB"/>
    <w:rsid w:val="0019107E"/>
    <w:rsid w:val="00192E83"/>
    <w:rsid w:val="00194913"/>
    <w:rsid w:val="00194D9A"/>
    <w:rsid w:val="00197A16"/>
    <w:rsid w:val="00197A61"/>
    <w:rsid w:val="001A196B"/>
    <w:rsid w:val="001A3544"/>
    <w:rsid w:val="001A6232"/>
    <w:rsid w:val="001A6769"/>
    <w:rsid w:val="001A6D05"/>
    <w:rsid w:val="001A6D91"/>
    <w:rsid w:val="001B07B9"/>
    <w:rsid w:val="001B38BF"/>
    <w:rsid w:val="001B43E0"/>
    <w:rsid w:val="001B72A7"/>
    <w:rsid w:val="001B772D"/>
    <w:rsid w:val="001B7CC4"/>
    <w:rsid w:val="001C06A9"/>
    <w:rsid w:val="001C323A"/>
    <w:rsid w:val="001C3B29"/>
    <w:rsid w:val="001C48A2"/>
    <w:rsid w:val="001C5F6F"/>
    <w:rsid w:val="001D0B59"/>
    <w:rsid w:val="001D245F"/>
    <w:rsid w:val="001D2FC8"/>
    <w:rsid w:val="001D478C"/>
    <w:rsid w:val="001D5B5D"/>
    <w:rsid w:val="001D5BB0"/>
    <w:rsid w:val="001E2E8B"/>
    <w:rsid w:val="001E3980"/>
    <w:rsid w:val="001E5905"/>
    <w:rsid w:val="001E6153"/>
    <w:rsid w:val="001E6C89"/>
    <w:rsid w:val="001F2165"/>
    <w:rsid w:val="001F30D7"/>
    <w:rsid w:val="001F3B22"/>
    <w:rsid w:val="001F55CB"/>
    <w:rsid w:val="001F59A5"/>
    <w:rsid w:val="001F68F7"/>
    <w:rsid w:val="001F70A3"/>
    <w:rsid w:val="001F7433"/>
    <w:rsid w:val="00201921"/>
    <w:rsid w:val="00201FF9"/>
    <w:rsid w:val="002048A3"/>
    <w:rsid w:val="00205857"/>
    <w:rsid w:val="002061A1"/>
    <w:rsid w:val="00206623"/>
    <w:rsid w:val="00207361"/>
    <w:rsid w:val="0020747A"/>
    <w:rsid w:val="00211231"/>
    <w:rsid w:val="00212D97"/>
    <w:rsid w:val="0021491C"/>
    <w:rsid w:val="0021539E"/>
    <w:rsid w:val="002171C8"/>
    <w:rsid w:val="002241FB"/>
    <w:rsid w:val="00224A0F"/>
    <w:rsid w:val="002255DB"/>
    <w:rsid w:val="002307DF"/>
    <w:rsid w:val="00231C05"/>
    <w:rsid w:val="00233C52"/>
    <w:rsid w:val="002344F9"/>
    <w:rsid w:val="00235ADC"/>
    <w:rsid w:val="00236F87"/>
    <w:rsid w:val="0024129E"/>
    <w:rsid w:val="00242094"/>
    <w:rsid w:val="0024250B"/>
    <w:rsid w:val="00243EA2"/>
    <w:rsid w:val="00245115"/>
    <w:rsid w:val="0025035D"/>
    <w:rsid w:val="00250919"/>
    <w:rsid w:val="002524C5"/>
    <w:rsid w:val="00252787"/>
    <w:rsid w:val="00256C4D"/>
    <w:rsid w:val="00260EB0"/>
    <w:rsid w:val="00261156"/>
    <w:rsid w:val="002633A9"/>
    <w:rsid w:val="002645D5"/>
    <w:rsid w:val="00265478"/>
    <w:rsid w:val="00265702"/>
    <w:rsid w:val="002662B2"/>
    <w:rsid w:val="002717C7"/>
    <w:rsid w:val="00273790"/>
    <w:rsid w:val="002750FF"/>
    <w:rsid w:val="00275A57"/>
    <w:rsid w:val="002764F6"/>
    <w:rsid w:val="00276774"/>
    <w:rsid w:val="00276ED3"/>
    <w:rsid w:val="00281149"/>
    <w:rsid w:val="00283915"/>
    <w:rsid w:val="00284C84"/>
    <w:rsid w:val="002875E9"/>
    <w:rsid w:val="00287EB3"/>
    <w:rsid w:val="002911A0"/>
    <w:rsid w:val="00292223"/>
    <w:rsid w:val="00293A2A"/>
    <w:rsid w:val="00294A71"/>
    <w:rsid w:val="00294D3E"/>
    <w:rsid w:val="00294DDD"/>
    <w:rsid w:val="00295979"/>
    <w:rsid w:val="002A1347"/>
    <w:rsid w:val="002A17AE"/>
    <w:rsid w:val="002A329C"/>
    <w:rsid w:val="002A3574"/>
    <w:rsid w:val="002A47BA"/>
    <w:rsid w:val="002A4B2B"/>
    <w:rsid w:val="002A63FE"/>
    <w:rsid w:val="002A6777"/>
    <w:rsid w:val="002A7E66"/>
    <w:rsid w:val="002B06BD"/>
    <w:rsid w:val="002B21AE"/>
    <w:rsid w:val="002B2633"/>
    <w:rsid w:val="002B4F7D"/>
    <w:rsid w:val="002B5113"/>
    <w:rsid w:val="002B5D69"/>
    <w:rsid w:val="002C0606"/>
    <w:rsid w:val="002C0E48"/>
    <w:rsid w:val="002C1C05"/>
    <w:rsid w:val="002C1C32"/>
    <w:rsid w:val="002C29BB"/>
    <w:rsid w:val="002C31CF"/>
    <w:rsid w:val="002C3665"/>
    <w:rsid w:val="002C433F"/>
    <w:rsid w:val="002C6F04"/>
    <w:rsid w:val="002D256C"/>
    <w:rsid w:val="002E0B37"/>
    <w:rsid w:val="002E2177"/>
    <w:rsid w:val="002E2E41"/>
    <w:rsid w:val="002E6D29"/>
    <w:rsid w:val="002E75E4"/>
    <w:rsid w:val="002E78CD"/>
    <w:rsid w:val="002F0987"/>
    <w:rsid w:val="002F20A7"/>
    <w:rsid w:val="002F3077"/>
    <w:rsid w:val="002F3CFC"/>
    <w:rsid w:val="002F5570"/>
    <w:rsid w:val="002F6290"/>
    <w:rsid w:val="002F6921"/>
    <w:rsid w:val="002F6FDA"/>
    <w:rsid w:val="002F717D"/>
    <w:rsid w:val="003008F4"/>
    <w:rsid w:val="00300935"/>
    <w:rsid w:val="00300E36"/>
    <w:rsid w:val="00300F1A"/>
    <w:rsid w:val="0030110A"/>
    <w:rsid w:val="00302B1D"/>
    <w:rsid w:val="0030301A"/>
    <w:rsid w:val="003039C2"/>
    <w:rsid w:val="003039E5"/>
    <w:rsid w:val="003044F2"/>
    <w:rsid w:val="00305753"/>
    <w:rsid w:val="00305E65"/>
    <w:rsid w:val="00306F34"/>
    <w:rsid w:val="00307FA5"/>
    <w:rsid w:val="00311D90"/>
    <w:rsid w:val="003126F6"/>
    <w:rsid w:val="00313453"/>
    <w:rsid w:val="00317DA8"/>
    <w:rsid w:val="00317E1F"/>
    <w:rsid w:val="0032317F"/>
    <w:rsid w:val="00324D64"/>
    <w:rsid w:val="00327C16"/>
    <w:rsid w:val="00330DC9"/>
    <w:rsid w:val="00331D6B"/>
    <w:rsid w:val="003326D0"/>
    <w:rsid w:val="00335775"/>
    <w:rsid w:val="00336415"/>
    <w:rsid w:val="00336ED0"/>
    <w:rsid w:val="00340A69"/>
    <w:rsid w:val="00340ED6"/>
    <w:rsid w:val="003423EE"/>
    <w:rsid w:val="003462A3"/>
    <w:rsid w:val="00352B52"/>
    <w:rsid w:val="00352DDF"/>
    <w:rsid w:val="00355A17"/>
    <w:rsid w:val="0035760D"/>
    <w:rsid w:val="003578BC"/>
    <w:rsid w:val="00360D94"/>
    <w:rsid w:val="00362787"/>
    <w:rsid w:val="0036319E"/>
    <w:rsid w:val="00363ECC"/>
    <w:rsid w:val="00363F53"/>
    <w:rsid w:val="003649A9"/>
    <w:rsid w:val="00365FEE"/>
    <w:rsid w:val="00372A4B"/>
    <w:rsid w:val="003732AD"/>
    <w:rsid w:val="00376280"/>
    <w:rsid w:val="00376FF8"/>
    <w:rsid w:val="003772CD"/>
    <w:rsid w:val="0038014E"/>
    <w:rsid w:val="00381751"/>
    <w:rsid w:val="0039020B"/>
    <w:rsid w:val="00390ED3"/>
    <w:rsid w:val="0039127F"/>
    <w:rsid w:val="003913A9"/>
    <w:rsid w:val="00391DF0"/>
    <w:rsid w:val="003934C6"/>
    <w:rsid w:val="00395263"/>
    <w:rsid w:val="003956E0"/>
    <w:rsid w:val="00395922"/>
    <w:rsid w:val="0039609A"/>
    <w:rsid w:val="00396138"/>
    <w:rsid w:val="00397500"/>
    <w:rsid w:val="00397D20"/>
    <w:rsid w:val="003A09AB"/>
    <w:rsid w:val="003A11E3"/>
    <w:rsid w:val="003A2A9A"/>
    <w:rsid w:val="003A309E"/>
    <w:rsid w:val="003A3988"/>
    <w:rsid w:val="003A621D"/>
    <w:rsid w:val="003A6E12"/>
    <w:rsid w:val="003A7025"/>
    <w:rsid w:val="003A7574"/>
    <w:rsid w:val="003B104D"/>
    <w:rsid w:val="003B1CC5"/>
    <w:rsid w:val="003B2139"/>
    <w:rsid w:val="003B4218"/>
    <w:rsid w:val="003B573F"/>
    <w:rsid w:val="003B6356"/>
    <w:rsid w:val="003B65CE"/>
    <w:rsid w:val="003B7867"/>
    <w:rsid w:val="003C07F3"/>
    <w:rsid w:val="003C4B28"/>
    <w:rsid w:val="003C7716"/>
    <w:rsid w:val="003C785A"/>
    <w:rsid w:val="003C7F86"/>
    <w:rsid w:val="003D27FB"/>
    <w:rsid w:val="003D2CE1"/>
    <w:rsid w:val="003D2F11"/>
    <w:rsid w:val="003D384D"/>
    <w:rsid w:val="003D3E98"/>
    <w:rsid w:val="003D6721"/>
    <w:rsid w:val="003D67C0"/>
    <w:rsid w:val="003D6960"/>
    <w:rsid w:val="003D6BC9"/>
    <w:rsid w:val="003D7331"/>
    <w:rsid w:val="003E039E"/>
    <w:rsid w:val="003E04E4"/>
    <w:rsid w:val="003E0E63"/>
    <w:rsid w:val="003E2EA0"/>
    <w:rsid w:val="003E514F"/>
    <w:rsid w:val="003E5185"/>
    <w:rsid w:val="003E5954"/>
    <w:rsid w:val="003E70C6"/>
    <w:rsid w:val="003E741C"/>
    <w:rsid w:val="003F4DE8"/>
    <w:rsid w:val="003F5E17"/>
    <w:rsid w:val="003F7305"/>
    <w:rsid w:val="003F7A8B"/>
    <w:rsid w:val="0040230E"/>
    <w:rsid w:val="004023EB"/>
    <w:rsid w:val="00403AB3"/>
    <w:rsid w:val="0040419A"/>
    <w:rsid w:val="0040419B"/>
    <w:rsid w:val="004051C8"/>
    <w:rsid w:val="00406DA9"/>
    <w:rsid w:val="00410612"/>
    <w:rsid w:val="0041360E"/>
    <w:rsid w:val="004147B2"/>
    <w:rsid w:val="00416208"/>
    <w:rsid w:val="0041662F"/>
    <w:rsid w:val="0041693D"/>
    <w:rsid w:val="00422917"/>
    <w:rsid w:val="004229AF"/>
    <w:rsid w:val="00424000"/>
    <w:rsid w:val="004315F5"/>
    <w:rsid w:val="00431DA8"/>
    <w:rsid w:val="004322E3"/>
    <w:rsid w:val="004362E1"/>
    <w:rsid w:val="00440687"/>
    <w:rsid w:val="0044131D"/>
    <w:rsid w:val="00441974"/>
    <w:rsid w:val="00441ADA"/>
    <w:rsid w:val="004427A7"/>
    <w:rsid w:val="004436E5"/>
    <w:rsid w:val="004451BB"/>
    <w:rsid w:val="00450F54"/>
    <w:rsid w:val="004521DA"/>
    <w:rsid w:val="00452998"/>
    <w:rsid w:val="004536CF"/>
    <w:rsid w:val="004553FF"/>
    <w:rsid w:val="00456914"/>
    <w:rsid w:val="0045708D"/>
    <w:rsid w:val="00457ACA"/>
    <w:rsid w:val="00457E46"/>
    <w:rsid w:val="00465ED6"/>
    <w:rsid w:val="0046750E"/>
    <w:rsid w:val="004715B8"/>
    <w:rsid w:val="00476CC3"/>
    <w:rsid w:val="00477E66"/>
    <w:rsid w:val="004825D5"/>
    <w:rsid w:val="0048399F"/>
    <w:rsid w:val="0048538A"/>
    <w:rsid w:val="004857D4"/>
    <w:rsid w:val="00485C8D"/>
    <w:rsid w:val="00486CB0"/>
    <w:rsid w:val="00486EF8"/>
    <w:rsid w:val="00487B16"/>
    <w:rsid w:val="0049016B"/>
    <w:rsid w:val="004922E4"/>
    <w:rsid w:val="00492E4D"/>
    <w:rsid w:val="00494985"/>
    <w:rsid w:val="004950EA"/>
    <w:rsid w:val="00496AF8"/>
    <w:rsid w:val="0049704A"/>
    <w:rsid w:val="00497933"/>
    <w:rsid w:val="004A0362"/>
    <w:rsid w:val="004A0A47"/>
    <w:rsid w:val="004A2C29"/>
    <w:rsid w:val="004A36E3"/>
    <w:rsid w:val="004A5309"/>
    <w:rsid w:val="004A575D"/>
    <w:rsid w:val="004A599B"/>
    <w:rsid w:val="004A6EED"/>
    <w:rsid w:val="004B002B"/>
    <w:rsid w:val="004B3E61"/>
    <w:rsid w:val="004B4025"/>
    <w:rsid w:val="004B4B6D"/>
    <w:rsid w:val="004B65C6"/>
    <w:rsid w:val="004C09E0"/>
    <w:rsid w:val="004C35A8"/>
    <w:rsid w:val="004C51C4"/>
    <w:rsid w:val="004D157E"/>
    <w:rsid w:val="004D15B0"/>
    <w:rsid w:val="004D1DC7"/>
    <w:rsid w:val="004D43B3"/>
    <w:rsid w:val="004D6F50"/>
    <w:rsid w:val="004D71EC"/>
    <w:rsid w:val="004E1ADC"/>
    <w:rsid w:val="004E2D5B"/>
    <w:rsid w:val="004E5137"/>
    <w:rsid w:val="004E5A00"/>
    <w:rsid w:val="004E7215"/>
    <w:rsid w:val="004F03B3"/>
    <w:rsid w:val="004F1DE3"/>
    <w:rsid w:val="004F21A7"/>
    <w:rsid w:val="004F3062"/>
    <w:rsid w:val="004F3443"/>
    <w:rsid w:val="004F3B92"/>
    <w:rsid w:val="004F5A67"/>
    <w:rsid w:val="004F5EA9"/>
    <w:rsid w:val="004F7D7E"/>
    <w:rsid w:val="00500B0C"/>
    <w:rsid w:val="00501E73"/>
    <w:rsid w:val="00502C4B"/>
    <w:rsid w:val="005059E8"/>
    <w:rsid w:val="0050628A"/>
    <w:rsid w:val="00506B6F"/>
    <w:rsid w:val="00510A57"/>
    <w:rsid w:val="005110F1"/>
    <w:rsid w:val="005134B0"/>
    <w:rsid w:val="00513C2A"/>
    <w:rsid w:val="005145F9"/>
    <w:rsid w:val="0051483E"/>
    <w:rsid w:val="00514DA1"/>
    <w:rsid w:val="005154A5"/>
    <w:rsid w:val="005160AC"/>
    <w:rsid w:val="00520226"/>
    <w:rsid w:val="005241C6"/>
    <w:rsid w:val="005243F3"/>
    <w:rsid w:val="00524BC6"/>
    <w:rsid w:val="00527714"/>
    <w:rsid w:val="00531067"/>
    <w:rsid w:val="005314B5"/>
    <w:rsid w:val="00531E2C"/>
    <w:rsid w:val="005346C5"/>
    <w:rsid w:val="00534F70"/>
    <w:rsid w:val="0053638A"/>
    <w:rsid w:val="005366F9"/>
    <w:rsid w:val="00537150"/>
    <w:rsid w:val="005372F2"/>
    <w:rsid w:val="00540984"/>
    <w:rsid w:val="00542E9F"/>
    <w:rsid w:val="00543485"/>
    <w:rsid w:val="00543851"/>
    <w:rsid w:val="00543D95"/>
    <w:rsid w:val="00543DA5"/>
    <w:rsid w:val="00544B54"/>
    <w:rsid w:val="00545C62"/>
    <w:rsid w:val="00550255"/>
    <w:rsid w:val="00551466"/>
    <w:rsid w:val="00552B26"/>
    <w:rsid w:val="00552F57"/>
    <w:rsid w:val="005547A1"/>
    <w:rsid w:val="00555168"/>
    <w:rsid w:val="0055559D"/>
    <w:rsid w:val="005565AB"/>
    <w:rsid w:val="005569AE"/>
    <w:rsid w:val="0055736B"/>
    <w:rsid w:val="005642C9"/>
    <w:rsid w:val="00565B4A"/>
    <w:rsid w:val="00570938"/>
    <w:rsid w:val="0057097C"/>
    <w:rsid w:val="00572CE3"/>
    <w:rsid w:val="005744CB"/>
    <w:rsid w:val="005745AF"/>
    <w:rsid w:val="00574FD0"/>
    <w:rsid w:val="005772B1"/>
    <w:rsid w:val="00577746"/>
    <w:rsid w:val="0058006D"/>
    <w:rsid w:val="00582163"/>
    <w:rsid w:val="00582481"/>
    <w:rsid w:val="005828C5"/>
    <w:rsid w:val="005852C3"/>
    <w:rsid w:val="0058533E"/>
    <w:rsid w:val="005857F8"/>
    <w:rsid w:val="00586B11"/>
    <w:rsid w:val="0058754F"/>
    <w:rsid w:val="00587D75"/>
    <w:rsid w:val="005908B9"/>
    <w:rsid w:val="00590E43"/>
    <w:rsid w:val="005918A7"/>
    <w:rsid w:val="00593959"/>
    <w:rsid w:val="00594E52"/>
    <w:rsid w:val="005A0585"/>
    <w:rsid w:val="005A0C7E"/>
    <w:rsid w:val="005A0E2D"/>
    <w:rsid w:val="005A2B83"/>
    <w:rsid w:val="005A6636"/>
    <w:rsid w:val="005B0350"/>
    <w:rsid w:val="005B0D18"/>
    <w:rsid w:val="005B0D37"/>
    <w:rsid w:val="005B12C3"/>
    <w:rsid w:val="005B2225"/>
    <w:rsid w:val="005B409D"/>
    <w:rsid w:val="005B4837"/>
    <w:rsid w:val="005B5F13"/>
    <w:rsid w:val="005B67E2"/>
    <w:rsid w:val="005C017D"/>
    <w:rsid w:val="005C0415"/>
    <w:rsid w:val="005C0D21"/>
    <w:rsid w:val="005C2AEE"/>
    <w:rsid w:val="005C4392"/>
    <w:rsid w:val="005C58B8"/>
    <w:rsid w:val="005D0FDB"/>
    <w:rsid w:val="005D25E9"/>
    <w:rsid w:val="005D2E60"/>
    <w:rsid w:val="005D47A8"/>
    <w:rsid w:val="005D6D59"/>
    <w:rsid w:val="005D708F"/>
    <w:rsid w:val="005D7739"/>
    <w:rsid w:val="005E125C"/>
    <w:rsid w:val="005E15CF"/>
    <w:rsid w:val="005E454C"/>
    <w:rsid w:val="005E4B64"/>
    <w:rsid w:val="005E55A3"/>
    <w:rsid w:val="005E594B"/>
    <w:rsid w:val="005F0E4B"/>
    <w:rsid w:val="005F1F5C"/>
    <w:rsid w:val="005F24B1"/>
    <w:rsid w:val="005F2526"/>
    <w:rsid w:val="005F6B0A"/>
    <w:rsid w:val="0060175E"/>
    <w:rsid w:val="006017D4"/>
    <w:rsid w:val="006023E4"/>
    <w:rsid w:val="00606828"/>
    <w:rsid w:val="00606A79"/>
    <w:rsid w:val="00607A25"/>
    <w:rsid w:val="00610CCC"/>
    <w:rsid w:val="0061265B"/>
    <w:rsid w:val="00612EA1"/>
    <w:rsid w:val="0061327A"/>
    <w:rsid w:val="00617390"/>
    <w:rsid w:val="006179D1"/>
    <w:rsid w:val="006203C4"/>
    <w:rsid w:val="006203F6"/>
    <w:rsid w:val="00621C08"/>
    <w:rsid w:val="00622104"/>
    <w:rsid w:val="00622AC2"/>
    <w:rsid w:val="00623420"/>
    <w:rsid w:val="00623946"/>
    <w:rsid w:val="00624DDE"/>
    <w:rsid w:val="006267E4"/>
    <w:rsid w:val="006334C5"/>
    <w:rsid w:val="006338CF"/>
    <w:rsid w:val="006344D2"/>
    <w:rsid w:val="0063459B"/>
    <w:rsid w:val="00634768"/>
    <w:rsid w:val="0063596F"/>
    <w:rsid w:val="00635D8E"/>
    <w:rsid w:val="006365C2"/>
    <w:rsid w:val="00637166"/>
    <w:rsid w:val="00643B5E"/>
    <w:rsid w:val="006451F7"/>
    <w:rsid w:val="00645DB9"/>
    <w:rsid w:val="006507FE"/>
    <w:rsid w:val="00651762"/>
    <w:rsid w:val="0065407B"/>
    <w:rsid w:val="00660A9B"/>
    <w:rsid w:val="006618EF"/>
    <w:rsid w:val="00661C3F"/>
    <w:rsid w:val="006653C9"/>
    <w:rsid w:val="00666DCE"/>
    <w:rsid w:val="00667E20"/>
    <w:rsid w:val="006709EB"/>
    <w:rsid w:val="0067213B"/>
    <w:rsid w:val="00672824"/>
    <w:rsid w:val="00676BD4"/>
    <w:rsid w:val="00680699"/>
    <w:rsid w:val="00680843"/>
    <w:rsid w:val="00680ACC"/>
    <w:rsid w:val="0068184A"/>
    <w:rsid w:val="0068214D"/>
    <w:rsid w:val="00686B30"/>
    <w:rsid w:val="00687021"/>
    <w:rsid w:val="0068759F"/>
    <w:rsid w:val="00692261"/>
    <w:rsid w:val="006959DE"/>
    <w:rsid w:val="006A0249"/>
    <w:rsid w:val="006A06CA"/>
    <w:rsid w:val="006A0D5D"/>
    <w:rsid w:val="006A4D97"/>
    <w:rsid w:val="006A57A9"/>
    <w:rsid w:val="006A7763"/>
    <w:rsid w:val="006A78F6"/>
    <w:rsid w:val="006B00B3"/>
    <w:rsid w:val="006B22E5"/>
    <w:rsid w:val="006B39BF"/>
    <w:rsid w:val="006B4ED6"/>
    <w:rsid w:val="006B5C51"/>
    <w:rsid w:val="006B65CB"/>
    <w:rsid w:val="006B6D81"/>
    <w:rsid w:val="006C18A1"/>
    <w:rsid w:val="006C1900"/>
    <w:rsid w:val="006C27E0"/>
    <w:rsid w:val="006C367F"/>
    <w:rsid w:val="006C3782"/>
    <w:rsid w:val="006C429D"/>
    <w:rsid w:val="006C6C47"/>
    <w:rsid w:val="006C7DCF"/>
    <w:rsid w:val="006C7F30"/>
    <w:rsid w:val="006D3846"/>
    <w:rsid w:val="006D43FF"/>
    <w:rsid w:val="006D4ABE"/>
    <w:rsid w:val="006E1ABC"/>
    <w:rsid w:val="006E1C50"/>
    <w:rsid w:val="006E292F"/>
    <w:rsid w:val="006E3635"/>
    <w:rsid w:val="006E37A0"/>
    <w:rsid w:val="006E4A9D"/>
    <w:rsid w:val="006E6FDD"/>
    <w:rsid w:val="006E7D66"/>
    <w:rsid w:val="006F0ED6"/>
    <w:rsid w:val="006F1EB1"/>
    <w:rsid w:val="006F204C"/>
    <w:rsid w:val="006F4B7F"/>
    <w:rsid w:val="006F4E03"/>
    <w:rsid w:val="006F69BE"/>
    <w:rsid w:val="006F760B"/>
    <w:rsid w:val="00701CC3"/>
    <w:rsid w:val="00702694"/>
    <w:rsid w:val="00703027"/>
    <w:rsid w:val="00706451"/>
    <w:rsid w:val="00715D95"/>
    <w:rsid w:val="0071709B"/>
    <w:rsid w:val="007206D5"/>
    <w:rsid w:val="00723275"/>
    <w:rsid w:val="00724801"/>
    <w:rsid w:val="0072502F"/>
    <w:rsid w:val="00725461"/>
    <w:rsid w:val="00726E69"/>
    <w:rsid w:val="0072710F"/>
    <w:rsid w:val="007272BF"/>
    <w:rsid w:val="007312F6"/>
    <w:rsid w:val="007320A2"/>
    <w:rsid w:val="007339A9"/>
    <w:rsid w:val="007342B1"/>
    <w:rsid w:val="00734949"/>
    <w:rsid w:val="007357AC"/>
    <w:rsid w:val="007364B1"/>
    <w:rsid w:val="00736563"/>
    <w:rsid w:val="00736AEC"/>
    <w:rsid w:val="00736E0F"/>
    <w:rsid w:val="007376A5"/>
    <w:rsid w:val="00737B17"/>
    <w:rsid w:val="0074059A"/>
    <w:rsid w:val="007433A2"/>
    <w:rsid w:val="007434FA"/>
    <w:rsid w:val="00744DB0"/>
    <w:rsid w:val="007462CF"/>
    <w:rsid w:val="00746F99"/>
    <w:rsid w:val="00747962"/>
    <w:rsid w:val="007516CE"/>
    <w:rsid w:val="00752DD9"/>
    <w:rsid w:val="00754470"/>
    <w:rsid w:val="007573F0"/>
    <w:rsid w:val="00757BC2"/>
    <w:rsid w:val="00762792"/>
    <w:rsid w:val="00762D16"/>
    <w:rsid w:val="00765156"/>
    <w:rsid w:val="00765640"/>
    <w:rsid w:val="00765988"/>
    <w:rsid w:val="00767669"/>
    <w:rsid w:val="00772200"/>
    <w:rsid w:val="00773485"/>
    <w:rsid w:val="00776E8F"/>
    <w:rsid w:val="00776F6D"/>
    <w:rsid w:val="0077769D"/>
    <w:rsid w:val="007817E7"/>
    <w:rsid w:val="007842DA"/>
    <w:rsid w:val="00784916"/>
    <w:rsid w:val="00785B41"/>
    <w:rsid w:val="007879F1"/>
    <w:rsid w:val="00790752"/>
    <w:rsid w:val="007936A0"/>
    <w:rsid w:val="0079371A"/>
    <w:rsid w:val="0079432D"/>
    <w:rsid w:val="00797A43"/>
    <w:rsid w:val="007A04CF"/>
    <w:rsid w:val="007A04D7"/>
    <w:rsid w:val="007A0F15"/>
    <w:rsid w:val="007A17DA"/>
    <w:rsid w:val="007A324A"/>
    <w:rsid w:val="007A61FE"/>
    <w:rsid w:val="007A6253"/>
    <w:rsid w:val="007B2E09"/>
    <w:rsid w:val="007B384E"/>
    <w:rsid w:val="007B410F"/>
    <w:rsid w:val="007B6D23"/>
    <w:rsid w:val="007B7776"/>
    <w:rsid w:val="007C0084"/>
    <w:rsid w:val="007C0297"/>
    <w:rsid w:val="007C1887"/>
    <w:rsid w:val="007C3267"/>
    <w:rsid w:val="007C4E84"/>
    <w:rsid w:val="007C56C0"/>
    <w:rsid w:val="007C6A01"/>
    <w:rsid w:val="007D05CD"/>
    <w:rsid w:val="007D174E"/>
    <w:rsid w:val="007D2295"/>
    <w:rsid w:val="007D23E9"/>
    <w:rsid w:val="007D4775"/>
    <w:rsid w:val="007D49AB"/>
    <w:rsid w:val="007D5506"/>
    <w:rsid w:val="007D5DC6"/>
    <w:rsid w:val="007E141B"/>
    <w:rsid w:val="007E20E6"/>
    <w:rsid w:val="007E359B"/>
    <w:rsid w:val="007E37A5"/>
    <w:rsid w:val="007E4564"/>
    <w:rsid w:val="007E6565"/>
    <w:rsid w:val="007E735A"/>
    <w:rsid w:val="007F0086"/>
    <w:rsid w:val="007F2433"/>
    <w:rsid w:val="007F37BB"/>
    <w:rsid w:val="007F49D8"/>
    <w:rsid w:val="007F78CE"/>
    <w:rsid w:val="00800137"/>
    <w:rsid w:val="00800521"/>
    <w:rsid w:val="00800828"/>
    <w:rsid w:val="0080433A"/>
    <w:rsid w:val="00805940"/>
    <w:rsid w:val="00806731"/>
    <w:rsid w:val="00807CD5"/>
    <w:rsid w:val="0081014E"/>
    <w:rsid w:val="00810F6A"/>
    <w:rsid w:val="00814288"/>
    <w:rsid w:val="008148BE"/>
    <w:rsid w:val="0081599C"/>
    <w:rsid w:val="00817651"/>
    <w:rsid w:val="00817D26"/>
    <w:rsid w:val="008206C3"/>
    <w:rsid w:val="00820EBA"/>
    <w:rsid w:val="00821ED6"/>
    <w:rsid w:val="00826EFB"/>
    <w:rsid w:val="008329ED"/>
    <w:rsid w:val="00833388"/>
    <w:rsid w:val="00834284"/>
    <w:rsid w:val="0083433B"/>
    <w:rsid w:val="00835DC1"/>
    <w:rsid w:val="00837121"/>
    <w:rsid w:val="00837A6B"/>
    <w:rsid w:val="00837D4E"/>
    <w:rsid w:val="008404E9"/>
    <w:rsid w:val="00845848"/>
    <w:rsid w:val="00845CD6"/>
    <w:rsid w:val="00846058"/>
    <w:rsid w:val="0084667A"/>
    <w:rsid w:val="00846D07"/>
    <w:rsid w:val="008471E5"/>
    <w:rsid w:val="00847238"/>
    <w:rsid w:val="00847D03"/>
    <w:rsid w:val="00850C35"/>
    <w:rsid w:val="00851466"/>
    <w:rsid w:val="008607F1"/>
    <w:rsid w:val="00863E43"/>
    <w:rsid w:val="008647C3"/>
    <w:rsid w:val="008658DF"/>
    <w:rsid w:val="008659ED"/>
    <w:rsid w:val="00865CE2"/>
    <w:rsid w:val="00867218"/>
    <w:rsid w:val="0086757F"/>
    <w:rsid w:val="00867F40"/>
    <w:rsid w:val="008708DC"/>
    <w:rsid w:val="00870987"/>
    <w:rsid w:val="00873AB4"/>
    <w:rsid w:val="00873B7C"/>
    <w:rsid w:val="00873E45"/>
    <w:rsid w:val="008750BF"/>
    <w:rsid w:val="00875459"/>
    <w:rsid w:val="0087564A"/>
    <w:rsid w:val="00877AF3"/>
    <w:rsid w:val="00881160"/>
    <w:rsid w:val="00881A0F"/>
    <w:rsid w:val="0088371C"/>
    <w:rsid w:val="00884070"/>
    <w:rsid w:val="00884790"/>
    <w:rsid w:val="00884934"/>
    <w:rsid w:val="00884DDB"/>
    <w:rsid w:val="008869EC"/>
    <w:rsid w:val="00886D3E"/>
    <w:rsid w:val="00891F30"/>
    <w:rsid w:val="00892DD0"/>
    <w:rsid w:val="00893DC3"/>
    <w:rsid w:val="00894F2D"/>
    <w:rsid w:val="008A0475"/>
    <w:rsid w:val="008A0B07"/>
    <w:rsid w:val="008A199E"/>
    <w:rsid w:val="008A2038"/>
    <w:rsid w:val="008A2679"/>
    <w:rsid w:val="008A45F3"/>
    <w:rsid w:val="008A66E3"/>
    <w:rsid w:val="008A78D8"/>
    <w:rsid w:val="008B320F"/>
    <w:rsid w:val="008B3D99"/>
    <w:rsid w:val="008B4532"/>
    <w:rsid w:val="008B51D9"/>
    <w:rsid w:val="008B652E"/>
    <w:rsid w:val="008B7EB3"/>
    <w:rsid w:val="008C12B5"/>
    <w:rsid w:val="008C20D8"/>
    <w:rsid w:val="008C3B9E"/>
    <w:rsid w:val="008C50AF"/>
    <w:rsid w:val="008C5595"/>
    <w:rsid w:val="008C623C"/>
    <w:rsid w:val="008D05B7"/>
    <w:rsid w:val="008D08DA"/>
    <w:rsid w:val="008D13D5"/>
    <w:rsid w:val="008D3140"/>
    <w:rsid w:val="008D7DCE"/>
    <w:rsid w:val="008E13E9"/>
    <w:rsid w:val="008E22D6"/>
    <w:rsid w:val="008E37C8"/>
    <w:rsid w:val="008E39D1"/>
    <w:rsid w:val="008E3F88"/>
    <w:rsid w:val="008E4506"/>
    <w:rsid w:val="008E72E7"/>
    <w:rsid w:val="008E73C4"/>
    <w:rsid w:val="008E78FA"/>
    <w:rsid w:val="008F00AA"/>
    <w:rsid w:val="008F1DC6"/>
    <w:rsid w:val="008F227F"/>
    <w:rsid w:val="008F44F4"/>
    <w:rsid w:val="008F485C"/>
    <w:rsid w:val="008F4E67"/>
    <w:rsid w:val="008F5013"/>
    <w:rsid w:val="008F572E"/>
    <w:rsid w:val="008F6F51"/>
    <w:rsid w:val="00901442"/>
    <w:rsid w:val="00902A14"/>
    <w:rsid w:val="00902FCA"/>
    <w:rsid w:val="009049B4"/>
    <w:rsid w:val="00905C5B"/>
    <w:rsid w:val="00906930"/>
    <w:rsid w:val="00906DB8"/>
    <w:rsid w:val="009070F5"/>
    <w:rsid w:val="00910F75"/>
    <w:rsid w:val="00912456"/>
    <w:rsid w:val="00913543"/>
    <w:rsid w:val="00913D39"/>
    <w:rsid w:val="009147F7"/>
    <w:rsid w:val="0091656A"/>
    <w:rsid w:val="0091732C"/>
    <w:rsid w:val="00917EDA"/>
    <w:rsid w:val="00920221"/>
    <w:rsid w:val="009231BD"/>
    <w:rsid w:val="00923295"/>
    <w:rsid w:val="00925F11"/>
    <w:rsid w:val="009309DB"/>
    <w:rsid w:val="00931B52"/>
    <w:rsid w:val="0093229B"/>
    <w:rsid w:val="00934F40"/>
    <w:rsid w:val="00935265"/>
    <w:rsid w:val="00940810"/>
    <w:rsid w:val="00945980"/>
    <w:rsid w:val="0094689F"/>
    <w:rsid w:val="00947586"/>
    <w:rsid w:val="009477D6"/>
    <w:rsid w:val="00950658"/>
    <w:rsid w:val="0095161E"/>
    <w:rsid w:val="00953A2E"/>
    <w:rsid w:val="00953E13"/>
    <w:rsid w:val="00953ED3"/>
    <w:rsid w:val="00953EE2"/>
    <w:rsid w:val="00954EC3"/>
    <w:rsid w:val="00954FDE"/>
    <w:rsid w:val="00956961"/>
    <w:rsid w:val="00962003"/>
    <w:rsid w:val="00962E23"/>
    <w:rsid w:val="009631DB"/>
    <w:rsid w:val="00965FF6"/>
    <w:rsid w:val="009732D2"/>
    <w:rsid w:val="00974574"/>
    <w:rsid w:val="009750D5"/>
    <w:rsid w:val="00980178"/>
    <w:rsid w:val="00982A00"/>
    <w:rsid w:val="009846D6"/>
    <w:rsid w:val="0098657F"/>
    <w:rsid w:val="00987153"/>
    <w:rsid w:val="00990F59"/>
    <w:rsid w:val="00991C64"/>
    <w:rsid w:val="00992D4B"/>
    <w:rsid w:val="00993920"/>
    <w:rsid w:val="00993DE1"/>
    <w:rsid w:val="0099743B"/>
    <w:rsid w:val="00997653"/>
    <w:rsid w:val="009A17D7"/>
    <w:rsid w:val="009A1E4B"/>
    <w:rsid w:val="009A30E6"/>
    <w:rsid w:val="009A3236"/>
    <w:rsid w:val="009A3DEB"/>
    <w:rsid w:val="009A3FEC"/>
    <w:rsid w:val="009A4106"/>
    <w:rsid w:val="009A68BD"/>
    <w:rsid w:val="009B4093"/>
    <w:rsid w:val="009B5A93"/>
    <w:rsid w:val="009B5BEA"/>
    <w:rsid w:val="009B7985"/>
    <w:rsid w:val="009C060E"/>
    <w:rsid w:val="009C0DA2"/>
    <w:rsid w:val="009C15BC"/>
    <w:rsid w:val="009C291F"/>
    <w:rsid w:val="009C7A97"/>
    <w:rsid w:val="009D2D8A"/>
    <w:rsid w:val="009D4509"/>
    <w:rsid w:val="009D568E"/>
    <w:rsid w:val="009E06A3"/>
    <w:rsid w:val="009E1035"/>
    <w:rsid w:val="009E17DD"/>
    <w:rsid w:val="009E359A"/>
    <w:rsid w:val="009E37BD"/>
    <w:rsid w:val="009E5980"/>
    <w:rsid w:val="009E6B86"/>
    <w:rsid w:val="009E7E3D"/>
    <w:rsid w:val="009F0903"/>
    <w:rsid w:val="009F3DAB"/>
    <w:rsid w:val="009F5D0F"/>
    <w:rsid w:val="009F6035"/>
    <w:rsid w:val="009F6AC9"/>
    <w:rsid w:val="00A0260F"/>
    <w:rsid w:val="00A02EF8"/>
    <w:rsid w:val="00A03206"/>
    <w:rsid w:val="00A03301"/>
    <w:rsid w:val="00A05409"/>
    <w:rsid w:val="00A06110"/>
    <w:rsid w:val="00A079B3"/>
    <w:rsid w:val="00A10071"/>
    <w:rsid w:val="00A1146D"/>
    <w:rsid w:val="00A11FFE"/>
    <w:rsid w:val="00A12762"/>
    <w:rsid w:val="00A13029"/>
    <w:rsid w:val="00A13867"/>
    <w:rsid w:val="00A13F12"/>
    <w:rsid w:val="00A14A76"/>
    <w:rsid w:val="00A15ED6"/>
    <w:rsid w:val="00A16883"/>
    <w:rsid w:val="00A23276"/>
    <w:rsid w:val="00A23F00"/>
    <w:rsid w:val="00A26C89"/>
    <w:rsid w:val="00A26FED"/>
    <w:rsid w:val="00A27D5A"/>
    <w:rsid w:val="00A30B1A"/>
    <w:rsid w:val="00A310E9"/>
    <w:rsid w:val="00A34B48"/>
    <w:rsid w:val="00A36237"/>
    <w:rsid w:val="00A36949"/>
    <w:rsid w:val="00A37F51"/>
    <w:rsid w:val="00A41364"/>
    <w:rsid w:val="00A421D4"/>
    <w:rsid w:val="00A428EA"/>
    <w:rsid w:val="00A43A2C"/>
    <w:rsid w:val="00A445A1"/>
    <w:rsid w:val="00A44FF0"/>
    <w:rsid w:val="00A4611D"/>
    <w:rsid w:val="00A50AE4"/>
    <w:rsid w:val="00A50E55"/>
    <w:rsid w:val="00A51D16"/>
    <w:rsid w:val="00A525DE"/>
    <w:rsid w:val="00A52E17"/>
    <w:rsid w:val="00A541D1"/>
    <w:rsid w:val="00A55CE2"/>
    <w:rsid w:val="00A561A6"/>
    <w:rsid w:val="00A56752"/>
    <w:rsid w:val="00A6138B"/>
    <w:rsid w:val="00A61B02"/>
    <w:rsid w:val="00A640C8"/>
    <w:rsid w:val="00A65FDE"/>
    <w:rsid w:val="00A67EB1"/>
    <w:rsid w:val="00A72331"/>
    <w:rsid w:val="00A75C8F"/>
    <w:rsid w:val="00A76BE5"/>
    <w:rsid w:val="00A77C20"/>
    <w:rsid w:val="00A81058"/>
    <w:rsid w:val="00A819FE"/>
    <w:rsid w:val="00A81C24"/>
    <w:rsid w:val="00A83044"/>
    <w:rsid w:val="00A8352F"/>
    <w:rsid w:val="00A845FD"/>
    <w:rsid w:val="00A85413"/>
    <w:rsid w:val="00A86B2C"/>
    <w:rsid w:val="00A9011D"/>
    <w:rsid w:val="00A9030A"/>
    <w:rsid w:val="00A90682"/>
    <w:rsid w:val="00A91A47"/>
    <w:rsid w:val="00A9567B"/>
    <w:rsid w:val="00A95D2B"/>
    <w:rsid w:val="00AA033E"/>
    <w:rsid w:val="00AA1358"/>
    <w:rsid w:val="00AA210E"/>
    <w:rsid w:val="00AA2AAD"/>
    <w:rsid w:val="00AA5587"/>
    <w:rsid w:val="00AB0EFF"/>
    <w:rsid w:val="00AB15A6"/>
    <w:rsid w:val="00AB27BA"/>
    <w:rsid w:val="00AB4352"/>
    <w:rsid w:val="00AB4ECE"/>
    <w:rsid w:val="00AC08C8"/>
    <w:rsid w:val="00AC12A3"/>
    <w:rsid w:val="00AC1E53"/>
    <w:rsid w:val="00AC3B77"/>
    <w:rsid w:val="00AC669C"/>
    <w:rsid w:val="00AC69E5"/>
    <w:rsid w:val="00AC7A06"/>
    <w:rsid w:val="00AD05B3"/>
    <w:rsid w:val="00AD06D0"/>
    <w:rsid w:val="00AD3865"/>
    <w:rsid w:val="00AD4B4E"/>
    <w:rsid w:val="00AD5B28"/>
    <w:rsid w:val="00AD5F61"/>
    <w:rsid w:val="00AD5F84"/>
    <w:rsid w:val="00AD63F5"/>
    <w:rsid w:val="00AD6804"/>
    <w:rsid w:val="00AD79C8"/>
    <w:rsid w:val="00AE09B2"/>
    <w:rsid w:val="00AE255E"/>
    <w:rsid w:val="00AE2F51"/>
    <w:rsid w:val="00AE58FF"/>
    <w:rsid w:val="00AE623D"/>
    <w:rsid w:val="00AE6398"/>
    <w:rsid w:val="00AE6CE0"/>
    <w:rsid w:val="00AF0AD6"/>
    <w:rsid w:val="00AF0BB7"/>
    <w:rsid w:val="00AF1FD0"/>
    <w:rsid w:val="00AF6D29"/>
    <w:rsid w:val="00B014A7"/>
    <w:rsid w:val="00B03FE3"/>
    <w:rsid w:val="00B043C4"/>
    <w:rsid w:val="00B04B57"/>
    <w:rsid w:val="00B05889"/>
    <w:rsid w:val="00B058A6"/>
    <w:rsid w:val="00B10C79"/>
    <w:rsid w:val="00B110FD"/>
    <w:rsid w:val="00B117D0"/>
    <w:rsid w:val="00B11810"/>
    <w:rsid w:val="00B12421"/>
    <w:rsid w:val="00B12945"/>
    <w:rsid w:val="00B12D59"/>
    <w:rsid w:val="00B13998"/>
    <w:rsid w:val="00B17CDC"/>
    <w:rsid w:val="00B17DDC"/>
    <w:rsid w:val="00B2069E"/>
    <w:rsid w:val="00B23B64"/>
    <w:rsid w:val="00B246C3"/>
    <w:rsid w:val="00B2634E"/>
    <w:rsid w:val="00B26D55"/>
    <w:rsid w:val="00B30A6B"/>
    <w:rsid w:val="00B30F07"/>
    <w:rsid w:val="00B31B23"/>
    <w:rsid w:val="00B31B4A"/>
    <w:rsid w:val="00B31EBA"/>
    <w:rsid w:val="00B3268F"/>
    <w:rsid w:val="00B32CCC"/>
    <w:rsid w:val="00B340A8"/>
    <w:rsid w:val="00B34FBC"/>
    <w:rsid w:val="00B35C5F"/>
    <w:rsid w:val="00B36043"/>
    <w:rsid w:val="00B4133B"/>
    <w:rsid w:val="00B4273E"/>
    <w:rsid w:val="00B439DD"/>
    <w:rsid w:val="00B44A53"/>
    <w:rsid w:val="00B451DD"/>
    <w:rsid w:val="00B504F6"/>
    <w:rsid w:val="00B51CAE"/>
    <w:rsid w:val="00B52A7E"/>
    <w:rsid w:val="00B52E0F"/>
    <w:rsid w:val="00B566D1"/>
    <w:rsid w:val="00B6052B"/>
    <w:rsid w:val="00B62CF2"/>
    <w:rsid w:val="00B63295"/>
    <w:rsid w:val="00B65E5D"/>
    <w:rsid w:val="00B664A7"/>
    <w:rsid w:val="00B6663E"/>
    <w:rsid w:val="00B70A55"/>
    <w:rsid w:val="00B70F45"/>
    <w:rsid w:val="00B715E5"/>
    <w:rsid w:val="00B71826"/>
    <w:rsid w:val="00B71FAC"/>
    <w:rsid w:val="00B73386"/>
    <w:rsid w:val="00B73493"/>
    <w:rsid w:val="00B74629"/>
    <w:rsid w:val="00B76C62"/>
    <w:rsid w:val="00B81162"/>
    <w:rsid w:val="00B91F58"/>
    <w:rsid w:val="00B94291"/>
    <w:rsid w:val="00B94E96"/>
    <w:rsid w:val="00B952C4"/>
    <w:rsid w:val="00B97703"/>
    <w:rsid w:val="00BA164C"/>
    <w:rsid w:val="00BA1994"/>
    <w:rsid w:val="00BA25BE"/>
    <w:rsid w:val="00BA2C6B"/>
    <w:rsid w:val="00BA3193"/>
    <w:rsid w:val="00BA332C"/>
    <w:rsid w:val="00BA337E"/>
    <w:rsid w:val="00BA5157"/>
    <w:rsid w:val="00BA55E5"/>
    <w:rsid w:val="00BA579E"/>
    <w:rsid w:val="00BA6896"/>
    <w:rsid w:val="00BA69A7"/>
    <w:rsid w:val="00BA7DA2"/>
    <w:rsid w:val="00BB297D"/>
    <w:rsid w:val="00BB3009"/>
    <w:rsid w:val="00BB47F7"/>
    <w:rsid w:val="00BB6FD4"/>
    <w:rsid w:val="00BC0E22"/>
    <w:rsid w:val="00BC103F"/>
    <w:rsid w:val="00BC17B2"/>
    <w:rsid w:val="00BC1D34"/>
    <w:rsid w:val="00BC2D0D"/>
    <w:rsid w:val="00BC3D97"/>
    <w:rsid w:val="00BC4267"/>
    <w:rsid w:val="00BC4B69"/>
    <w:rsid w:val="00BC4D35"/>
    <w:rsid w:val="00BC5F61"/>
    <w:rsid w:val="00BC6897"/>
    <w:rsid w:val="00BC77CD"/>
    <w:rsid w:val="00BD0C26"/>
    <w:rsid w:val="00BD2025"/>
    <w:rsid w:val="00BD238D"/>
    <w:rsid w:val="00BD2FAE"/>
    <w:rsid w:val="00BD3824"/>
    <w:rsid w:val="00BD3D6A"/>
    <w:rsid w:val="00BD3EA4"/>
    <w:rsid w:val="00BD4490"/>
    <w:rsid w:val="00BD5F92"/>
    <w:rsid w:val="00BD7195"/>
    <w:rsid w:val="00BE20FB"/>
    <w:rsid w:val="00BE2295"/>
    <w:rsid w:val="00BE40D4"/>
    <w:rsid w:val="00BE6373"/>
    <w:rsid w:val="00BE6B62"/>
    <w:rsid w:val="00BF1BDC"/>
    <w:rsid w:val="00BF245C"/>
    <w:rsid w:val="00BF2DC4"/>
    <w:rsid w:val="00BF4BC7"/>
    <w:rsid w:val="00BF533A"/>
    <w:rsid w:val="00BF6152"/>
    <w:rsid w:val="00C0067A"/>
    <w:rsid w:val="00C00DC5"/>
    <w:rsid w:val="00C03330"/>
    <w:rsid w:val="00C0415D"/>
    <w:rsid w:val="00C063FA"/>
    <w:rsid w:val="00C06687"/>
    <w:rsid w:val="00C07512"/>
    <w:rsid w:val="00C11308"/>
    <w:rsid w:val="00C11A22"/>
    <w:rsid w:val="00C13469"/>
    <w:rsid w:val="00C135EC"/>
    <w:rsid w:val="00C13A6C"/>
    <w:rsid w:val="00C13B52"/>
    <w:rsid w:val="00C14757"/>
    <w:rsid w:val="00C163E2"/>
    <w:rsid w:val="00C2081C"/>
    <w:rsid w:val="00C22754"/>
    <w:rsid w:val="00C31829"/>
    <w:rsid w:val="00C33951"/>
    <w:rsid w:val="00C3658F"/>
    <w:rsid w:val="00C36A3C"/>
    <w:rsid w:val="00C3759C"/>
    <w:rsid w:val="00C41794"/>
    <w:rsid w:val="00C41D64"/>
    <w:rsid w:val="00C43BAA"/>
    <w:rsid w:val="00C44BA3"/>
    <w:rsid w:val="00C45553"/>
    <w:rsid w:val="00C46677"/>
    <w:rsid w:val="00C5180E"/>
    <w:rsid w:val="00C5469A"/>
    <w:rsid w:val="00C54E40"/>
    <w:rsid w:val="00C5516E"/>
    <w:rsid w:val="00C55F56"/>
    <w:rsid w:val="00C56639"/>
    <w:rsid w:val="00C57BA4"/>
    <w:rsid w:val="00C6097C"/>
    <w:rsid w:val="00C613EB"/>
    <w:rsid w:val="00C616A2"/>
    <w:rsid w:val="00C6766B"/>
    <w:rsid w:val="00C71C1A"/>
    <w:rsid w:val="00C741E0"/>
    <w:rsid w:val="00C745E4"/>
    <w:rsid w:val="00C75315"/>
    <w:rsid w:val="00C75B45"/>
    <w:rsid w:val="00C75F41"/>
    <w:rsid w:val="00C763E3"/>
    <w:rsid w:val="00C83989"/>
    <w:rsid w:val="00C8459E"/>
    <w:rsid w:val="00C84623"/>
    <w:rsid w:val="00C8475D"/>
    <w:rsid w:val="00C84C47"/>
    <w:rsid w:val="00C84D66"/>
    <w:rsid w:val="00C87E30"/>
    <w:rsid w:val="00C91B7D"/>
    <w:rsid w:val="00C9219B"/>
    <w:rsid w:val="00C952DB"/>
    <w:rsid w:val="00C95326"/>
    <w:rsid w:val="00C96D34"/>
    <w:rsid w:val="00CA0D4B"/>
    <w:rsid w:val="00CA296B"/>
    <w:rsid w:val="00CA4059"/>
    <w:rsid w:val="00CA6364"/>
    <w:rsid w:val="00CA75A1"/>
    <w:rsid w:val="00CB06C9"/>
    <w:rsid w:val="00CB1E41"/>
    <w:rsid w:val="00CB271C"/>
    <w:rsid w:val="00CB416B"/>
    <w:rsid w:val="00CB4E32"/>
    <w:rsid w:val="00CB50F4"/>
    <w:rsid w:val="00CC0F87"/>
    <w:rsid w:val="00CC305C"/>
    <w:rsid w:val="00CC4652"/>
    <w:rsid w:val="00CC72F1"/>
    <w:rsid w:val="00CC7893"/>
    <w:rsid w:val="00CC7BC4"/>
    <w:rsid w:val="00CD1832"/>
    <w:rsid w:val="00CD2042"/>
    <w:rsid w:val="00CD2106"/>
    <w:rsid w:val="00CD60EC"/>
    <w:rsid w:val="00CD6B8E"/>
    <w:rsid w:val="00CE0F4D"/>
    <w:rsid w:val="00CE4F96"/>
    <w:rsid w:val="00CE65F4"/>
    <w:rsid w:val="00CE6A78"/>
    <w:rsid w:val="00CE76A3"/>
    <w:rsid w:val="00CF0AB1"/>
    <w:rsid w:val="00CF14B9"/>
    <w:rsid w:val="00CF2EF8"/>
    <w:rsid w:val="00CF4928"/>
    <w:rsid w:val="00CF4B9B"/>
    <w:rsid w:val="00CF55E6"/>
    <w:rsid w:val="00CF608F"/>
    <w:rsid w:val="00CF772F"/>
    <w:rsid w:val="00CF7CB3"/>
    <w:rsid w:val="00CF7DA6"/>
    <w:rsid w:val="00D01C58"/>
    <w:rsid w:val="00D0391B"/>
    <w:rsid w:val="00D048DB"/>
    <w:rsid w:val="00D07337"/>
    <w:rsid w:val="00D07A75"/>
    <w:rsid w:val="00D110C8"/>
    <w:rsid w:val="00D12E2A"/>
    <w:rsid w:val="00D13F8A"/>
    <w:rsid w:val="00D14F0B"/>
    <w:rsid w:val="00D15EF0"/>
    <w:rsid w:val="00D178CA"/>
    <w:rsid w:val="00D23BDE"/>
    <w:rsid w:val="00D24709"/>
    <w:rsid w:val="00D24FED"/>
    <w:rsid w:val="00D2664B"/>
    <w:rsid w:val="00D267B2"/>
    <w:rsid w:val="00D26F34"/>
    <w:rsid w:val="00D31E25"/>
    <w:rsid w:val="00D3207C"/>
    <w:rsid w:val="00D3218E"/>
    <w:rsid w:val="00D3311C"/>
    <w:rsid w:val="00D349FD"/>
    <w:rsid w:val="00D34FD8"/>
    <w:rsid w:val="00D43AC6"/>
    <w:rsid w:val="00D44DDA"/>
    <w:rsid w:val="00D44DE7"/>
    <w:rsid w:val="00D456B7"/>
    <w:rsid w:val="00D459AF"/>
    <w:rsid w:val="00D466E6"/>
    <w:rsid w:val="00D46C52"/>
    <w:rsid w:val="00D50DBB"/>
    <w:rsid w:val="00D51421"/>
    <w:rsid w:val="00D520EC"/>
    <w:rsid w:val="00D52250"/>
    <w:rsid w:val="00D53405"/>
    <w:rsid w:val="00D540C6"/>
    <w:rsid w:val="00D5457B"/>
    <w:rsid w:val="00D56CFE"/>
    <w:rsid w:val="00D57958"/>
    <w:rsid w:val="00D607BC"/>
    <w:rsid w:val="00D645F2"/>
    <w:rsid w:val="00D64BBC"/>
    <w:rsid w:val="00D64BE7"/>
    <w:rsid w:val="00D65153"/>
    <w:rsid w:val="00D67250"/>
    <w:rsid w:val="00D67721"/>
    <w:rsid w:val="00D70884"/>
    <w:rsid w:val="00D723C6"/>
    <w:rsid w:val="00D72500"/>
    <w:rsid w:val="00D72995"/>
    <w:rsid w:val="00D72D39"/>
    <w:rsid w:val="00D733EE"/>
    <w:rsid w:val="00D734E3"/>
    <w:rsid w:val="00D73685"/>
    <w:rsid w:val="00D73831"/>
    <w:rsid w:val="00D752BB"/>
    <w:rsid w:val="00D7569F"/>
    <w:rsid w:val="00D75793"/>
    <w:rsid w:val="00D76421"/>
    <w:rsid w:val="00D8009B"/>
    <w:rsid w:val="00D802AA"/>
    <w:rsid w:val="00D8087F"/>
    <w:rsid w:val="00D80F88"/>
    <w:rsid w:val="00D81EE2"/>
    <w:rsid w:val="00D83187"/>
    <w:rsid w:val="00D83BEA"/>
    <w:rsid w:val="00D841C1"/>
    <w:rsid w:val="00D861E7"/>
    <w:rsid w:val="00D8628D"/>
    <w:rsid w:val="00D869E0"/>
    <w:rsid w:val="00D87B05"/>
    <w:rsid w:val="00D96C14"/>
    <w:rsid w:val="00DA0A1E"/>
    <w:rsid w:val="00DA179F"/>
    <w:rsid w:val="00DA2306"/>
    <w:rsid w:val="00DA7FA2"/>
    <w:rsid w:val="00DB0AF4"/>
    <w:rsid w:val="00DB3C2D"/>
    <w:rsid w:val="00DB47E5"/>
    <w:rsid w:val="00DB5A9F"/>
    <w:rsid w:val="00DB6157"/>
    <w:rsid w:val="00DB6AAA"/>
    <w:rsid w:val="00DC08FB"/>
    <w:rsid w:val="00DC153F"/>
    <w:rsid w:val="00DC1B13"/>
    <w:rsid w:val="00DC2036"/>
    <w:rsid w:val="00DC264E"/>
    <w:rsid w:val="00DC2D8D"/>
    <w:rsid w:val="00DC325B"/>
    <w:rsid w:val="00DC4BE8"/>
    <w:rsid w:val="00DC6188"/>
    <w:rsid w:val="00DC7648"/>
    <w:rsid w:val="00DC7F67"/>
    <w:rsid w:val="00DC7FA9"/>
    <w:rsid w:val="00DD2339"/>
    <w:rsid w:val="00DD7300"/>
    <w:rsid w:val="00DE1F5D"/>
    <w:rsid w:val="00DE25FE"/>
    <w:rsid w:val="00DE50D8"/>
    <w:rsid w:val="00DF278A"/>
    <w:rsid w:val="00DF349C"/>
    <w:rsid w:val="00DF566C"/>
    <w:rsid w:val="00DF7445"/>
    <w:rsid w:val="00E00AC0"/>
    <w:rsid w:val="00E03CC6"/>
    <w:rsid w:val="00E03F68"/>
    <w:rsid w:val="00E04BC9"/>
    <w:rsid w:val="00E064BB"/>
    <w:rsid w:val="00E07AB8"/>
    <w:rsid w:val="00E11862"/>
    <w:rsid w:val="00E11B90"/>
    <w:rsid w:val="00E1219C"/>
    <w:rsid w:val="00E1375A"/>
    <w:rsid w:val="00E13E35"/>
    <w:rsid w:val="00E1664B"/>
    <w:rsid w:val="00E16F18"/>
    <w:rsid w:val="00E17550"/>
    <w:rsid w:val="00E20448"/>
    <w:rsid w:val="00E25AEF"/>
    <w:rsid w:val="00E26C16"/>
    <w:rsid w:val="00E30D12"/>
    <w:rsid w:val="00E3132A"/>
    <w:rsid w:val="00E3394E"/>
    <w:rsid w:val="00E35241"/>
    <w:rsid w:val="00E405FF"/>
    <w:rsid w:val="00E41417"/>
    <w:rsid w:val="00E42FAA"/>
    <w:rsid w:val="00E45AE5"/>
    <w:rsid w:val="00E4631F"/>
    <w:rsid w:val="00E52B4D"/>
    <w:rsid w:val="00E531AF"/>
    <w:rsid w:val="00E536D3"/>
    <w:rsid w:val="00E541E9"/>
    <w:rsid w:val="00E54BEA"/>
    <w:rsid w:val="00E5533F"/>
    <w:rsid w:val="00E561EA"/>
    <w:rsid w:val="00E576FD"/>
    <w:rsid w:val="00E57BE2"/>
    <w:rsid w:val="00E57F82"/>
    <w:rsid w:val="00E60717"/>
    <w:rsid w:val="00E61DE3"/>
    <w:rsid w:val="00E62A95"/>
    <w:rsid w:val="00E649D5"/>
    <w:rsid w:val="00E65D9E"/>
    <w:rsid w:val="00E67200"/>
    <w:rsid w:val="00E67795"/>
    <w:rsid w:val="00E67D82"/>
    <w:rsid w:val="00E7339D"/>
    <w:rsid w:val="00E73548"/>
    <w:rsid w:val="00E73805"/>
    <w:rsid w:val="00E7395F"/>
    <w:rsid w:val="00E746A2"/>
    <w:rsid w:val="00E80D7E"/>
    <w:rsid w:val="00E81521"/>
    <w:rsid w:val="00E83B96"/>
    <w:rsid w:val="00E8495E"/>
    <w:rsid w:val="00E86DAD"/>
    <w:rsid w:val="00E90D06"/>
    <w:rsid w:val="00E91389"/>
    <w:rsid w:val="00E9165C"/>
    <w:rsid w:val="00E93BAA"/>
    <w:rsid w:val="00E9551A"/>
    <w:rsid w:val="00E97E59"/>
    <w:rsid w:val="00EA06F7"/>
    <w:rsid w:val="00EA1154"/>
    <w:rsid w:val="00EA2E0C"/>
    <w:rsid w:val="00EA7955"/>
    <w:rsid w:val="00EA79C9"/>
    <w:rsid w:val="00EA7D7A"/>
    <w:rsid w:val="00EB04DB"/>
    <w:rsid w:val="00EB5277"/>
    <w:rsid w:val="00EB5739"/>
    <w:rsid w:val="00EB5822"/>
    <w:rsid w:val="00EB66AC"/>
    <w:rsid w:val="00EB76A6"/>
    <w:rsid w:val="00EC1225"/>
    <w:rsid w:val="00EC1C76"/>
    <w:rsid w:val="00EC2247"/>
    <w:rsid w:val="00EC33DF"/>
    <w:rsid w:val="00EC409D"/>
    <w:rsid w:val="00EC59BC"/>
    <w:rsid w:val="00ED01C6"/>
    <w:rsid w:val="00ED0C6E"/>
    <w:rsid w:val="00ED62A5"/>
    <w:rsid w:val="00ED79A8"/>
    <w:rsid w:val="00EE1F87"/>
    <w:rsid w:val="00EE3931"/>
    <w:rsid w:val="00EE3AF7"/>
    <w:rsid w:val="00EE53F2"/>
    <w:rsid w:val="00EE5AF6"/>
    <w:rsid w:val="00EF218E"/>
    <w:rsid w:val="00EF2CEF"/>
    <w:rsid w:val="00EF3EC9"/>
    <w:rsid w:val="00EF4D65"/>
    <w:rsid w:val="00EF6E69"/>
    <w:rsid w:val="00EF7ADC"/>
    <w:rsid w:val="00F0653F"/>
    <w:rsid w:val="00F06AEB"/>
    <w:rsid w:val="00F06B6B"/>
    <w:rsid w:val="00F0709C"/>
    <w:rsid w:val="00F07701"/>
    <w:rsid w:val="00F104C7"/>
    <w:rsid w:val="00F1092D"/>
    <w:rsid w:val="00F113AC"/>
    <w:rsid w:val="00F1163C"/>
    <w:rsid w:val="00F13170"/>
    <w:rsid w:val="00F165AB"/>
    <w:rsid w:val="00F16C40"/>
    <w:rsid w:val="00F176C5"/>
    <w:rsid w:val="00F17F20"/>
    <w:rsid w:val="00F200F0"/>
    <w:rsid w:val="00F2043F"/>
    <w:rsid w:val="00F27BD7"/>
    <w:rsid w:val="00F311E7"/>
    <w:rsid w:val="00F31860"/>
    <w:rsid w:val="00F32734"/>
    <w:rsid w:val="00F33004"/>
    <w:rsid w:val="00F33810"/>
    <w:rsid w:val="00F42C20"/>
    <w:rsid w:val="00F431D8"/>
    <w:rsid w:val="00F43203"/>
    <w:rsid w:val="00F43A45"/>
    <w:rsid w:val="00F457C7"/>
    <w:rsid w:val="00F46363"/>
    <w:rsid w:val="00F511A2"/>
    <w:rsid w:val="00F521C4"/>
    <w:rsid w:val="00F5238F"/>
    <w:rsid w:val="00F54630"/>
    <w:rsid w:val="00F57398"/>
    <w:rsid w:val="00F62F1D"/>
    <w:rsid w:val="00F6325A"/>
    <w:rsid w:val="00F63E8D"/>
    <w:rsid w:val="00F65B56"/>
    <w:rsid w:val="00F65F71"/>
    <w:rsid w:val="00F6625D"/>
    <w:rsid w:val="00F66EE7"/>
    <w:rsid w:val="00F67706"/>
    <w:rsid w:val="00F7011A"/>
    <w:rsid w:val="00F743EF"/>
    <w:rsid w:val="00F75BF2"/>
    <w:rsid w:val="00F77CCA"/>
    <w:rsid w:val="00F81FE3"/>
    <w:rsid w:val="00F83EA2"/>
    <w:rsid w:val="00F84EE6"/>
    <w:rsid w:val="00F8646C"/>
    <w:rsid w:val="00F90F82"/>
    <w:rsid w:val="00F923D5"/>
    <w:rsid w:val="00F92D75"/>
    <w:rsid w:val="00F96BFB"/>
    <w:rsid w:val="00F97327"/>
    <w:rsid w:val="00FA296F"/>
    <w:rsid w:val="00FA4D5A"/>
    <w:rsid w:val="00FA7323"/>
    <w:rsid w:val="00FB1299"/>
    <w:rsid w:val="00FB3622"/>
    <w:rsid w:val="00FB47A6"/>
    <w:rsid w:val="00FB4997"/>
    <w:rsid w:val="00FB4D30"/>
    <w:rsid w:val="00FB4EF1"/>
    <w:rsid w:val="00FB60DC"/>
    <w:rsid w:val="00FB7B9C"/>
    <w:rsid w:val="00FC0C03"/>
    <w:rsid w:val="00FC0F04"/>
    <w:rsid w:val="00FC32D3"/>
    <w:rsid w:val="00FC3DA3"/>
    <w:rsid w:val="00FC4E5B"/>
    <w:rsid w:val="00FC67A4"/>
    <w:rsid w:val="00FD02FC"/>
    <w:rsid w:val="00FD0594"/>
    <w:rsid w:val="00FD0687"/>
    <w:rsid w:val="00FD08D3"/>
    <w:rsid w:val="00FD19C1"/>
    <w:rsid w:val="00FD24C4"/>
    <w:rsid w:val="00FD36A6"/>
    <w:rsid w:val="00FD3ED0"/>
    <w:rsid w:val="00FD45F5"/>
    <w:rsid w:val="00FD46C6"/>
    <w:rsid w:val="00FD4D82"/>
    <w:rsid w:val="00FD664F"/>
    <w:rsid w:val="00FE082D"/>
    <w:rsid w:val="00FE1148"/>
    <w:rsid w:val="00FE227D"/>
    <w:rsid w:val="00FE29F6"/>
    <w:rsid w:val="00FE3417"/>
    <w:rsid w:val="00FE405C"/>
    <w:rsid w:val="00FE40A8"/>
    <w:rsid w:val="00FE4B06"/>
    <w:rsid w:val="00FE50D6"/>
    <w:rsid w:val="00FE555F"/>
    <w:rsid w:val="00FE57AE"/>
    <w:rsid w:val="00FF0061"/>
    <w:rsid w:val="00FF1967"/>
    <w:rsid w:val="00FF22B1"/>
    <w:rsid w:val="00FF526E"/>
    <w:rsid w:val="00FF7C21"/>
    <w:rsid w:val="05DC8744"/>
    <w:rsid w:val="089ECD96"/>
    <w:rsid w:val="15FEA249"/>
    <w:rsid w:val="1BD4FD48"/>
    <w:rsid w:val="201448F9"/>
    <w:rsid w:val="2DA333EF"/>
    <w:rsid w:val="30F6AB53"/>
    <w:rsid w:val="41C7CC71"/>
    <w:rsid w:val="4E6EAB22"/>
    <w:rsid w:val="542A6825"/>
    <w:rsid w:val="5853D39C"/>
    <w:rsid w:val="5B349267"/>
    <w:rsid w:val="62D96441"/>
    <w:rsid w:val="6F38CF4E"/>
    <w:rsid w:val="7163C3D7"/>
    <w:rsid w:val="75EC9394"/>
    <w:rsid w:val="7C3AB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5B8DA2C"/>
  <w15:docId w15:val="{4028CD53-9B2C-4363-9545-509BCEAD6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1">
    <w:name w:val="heading 1"/>
    <w:basedOn w:val="Normal"/>
    <w:next w:val="Normal"/>
    <w:link w:val="Heading1Char"/>
    <w:uiPriority w:val="9"/>
    <w:qFormat/>
    <w:rsid w:val="0076598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aliases w:val="Char18"/>
    <w:basedOn w:val="Normal"/>
    <w:link w:val="FootnoteTextChar"/>
    <w:uiPriority w:val="99"/>
    <w:qFormat/>
    <w:rsid w:val="00765156"/>
    <w:pPr>
      <w:ind w:left="0" w:firstLine="0"/>
    </w:pPr>
    <w:rPr>
      <w:rFonts w:ascii="Times New Roman" w:eastAsia="Calibri" w:hAnsi="Times New Roman" w:cs="Times New Roman"/>
      <w:sz w:val="20"/>
      <w:szCs w:val="20"/>
    </w:rPr>
  </w:style>
  <w:style w:type="character" w:customStyle="1" w:styleId="FootnoteTextChar">
    <w:name w:val="Footnote Text Char"/>
    <w:aliases w:val="Char18 Char"/>
    <w:basedOn w:val="DefaultParagraphFont"/>
    <w:link w:val="FootnoteText"/>
    <w:uiPriority w:val="99"/>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customStyle="1" w:styleId="UnresolvedMention1">
    <w:name w:val="Unresolved Mention1"/>
    <w:basedOn w:val="DefaultParagraphFont"/>
    <w:uiPriority w:val="99"/>
    <w:semiHidden/>
    <w:unhideWhenUsed/>
    <w:rsid w:val="002750FF"/>
    <w:rPr>
      <w:color w:val="808080"/>
      <w:shd w:val="clear" w:color="auto" w:fill="E6E6E6"/>
    </w:rPr>
  </w:style>
  <w:style w:type="character" w:customStyle="1" w:styleId="Heading1Char">
    <w:name w:val="Heading 1 Char"/>
    <w:basedOn w:val="DefaultParagraphFont"/>
    <w:link w:val="Heading1"/>
    <w:uiPriority w:val="9"/>
    <w:rsid w:val="00765988"/>
    <w:rPr>
      <w:rFonts w:asciiTheme="majorHAnsi" w:eastAsiaTheme="majorEastAsia" w:hAnsiTheme="majorHAnsi" w:cstheme="majorBidi"/>
      <w:color w:val="365F91" w:themeColor="accent1" w:themeShade="BF"/>
      <w:sz w:val="32"/>
      <w:szCs w:val="32"/>
    </w:rPr>
  </w:style>
  <w:style w:type="character" w:customStyle="1" w:styleId="highlight">
    <w:name w:val="highlight"/>
    <w:basedOn w:val="DefaultParagraphFont"/>
    <w:rsid w:val="00765988"/>
  </w:style>
  <w:style w:type="character" w:styleId="FootnoteReference">
    <w:name w:val="footnote reference"/>
    <w:basedOn w:val="DefaultParagraphFont"/>
    <w:uiPriority w:val="99"/>
    <w:unhideWhenUsed/>
    <w:qFormat/>
    <w:rsid w:val="00396138"/>
    <w:rPr>
      <w:vertAlign w:val="superscript"/>
    </w:rPr>
  </w:style>
  <w:style w:type="paragraph" w:styleId="NormalWeb">
    <w:name w:val="Normal (Web)"/>
    <w:basedOn w:val="Normal"/>
    <w:uiPriority w:val="99"/>
    <w:unhideWhenUsed/>
    <w:rsid w:val="00C952DB"/>
    <w:pPr>
      <w:spacing w:before="100" w:beforeAutospacing="1" w:after="100" w:afterAutospacing="1"/>
      <w:ind w:left="0" w:firstLine="0"/>
    </w:pPr>
    <w:rPr>
      <w:rFonts w:ascii="Calibri" w:hAnsi="Calibri" w:cs="Calibri"/>
    </w:rPr>
  </w:style>
  <w:style w:type="character" w:customStyle="1" w:styleId="A2">
    <w:name w:val="A2"/>
    <w:uiPriority w:val="99"/>
    <w:rsid w:val="000043B9"/>
    <w:rPr>
      <w:rFonts w:cs="Futura Std"/>
      <w:color w:val="000000"/>
      <w:sz w:val="20"/>
      <w:szCs w:val="20"/>
    </w:rPr>
  </w:style>
  <w:style w:type="paragraph" w:customStyle="1" w:styleId="question">
    <w:name w:val="question"/>
    <w:basedOn w:val="Normal"/>
    <w:qFormat/>
    <w:rsid w:val="0084667A"/>
    <w:pPr>
      <w:spacing w:before="240"/>
      <w:ind w:left="540" w:right="140" w:hanging="540"/>
    </w:pPr>
    <w:rPr>
      <w:iCs/>
    </w:rPr>
  </w:style>
  <w:style w:type="paragraph" w:customStyle="1" w:styleId="Response">
    <w:name w:val="Response"/>
    <w:basedOn w:val="Normal"/>
    <w:link w:val="ResponseChar"/>
    <w:qFormat/>
    <w:rsid w:val="0038014E"/>
    <w:pPr>
      <w:spacing w:before="240" w:after="240"/>
      <w:ind w:left="432" w:firstLine="0"/>
    </w:pPr>
    <w:rPr>
      <w:color w:val="7030A0"/>
    </w:rPr>
  </w:style>
  <w:style w:type="character" w:customStyle="1" w:styleId="ResponseChar">
    <w:name w:val="Response Char"/>
    <w:basedOn w:val="DefaultParagraphFont"/>
    <w:link w:val="Response"/>
    <w:rsid w:val="0038014E"/>
    <w:rPr>
      <w:color w:val="7030A0"/>
    </w:rPr>
  </w:style>
  <w:style w:type="paragraph" w:styleId="PlainText">
    <w:name w:val="Plain Text"/>
    <w:basedOn w:val="Normal"/>
    <w:link w:val="PlainTextChar"/>
    <w:uiPriority w:val="99"/>
    <w:semiHidden/>
    <w:unhideWhenUsed/>
    <w:rsid w:val="002B4F7D"/>
    <w:pPr>
      <w:ind w:left="0" w:firstLine="0"/>
    </w:pPr>
    <w:rPr>
      <w:rFonts w:ascii="Calibri" w:hAnsi="Calibri" w:cs="Calibri"/>
    </w:rPr>
  </w:style>
  <w:style w:type="character" w:customStyle="1" w:styleId="PlainTextChar">
    <w:name w:val="Plain Text Char"/>
    <w:basedOn w:val="DefaultParagraphFont"/>
    <w:link w:val="PlainText"/>
    <w:uiPriority w:val="99"/>
    <w:semiHidden/>
    <w:rsid w:val="002B4F7D"/>
    <w:rPr>
      <w:rFonts w:ascii="Calibri" w:hAnsi="Calibri" w:cs="Calibri"/>
    </w:rPr>
  </w:style>
  <w:style w:type="paragraph" w:customStyle="1" w:styleId="Default">
    <w:name w:val="Default"/>
    <w:rsid w:val="00D12E2A"/>
    <w:pPr>
      <w:autoSpaceDE w:val="0"/>
      <w:autoSpaceDN w:val="0"/>
      <w:adjustRightInd w:val="0"/>
      <w:ind w:left="0" w:firstLine="0"/>
    </w:pPr>
    <w:rPr>
      <w:rFonts w:ascii="Times New Roman" w:hAnsi="Times New Roman" w:cs="Times New Roman"/>
      <w:color w:val="000000"/>
      <w:sz w:val="24"/>
      <w:szCs w:val="24"/>
    </w:rPr>
  </w:style>
  <w:style w:type="paragraph" w:styleId="Caption">
    <w:name w:val="caption"/>
    <w:basedOn w:val="Normal"/>
    <w:next w:val="Normal"/>
    <w:uiPriority w:val="35"/>
    <w:unhideWhenUsed/>
    <w:qFormat/>
    <w:rsid w:val="00AC669C"/>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1205">
      <w:bodyDiv w:val="1"/>
      <w:marLeft w:val="0"/>
      <w:marRight w:val="0"/>
      <w:marTop w:val="0"/>
      <w:marBottom w:val="0"/>
      <w:divBdr>
        <w:top w:val="none" w:sz="0" w:space="0" w:color="auto"/>
        <w:left w:val="none" w:sz="0" w:space="0" w:color="auto"/>
        <w:bottom w:val="none" w:sz="0" w:space="0" w:color="auto"/>
        <w:right w:val="none" w:sz="0" w:space="0" w:color="auto"/>
      </w:divBdr>
    </w:div>
    <w:div w:id="129398521">
      <w:bodyDiv w:val="1"/>
      <w:marLeft w:val="0"/>
      <w:marRight w:val="0"/>
      <w:marTop w:val="0"/>
      <w:marBottom w:val="0"/>
      <w:divBdr>
        <w:top w:val="none" w:sz="0" w:space="0" w:color="auto"/>
        <w:left w:val="none" w:sz="0" w:space="0" w:color="auto"/>
        <w:bottom w:val="none" w:sz="0" w:space="0" w:color="auto"/>
        <w:right w:val="none" w:sz="0" w:space="0" w:color="auto"/>
      </w:divBdr>
    </w:div>
    <w:div w:id="169217953">
      <w:bodyDiv w:val="1"/>
      <w:marLeft w:val="0"/>
      <w:marRight w:val="0"/>
      <w:marTop w:val="0"/>
      <w:marBottom w:val="0"/>
      <w:divBdr>
        <w:top w:val="none" w:sz="0" w:space="0" w:color="auto"/>
        <w:left w:val="none" w:sz="0" w:space="0" w:color="auto"/>
        <w:bottom w:val="none" w:sz="0" w:space="0" w:color="auto"/>
        <w:right w:val="none" w:sz="0" w:space="0" w:color="auto"/>
      </w:divBdr>
    </w:div>
    <w:div w:id="258147076">
      <w:bodyDiv w:val="1"/>
      <w:marLeft w:val="0"/>
      <w:marRight w:val="0"/>
      <w:marTop w:val="0"/>
      <w:marBottom w:val="0"/>
      <w:divBdr>
        <w:top w:val="none" w:sz="0" w:space="0" w:color="auto"/>
        <w:left w:val="none" w:sz="0" w:space="0" w:color="auto"/>
        <w:bottom w:val="none" w:sz="0" w:space="0" w:color="auto"/>
        <w:right w:val="none" w:sz="0" w:space="0" w:color="auto"/>
      </w:divBdr>
    </w:div>
    <w:div w:id="268900114">
      <w:bodyDiv w:val="1"/>
      <w:marLeft w:val="0"/>
      <w:marRight w:val="0"/>
      <w:marTop w:val="0"/>
      <w:marBottom w:val="0"/>
      <w:divBdr>
        <w:top w:val="none" w:sz="0" w:space="0" w:color="auto"/>
        <w:left w:val="none" w:sz="0" w:space="0" w:color="auto"/>
        <w:bottom w:val="none" w:sz="0" w:space="0" w:color="auto"/>
        <w:right w:val="none" w:sz="0" w:space="0" w:color="auto"/>
      </w:divBdr>
      <w:divsChild>
        <w:div w:id="1886285285">
          <w:marLeft w:val="0"/>
          <w:marRight w:val="0"/>
          <w:marTop w:val="0"/>
          <w:marBottom w:val="0"/>
          <w:divBdr>
            <w:top w:val="none" w:sz="0" w:space="0" w:color="auto"/>
            <w:left w:val="none" w:sz="0" w:space="0" w:color="auto"/>
            <w:bottom w:val="none" w:sz="0" w:space="0" w:color="auto"/>
            <w:right w:val="none" w:sz="0" w:space="0" w:color="auto"/>
          </w:divBdr>
          <w:divsChild>
            <w:div w:id="112187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253806">
      <w:bodyDiv w:val="1"/>
      <w:marLeft w:val="0"/>
      <w:marRight w:val="0"/>
      <w:marTop w:val="0"/>
      <w:marBottom w:val="0"/>
      <w:divBdr>
        <w:top w:val="none" w:sz="0" w:space="0" w:color="auto"/>
        <w:left w:val="none" w:sz="0" w:space="0" w:color="auto"/>
        <w:bottom w:val="none" w:sz="0" w:space="0" w:color="auto"/>
        <w:right w:val="none" w:sz="0" w:space="0" w:color="auto"/>
      </w:divBdr>
    </w:div>
    <w:div w:id="362437255">
      <w:bodyDiv w:val="1"/>
      <w:marLeft w:val="0"/>
      <w:marRight w:val="0"/>
      <w:marTop w:val="0"/>
      <w:marBottom w:val="0"/>
      <w:divBdr>
        <w:top w:val="none" w:sz="0" w:space="0" w:color="auto"/>
        <w:left w:val="none" w:sz="0" w:space="0" w:color="auto"/>
        <w:bottom w:val="none" w:sz="0" w:space="0" w:color="auto"/>
        <w:right w:val="none" w:sz="0" w:space="0" w:color="auto"/>
      </w:divBdr>
    </w:div>
    <w:div w:id="810440403">
      <w:bodyDiv w:val="1"/>
      <w:marLeft w:val="0"/>
      <w:marRight w:val="0"/>
      <w:marTop w:val="0"/>
      <w:marBottom w:val="0"/>
      <w:divBdr>
        <w:top w:val="none" w:sz="0" w:space="0" w:color="auto"/>
        <w:left w:val="none" w:sz="0" w:space="0" w:color="auto"/>
        <w:bottom w:val="none" w:sz="0" w:space="0" w:color="auto"/>
        <w:right w:val="none" w:sz="0" w:space="0" w:color="auto"/>
      </w:divBdr>
    </w:div>
    <w:div w:id="920257108">
      <w:bodyDiv w:val="1"/>
      <w:marLeft w:val="0"/>
      <w:marRight w:val="0"/>
      <w:marTop w:val="0"/>
      <w:marBottom w:val="0"/>
      <w:divBdr>
        <w:top w:val="none" w:sz="0" w:space="0" w:color="auto"/>
        <w:left w:val="none" w:sz="0" w:space="0" w:color="auto"/>
        <w:bottom w:val="none" w:sz="0" w:space="0" w:color="auto"/>
        <w:right w:val="none" w:sz="0" w:space="0" w:color="auto"/>
      </w:divBdr>
    </w:div>
    <w:div w:id="1046181282">
      <w:bodyDiv w:val="1"/>
      <w:marLeft w:val="0"/>
      <w:marRight w:val="0"/>
      <w:marTop w:val="0"/>
      <w:marBottom w:val="0"/>
      <w:divBdr>
        <w:top w:val="none" w:sz="0" w:space="0" w:color="auto"/>
        <w:left w:val="none" w:sz="0" w:space="0" w:color="auto"/>
        <w:bottom w:val="none" w:sz="0" w:space="0" w:color="auto"/>
        <w:right w:val="none" w:sz="0" w:space="0" w:color="auto"/>
      </w:divBdr>
    </w:div>
    <w:div w:id="1073822364">
      <w:bodyDiv w:val="1"/>
      <w:marLeft w:val="0"/>
      <w:marRight w:val="0"/>
      <w:marTop w:val="0"/>
      <w:marBottom w:val="0"/>
      <w:divBdr>
        <w:top w:val="none" w:sz="0" w:space="0" w:color="auto"/>
        <w:left w:val="none" w:sz="0" w:space="0" w:color="auto"/>
        <w:bottom w:val="none" w:sz="0" w:space="0" w:color="auto"/>
        <w:right w:val="none" w:sz="0" w:space="0" w:color="auto"/>
      </w:divBdr>
    </w:div>
    <w:div w:id="1102259112">
      <w:bodyDiv w:val="1"/>
      <w:marLeft w:val="0"/>
      <w:marRight w:val="0"/>
      <w:marTop w:val="0"/>
      <w:marBottom w:val="0"/>
      <w:divBdr>
        <w:top w:val="none" w:sz="0" w:space="0" w:color="auto"/>
        <w:left w:val="none" w:sz="0" w:space="0" w:color="auto"/>
        <w:bottom w:val="none" w:sz="0" w:space="0" w:color="auto"/>
        <w:right w:val="none" w:sz="0" w:space="0" w:color="auto"/>
      </w:divBdr>
    </w:div>
    <w:div w:id="1260870525">
      <w:bodyDiv w:val="1"/>
      <w:marLeft w:val="0"/>
      <w:marRight w:val="0"/>
      <w:marTop w:val="0"/>
      <w:marBottom w:val="0"/>
      <w:divBdr>
        <w:top w:val="none" w:sz="0" w:space="0" w:color="auto"/>
        <w:left w:val="none" w:sz="0" w:space="0" w:color="auto"/>
        <w:bottom w:val="none" w:sz="0" w:space="0" w:color="auto"/>
        <w:right w:val="none" w:sz="0" w:space="0" w:color="auto"/>
      </w:divBdr>
    </w:div>
    <w:div w:id="1322662612">
      <w:bodyDiv w:val="1"/>
      <w:marLeft w:val="0"/>
      <w:marRight w:val="0"/>
      <w:marTop w:val="0"/>
      <w:marBottom w:val="0"/>
      <w:divBdr>
        <w:top w:val="none" w:sz="0" w:space="0" w:color="auto"/>
        <w:left w:val="none" w:sz="0" w:space="0" w:color="auto"/>
        <w:bottom w:val="none" w:sz="0" w:space="0" w:color="auto"/>
        <w:right w:val="none" w:sz="0" w:space="0" w:color="auto"/>
      </w:divBdr>
      <w:divsChild>
        <w:div w:id="88673">
          <w:marLeft w:val="1800"/>
          <w:marRight w:val="0"/>
          <w:marTop w:val="0"/>
          <w:marBottom w:val="0"/>
          <w:divBdr>
            <w:top w:val="none" w:sz="0" w:space="0" w:color="auto"/>
            <w:left w:val="none" w:sz="0" w:space="0" w:color="auto"/>
            <w:bottom w:val="none" w:sz="0" w:space="0" w:color="auto"/>
            <w:right w:val="none" w:sz="0" w:space="0" w:color="auto"/>
          </w:divBdr>
        </w:div>
        <w:div w:id="263154025">
          <w:marLeft w:val="1166"/>
          <w:marRight w:val="0"/>
          <w:marTop w:val="0"/>
          <w:marBottom w:val="0"/>
          <w:divBdr>
            <w:top w:val="none" w:sz="0" w:space="0" w:color="auto"/>
            <w:left w:val="none" w:sz="0" w:space="0" w:color="auto"/>
            <w:bottom w:val="none" w:sz="0" w:space="0" w:color="auto"/>
            <w:right w:val="none" w:sz="0" w:space="0" w:color="auto"/>
          </w:divBdr>
        </w:div>
        <w:div w:id="531066476">
          <w:marLeft w:val="1166"/>
          <w:marRight w:val="0"/>
          <w:marTop w:val="0"/>
          <w:marBottom w:val="0"/>
          <w:divBdr>
            <w:top w:val="none" w:sz="0" w:space="0" w:color="auto"/>
            <w:left w:val="none" w:sz="0" w:space="0" w:color="auto"/>
            <w:bottom w:val="none" w:sz="0" w:space="0" w:color="auto"/>
            <w:right w:val="none" w:sz="0" w:space="0" w:color="auto"/>
          </w:divBdr>
        </w:div>
        <w:div w:id="642396148">
          <w:marLeft w:val="1800"/>
          <w:marRight w:val="0"/>
          <w:marTop w:val="0"/>
          <w:marBottom w:val="0"/>
          <w:divBdr>
            <w:top w:val="none" w:sz="0" w:space="0" w:color="auto"/>
            <w:left w:val="none" w:sz="0" w:space="0" w:color="auto"/>
            <w:bottom w:val="none" w:sz="0" w:space="0" w:color="auto"/>
            <w:right w:val="none" w:sz="0" w:space="0" w:color="auto"/>
          </w:divBdr>
        </w:div>
        <w:div w:id="920724174">
          <w:marLeft w:val="1800"/>
          <w:marRight w:val="0"/>
          <w:marTop w:val="0"/>
          <w:marBottom w:val="0"/>
          <w:divBdr>
            <w:top w:val="none" w:sz="0" w:space="0" w:color="auto"/>
            <w:left w:val="none" w:sz="0" w:space="0" w:color="auto"/>
            <w:bottom w:val="none" w:sz="0" w:space="0" w:color="auto"/>
            <w:right w:val="none" w:sz="0" w:space="0" w:color="auto"/>
          </w:divBdr>
        </w:div>
        <w:div w:id="1038628783">
          <w:marLeft w:val="1166"/>
          <w:marRight w:val="0"/>
          <w:marTop w:val="0"/>
          <w:marBottom w:val="0"/>
          <w:divBdr>
            <w:top w:val="none" w:sz="0" w:space="0" w:color="auto"/>
            <w:left w:val="none" w:sz="0" w:space="0" w:color="auto"/>
            <w:bottom w:val="none" w:sz="0" w:space="0" w:color="auto"/>
            <w:right w:val="none" w:sz="0" w:space="0" w:color="auto"/>
          </w:divBdr>
        </w:div>
        <w:div w:id="1541091714">
          <w:marLeft w:val="1166"/>
          <w:marRight w:val="0"/>
          <w:marTop w:val="0"/>
          <w:marBottom w:val="0"/>
          <w:divBdr>
            <w:top w:val="none" w:sz="0" w:space="0" w:color="auto"/>
            <w:left w:val="none" w:sz="0" w:space="0" w:color="auto"/>
            <w:bottom w:val="none" w:sz="0" w:space="0" w:color="auto"/>
            <w:right w:val="none" w:sz="0" w:space="0" w:color="auto"/>
          </w:divBdr>
        </w:div>
        <w:div w:id="1832746221">
          <w:marLeft w:val="1800"/>
          <w:marRight w:val="0"/>
          <w:marTop w:val="0"/>
          <w:marBottom w:val="0"/>
          <w:divBdr>
            <w:top w:val="none" w:sz="0" w:space="0" w:color="auto"/>
            <w:left w:val="none" w:sz="0" w:space="0" w:color="auto"/>
            <w:bottom w:val="none" w:sz="0" w:space="0" w:color="auto"/>
            <w:right w:val="none" w:sz="0" w:space="0" w:color="auto"/>
          </w:divBdr>
        </w:div>
        <w:div w:id="2051807878">
          <w:marLeft w:val="1166"/>
          <w:marRight w:val="0"/>
          <w:marTop w:val="0"/>
          <w:marBottom w:val="0"/>
          <w:divBdr>
            <w:top w:val="none" w:sz="0" w:space="0" w:color="auto"/>
            <w:left w:val="none" w:sz="0" w:space="0" w:color="auto"/>
            <w:bottom w:val="none" w:sz="0" w:space="0" w:color="auto"/>
            <w:right w:val="none" w:sz="0" w:space="0" w:color="auto"/>
          </w:divBdr>
        </w:div>
        <w:div w:id="2146312159">
          <w:marLeft w:val="1166"/>
          <w:marRight w:val="0"/>
          <w:marTop w:val="0"/>
          <w:marBottom w:val="0"/>
          <w:divBdr>
            <w:top w:val="none" w:sz="0" w:space="0" w:color="auto"/>
            <w:left w:val="none" w:sz="0" w:space="0" w:color="auto"/>
            <w:bottom w:val="none" w:sz="0" w:space="0" w:color="auto"/>
            <w:right w:val="none" w:sz="0" w:space="0" w:color="auto"/>
          </w:divBdr>
        </w:div>
      </w:divsChild>
    </w:div>
    <w:div w:id="1367220046">
      <w:bodyDiv w:val="1"/>
      <w:marLeft w:val="0"/>
      <w:marRight w:val="0"/>
      <w:marTop w:val="0"/>
      <w:marBottom w:val="0"/>
      <w:divBdr>
        <w:top w:val="none" w:sz="0" w:space="0" w:color="auto"/>
        <w:left w:val="none" w:sz="0" w:space="0" w:color="auto"/>
        <w:bottom w:val="none" w:sz="0" w:space="0" w:color="auto"/>
        <w:right w:val="none" w:sz="0" w:space="0" w:color="auto"/>
      </w:divBdr>
    </w:div>
    <w:div w:id="1629165434">
      <w:bodyDiv w:val="1"/>
      <w:marLeft w:val="0"/>
      <w:marRight w:val="0"/>
      <w:marTop w:val="0"/>
      <w:marBottom w:val="0"/>
      <w:divBdr>
        <w:top w:val="none" w:sz="0" w:space="0" w:color="auto"/>
        <w:left w:val="none" w:sz="0" w:space="0" w:color="auto"/>
        <w:bottom w:val="none" w:sz="0" w:space="0" w:color="auto"/>
        <w:right w:val="none" w:sz="0" w:space="0" w:color="auto"/>
      </w:divBdr>
    </w:div>
    <w:div w:id="1632860486">
      <w:bodyDiv w:val="1"/>
      <w:marLeft w:val="0"/>
      <w:marRight w:val="0"/>
      <w:marTop w:val="0"/>
      <w:marBottom w:val="0"/>
      <w:divBdr>
        <w:top w:val="none" w:sz="0" w:space="0" w:color="auto"/>
        <w:left w:val="none" w:sz="0" w:space="0" w:color="auto"/>
        <w:bottom w:val="none" w:sz="0" w:space="0" w:color="auto"/>
        <w:right w:val="none" w:sz="0" w:space="0" w:color="auto"/>
      </w:divBdr>
    </w:div>
    <w:div w:id="1682972451">
      <w:bodyDiv w:val="1"/>
      <w:marLeft w:val="0"/>
      <w:marRight w:val="0"/>
      <w:marTop w:val="0"/>
      <w:marBottom w:val="0"/>
      <w:divBdr>
        <w:top w:val="none" w:sz="0" w:space="0" w:color="auto"/>
        <w:left w:val="none" w:sz="0" w:space="0" w:color="auto"/>
        <w:bottom w:val="none" w:sz="0" w:space="0" w:color="auto"/>
        <w:right w:val="none" w:sz="0" w:space="0" w:color="auto"/>
      </w:divBdr>
    </w:div>
    <w:div w:id="1720933732">
      <w:bodyDiv w:val="1"/>
      <w:marLeft w:val="0"/>
      <w:marRight w:val="0"/>
      <w:marTop w:val="0"/>
      <w:marBottom w:val="0"/>
      <w:divBdr>
        <w:top w:val="none" w:sz="0" w:space="0" w:color="auto"/>
        <w:left w:val="none" w:sz="0" w:space="0" w:color="auto"/>
        <w:bottom w:val="none" w:sz="0" w:space="0" w:color="auto"/>
        <w:right w:val="none" w:sz="0" w:space="0" w:color="auto"/>
      </w:divBdr>
    </w:div>
    <w:div w:id="1799371359">
      <w:bodyDiv w:val="1"/>
      <w:marLeft w:val="0"/>
      <w:marRight w:val="0"/>
      <w:marTop w:val="0"/>
      <w:marBottom w:val="0"/>
      <w:divBdr>
        <w:top w:val="none" w:sz="0" w:space="0" w:color="auto"/>
        <w:left w:val="none" w:sz="0" w:space="0" w:color="auto"/>
        <w:bottom w:val="none" w:sz="0" w:space="0" w:color="auto"/>
        <w:right w:val="none" w:sz="0" w:space="0" w:color="auto"/>
      </w:divBdr>
      <w:divsChild>
        <w:div w:id="273754309">
          <w:marLeft w:val="547"/>
          <w:marRight w:val="0"/>
          <w:marTop w:val="0"/>
          <w:marBottom w:val="0"/>
          <w:divBdr>
            <w:top w:val="none" w:sz="0" w:space="0" w:color="auto"/>
            <w:left w:val="none" w:sz="0" w:space="0" w:color="auto"/>
            <w:bottom w:val="none" w:sz="0" w:space="0" w:color="auto"/>
            <w:right w:val="none" w:sz="0" w:space="0" w:color="auto"/>
          </w:divBdr>
        </w:div>
        <w:div w:id="299002430">
          <w:marLeft w:val="547"/>
          <w:marRight w:val="0"/>
          <w:marTop w:val="0"/>
          <w:marBottom w:val="0"/>
          <w:divBdr>
            <w:top w:val="none" w:sz="0" w:space="0" w:color="auto"/>
            <w:left w:val="none" w:sz="0" w:space="0" w:color="auto"/>
            <w:bottom w:val="none" w:sz="0" w:space="0" w:color="auto"/>
            <w:right w:val="none" w:sz="0" w:space="0" w:color="auto"/>
          </w:divBdr>
        </w:div>
        <w:div w:id="1121072915">
          <w:marLeft w:val="547"/>
          <w:marRight w:val="0"/>
          <w:marTop w:val="0"/>
          <w:marBottom w:val="0"/>
          <w:divBdr>
            <w:top w:val="none" w:sz="0" w:space="0" w:color="auto"/>
            <w:left w:val="none" w:sz="0" w:space="0" w:color="auto"/>
            <w:bottom w:val="none" w:sz="0" w:space="0" w:color="auto"/>
            <w:right w:val="none" w:sz="0" w:space="0" w:color="auto"/>
          </w:divBdr>
        </w:div>
      </w:divsChild>
    </w:div>
    <w:div w:id="1914506623">
      <w:bodyDiv w:val="1"/>
      <w:marLeft w:val="0"/>
      <w:marRight w:val="0"/>
      <w:marTop w:val="0"/>
      <w:marBottom w:val="0"/>
      <w:divBdr>
        <w:top w:val="none" w:sz="0" w:space="0" w:color="auto"/>
        <w:left w:val="none" w:sz="0" w:space="0" w:color="auto"/>
        <w:bottom w:val="none" w:sz="0" w:space="0" w:color="auto"/>
        <w:right w:val="none" w:sz="0" w:space="0" w:color="auto"/>
      </w:divBdr>
      <w:divsChild>
        <w:div w:id="321852977">
          <w:marLeft w:val="1166"/>
          <w:marRight w:val="0"/>
          <w:marTop w:val="0"/>
          <w:marBottom w:val="0"/>
          <w:divBdr>
            <w:top w:val="none" w:sz="0" w:space="0" w:color="auto"/>
            <w:left w:val="none" w:sz="0" w:space="0" w:color="auto"/>
            <w:bottom w:val="none" w:sz="0" w:space="0" w:color="auto"/>
            <w:right w:val="none" w:sz="0" w:space="0" w:color="auto"/>
          </w:divBdr>
        </w:div>
        <w:div w:id="458887003">
          <w:marLeft w:val="547"/>
          <w:marRight w:val="0"/>
          <w:marTop w:val="0"/>
          <w:marBottom w:val="0"/>
          <w:divBdr>
            <w:top w:val="none" w:sz="0" w:space="0" w:color="auto"/>
            <w:left w:val="none" w:sz="0" w:space="0" w:color="auto"/>
            <w:bottom w:val="none" w:sz="0" w:space="0" w:color="auto"/>
            <w:right w:val="none" w:sz="0" w:space="0" w:color="auto"/>
          </w:divBdr>
        </w:div>
        <w:div w:id="1243679159">
          <w:marLeft w:val="1166"/>
          <w:marRight w:val="0"/>
          <w:marTop w:val="0"/>
          <w:marBottom w:val="0"/>
          <w:divBdr>
            <w:top w:val="none" w:sz="0" w:space="0" w:color="auto"/>
            <w:left w:val="none" w:sz="0" w:space="0" w:color="auto"/>
            <w:bottom w:val="none" w:sz="0" w:space="0" w:color="auto"/>
            <w:right w:val="none" w:sz="0" w:space="0" w:color="auto"/>
          </w:divBdr>
        </w:div>
        <w:div w:id="1677924313">
          <w:marLeft w:val="1166"/>
          <w:marRight w:val="0"/>
          <w:marTop w:val="0"/>
          <w:marBottom w:val="0"/>
          <w:divBdr>
            <w:top w:val="none" w:sz="0" w:space="0" w:color="auto"/>
            <w:left w:val="none" w:sz="0" w:space="0" w:color="auto"/>
            <w:bottom w:val="none" w:sz="0" w:space="0" w:color="auto"/>
            <w:right w:val="none" w:sz="0" w:space="0" w:color="auto"/>
          </w:divBdr>
        </w:div>
        <w:div w:id="1953972975">
          <w:marLeft w:val="547"/>
          <w:marRight w:val="0"/>
          <w:marTop w:val="0"/>
          <w:marBottom w:val="0"/>
          <w:divBdr>
            <w:top w:val="none" w:sz="0" w:space="0" w:color="auto"/>
            <w:left w:val="none" w:sz="0" w:space="0" w:color="auto"/>
            <w:bottom w:val="none" w:sz="0" w:space="0" w:color="auto"/>
            <w:right w:val="none" w:sz="0" w:space="0" w:color="auto"/>
          </w:divBdr>
        </w:div>
        <w:div w:id="2105375088">
          <w:marLeft w:val="1166"/>
          <w:marRight w:val="0"/>
          <w:marTop w:val="0"/>
          <w:marBottom w:val="0"/>
          <w:divBdr>
            <w:top w:val="none" w:sz="0" w:space="0" w:color="auto"/>
            <w:left w:val="none" w:sz="0" w:space="0" w:color="auto"/>
            <w:bottom w:val="none" w:sz="0" w:space="0" w:color="auto"/>
            <w:right w:val="none" w:sz="0" w:space="0" w:color="auto"/>
          </w:divBdr>
        </w:div>
      </w:divsChild>
    </w:div>
    <w:div w:id="1936933244">
      <w:bodyDiv w:val="1"/>
      <w:marLeft w:val="0"/>
      <w:marRight w:val="0"/>
      <w:marTop w:val="0"/>
      <w:marBottom w:val="0"/>
      <w:divBdr>
        <w:top w:val="none" w:sz="0" w:space="0" w:color="auto"/>
        <w:left w:val="none" w:sz="0" w:space="0" w:color="auto"/>
        <w:bottom w:val="none" w:sz="0" w:space="0" w:color="auto"/>
        <w:right w:val="none" w:sz="0" w:space="0" w:color="auto"/>
      </w:divBdr>
    </w:div>
    <w:div w:id="1975481145">
      <w:bodyDiv w:val="1"/>
      <w:marLeft w:val="0"/>
      <w:marRight w:val="0"/>
      <w:marTop w:val="0"/>
      <w:marBottom w:val="0"/>
      <w:divBdr>
        <w:top w:val="none" w:sz="0" w:space="0" w:color="auto"/>
        <w:left w:val="none" w:sz="0" w:space="0" w:color="auto"/>
        <w:bottom w:val="none" w:sz="0" w:space="0" w:color="auto"/>
        <w:right w:val="none" w:sz="0" w:space="0" w:color="auto"/>
      </w:divBdr>
    </w:div>
    <w:div w:id="2115904445">
      <w:bodyDiv w:val="1"/>
      <w:marLeft w:val="0"/>
      <w:marRight w:val="0"/>
      <w:marTop w:val="0"/>
      <w:marBottom w:val="0"/>
      <w:divBdr>
        <w:top w:val="none" w:sz="0" w:space="0" w:color="auto"/>
        <w:left w:val="none" w:sz="0" w:space="0" w:color="auto"/>
        <w:bottom w:val="none" w:sz="0" w:space="0" w:color="auto"/>
        <w:right w:val="none" w:sz="0" w:space="0" w:color="auto"/>
      </w:divBdr>
    </w:div>
    <w:div w:id="2123843099">
      <w:bodyDiv w:val="1"/>
      <w:marLeft w:val="0"/>
      <w:marRight w:val="0"/>
      <w:marTop w:val="0"/>
      <w:marBottom w:val="0"/>
      <w:divBdr>
        <w:top w:val="none" w:sz="0" w:space="0" w:color="auto"/>
        <w:left w:val="none" w:sz="0" w:space="0" w:color="auto"/>
        <w:bottom w:val="none" w:sz="0" w:space="0" w:color="auto"/>
        <w:right w:val="none" w:sz="0" w:space="0" w:color="auto"/>
      </w:divBdr>
      <w:divsChild>
        <w:div w:id="618730471">
          <w:marLeft w:val="1166"/>
          <w:marRight w:val="0"/>
          <w:marTop w:val="0"/>
          <w:marBottom w:val="0"/>
          <w:divBdr>
            <w:top w:val="none" w:sz="0" w:space="0" w:color="auto"/>
            <w:left w:val="none" w:sz="0" w:space="0" w:color="auto"/>
            <w:bottom w:val="none" w:sz="0" w:space="0" w:color="auto"/>
            <w:right w:val="none" w:sz="0" w:space="0" w:color="auto"/>
          </w:divBdr>
        </w:div>
        <w:div w:id="1285964771">
          <w:marLeft w:val="1166"/>
          <w:marRight w:val="0"/>
          <w:marTop w:val="0"/>
          <w:marBottom w:val="0"/>
          <w:divBdr>
            <w:top w:val="none" w:sz="0" w:space="0" w:color="auto"/>
            <w:left w:val="none" w:sz="0" w:space="0" w:color="auto"/>
            <w:bottom w:val="none" w:sz="0" w:space="0" w:color="auto"/>
            <w:right w:val="none" w:sz="0" w:space="0" w:color="auto"/>
          </w:divBdr>
        </w:div>
        <w:div w:id="21442744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hyperlink" Target="https://doi.org/10.7326/M14-1568" TargetMode="External"/><Relationship Id="rId26" Type="http://schemas.openxmlformats.org/officeDocument/2006/relationships/hyperlink" Target="http://algorithm.wocn.org" TargetMode="External"/><Relationship Id="rId3" Type="http://schemas.openxmlformats.org/officeDocument/2006/relationships/customXml" Target="../customXml/item3.xml"/><Relationship Id="rId21" Type="http://schemas.openxmlformats.org/officeDocument/2006/relationships/hyperlink" Target="https://doi.org/10.7326/M14-1567"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gradeworkinggroup.org" TargetMode="External"/><Relationship Id="rId17" Type="http://schemas.openxmlformats.org/officeDocument/2006/relationships/image" Target="media/image1.png"/><Relationship Id="rId25" Type="http://schemas.openxmlformats.org/officeDocument/2006/relationships/hyperlink" Target="https://doi.org/10.1097/WON.0000000000000321" TargetMode="External"/><Relationship Id="rId33" Type="http://schemas.openxmlformats.org/officeDocument/2006/relationships/glossaryDocument" Target="glossary/document.xml"/><Relationship Id="rId38"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doi.org/10.1016/j.clinbiomech.2018.09.010" TargetMode="External"/><Relationship Id="rId29" Type="http://schemas.openxmlformats.org/officeDocument/2006/relationships/hyperlink" Target="https://paltc.org/product-store/pressure-ulcers-other-wounds-cpg-pocket-gui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24" Type="http://schemas.openxmlformats.org/officeDocument/2006/relationships/hyperlink" Target="https://doi.org/10.1097/WON.0000000000000321" TargetMode="External"/><Relationship Id="rId32" Type="http://schemas.openxmlformats.org/officeDocument/2006/relationships/fontTable" Target="fontTable.xml"/><Relationship Id="rId37"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doi.org/10.1111/iwj.13032" TargetMode="External"/><Relationship Id="rId28" Type="http://schemas.openxmlformats.org/officeDocument/2006/relationships/hyperlink" Target="https://doi.org/10.1016/j.eclinm.2019.07.018" TargetMode="External"/><Relationship Id="rId10" Type="http://schemas.openxmlformats.org/officeDocument/2006/relationships/endnotes" Target="endnotes.xml"/><Relationship Id="rId19" Type="http://schemas.openxmlformats.org/officeDocument/2006/relationships/hyperlink" Target="https://doi.org/10.7326/M14-1568" TargetMode="External"/><Relationship Id="rId31" Type="http://schemas.openxmlformats.org/officeDocument/2006/relationships/hyperlink" Target="http://www.internationalguidelin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 Id="rId22" Type="http://schemas.openxmlformats.org/officeDocument/2006/relationships/hyperlink" Target="https://doi.org/10.7326/M14-1567" TargetMode="External"/><Relationship Id="rId27" Type="http://schemas.openxmlformats.org/officeDocument/2006/relationships/hyperlink" Target="http://algorithm.wocn.org" TargetMode="External"/><Relationship Id="rId30" Type="http://schemas.openxmlformats.org/officeDocument/2006/relationships/hyperlink" Target="https://doi.org/10.1111/iwj.13147"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8" Type="http://schemas.openxmlformats.org/officeDocument/2006/relationships/hyperlink" Target="https://doi.org/10.25270/owm.2018.2.4044" TargetMode="External"/><Relationship Id="rId13" Type="http://schemas.openxmlformats.org/officeDocument/2006/relationships/hyperlink" Target="https://doi.org/10.1097/01.ASW.0000482113.18800.1c" TargetMode="External"/><Relationship Id="rId18" Type="http://schemas.openxmlformats.org/officeDocument/2006/relationships/hyperlink" Target="https://doi.org/10.1097/WON.0000000000000321" TargetMode="External"/><Relationship Id="rId3" Type="http://schemas.openxmlformats.org/officeDocument/2006/relationships/hyperlink" Target="https://doi.org/10.1097/01.ASW.0000481115.78879.63" TargetMode="External"/><Relationship Id="rId21" Type="http://schemas.openxmlformats.org/officeDocument/2006/relationships/hyperlink" Target="https://doi.org/10.12968/jowc.2017.26.5.199" TargetMode="External"/><Relationship Id="rId7" Type="http://schemas.openxmlformats.org/officeDocument/2006/relationships/hyperlink" Target="https://doi.org/10.1097/01.ASW.0000653152.36482.7d" TargetMode="External"/><Relationship Id="rId12" Type="http://schemas.openxmlformats.org/officeDocument/2006/relationships/hyperlink" Target="https://doi.org/10.1097/NCQ.0000000000000136" TargetMode="External"/><Relationship Id="rId17" Type="http://schemas.openxmlformats.org/officeDocument/2006/relationships/hyperlink" Target="https://doi.org/10.7326/M14-1567" TargetMode="External"/><Relationship Id="rId2" Type="http://schemas.openxmlformats.org/officeDocument/2006/relationships/hyperlink" Target="https://doi.org/10.1016/j.clinbiomech.2018.09.010" TargetMode="External"/><Relationship Id="rId16" Type="http://schemas.openxmlformats.org/officeDocument/2006/relationships/hyperlink" Target="https://doi.org/10.1371/journal.pone.0192707" TargetMode="External"/><Relationship Id="rId20" Type="http://schemas.openxmlformats.org/officeDocument/2006/relationships/hyperlink" Target="https://doi.org/10.1111/jgs.12440" TargetMode="External"/><Relationship Id="rId1" Type="http://schemas.openxmlformats.org/officeDocument/2006/relationships/hyperlink" Target="https://doi.org/10.1111/iwj.13032" TargetMode="External"/><Relationship Id="rId6" Type="http://schemas.openxmlformats.org/officeDocument/2006/relationships/hyperlink" Target="https://doi.org/10.1186/s12877-018-0997-7" TargetMode="External"/><Relationship Id="rId11" Type="http://schemas.openxmlformats.org/officeDocument/2006/relationships/hyperlink" Target="https://doi.org/10.5539/ijsp.v8n4p47" TargetMode="External"/><Relationship Id="rId5" Type="http://schemas.openxmlformats.org/officeDocument/2006/relationships/hyperlink" Target="https://doi.org/10.1111/jan.12497" TargetMode="External"/><Relationship Id="rId15" Type="http://schemas.openxmlformats.org/officeDocument/2006/relationships/hyperlink" Target="https://doi.org/10.1097/01.ASW.0000653152.36482.7d" TargetMode="External"/><Relationship Id="rId10" Type="http://schemas.openxmlformats.org/officeDocument/2006/relationships/hyperlink" Target="https://doi.org/10.1111/jan.14391" TargetMode="External"/><Relationship Id="rId19" Type="http://schemas.openxmlformats.org/officeDocument/2006/relationships/hyperlink" Target="https://doi.org/10.1111/iwj.13147" TargetMode="External"/><Relationship Id="rId4" Type="http://schemas.openxmlformats.org/officeDocument/2006/relationships/hyperlink" Target="https://doi.org/10.4037/ajcc2018525" TargetMode="External"/><Relationship Id="rId9" Type="http://schemas.openxmlformats.org/officeDocument/2006/relationships/hyperlink" Target="https://doi.org/10.1002/nur.21527" TargetMode="External"/><Relationship Id="rId14" Type="http://schemas.openxmlformats.org/officeDocument/2006/relationships/hyperlink" Target="https://doi.org/10.1001/jama.2011.942" TargetMode="External"/><Relationship Id="rId22" Type="http://schemas.openxmlformats.org/officeDocument/2006/relationships/hyperlink" Target="https://doi.org/10.7326/M14-1568"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3F645D24C06F45C992FC6EAF5AF7F3FD"/>
        <w:category>
          <w:name w:val="General"/>
          <w:gallery w:val="placeholder"/>
        </w:category>
        <w:types>
          <w:type w:val="bbPlcHdr"/>
        </w:types>
        <w:behaviors>
          <w:behavior w:val="content"/>
        </w:behaviors>
        <w:guid w:val="{1C62D253-42FF-46B3-9A43-37A1FE377162}"/>
      </w:docPartPr>
      <w:docPartBody>
        <w:p w:rsidR="0086620E" w:rsidRDefault="00EF690C" w:rsidP="00EF690C">
          <w:pPr>
            <w:pStyle w:val="3F645D24C06F45C992FC6EAF5AF7F3FD"/>
          </w:pPr>
          <w:r w:rsidRPr="00A25024">
            <w:rPr>
              <w:rStyle w:val="PlaceholderText"/>
              <w:rFonts w:cstheme="minorHAnsi"/>
              <w:color w:val="A6A6A6" w:themeColor="background1" w:themeShade="A6"/>
            </w:rPr>
            <w:t>Click here to enter measure title</w:t>
          </w:r>
        </w:p>
      </w:docPartBody>
    </w:docPart>
    <w:docPart>
      <w:docPartPr>
        <w:name w:val="6E5C0CF3363D41C693D3075993D83BDB"/>
        <w:category>
          <w:name w:val="General"/>
          <w:gallery w:val="placeholder"/>
        </w:category>
        <w:types>
          <w:type w:val="bbPlcHdr"/>
        </w:types>
        <w:behaviors>
          <w:behavior w:val="content"/>
        </w:behaviors>
        <w:guid w:val="{39A2C5E3-E458-41D2-85B3-05219D156BAA}"/>
      </w:docPartPr>
      <w:docPartBody>
        <w:p w:rsidR="00554979" w:rsidRDefault="00ED688D" w:rsidP="00ED688D">
          <w:pPr>
            <w:pStyle w:val="6E5C0CF3363D41C693D3075993D83BDB"/>
          </w:pPr>
          <w:r w:rsidRPr="003B1CC5">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utura Std">
    <w:altName w:val="Century Gothic"/>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pitch w:val="variable"/>
    <w:sig w:usb0="0000A003" w:usb1="00000000" w:usb2="00000000" w:usb3="00000000" w:csb0="00000001" w:csb1="00000000"/>
  </w:font>
  <w:font w:name="AvenirNextLTPro-Regular">
    <w:altName w:val="MS Gothic"/>
    <w:charset w:val="80"/>
    <w:family w:val="auto"/>
    <w:pitch w:val="default"/>
    <w:sig w:usb0="00000003" w:usb1="08070000" w:usb2="00000010" w:usb3="00000000" w:csb0="00020001" w:csb1="00000000"/>
  </w:font>
  <w:font w:name="MathematicalPiLTStd">
    <w:altName w:val="MS Gothic"/>
    <w:charset w:val="80"/>
    <w:family w:val="auto"/>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Bold">
    <w:altName w:val="MS Gothic"/>
    <w:charset w:val="80"/>
    <w:family w:val="auto"/>
    <w:pitch w:val="default"/>
    <w:sig w:usb0="00000001" w:usb1="08070000" w:usb2="00000010" w:usb3="00000000" w:csb0="00020000" w:csb1="00000000"/>
  </w:font>
  <w:font w:name="Frutiger-Roman">
    <w:altName w:val="MS Gothic"/>
    <w:charset w:val="80"/>
    <w:family w:val="swiss"/>
    <w:pitch w:val="default"/>
    <w:sig w:usb0="00000001" w:usb1="08070000" w:usb2="00000010" w:usb3="00000000" w:csb0="00020000" w:csb1="00000000"/>
  </w:font>
  <w:font w:name="Frutiger-Bold">
    <w:charset w:val="00"/>
    <w:family w:val="swiss"/>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47A6E"/>
    <w:rsid w:val="00160241"/>
    <w:rsid w:val="0018723D"/>
    <w:rsid w:val="001C2DC1"/>
    <w:rsid w:val="001F47A0"/>
    <w:rsid w:val="001F4B0D"/>
    <w:rsid w:val="002412F1"/>
    <w:rsid w:val="002B5F47"/>
    <w:rsid w:val="002C035A"/>
    <w:rsid w:val="00301B7B"/>
    <w:rsid w:val="003A1E4B"/>
    <w:rsid w:val="00455EB5"/>
    <w:rsid w:val="00461C1C"/>
    <w:rsid w:val="00486615"/>
    <w:rsid w:val="004C3C2A"/>
    <w:rsid w:val="004E2027"/>
    <w:rsid w:val="00501976"/>
    <w:rsid w:val="00543425"/>
    <w:rsid w:val="00554979"/>
    <w:rsid w:val="005723F8"/>
    <w:rsid w:val="005F21F3"/>
    <w:rsid w:val="00605B2C"/>
    <w:rsid w:val="00645E2B"/>
    <w:rsid w:val="0086620E"/>
    <w:rsid w:val="008F6A9B"/>
    <w:rsid w:val="0093547F"/>
    <w:rsid w:val="00963B21"/>
    <w:rsid w:val="009B7A5B"/>
    <w:rsid w:val="009C6A93"/>
    <w:rsid w:val="00A15C00"/>
    <w:rsid w:val="00A77B15"/>
    <w:rsid w:val="00B14A41"/>
    <w:rsid w:val="00BE0F2D"/>
    <w:rsid w:val="00C03643"/>
    <w:rsid w:val="00C2797F"/>
    <w:rsid w:val="00C80225"/>
    <w:rsid w:val="00C935B5"/>
    <w:rsid w:val="00D228C9"/>
    <w:rsid w:val="00D2552B"/>
    <w:rsid w:val="00D26681"/>
    <w:rsid w:val="00D57983"/>
    <w:rsid w:val="00D75B64"/>
    <w:rsid w:val="00DB5324"/>
    <w:rsid w:val="00DC684A"/>
    <w:rsid w:val="00E166B9"/>
    <w:rsid w:val="00E97468"/>
    <w:rsid w:val="00E97654"/>
    <w:rsid w:val="00EA555A"/>
    <w:rsid w:val="00ED688D"/>
    <w:rsid w:val="00EE5A62"/>
    <w:rsid w:val="00EF690C"/>
    <w:rsid w:val="00F25540"/>
    <w:rsid w:val="00F44B8C"/>
    <w:rsid w:val="00F87EB9"/>
    <w:rsid w:val="00FC30A1"/>
    <w:rsid w:val="00FC4F4D"/>
    <w:rsid w:val="00FE1886"/>
    <w:rsid w:val="00FE74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688D"/>
    <w:rPr>
      <w:color w:val="808080"/>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3F645D24C06F45C992FC6EAF5AF7F3FD">
    <w:name w:val="3F645D24C06F45C992FC6EAF5AF7F3FD"/>
    <w:rsid w:val="00EF690C"/>
    <w:pPr>
      <w:spacing w:after="160" w:line="259" w:lineRule="auto"/>
    </w:pPr>
  </w:style>
  <w:style w:type="paragraph" w:customStyle="1" w:styleId="6E5C0CF3363D41C693D3075993D83BDB">
    <w:name w:val="6E5C0CF3363D41C693D3075993D83BDB"/>
    <w:rsid w:val="00ED688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d3374b7a-0e30-4526-a9ec-88cd1d622dd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D6B7BAE999DC4499F8E34D968BFA7B" ma:contentTypeVersion="7" ma:contentTypeDescription="Create a new document." ma:contentTypeScope="" ma:versionID="2e9e68050e63a1d07bd20bd9668a03c6">
  <xsd:schema xmlns:xsd="http://www.w3.org/2001/XMLSchema" xmlns:xs="http://www.w3.org/2001/XMLSchema" xmlns:p="http://schemas.microsoft.com/office/2006/metadata/properties" xmlns:ns2="092b8501-4b24-428c-8ca3-87f49c001613" xmlns:ns3="d3374b7a-0e30-4526-a9ec-88cd1d622ddf" targetNamespace="http://schemas.microsoft.com/office/2006/metadata/properties" ma:root="true" ma:fieldsID="6d8c2e9c27f264c32be755d58aa6562d" ns2:_="" ns3:_="">
    <xsd:import namespace="092b8501-4b24-428c-8ca3-87f49c001613"/>
    <xsd:import namespace="d3374b7a-0e30-4526-a9ec-88cd1d622dd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_Flow_SignoffStatus"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2b8501-4b24-428c-8ca3-87f49c00161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374b7a-0e30-4526-a9ec-88cd1d622dd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_x0024_Resources_x003a_core_x002c_Signoff_Status_x003b_">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2.xml><?xml version="1.0" encoding="utf-8"?>
<ds:datastoreItem xmlns:ds="http://schemas.openxmlformats.org/officeDocument/2006/customXml" ds:itemID="{DF2CDBE7-7F08-4F52-B308-EE351D989842}">
  <ds:schemaRefs>
    <ds:schemaRef ds:uri="http://purl.org/dc/elements/1.1/"/>
    <ds:schemaRef ds:uri="http://www.w3.org/XML/1998/namespace"/>
    <ds:schemaRef ds:uri="092b8501-4b24-428c-8ca3-87f49c001613"/>
    <ds:schemaRef ds:uri="http://schemas.microsoft.com/office/2006/metadata/properties"/>
    <ds:schemaRef ds:uri="http://purl.org/dc/dcmityp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d3374b7a-0e30-4526-a9ec-88cd1d622ddf"/>
  </ds:schemaRefs>
</ds:datastoreItem>
</file>

<file path=customXml/itemProps3.xml><?xml version="1.0" encoding="utf-8"?>
<ds:datastoreItem xmlns:ds="http://schemas.openxmlformats.org/officeDocument/2006/customXml" ds:itemID="{7E826913-92B8-4AC4-AF24-95388DA6C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2b8501-4b24-428c-8ca3-87f49c001613"/>
    <ds:schemaRef ds:uri="d3374b7a-0e30-4526-a9ec-88cd1d622d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020DA4-B44E-474B-8011-6EA6C507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42</Pages>
  <Words>16368</Words>
  <Characters>93299</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NQF 0679 Evidence Form</vt:lpstr>
    </vt:vector>
  </TitlesOfParts>
  <Company/>
  <LinksUpToDate>false</LinksUpToDate>
  <CharactersWithSpaces>109449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NQF 0679 Evidence Form</dc:title>
  <dc:subject>Evidence supporting the NQF maintenance of 0679</dc:subject>
  <dc:creator>Centers for Medicare &amp; Medicaid Services (CMS)</dc:creator>
  <cp:keywords>NQF, evidence, high-risk, pressure ulcer</cp:keywords>
  <dc:description/>
  <cp:lastModifiedBy>Layla Taha</cp:lastModifiedBy>
  <cp:revision>3</cp:revision>
  <cp:lastPrinted>2019-06-10T18:13:00Z</cp:lastPrinted>
  <dcterms:created xsi:type="dcterms:W3CDTF">2021-04-08T22:38:00Z</dcterms:created>
  <dcterms:modified xsi:type="dcterms:W3CDTF">2021-04-08T22:40:00Z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0x01010007D6B7BAE999DC4499F8E34D968BFA7B</vt:lpwstr>
  </property>
  <property fmtid="{D5CDD505-2E9C-101B-9397-08002B2CF9AE}" pid="3" name="Language">
    <vt:lpwstr>English</vt:lpwstr>
  </property>
</Properties>
</file>