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EC0226" w14:textId="77777777" w:rsidR="00496AF8" w:rsidRPr="001A6D05" w:rsidRDefault="007C1887" w:rsidP="001A196B">
      <w:pPr>
        <w:jc w:val="center"/>
        <w:rPr>
          <w:b/>
          <w:noProof/>
          <w:sz w:val="24"/>
          <w:szCs w:val="24"/>
        </w:rPr>
      </w:pPr>
      <w:r>
        <w:rPr>
          <w:b/>
          <w:smallCaps/>
          <w:noProof/>
          <w:sz w:val="24"/>
          <w:szCs w:val="24"/>
        </w:rPr>
        <w:t>N</w:t>
      </w:r>
      <w:r w:rsidR="002F20A7" w:rsidRPr="001A6D05">
        <w:rPr>
          <w:b/>
          <w:smallCaps/>
          <w:noProof/>
          <w:sz w:val="24"/>
          <w:szCs w:val="24"/>
        </w:rPr>
        <w:t>ational Quality Forum</w:t>
      </w:r>
      <w:r w:rsidR="002F20A7" w:rsidRPr="001A6D05">
        <w:rPr>
          <w:b/>
          <w:noProof/>
          <w:sz w:val="24"/>
          <w:szCs w:val="24"/>
        </w:rPr>
        <w:t>—</w:t>
      </w:r>
      <w:r w:rsidR="00496AF8" w:rsidRPr="001A6D05">
        <w:rPr>
          <w:b/>
          <w:noProof/>
          <w:sz w:val="24"/>
          <w:szCs w:val="24"/>
        </w:rPr>
        <w:t>Evidence (</w:t>
      </w:r>
      <w:r w:rsidR="00BE2295">
        <w:rPr>
          <w:b/>
          <w:noProof/>
          <w:sz w:val="24"/>
          <w:szCs w:val="24"/>
        </w:rPr>
        <w:t>subcrite</w:t>
      </w:r>
      <w:r w:rsidR="00617390">
        <w:rPr>
          <w:b/>
          <w:noProof/>
          <w:sz w:val="24"/>
          <w:szCs w:val="24"/>
        </w:rPr>
        <w:t>r</w:t>
      </w:r>
      <w:r w:rsidR="00BE2295">
        <w:rPr>
          <w:b/>
          <w:noProof/>
          <w:sz w:val="24"/>
          <w:szCs w:val="24"/>
        </w:rPr>
        <w:t xml:space="preserve">ion </w:t>
      </w:r>
      <w:r w:rsidR="00496AF8" w:rsidRPr="001A6D05">
        <w:rPr>
          <w:b/>
          <w:noProof/>
          <w:sz w:val="24"/>
          <w:szCs w:val="24"/>
        </w:rPr>
        <w:t>1</w:t>
      </w:r>
      <w:r w:rsidR="00B117D0">
        <w:rPr>
          <w:b/>
          <w:noProof/>
          <w:sz w:val="24"/>
          <w:szCs w:val="24"/>
        </w:rPr>
        <w:t>a</w:t>
      </w:r>
      <w:r w:rsidR="00496AF8" w:rsidRPr="001A6D05">
        <w:rPr>
          <w:b/>
          <w:noProof/>
          <w:sz w:val="24"/>
          <w:szCs w:val="24"/>
        </w:rPr>
        <w:t>)</w:t>
      </w:r>
      <w:r w:rsidR="002717C7" w:rsidRPr="001A6D05">
        <w:rPr>
          <w:b/>
          <w:noProof/>
          <w:sz w:val="24"/>
          <w:szCs w:val="24"/>
        </w:rPr>
        <w:t xml:space="preserve"> </w:t>
      </w:r>
    </w:p>
    <w:p w14:paraId="121B65DE" w14:textId="77777777" w:rsidR="00496AF8" w:rsidRPr="00496AF8" w:rsidRDefault="00496AF8" w:rsidP="002E2177">
      <w:pPr>
        <w:ind w:left="0" w:firstLine="0"/>
        <w:rPr>
          <w:noProof/>
        </w:rPr>
      </w:pPr>
    </w:p>
    <w:p w14:paraId="401FA514" w14:textId="2DDFCE59" w:rsidR="004F7D7E" w:rsidRPr="003B1CC5" w:rsidRDefault="004F7D7E" w:rsidP="00D03103">
      <w:pPr>
        <w:ind w:left="0" w:firstLine="0"/>
        <w:rPr>
          <w:b/>
          <w:noProof/>
        </w:rPr>
      </w:pPr>
      <w:r w:rsidRPr="003B1CC5">
        <w:rPr>
          <w:rFonts w:cstheme="minorHAnsi"/>
          <w:b/>
          <w:noProof/>
        </w:rPr>
        <w:t xml:space="preserve">Measure Number </w:t>
      </w:r>
      <w:r w:rsidRPr="003B1CC5">
        <w:rPr>
          <w:rFonts w:cstheme="minorHAnsi"/>
          <w:noProof/>
        </w:rPr>
        <w:t>(</w:t>
      </w:r>
      <w:r w:rsidRPr="003B1CC5">
        <w:rPr>
          <w:rFonts w:cstheme="minorHAnsi"/>
          <w:i/>
          <w:noProof/>
        </w:rPr>
        <w:t>if previously endorsed</w:t>
      </w:r>
      <w:r w:rsidRPr="003B1CC5">
        <w:rPr>
          <w:rFonts w:cstheme="minorHAnsi"/>
          <w:noProof/>
        </w:rPr>
        <w:t>)</w:t>
      </w:r>
      <w:r w:rsidRPr="003B1CC5">
        <w:rPr>
          <w:rFonts w:cstheme="minorHAnsi"/>
          <w:b/>
          <w:noProof/>
        </w:rPr>
        <w:t xml:space="preserve">: </w:t>
      </w:r>
      <w:sdt>
        <w:sdtPr>
          <w:rPr>
            <w:rStyle w:val="Style1"/>
          </w:rPr>
          <w:id w:val="1103681744"/>
          <w:placeholder>
            <w:docPart w:val="D25A43D8357F4D898E924C438DEE4752"/>
          </w:placeholder>
        </w:sdtPr>
        <w:sdtEndPr>
          <w:rPr>
            <w:rStyle w:val="DefaultParagraphFont"/>
            <w:rFonts w:cstheme="minorHAnsi"/>
            <w:b/>
            <w:noProof/>
            <w:color w:val="auto"/>
          </w:rPr>
        </w:sdtEndPr>
        <w:sdtContent>
          <w:r w:rsidR="00ED2D3C" w:rsidRPr="004E1764">
            <w:rPr>
              <w:rStyle w:val="Style1"/>
              <w:color w:val="7030A0"/>
            </w:rPr>
            <w:t>0686</w:t>
          </w:r>
        </w:sdtContent>
      </w:sdt>
    </w:p>
    <w:p w14:paraId="190CC948" w14:textId="12B7EAA0" w:rsidR="00496AF8" w:rsidRPr="003B1CC5" w:rsidRDefault="00496AF8" w:rsidP="00D03103">
      <w:pPr>
        <w:ind w:left="0" w:firstLine="0"/>
        <w:rPr>
          <w:noProof/>
        </w:rPr>
      </w:pPr>
      <w:r w:rsidRPr="003B1CC5">
        <w:rPr>
          <w:b/>
          <w:noProof/>
        </w:rPr>
        <w:t>Measure Title</w:t>
      </w:r>
      <w:r w:rsidRPr="003B1CC5">
        <w:rPr>
          <w:noProof/>
        </w:rPr>
        <w:t>:</w:t>
      </w:r>
      <w:r w:rsidR="004E0AA8">
        <w:rPr>
          <w:noProof/>
        </w:rPr>
        <w:t xml:space="preserve"> </w:t>
      </w:r>
      <w:sdt>
        <w:sdtPr>
          <w:rPr>
            <w:rStyle w:val="Style1"/>
          </w:rPr>
          <w:id w:val="-882640736"/>
          <w:placeholder>
            <w:docPart w:val="B88DD89A97CB496CB0F049A619CF6842"/>
          </w:placeholder>
        </w:sdtPr>
        <w:sdtEndPr>
          <w:rPr>
            <w:rStyle w:val="DefaultParagraphFont"/>
            <w:noProof/>
            <w:color w:val="auto"/>
          </w:rPr>
        </w:sdtEndPr>
        <w:sdtContent>
          <w:sdt>
            <w:sdtPr>
              <w:rPr>
                <w:rStyle w:val="Style1"/>
              </w:rPr>
              <w:id w:val="700984587"/>
              <w:placeholder>
                <w:docPart w:val="3D61B268B20745DE8B4838B3894510D3"/>
              </w:placeholder>
            </w:sdtPr>
            <w:sdtEndPr>
              <w:rPr>
                <w:rStyle w:val="DefaultParagraphFont"/>
                <w:noProof/>
                <w:color w:val="auto"/>
              </w:rPr>
            </w:sdtEndPr>
            <w:sdtContent>
              <w:sdt>
                <w:sdtPr>
                  <w:rPr>
                    <w:rStyle w:val="Style1"/>
                  </w:rPr>
                  <w:id w:val="-285273275"/>
                  <w:placeholder>
                    <w:docPart w:val="E8147E15DAFC4EB1A78E040AF2111EBC"/>
                  </w:placeholder>
                </w:sdtPr>
                <w:sdtEndPr>
                  <w:rPr>
                    <w:rStyle w:val="DefaultParagraphFont"/>
                    <w:noProof/>
                    <w:color w:val="auto"/>
                  </w:rPr>
                </w:sdtEndPr>
                <w:sdtContent>
                  <w:sdt>
                    <w:sdtPr>
                      <w:rPr>
                        <w:rStyle w:val="Style1"/>
                      </w:rPr>
                      <w:id w:val="-470981860"/>
                      <w:placeholder>
                        <w:docPart w:val="1ECD2F0B93B443A9ADD18F6E1A59DB4C"/>
                      </w:placeholder>
                    </w:sdtPr>
                    <w:sdtEndPr>
                      <w:rPr>
                        <w:rStyle w:val="DefaultParagraphFont"/>
                        <w:noProof/>
                        <w:color w:val="auto"/>
                      </w:rPr>
                    </w:sdtEndPr>
                    <w:sdtContent>
                      <w:r w:rsidR="00785A84" w:rsidRPr="004E1764">
                        <w:rPr>
                          <w:rStyle w:val="Style1"/>
                          <w:color w:val="7030A0"/>
                        </w:rPr>
                        <w:t>Percent of Residents Who Have/Had a Catheter Inserted and Left in Their Bladder (long stay)</w:t>
                      </w:r>
                    </w:sdtContent>
                  </w:sdt>
                </w:sdtContent>
              </w:sdt>
            </w:sdtContent>
          </w:sdt>
        </w:sdtContent>
      </w:sdt>
    </w:p>
    <w:p w14:paraId="1A92A0E8" w14:textId="48C1156B" w:rsidR="00114848" w:rsidRPr="003B1CC5" w:rsidRDefault="00024526" w:rsidP="00015304">
      <w:pPr>
        <w:ind w:left="0" w:firstLine="0"/>
        <w:rPr>
          <w:b/>
          <w:noProof/>
        </w:rPr>
      </w:pPr>
      <w:r w:rsidRPr="003B1CC5">
        <w:rPr>
          <w:b/>
          <w:noProof/>
        </w:rPr>
        <w:t xml:space="preserve">IF </w:t>
      </w:r>
      <w:r w:rsidR="00176E60" w:rsidRPr="003B1CC5">
        <w:rPr>
          <w:b/>
          <w:noProof/>
        </w:rPr>
        <w:t xml:space="preserve">the measure is </w:t>
      </w:r>
      <w:r w:rsidRPr="003B1CC5">
        <w:rPr>
          <w:b/>
          <w:noProof/>
        </w:rPr>
        <w:t xml:space="preserve">a component in </w:t>
      </w:r>
      <w:r w:rsidR="00176E60" w:rsidRPr="003B1CC5">
        <w:rPr>
          <w:b/>
          <w:noProof/>
        </w:rPr>
        <w:t>a composite performance measure, provide the</w:t>
      </w:r>
      <w:r w:rsidR="008B652E" w:rsidRPr="003B1CC5">
        <w:rPr>
          <w:b/>
          <w:noProof/>
        </w:rPr>
        <w:t xml:space="preserve"> </w:t>
      </w:r>
      <w:r w:rsidR="00114848" w:rsidRPr="003B1CC5">
        <w:rPr>
          <w:b/>
          <w:noProof/>
        </w:rPr>
        <w:t xml:space="preserve">title of the </w:t>
      </w:r>
      <w:r w:rsidR="00E97E59" w:rsidRPr="003B1CC5">
        <w:rPr>
          <w:b/>
          <w:noProof/>
        </w:rPr>
        <w:t>Compo</w:t>
      </w:r>
      <w:r w:rsidR="00736E0F" w:rsidRPr="003B1CC5">
        <w:rPr>
          <w:b/>
          <w:noProof/>
        </w:rPr>
        <w:t>site</w:t>
      </w:r>
      <w:r w:rsidR="00E97E59" w:rsidRPr="003B1CC5">
        <w:rPr>
          <w:b/>
          <w:noProof/>
        </w:rPr>
        <w:t xml:space="preserve"> Measure </w:t>
      </w:r>
      <w:r w:rsidR="00114848" w:rsidRPr="003B1CC5">
        <w:rPr>
          <w:b/>
          <w:noProof/>
        </w:rPr>
        <w:t>here</w:t>
      </w:r>
      <w:r w:rsidR="00E97E59" w:rsidRPr="003B1CC5">
        <w:rPr>
          <w:b/>
          <w:noProof/>
        </w:rPr>
        <w:t>:</w:t>
      </w:r>
      <w:r w:rsidR="00E97E59" w:rsidRPr="003B1CC5">
        <w:rPr>
          <w:noProof/>
        </w:rPr>
        <w:t xml:space="preserve"> </w:t>
      </w:r>
      <w:sdt>
        <w:sdtPr>
          <w:rPr>
            <w:rStyle w:val="Style1"/>
          </w:rPr>
          <w:id w:val="474719354"/>
          <w:placeholder>
            <w:docPart w:val="FEDCE9EBDCA74F8685170B5AA9C20FC0"/>
          </w:placeholder>
          <w:showingPlcHdr/>
        </w:sdtPr>
        <w:sdtEndPr>
          <w:rPr>
            <w:rStyle w:val="DefaultParagraphFont"/>
            <w:noProof/>
            <w:color w:val="auto"/>
          </w:rPr>
        </w:sdtEndPr>
        <w:sdtContent>
          <w:r w:rsidR="00E97E59" w:rsidRPr="003B1CC5">
            <w:rPr>
              <w:rStyle w:val="PlaceholderText"/>
              <w:rFonts w:cstheme="minorHAnsi"/>
              <w:color w:val="A6A6A6" w:themeColor="background1" w:themeShade="A6"/>
            </w:rPr>
            <w:t xml:space="preserve">Click here to enter </w:t>
          </w:r>
          <w:r w:rsidR="008B652E" w:rsidRPr="003B1CC5">
            <w:rPr>
              <w:rStyle w:val="PlaceholderText"/>
              <w:rFonts w:cstheme="minorHAnsi"/>
              <w:color w:val="A6A6A6" w:themeColor="background1" w:themeShade="A6"/>
            </w:rPr>
            <w:t xml:space="preserve">composite </w:t>
          </w:r>
          <w:r w:rsidR="00E97E59" w:rsidRPr="003B1CC5">
            <w:rPr>
              <w:rStyle w:val="PlaceholderText"/>
              <w:rFonts w:cstheme="minorHAnsi"/>
              <w:color w:val="A6A6A6" w:themeColor="background1" w:themeShade="A6"/>
            </w:rPr>
            <w:t>measure</w:t>
          </w:r>
          <w:r w:rsidR="004F7D7E" w:rsidRPr="003B1CC5">
            <w:rPr>
              <w:rStyle w:val="PlaceholderText"/>
              <w:rFonts w:cstheme="minorHAnsi"/>
              <w:color w:val="A6A6A6" w:themeColor="background1" w:themeShade="A6"/>
            </w:rPr>
            <w:t xml:space="preserve"> #/</w:t>
          </w:r>
          <w:r w:rsidR="00E97E59" w:rsidRPr="003B1CC5">
            <w:rPr>
              <w:rStyle w:val="PlaceholderText"/>
              <w:rFonts w:cstheme="minorHAnsi"/>
              <w:color w:val="A6A6A6" w:themeColor="background1" w:themeShade="A6"/>
            </w:rPr>
            <w:t xml:space="preserve"> title</w:t>
          </w:r>
        </w:sdtContent>
      </w:sdt>
    </w:p>
    <w:p w14:paraId="06339E48" w14:textId="48242116" w:rsidR="00496AF8" w:rsidRPr="004E1764" w:rsidRDefault="00496AF8" w:rsidP="002E2177">
      <w:pPr>
        <w:ind w:left="0" w:firstLine="0"/>
        <w:rPr>
          <w:rStyle w:val="Style2"/>
          <w:color w:val="7030A0"/>
        </w:rPr>
      </w:pPr>
      <w:r w:rsidRPr="003B1CC5">
        <w:rPr>
          <w:b/>
          <w:noProof/>
        </w:rPr>
        <w:t>Date of Submission</w:t>
      </w:r>
      <w:r w:rsidRPr="003B1CC5">
        <w:rPr>
          <w:noProof/>
        </w:rPr>
        <w:t>:</w:t>
      </w:r>
      <w:r w:rsidR="004E0AA8">
        <w:rPr>
          <w:noProof/>
        </w:rPr>
        <w:t xml:space="preserve"> </w:t>
      </w:r>
      <w:sdt>
        <w:sdtPr>
          <w:rPr>
            <w:rStyle w:val="Style2"/>
          </w:rPr>
          <w:id w:val="-1689821638"/>
          <w:placeholder>
            <w:docPart w:val="631BCD1248B043D08BDE06438A5A37F7"/>
          </w:placeholder>
          <w:date w:fullDate="2019-10-31T00:00:00Z">
            <w:dateFormat w:val="M/d/yyyy"/>
            <w:lid w:val="en-US"/>
            <w:storeMappedDataAs w:val="dateTime"/>
            <w:calendar w:val="gregorian"/>
          </w:date>
        </w:sdtPr>
        <w:sdtEndPr>
          <w:rPr>
            <w:rStyle w:val="DefaultParagraphFont"/>
            <w:noProof/>
            <w:color w:val="auto"/>
            <w:u w:val="none"/>
          </w:rPr>
        </w:sdtEndPr>
        <w:sdtContent>
          <w:r w:rsidR="005D5CDF">
            <w:rPr>
              <w:rStyle w:val="Style2"/>
            </w:rPr>
            <w:t>10/31/2019</w:t>
          </w:r>
        </w:sdtContent>
      </w:sdt>
    </w:p>
    <w:p w14:paraId="054BD3E7" w14:textId="77777777" w:rsidR="00176E60" w:rsidRPr="004E1764" w:rsidRDefault="00176E60" w:rsidP="002E2177">
      <w:pPr>
        <w:ind w:left="0" w:firstLine="0"/>
        <w:rPr>
          <w:rStyle w:val="Style2"/>
          <w:color w:val="7030A0"/>
        </w:rPr>
      </w:pPr>
    </w:p>
    <w:tbl>
      <w:tblPr>
        <w:tblStyle w:val="TableGrid"/>
        <w:tblW w:w="5500" w:type="pct"/>
        <w:jc w:val="center"/>
        <w:tblLook w:val="04A0" w:firstRow="1" w:lastRow="0" w:firstColumn="1" w:lastColumn="0" w:noHBand="0" w:noVBand="1"/>
      </w:tblPr>
      <w:tblGrid>
        <w:gridCol w:w="10285"/>
      </w:tblGrid>
      <w:tr w:rsidR="00496AF8" w:rsidRPr="003B1CC5" w14:paraId="411F0BFF" w14:textId="77777777" w:rsidTr="002C173C">
        <w:trPr>
          <w:jc w:val="center"/>
        </w:trPr>
        <w:tc>
          <w:tcPr>
            <w:tcW w:w="9576" w:type="dxa"/>
          </w:tcPr>
          <w:p w14:paraId="490CEAAE" w14:textId="77777777" w:rsidR="00114848" w:rsidRPr="003B1CC5" w:rsidRDefault="00114848" w:rsidP="00114848">
            <w:pPr>
              <w:pStyle w:val="CommentText"/>
              <w:ind w:left="0" w:firstLine="0"/>
              <w:rPr>
                <w:b/>
                <w:i/>
                <w:sz w:val="22"/>
                <w:szCs w:val="22"/>
              </w:rPr>
            </w:pPr>
            <w:r w:rsidRPr="003B1CC5">
              <w:rPr>
                <w:rFonts w:cstheme="minorHAnsi"/>
                <w:b/>
                <w:noProof/>
                <w:sz w:val="22"/>
                <w:szCs w:val="22"/>
              </w:rPr>
              <w:t>Instructions</w:t>
            </w:r>
          </w:p>
          <w:p w14:paraId="2D9033EC" w14:textId="650168C0" w:rsidR="000F4A7F" w:rsidRDefault="000F4A7F" w:rsidP="00372000">
            <w:pPr>
              <w:pStyle w:val="CommentText"/>
              <w:numPr>
                <w:ilvl w:val="0"/>
                <w:numId w:val="1"/>
              </w:numPr>
              <w:rPr>
                <w:i/>
                <w:sz w:val="22"/>
                <w:szCs w:val="22"/>
              </w:rPr>
            </w:pPr>
            <w:r>
              <w:rPr>
                <w:i/>
                <w:sz w:val="22"/>
                <w:szCs w:val="22"/>
              </w:rPr>
              <w:t xml:space="preserve">Complete 1a.1 </w:t>
            </w:r>
            <w:r w:rsidR="004922E4">
              <w:rPr>
                <w:i/>
                <w:sz w:val="22"/>
                <w:szCs w:val="22"/>
              </w:rPr>
              <w:t>and 1a.</w:t>
            </w:r>
            <w:r>
              <w:rPr>
                <w:i/>
                <w:sz w:val="22"/>
                <w:szCs w:val="22"/>
              </w:rPr>
              <w:t xml:space="preserve">2 for all measures. </w:t>
            </w:r>
            <w:r w:rsidR="004922E4">
              <w:rPr>
                <w:i/>
                <w:sz w:val="22"/>
                <w:szCs w:val="22"/>
              </w:rPr>
              <w:t xml:space="preserve">If instrument-based measure, complete </w:t>
            </w:r>
            <w:r w:rsidR="002C173C">
              <w:rPr>
                <w:i/>
                <w:sz w:val="22"/>
                <w:szCs w:val="22"/>
              </w:rPr>
              <w:t>1a.3.</w:t>
            </w:r>
          </w:p>
          <w:p w14:paraId="1024AD45" w14:textId="77777777" w:rsidR="000F4A7F" w:rsidRDefault="000F4A7F" w:rsidP="00372000">
            <w:pPr>
              <w:pStyle w:val="CommentText"/>
              <w:numPr>
                <w:ilvl w:val="0"/>
                <w:numId w:val="1"/>
              </w:numPr>
              <w:rPr>
                <w:i/>
                <w:sz w:val="22"/>
                <w:szCs w:val="22"/>
              </w:rPr>
            </w:pPr>
            <w:r>
              <w:rPr>
                <w:i/>
                <w:sz w:val="22"/>
                <w:szCs w:val="22"/>
              </w:rPr>
              <w:t xml:space="preserve">Complete </w:t>
            </w:r>
            <w:r w:rsidRPr="000F4A7F">
              <w:rPr>
                <w:b/>
                <w:i/>
                <w:sz w:val="22"/>
                <w:szCs w:val="22"/>
              </w:rPr>
              <w:t>EITHER 1a.2, 1a.3 or 1a.4</w:t>
            </w:r>
            <w:r>
              <w:rPr>
                <w:b/>
                <w:i/>
                <w:sz w:val="22"/>
                <w:szCs w:val="22"/>
              </w:rPr>
              <w:t xml:space="preserve"> </w:t>
            </w:r>
            <w:r w:rsidRPr="000F4A7F">
              <w:rPr>
                <w:i/>
                <w:sz w:val="22"/>
                <w:szCs w:val="22"/>
              </w:rPr>
              <w:t xml:space="preserve">as applicable for the </w:t>
            </w:r>
            <w:r>
              <w:rPr>
                <w:i/>
                <w:sz w:val="22"/>
                <w:szCs w:val="22"/>
              </w:rPr>
              <w:t xml:space="preserve">type of </w:t>
            </w:r>
            <w:r w:rsidRPr="000F4A7F">
              <w:rPr>
                <w:i/>
                <w:sz w:val="22"/>
                <w:szCs w:val="22"/>
              </w:rPr>
              <w:t>measure and evidence.</w:t>
            </w:r>
          </w:p>
          <w:p w14:paraId="0F940408" w14:textId="52E5E976" w:rsidR="00024526" w:rsidRPr="003B1CC5" w:rsidRDefault="00024526" w:rsidP="00372000">
            <w:pPr>
              <w:pStyle w:val="CommentText"/>
              <w:numPr>
                <w:ilvl w:val="0"/>
                <w:numId w:val="1"/>
              </w:numPr>
              <w:rPr>
                <w:i/>
                <w:sz w:val="22"/>
                <w:szCs w:val="22"/>
              </w:rPr>
            </w:pPr>
            <w:r w:rsidRPr="003B1CC5">
              <w:rPr>
                <w:i/>
                <w:sz w:val="22"/>
                <w:szCs w:val="22"/>
              </w:rPr>
              <w:t>For composite performance measures:</w:t>
            </w:r>
            <w:r w:rsidR="004E0AA8">
              <w:rPr>
                <w:i/>
                <w:sz w:val="22"/>
                <w:szCs w:val="22"/>
              </w:rPr>
              <w:t xml:space="preserve"> </w:t>
            </w:r>
          </w:p>
          <w:p w14:paraId="3C6B732F" w14:textId="77777777" w:rsidR="00024526" w:rsidRPr="003B1CC5" w:rsidRDefault="00024526" w:rsidP="00372000">
            <w:pPr>
              <w:pStyle w:val="CommentText"/>
              <w:numPr>
                <w:ilvl w:val="1"/>
                <w:numId w:val="1"/>
              </w:numPr>
              <w:ind w:left="792"/>
              <w:rPr>
                <w:i/>
                <w:sz w:val="22"/>
                <w:szCs w:val="22"/>
              </w:rPr>
            </w:pPr>
            <w:r w:rsidRPr="003B1CC5">
              <w:rPr>
                <w:i/>
                <w:sz w:val="22"/>
                <w:szCs w:val="22"/>
              </w:rPr>
              <w:t xml:space="preserve"> A separate evidence form is required for each component measure unless several components were studied together.</w:t>
            </w:r>
          </w:p>
          <w:p w14:paraId="012EA878" w14:textId="77777777" w:rsidR="00024526" w:rsidRPr="003B1CC5" w:rsidRDefault="00024526" w:rsidP="00372000">
            <w:pPr>
              <w:pStyle w:val="CommentText"/>
              <w:numPr>
                <w:ilvl w:val="1"/>
                <w:numId w:val="1"/>
              </w:numPr>
              <w:ind w:left="792"/>
              <w:rPr>
                <w:i/>
                <w:sz w:val="22"/>
                <w:szCs w:val="22"/>
              </w:rPr>
            </w:pPr>
            <w:r w:rsidRPr="003B1CC5">
              <w:rPr>
                <w:i/>
                <w:sz w:val="22"/>
                <w:szCs w:val="22"/>
              </w:rPr>
              <w:t xml:space="preserve"> If a component measure is submitted as an individual performance measure, attach the evidence form to the individual measure submission.</w:t>
            </w:r>
          </w:p>
          <w:p w14:paraId="7601C7A0" w14:textId="3B59E88F" w:rsidR="002F20A7" w:rsidRPr="003B1CC5" w:rsidRDefault="008B652E" w:rsidP="00372000">
            <w:pPr>
              <w:pStyle w:val="ListParagraph"/>
              <w:numPr>
                <w:ilvl w:val="0"/>
                <w:numId w:val="1"/>
              </w:numPr>
              <w:spacing w:after="0" w:line="240" w:lineRule="auto"/>
            </w:pPr>
            <w:r w:rsidRPr="003B1CC5">
              <w:t xml:space="preserve">All information needed to demonstrate meeting the </w:t>
            </w:r>
            <w:r w:rsidRPr="003B1CC5">
              <w:rPr>
                <w:rFonts w:cstheme="minorHAnsi"/>
              </w:rPr>
              <w:t xml:space="preserve">evidence </w:t>
            </w:r>
            <w:proofErr w:type="spellStart"/>
            <w:r w:rsidR="00A13867" w:rsidRPr="003B1CC5">
              <w:rPr>
                <w:rFonts w:cstheme="minorHAnsi"/>
              </w:rPr>
              <w:t>sub</w:t>
            </w:r>
            <w:r w:rsidRPr="003B1CC5">
              <w:rPr>
                <w:rFonts w:cstheme="minorHAnsi"/>
              </w:rPr>
              <w:t>criterion</w:t>
            </w:r>
            <w:proofErr w:type="spellEnd"/>
            <w:r w:rsidRPr="003B1CC5">
              <w:rPr>
                <w:rFonts w:cstheme="minorHAnsi"/>
              </w:rPr>
              <w:t xml:space="preserve"> (1a)</w:t>
            </w:r>
            <w:r w:rsidRPr="003B1CC5">
              <w:t xml:space="preserve"> must be in this form.</w:t>
            </w:r>
            <w:r w:rsidR="004E0AA8">
              <w:t xml:space="preserve"> </w:t>
            </w:r>
            <w:r w:rsidRPr="003B1CC5">
              <w:t xml:space="preserve">An appendix of </w:t>
            </w:r>
            <w:r w:rsidRPr="003B1CC5">
              <w:rPr>
                <w:i/>
              </w:rPr>
              <w:t>supplemental</w:t>
            </w:r>
            <w:r w:rsidRPr="003B1CC5">
              <w:t xml:space="preserve"> materials may be submitted, but there is no guarantee it will be reviewed.</w:t>
            </w:r>
          </w:p>
          <w:p w14:paraId="3D5442A2" w14:textId="77777777" w:rsidR="0015535B" w:rsidRPr="003B1CC5" w:rsidRDefault="0015535B" w:rsidP="00372000">
            <w:pPr>
              <w:pStyle w:val="ListParagraph"/>
              <w:numPr>
                <w:ilvl w:val="0"/>
                <w:numId w:val="1"/>
              </w:numPr>
              <w:spacing w:after="0" w:line="240" w:lineRule="auto"/>
            </w:pPr>
            <w:r w:rsidRPr="003B1CC5">
              <w:t>If yo</w:t>
            </w:r>
            <w:r w:rsidR="008B652E" w:rsidRPr="003B1CC5">
              <w:t>u are unable to check a</w:t>
            </w:r>
            <w:r w:rsidR="00114848" w:rsidRPr="003B1CC5">
              <w:t xml:space="preserve"> box, please highlight or </w:t>
            </w:r>
            <w:r w:rsidRPr="003B1CC5">
              <w:t>shade the box for your response.</w:t>
            </w:r>
          </w:p>
          <w:p w14:paraId="11B0A7B9" w14:textId="77777777" w:rsidR="00496AF8" w:rsidRPr="003B1CC5" w:rsidRDefault="00457E46" w:rsidP="00372000">
            <w:pPr>
              <w:pStyle w:val="ListParagraph"/>
              <w:numPr>
                <w:ilvl w:val="0"/>
                <w:numId w:val="1"/>
              </w:numPr>
              <w:spacing w:after="0" w:line="240" w:lineRule="auto"/>
              <w:rPr>
                <w:u w:val="single"/>
              </w:rPr>
            </w:pPr>
            <w:r w:rsidRPr="003B1CC5">
              <w:t xml:space="preserve">Contact NQF staff regarding questions. Check for resources at </w:t>
            </w:r>
            <w:hyperlink r:id="rId15" w:history="1">
              <w:r w:rsidRPr="003B1CC5">
                <w:rPr>
                  <w:rStyle w:val="Hyperlink"/>
                </w:rPr>
                <w:t>Submitting Standards webpage</w:t>
              </w:r>
            </w:hyperlink>
            <w:r w:rsidRPr="003B1CC5">
              <w:t>.</w:t>
            </w:r>
          </w:p>
        </w:tc>
      </w:tr>
    </w:tbl>
    <w:p w14:paraId="5F1BFA6B" w14:textId="77777777" w:rsidR="00176E60" w:rsidRPr="003B1CC5" w:rsidRDefault="00176E60" w:rsidP="00765156">
      <w:pPr>
        <w:ind w:left="0" w:firstLine="0"/>
      </w:pPr>
    </w:p>
    <w:tbl>
      <w:tblPr>
        <w:tblStyle w:val="TableGrid"/>
        <w:tblW w:w="5500" w:type="pct"/>
        <w:jc w:val="center"/>
        <w:tblLook w:val="04A0" w:firstRow="1" w:lastRow="0" w:firstColumn="1" w:lastColumn="0" w:noHBand="0" w:noVBand="1"/>
      </w:tblPr>
      <w:tblGrid>
        <w:gridCol w:w="10285"/>
      </w:tblGrid>
      <w:tr w:rsidR="00176E60" w:rsidRPr="00C8677E" w14:paraId="0236D1D2" w14:textId="77777777" w:rsidTr="008F7BDD">
        <w:trPr>
          <w:jc w:val="center"/>
        </w:trPr>
        <w:tc>
          <w:tcPr>
            <w:tcW w:w="9576" w:type="dxa"/>
          </w:tcPr>
          <w:p w14:paraId="4F62D155" w14:textId="4BD22683" w:rsidR="008B652E" w:rsidRPr="003B1CC5" w:rsidRDefault="007573F0" w:rsidP="008B652E">
            <w:pPr>
              <w:ind w:left="0" w:firstLine="0"/>
              <w:rPr>
                <w:sz w:val="20"/>
                <w:szCs w:val="20"/>
              </w:rPr>
            </w:pPr>
            <w:r w:rsidRPr="003B1CC5">
              <w:rPr>
                <w:b/>
                <w:bCs/>
                <w:sz w:val="20"/>
                <w:szCs w:val="20"/>
                <w:u w:val="single"/>
              </w:rPr>
              <w:t>Note</w:t>
            </w:r>
            <w:r w:rsidRPr="003B1CC5">
              <w:rPr>
                <w:b/>
                <w:bCs/>
                <w:sz w:val="20"/>
                <w:szCs w:val="20"/>
              </w:rPr>
              <w:t xml:space="preserve">: </w:t>
            </w:r>
            <w:r w:rsidR="008B652E" w:rsidRPr="003B1CC5">
              <w:rPr>
                <w:b/>
                <w:bCs/>
                <w:sz w:val="20"/>
                <w:szCs w:val="20"/>
              </w:rPr>
              <w:t>The information provided in this form is intended to aid the St</w:t>
            </w:r>
            <w:r w:rsidR="00676BD4">
              <w:rPr>
                <w:b/>
                <w:bCs/>
                <w:sz w:val="20"/>
                <w:szCs w:val="20"/>
              </w:rPr>
              <w:t>and</w:t>
            </w:r>
            <w:r w:rsidR="008B652E" w:rsidRPr="003B1CC5">
              <w:rPr>
                <w:b/>
                <w:bCs/>
                <w:sz w:val="20"/>
                <w:szCs w:val="20"/>
              </w:rPr>
              <w:t>ing Committee and other stakeholders in understanding to what degree the evidence for this measure meets NQF’s evaluation criteria.</w:t>
            </w:r>
          </w:p>
          <w:p w14:paraId="1D058A64" w14:textId="77777777" w:rsidR="008659ED" w:rsidRPr="003B1CC5" w:rsidRDefault="008659ED" w:rsidP="008659ED">
            <w:pPr>
              <w:ind w:left="90" w:hanging="90"/>
              <w:rPr>
                <w:sz w:val="20"/>
                <w:szCs w:val="20"/>
              </w:rPr>
            </w:pPr>
            <w:bookmarkStart w:id="0" w:name="Note2"/>
            <w:bookmarkEnd w:id="0"/>
          </w:p>
          <w:p w14:paraId="789AD001" w14:textId="202A5CFF" w:rsidR="008659ED" w:rsidRPr="003B1CC5" w:rsidRDefault="008659ED" w:rsidP="008659ED">
            <w:pPr>
              <w:pStyle w:val="Heading3"/>
              <w:rPr>
                <w:rFonts w:asciiTheme="minorHAnsi" w:hAnsiTheme="minorHAnsi"/>
                <w:sz w:val="20"/>
                <w:szCs w:val="20"/>
              </w:rPr>
            </w:pPr>
            <w:r w:rsidRPr="003B1CC5">
              <w:rPr>
                <w:rFonts w:asciiTheme="minorHAnsi" w:hAnsiTheme="minorHAnsi"/>
                <w:sz w:val="20"/>
                <w:szCs w:val="20"/>
              </w:rPr>
              <w:t>1a. Evidence to Support the Measure Focus</w:t>
            </w:r>
            <w:r w:rsidR="004E0AA8">
              <w:rPr>
                <w:rFonts w:asciiTheme="minorHAnsi" w:hAnsiTheme="minorHAnsi"/>
                <w:sz w:val="20"/>
                <w:szCs w:val="20"/>
              </w:rPr>
              <w:t xml:space="preserve"> </w:t>
            </w:r>
          </w:p>
          <w:p w14:paraId="662AA09C" w14:textId="77777777" w:rsidR="008659ED" w:rsidRPr="003B1CC5" w:rsidRDefault="008659ED" w:rsidP="008659ED">
            <w:pPr>
              <w:rPr>
                <w:rFonts w:eastAsia="Calibri" w:cs="Calibri"/>
                <w:sz w:val="20"/>
                <w:szCs w:val="20"/>
              </w:rPr>
            </w:pPr>
            <w:r w:rsidRPr="003B1CC5">
              <w:rPr>
                <w:rFonts w:eastAsia="Calibri" w:cs="Calibri"/>
                <w:sz w:val="20"/>
                <w:szCs w:val="20"/>
              </w:rPr>
              <w:t xml:space="preserve">The measure focus is evidence-based, demonstrated as follows: </w:t>
            </w:r>
          </w:p>
          <w:p w14:paraId="0C607065" w14:textId="6D2DCCFE" w:rsidR="008659ED" w:rsidRPr="003B1CC5" w:rsidRDefault="00B35C5F" w:rsidP="00372000">
            <w:pPr>
              <w:numPr>
                <w:ilvl w:val="0"/>
                <w:numId w:val="2"/>
              </w:numPr>
              <w:rPr>
                <w:rFonts w:eastAsia="Calibri" w:cs="Calibri"/>
                <w:sz w:val="20"/>
                <w:szCs w:val="20"/>
              </w:rPr>
            </w:pPr>
            <w:r w:rsidRPr="00B35C5F">
              <w:rPr>
                <w:rFonts w:eastAsia="Calibri" w:cs="Calibri"/>
                <w:sz w:val="20"/>
                <w:szCs w:val="20"/>
                <w:u w:val="single"/>
              </w:rPr>
              <w:t>O</w:t>
            </w:r>
            <w:r w:rsidR="008659ED" w:rsidRPr="00B35C5F">
              <w:rPr>
                <w:rFonts w:eastAsia="Calibri" w:cs="Calibri"/>
                <w:sz w:val="20"/>
                <w:szCs w:val="20"/>
                <w:u w:val="single"/>
              </w:rPr>
              <w:t>utcome</w:t>
            </w:r>
            <w:r w:rsidR="00CB1E41" w:rsidRPr="008A4973">
              <w:rPr>
                <w:rFonts w:eastAsia="Calibri" w:cs="Calibri"/>
                <w:sz w:val="20"/>
                <w:szCs w:val="20"/>
              </w:rPr>
              <w:t>:</w:t>
            </w:r>
            <w:r w:rsidR="00CB1E41" w:rsidRPr="004E1764">
              <w:rPr>
                <w:rFonts w:eastAsia="Calibri" w:cs="Calibri"/>
                <w:color w:val="7030A0"/>
                <w:sz w:val="20"/>
                <w:szCs w:val="20"/>
              </w:rPr>
              <w:t xml:space="preserve"> </w:t>
            </w:r>
            <w:hyperlink w:anchor="Note3" w:history="1">
              <w:r w:rsidR="00CB1E41" w:rsidRPr="003B1CC5">
                <w:rPr>
                  <w:rStyle w:val="Hyperlink"/>
                  <w:rFonts w:eastAsia="Calibri" w:cs="Calibri"/>
                  <w:b/>
                  <w:sz w:val="20"/>
                  <w:szCs w:val="20"/>
                  <w:vertAlign w:val="superscript"/>
                </w:rPr>
                <w:t>3</w:t>
              </w:r>
            </w:hyperlink>
            <w:r w:rsidR="00CB1E41" w:rsidRPr="004E1764">
              <w:rPr>
                <w:rFonts w:eastAsia="Calibri" w:cs="Calibri"/>
                <w:color w:val="7030A0"/>
                <w:sz w:val="20"/>
                <w:szCs w:val="20"/>
              </w:rPr>
              <w:t xml:space="preserve"> </w:t>
            </w:r>
            <w:r w:rsidRPr="00B35C5F">
              <w:rPr>
                <w:rFonts w:eastAsia="Calibri" w:cs="Calibri"/>
                <w:sz w:val="20"/>
                <w:szCs w:val="20"/>
              </w:rPr>
              <w:t xml:space="preserve">Empirical data demonstrate </w:t>
            </w:r>
            <w:r w:rsidR="008659ED" w:rsidRPr="003B1CC5">
              <w:rPr>
                <w:rFonts w:eastAsia="Calibri" w:cs="Calibri"/>
                <w:sz w:val="20"/>
                <w:szCs w:val="20"/>
              </w:rPr>
              <w:t xml:space="preserve">a relationship </w:t>
            </w:r>
            <w:r w:rsidRPr="00B35C5F">
              <w:rPr>
                <w:rFonts w:eastAsia="Calibri" w:cs="Calibri"/>
                <w:sz w:val="20"/>
                <w:szCs w:val="20"/>
              </w:rPr>
              <w:t>between the outcome and at least one healthcare structure, process, intervention, or service.</w:t>
            </w:r>
            <w:r w:rsidR="004E0AA8">
              <w:rPr>
                <w:rFonts w:eastAsia="Calibri" w:cs="Calibri"/>
                <w:sz w:val="20"/>
                <w:szCs w:val="20"/>
              </w:rPr>
              <w:t xml:space="preserve"> </w:t>
            </w:r>
            <w:r w:rsidRPr="00B35C5F">
              <w:rPr>
                <w:rFonts w:eastAsia="Calibri" w:cs="Calibri"/>
                <w:sz w:val="20"/>
                <w:szCs w:val="20"/>
              </w:rPr>
              <w:t xml:space="preserve">If not available, wide variation in performance can be used as evidence, assuming </w:t>
            </w:r>
            <w:r w:rsidR="008659ED" w:rsidRPr="003B1CC5">
              <w:rPr>
                <w:rFonts w:eastAsia="Calibri" w:cs="Calibri"/>
                <w:sz w:val="20"/>
                <w:szCs w:val="20"/>
              </w:rPr>
              <w:t xml:space="preserve">the </w:t>
            </w:r>
            <w:r w:rsidRPr="00B35C5F">
              <w:rPr>
                <w:rFonts w:eastAsia="Calibri" w:cs="Calibri"/>
                <w:sz w:val="20"/>
                <w:szCs w:val="20"/>
              </w:rPr>
              <w:t>data are from a robust number of providers and results are not subject</w:t>
            </w:r>
            <w:r w:rsidR="008659ED" w:rsidRPr="003B1CC5">
              <w:rPr>
                <w:rFonts w:eastAsia="Calibri" w:cs="Calibri"/>
                <w:sz w:val="20"/>
                <w:szCs w:val="20"/>
              </w:rPr>
              <w:t xml:space="preserve"> to </w:t>
            </w:r>
            <w:r w:rsidRPr="00B35C5F">
              <w:rPr>
                <w:rFonts w:eastAsia="Calibri" w:cs="Calibri"/>
                <w:sz w:val="20"/>
                <w:szCs w:val="20"/>
              </w:rPr>
              <w:t>systematic bias.</w:t>
            </w:r>
            <w:r w:rsidR="004E0AA8">
              <w:rPr>
                <w:rFonts w:eastAsia="Calibri" w:cs="Calibri"/>
                <w:sz w:val="20"/>
                <w:szCs w:val="20"/>
              </w:rPr>
              <w:t xml:space="preserve"> </w:t>
            </w:r>
          </w:p>
          <w:p w14:paraId="6AC47F7F" w14:textId="77777777" w:rsidR="008659ED" w:rsidRPr="003B1CC5" w:rsidRDefault="008659ED" w:rsidP="00372000">
            <w:pPr>
              <w:numPr>
                <w:ilvl w:val="0"/>
                <w:numId w:val="2"/>
              </w:numPr>
              <w:rPr>
                <w:rFonts w:eastAsia="Calibri" w:cs="Calibri"/>
                <w:sz w:val="20"/>
                <w:szCs w:val="20"/>
              </w:rPr>
            </w:pPr>
            <w:r w:rsidRPr="003B1CC5">
              <w:rPr>
                <w:rFonts w:eastAsia="Calibri" w:cs="Calibri"/>
                <w:sz w:val="20"/>
                <w:szCs w:val="20"/>
                <w:u w:val="single"/>
              </w:rPr>
              <w:t>Intermediate clinical outcome</w:t>
            </w:r>
            <w:r w:rsidRPr="003B1CC5">
              <w:rPr>
                <w:rFonts w:eastAsia="Calibri" w:cs="Calibri"/>
                <w:sz w:val="20"/>
                <w:szCs w:val="20"/>
              </w:rPr>
              <w:t xml:space="preserve">: a systematic assessment and grading of the quantity, quality, and consistency of the body of evidence </w:t>
            </w:r>
            <w:hyperlink w:anchor="Note4" w:history="1">
              <w:r w:rsidRPr="003B1CC5">
                <w:rPr>
                  <w:rStyle w:val="Hyperlink"/>
                  <w:rFonts w:eastAsia="Calibri" w:cs="Calibri"/>
                  <w:b/>
                  <w:sz w:val="20"/>
                  <w:szCs w:val="20"/>
                  <w:vertAlign w:val="superscript"/>
                </w:rPr>
                <w:t>4</w:t>
              </w:r>
            </w:hyperlink>
            <w:r w:rsidRPr="003B1CC5">
              <w:rPr>
                <w:rFonts w:eastAsia="Calibri" w:cs="Calibri"/>
                <w:b/>
                <w:sz w:val="20"/>
                <w:szCs w:val="20"/>
                <w:vertAlign w:val="superscript"/>
              </w:rPr>
              <w:t xml:space="preserve"> </w:t>
            </w:r>
            <w:r w:rsidRPr="003B1CC5">
              <w:rPr>
                <w:rFonts w:eastAsia="Calibri" w:cs="Calibri"/>
                <w:bCs/>
                <w:sz w:val="20"/>
                <w:szCs w:val="20"/>
              </w:rPr>
              <w:t>that the measured intermediate clinical outcome leads to a desired health outcome.</w:t>
            </w:r>
          </w:p>
          <w:p w14:paraId="0F5C1CCE" w14:textId="77777777" w:rsidR="008659ED" w:rsidRPr="003B1CC5" w:rsidRDefault="008659ED" w:rsidP="00372000">
            <w:pPr>
              <w:numPr>
                <w:ilvl w:val="0"/>
                <w:numId w:val="2"/>
              </w:numPr>
              <w:rPr>
                <w:rFonts w:eastAsia="Calibri" w:cs="Calibri"/>
                <w:sz w:val="20"/>
                <w:szCs w:val="20"/>
              </w:rPr>
            </w:pPr>
            <w:r w:rsidRPr="003B1CC5">
              <w:rPr>
                <w:rFonts w:eastAsia="Calibri" w:cs="Calibri"/>
                <w:sz w:val="20"/>
                <w:szCs w:val="20"/>
                <w:u w:val="single"/>
              </w:rPr>
              <w:t>Process</w:t>
            </w:r>
            <w:r w:rsidRPr="003B1CC5">
              <w:rPr>
                <w:rFonts w:eastAsia="Calibri" w:cs="Calibri"/>
                <w:sz w:val="20"/>
                <w:szCs w:val="20"/>
              </w:rPr>
              <w:t xml:space="preserve">: </w:t>
            </w:r>
            <w:hyperlink w:anchor="Note5" w:history="1">
              <w:r w:rsidRPr="003B1CC5">
                <w:rPr>
                  <w:rStyle w:val="Hyperlink"/>
                  <w:rFonts w:eastAsia="Calibri" w:cs="Calibri"/>
                  <w:b/>
                  <w:sz w:val="20"/>
                  <w:szCs w:val="20"/>
                  <w:vertAlign w:val="superscript"/>
                </w:rPr>
                <w:t>5</w:t>
              </w:r>
            </w:hyperlink>
            <w:r w:rsidRPr="003B1CC5">
              <w:rPr>
                <w:rFonts w:eastAsia="Calibri" w:cs="Calibri"/>
                <w:sz w:val="20"/>
                <w:szCs w:val="20"/>
              </w:rPr>
              <w:t xml:space="preserve"> a systematic assessment and grading of the quantity, quality, and consistency of the body of evidence </w:t>
            </w:r>
            <w:hyperlink w:anchor="Note4" w:history="1">
              <w:r w:rsidR="00CB1E41" w:rsidRPr="003B1CC5">
                <w:rPr>
                  <w:rStyle w:val="Hyperlink"/>
                  <w:rFonts w:eastAsia="Calibri" w:cs="Calibri"/>
                  <w:b/>
                  <w:sz w:val="20"/>
                  <w:szCs w:val="20"/>
                  <w:vertAlign w:val="superscript"/>
                </w:rPr>
                <w:t>4</w:t>
              </w:r>
            </w:hyperlink>
            <w:r w:rsidRPr="003B1CC5">
              <w:rPr>
                <w:rFonts w:eastAsia="Calibri" w:cs="Calibri"/>
                <w:bCs/>
                <w:sz w:val="20"/>
                <w:szCs w:val="20"/>
              </w:rPr>
              <w:t xml:space="preserve"> that the measured process leads to a desired health outcome.</w:t>
            </w:r>
          </w:p>
          <w:p w14:paraId="5BC9D371" w14:textId="4E43CE91" w:rsidR="008659ED" w:rsidRPr="003B1CC5" w:rsidRDefault="008659ED" w:rsidP="00372000">
            <w:pPr>
              <w:numPr>
                <w:ilvl w:val="0"/>
                <w:numId w:val="3"/>
              </w:numPr>
              <w:autoSpaceDE w:val="0"/>
              <w:autoSpaceDN w:val="0"/>
              <w:adjustRightInd w:val="0"/>
              <w:contextualSpacing/>
              <w:rPr>
                <w:sz w:val="20"/>
                <w:szCs w:val="20"/>
              </w:rPr>
            </w:pPr>
            <w:r w:rsidRPr="003B1CC5">
              <w:rPr>
                <w:rFonts w:eastAsia="Calibri" w:cs="Calibri"/>
                <w:sz w:val="20"/>
                <w:szCs w:val="20"/>
                <w:u w:val="single"/>
              </w:rPr>
              <w:t>Structure</w:t>
            </w:r>
            <w:r w:rsidRPr="003B1CC5">
              <w:rPr>
                <w:rFonts w:eastAsia="Calibri" w:cs="Calibri"/>
                <w:sz w:val="20"/>
                <w:szCs w:val="20"/>
              </w:rPr>
              <w:t xml:space="preserve">: a systematic assessment and grading of the quantity, quality, and consistency of the body of evidence </w:t>
            </w:r>
            <w:hyperlink w:anchor="Note4" w:history="1">
              <w:r w:rsidR="00CB1E41" w:rsidRPr="003B1CC5">
                <w:rPr>
                  <w:rStyle w:val="Hyperlink"/>
                  <w:rFonts w:eastAsia="Calibri" w:cs="Calibri"/>
                  <w:b/>
                  <w:sz w:val="20"/>
                  <w:szCs w:val="20"/>
                  <w:vertAlign w:val="superscript"/>
                </w:rPr>
                <w:t>4</w:t>
              </w:r>
            </w:hyperlink>
            <w:r w:rsidR="004E0AA8">
              <w:rPr>
                <w:rFonts w:eastAsia="Calibri" w:cs="Calibri"/>
                <w:b/>
                <w:sz w:val="20"/>
                <w:szCs w:val="20"/>
                <w:vertAlign w:val="superscript"/>
              </w:rPr>
              <w:t xml:space="preserve"> </w:t>
            </w:r>
            <w:r w:rsidRPr="003B1CC5">
              <w:rPr>
                <w:rFonts w:eastAsia="Calibri" w:cs="Calibri"/>
                <w:bCs/>
                <w:sz w:val="20"/>
                <w:szCs w:val="20"/>
              </w:rPr>
              <w:t>that the measured structure leads to a desired health outcome.</w:t>
            </w:r>
          </w:p>
          <w:p w14:paraId="68C17043" w14:textId="264D87AC" w:rsidR="008659ED" w:rsidRPr="008F7BDD" w:rsidRDefault="008659ED" w:rsidP="00372000">
            <w:pPr>
              <w:numPr>
                <w:ilvl w:val="0"/>
                <w:numId w:val="3"/>
              </w:numPr>
              <w:autoSpaceDE w:val="0"/>
              <w:autoSpaceDN w:val="0"/>
              <w:adjustRightInd w:val="0"/>
              <w:contextualSpacing/>
              <w:rPr>
                <w:sz w:val="20"/>
              </w:rPr>
            </w:pPr>
            <w:r w:rsidRPr="003B1CC5">
              <w:rPr>
                <w:rFonts w:eastAsia="Calibri" w:cs="Calibri"/>
                <w:sz w:val="20"/>
                <w:szCs w:val="20"/>
                <w:u w:val="single"/>
              </w:rPr>
              <w:t>Efficiency</w:t>
            </w:r>
            <w:r w:rsidR="00E536D3" w:rsidRPr="003B1CC5">
              <w:rPr>
                <w:rFonts w:eastAsia="Calibri" w:cs="Calibri"/>
                <w:sz w:val="20"/>
                <w:szCs w:val="20"/>
              </w:rPr>
              <w:t xml:space="preserve">: </w:t>
            </w:r>
            <w:hyperlink w:anchor="Note6" w:history="1">
              <w:r w:rsidR="00E536D3" w:rsidRPr="003B1CC5">
                <w:rPr>
                  <w:rStyle w:val="Hyperlink"/>
                  <w:rFonts w:eastAsia="Calibri" w:cs="Calibri"/>
                  <w:b/>
                  <w:sz w:val="20"/>
                  <w:szCs w:val="20"/>
                  <w:vertAlign w:val="superscript"/>
                </w:rPr>
                <w:t>6</w:t>
              </w:r>
            </w:hyperlink>
            <w:r w:rsidR="00E536D3" w:rsidRPr="003B1CC5">
              <w:rPr>
                <w:rFonts w:eastAsia="Calibri" w:cs="Calibri"/>
                <w:sz w:val="20"/>
                <w:szCs w:val="20"/>
              </w:rPr>
              <w:t xml:space="preserve"> </w:t>
            </w:r>
            <w:r w:rsidRPr="003B1CC5">
              <w:rPr>
                <w:rFonts w:eastAsia="Calibri" w:cs="Calibri"/>
                <w:sz w:val="20"/>
                <w:szCs w:val="20"/>
              </w:rPr>
              <w:t>evidence not required for the resource use component.</w:t>
            </w:r>
          </w:p>
          <w:p w14:paraId="1680B578" w14:textId="77777777" w:rsidR="00B35C5F" w:rsidRPr="00EE6069" w:rsidRDefault="00B35C5F" w:rsidP="00372000">
            <w:pPr>
              <w:pStyle w:val="ListParagraph"/>
              <w:numPr>
                <w:ilvl w:val="0"/>
                <w:numId w:val="3"/>
              </w:numPr>
              <w:autoSpaceDE w:val="0"/>
              <w:autoSpaceDN w:val="0"/>
              <w:adjustRightInd w:val="0"/>
              <w:spacing w:after="0" w:line="240" w:lineRule="auto"/>
              <w:rPr>
                <w:rFonts w:ascii="Calibri" w:hAnsi="Calibri" w:cstheme="minorHAnsi"/>
                <w:sz w:val="20"/>
                <w:szCs w:val="20"/>
                <w:u w:val="single"/>
              </w:rPr>
            </w:pPr>
            <w:r w:rsidRPr="00EE6069">
              <w:rPr>
                <w:rFonts w:ascii="Calibri" w:hAnsi="Calibri" w:cstheme="minorHAnsi"/>
                <w:sz w:val="20"/>
                <w:szCs w:val="20"/>
              </w:rPr>
              <w:t xml:space="preserve">For measures derived from </w:t>
            </w:r>
            <w:r w:rsidRPr="00EE6069">
              <w:rPr>
                <w:rFonts w:ascii="Calibri" w:hAnsi="Calibri" w:cstheme="minorHAnsi"/>
                <w:sz w:val="20"/>
                <w:szCs w:val="20"/>
                <w:u w:val="single"/>
              </w:rPr>
              <w:t>patient reports</w:t>
            </w:r>
            <w:r w:rsidRPr="00EE6069">
              <w:rPr>
                <w:rFonts w:ascii="Calibri" w:hAnsi="Calibri" w:cstheme="minorHAnsi"/>
                <w:sz w:val="20"/>
                <w:szCs w:val="20"/>
              </w:rPr>
              <w:t>, evidence should demonstrate that the target population values the measured outcome, process, or st</w:t>
            </w:r>
            <w:r>
              <w:rPr>
                <w:rFonts w:ascii="Calibri" w:hAnsi="Calibri" w:cstheme="minorHAnsi"/>
                <w:sz w:val="20"/>
                <w:szCs w:val="20"/>
              </w:rPr>
              <w:t>ructure and finds it meaningful.</w:t>
            </w:r>
          </w:p>
          <w:p w14:paraId="62BE78D6" w14:textId="77777777" w:rsidR="008659ED" w:rsidRPr="003B1CC5" w:rsidRDefault="00B35C5F" w:rsidP="00372000">
            <w:pPr>
              <w:numPr>
                <w:ilvl w:val="0"/>
                <w:numId w:val="3"/>
              </w:numPr>
              <w:autoSpaceDE w:val="0"/>
              <w:autoSpaceDN w:val="0"/>
              <w:adjustRightInd w:val="0"/>
              <w:contextualSpacing/>
              <w:rPr>
                <w:sz w:val="20"/>
                <w:szCs w:val="20"/>
              </w:rPr>
            </w:pPr>
            <w:r>
              <w:rPr>
                <w:rFonts w:ascii="Calibri" w:hAnsi="Calibri" w:cstheme="minorHAnsi"/>
                <w:sz w:val="20"/>
                <w:szCs w:val="20"/>
                <w:u w:val="single"/>
              </w:rPr>
              <w:t>Process m</w:t>
            </w:r>
            <w:r w:rsidRPr="004B26FC">
              <w:rPr>
                <w:rFonts w:ascii="Calibri" w:hAnsi="Calibri" w:cstheme="minorHAnsi"/>
                <w:sz w:val="20"/>
                <w:szCs w:val="20"/>
                <w:u w:val="single"/>
              </w:rPr>
              <w:t>easures incorporating Appropriate Use Criteria:</w:t>
            </w:r>
            <w:r w:rsidRPr="004B26FC">
              <w:rPr>
                <w:sz w:val="20"/>
                <w:szCs w:val="20"/>
              </w:rPr>
              <w:t xml:space="preserve"> </w:t>
            </w:r>
            <w:r>
              <w:rPr>
                <w:sz w:val="20"/>
                <w:szCs w:val="20"/>
              </w:rPr>
              <w:t xml:space="preserve">See </w:t>
            </w:r>
            <w:r w:rsidRPr="004B26FC">
              <w:rPr>
                <w:sz w:val="20"/>
                <w:szCs w:val="20"/>
              </w:rPr>
              <w:t>NQF’s guidance for evidence for measures</w:t>
            </w:r>
            <w:r>
              <w:rPr>
                <w:sz w:val="20"/>
                <w:szCs w:val="20"/>
              </w:rPr>
              <w:t>, in general; guidance for measures</w:t>
            </w:r>
            <w:r w:rsidRPr="004B26FC">
              <w:rPr>
                <w:sz w:val="20"/>
                <w:szCs w:val="20"/>
              </w:rPr>
              <w:t xml:space="preserve"> specifically based on </w:t>
            </w:r>
            <w:r>
              <w:rPr>
                <w:sz w:val="20"/>
                <w:szCs w:val="20"/>
              </w:rPr>
              <w:t>clinical practice guidelines</w:t>
            </w:r>
            <w:r w:rsidRPr="004B26FC">
              <w:rPr>
                <w:sz w:val="20"/>
                <w:szCs w:val="20"/>
              </w:rPr>
              <w:t xml:space="preserve"> apply </w:t>
            </w:r>
            <w:r w:rsidRPr="006D0681">
              <w:rPr>
                <w:sz w:val="20"/>
                <w:szCs w:val="20"/>
              </w:rPr>
              <w:t xml:space="preserve">as well. </w:t>
            </w:r>
          </w:p>
          <w:p w14:paraId="5FFCAEDA" w14:textId="77777777" w:rsidR="00CB1E41" w:rsidRPr="003B1CC5" w:rsidRDefault="00CB1E41" w:rsidP="008659ED">
            <w:pPr>
              <w:autoSpaceDE w:val="0"/>
              <w:autoSpaceDN w:val="0"/>
              <w:adjustRightInd w:val="0"/>
              <w:rPr>
                <w:rFonts w:eastAsia="Calibri" w:cs="Calibri"/>
                <w:b/>
                <w:bCs/>
                <w:iCs/>
                <w:sz w:val="18"/>
              </w:rPr>
            </w:pPr>
          </w:p>
          <w:p w14:paraId="7BCCCC57" w14:textId="77777777" w:rsidR="008659ED" w:rsidRPr="003B1CC5" w:rsidRDefault="008659ED" w:rsidP="008659ED">
            <w:pPr>
              <w:autoSpaceDE w:val="0"/>
              <w:autoSpaceDN w:val="0"/>
              <w:adjustRightInd w:val="0"/>
              <w:rPr>
                <w:rFonts w:eastAsia="Calibri" w:cs="Calibri"/>
                <w:b/>
                <w:bCs/>
                <w:iCs/>
                <w:sz w:val="20"/>
                <w:szCs w:val="20"/>
              </w:rPr>
            </w:pPr>
            <w:r w:rsidRPr="003B1CC5">
              <w:rPr>
                <w:rFonts w:eastAsia="Calibri" w:cs="Calibri"/>
                <w:b/>
                <w:bCs/>
                <w:iCs/>
                <w:sz w:val="20"/>
                <w:szCs w:val="20"/>
              </w:rPr>
              <w:t>Notes</w:t>
            </w:r>
          </w:p>
          <w:p w14:paraId="7AC81C10" w14:textId="3B668144" w:rsidR="008659ED" w:rsidRPr="003B1CC5" w:rsidRDefault="008659ED" w:rsidP="00CB1E41">
            <w:pPr>
              <w:ind w:left="0" w:firstLine="0"/>
              <w:rPr>
                <w:rFonts w:eastAsia="Calibri" w:cs="Calibri"/>
                <w:sz w:val="20"/>
                <w:szCs w:val="20"/>
              </w:rPr>
            </w:pPr>
            <w:bookmarkStart w:id="1" w:name="Note3"/>
            <w:bookmarkEnd w:id="1"/>
            <w:r w:rsidRPr="003B1CC5">
              <w:rPr>
                <w:rFonts w:eastAsia="Calibri" w:cs="Calibri"/>
                <w:b/>
                <w:sz w:val="20"/>
                <w:szCs w:val="20"/>
              </w:rPr>
              <w:t>3.</w:t>
            </w:r>
            <w:r w:rsidRPr="003B1CC5">
              <w:rPr>
                <w:rFonts w:eastAsia="Calibri" w:cs="Calibri"/>
                <w:sz w:val="20"/>
                <w:szCs w:val="20"/>
              </w:rPr>
              <w:t xml:space="preserve"> Generally, rare event outcomes do not provide adequate information for improvement or discrimination; however, serious reportable events that are compared to zero are appropriate outcomes for public reporting and quality improvement.</w:t>
            </w:r>
          </w:p>
          <w:p w14:paraId="69E998C2" w14:textId="52341B17" w:rsidR="008659ED" w:rsidRPr="003B1CC5" w:rsidRDefault="008659ED" w:rsidP="00CB1E41">
            <w:pPr>
              <w:ind w:left="0" w:firstLine="0"/>
              <w:rPr>
                <w:rFonts w:eastAsia="Calibri" w:cs="Calibri"/>
                <w:sz w:val="20"/>
                <w:szCs w:val="20"/>
              </w:rPr>
            </w:pPr>
            <w:bookmarkStart w:id="2" w:name="Note4"/>
            <w:bookmarkEnd w:id="2"/>
            <w:r w:rsidRPr="003B1CC5">
              <w:rPr>
                <w:rFonts w:eastAsia="Calibri" w:cs="Calibri"/>
                <w:b/>
                <w:sz w:val="20"/>
                <w:szCs w:val="20"/>
              </w:rPr>
              <w:t>4.</w:t>
            </w:r>
            <w:r w:rsidRPr="003B1CC5">
              <w:rPr>
                <w:rFonts w:eastAsia="Calibri" w:cs="Calibri"/>
                <w:sz w:val="20"/>
                <w:szCs w:val="20"/>
              </w:rPr>
              <w:t xml:space="preserve"> The preferred systems for grading the evidence are the Grading of Recommendations, Assessment, Development and Evaluation </w:t>
            </w:r>
            <w:hyperlink r:id="rId16" w:history="1">
              <w:r w:rsidRPr="004E1764">
                <w:rPr>
                  <w:rFonts w:eastAsia="Calibri" w:cs="Calibri"/>
                  <w:color w:val="7030A0"/>
                  <w:sz w:val="20"/>
                  <w:szCs w:val="20"/>
                  <w:u w:val="single"/>
                </w:rPr>
                <w:t>(GRADE) guidelines</w:t>
              </w:r>
            </w:hyperlink>
            <w:r w:rsidR="00B35C5F">
              <w:rPr>
                <w:rFonts w:eastAsia="Calibri" w:cs="Calibri"/>
                <w:sz w:val="20"/>
                <w:szCs w:val="20"/>
              </w:rPr>
              <w:t xml:space="preserve"> and/or modified GRADE.</w:t>
            </w:r>
          </w:p>
          <w:p w14:paraId="41962990" w14:textId="77777777" w:rsidR="008659ED" w:rsidRPr="003B1CC5" w:rsidRDefault="008659ED" w:rsidP="00CB1E41">
            <w:pPr>
              <w:ind w:left="0" w:firstLine="0"/>
              <w:rPr>
                <w:rFonts w:eastAsia="Calibri" w:cs="Calibri"/>
                <w:sz w:val="20"/>
                <w:szCs w:val="20"/>
              </w:rPr>
            </w:pPr>
            <w:bookmarkStart w:id="3" w:name="Note5"/>
            <w:bookmarkEnd w:id="3"/>
            <w:r w:rsidRPr="003B1CC5">
              <w:rPr>
                <w:rFonts w:eastAsia="Calibri" w:cs="Calibri"/>
                <w:b/>
                <w:sz w:val="20"/>
                <w:szCs w:val="20"/>
              </w:rPr>
              <w:t>5.</w:t>
            </w:r>
            <w:r w:rsidRPr="003B1CC5">
              <w:rPr>
                <w:rFonts w:eastAsia="Calibri" w:cs="Calibri"/>
                <w:sz w:val="20"/>
                <w:szCs w:val="20"/>
              </w:rPr>
              <w:t xml:space="preserve"> Clinical care processes typically include multiple steps: assess </w:t>
            </w:r>
            <w:r w:rsidRPr="003B1CC5">
              <w:rPr>
                <w:rFonts w:eastAsia="Calibri" w:cs="Calibri"/>
                <w:sz w:val="20"/>
                <w:szCs w:val="20"/>
              </w:rPr>
              <w:sym w:font="Symbol" w:char="F0AE"/>
            </w:r>
            <w:r w:rsidRPr="003B1CC5">
              <w:rPr>
                <w:rFonts w:eastAsia="Calibri" w:cs="Calibri"/>
                <w:sz w:val="20"/>
                <w:szCs w:val="20"/>
              </w:rPr>
              <w:t xml:space="preserve"> identify problem/potential problem </w:t>
            </w:r>
            <w:r w:rsidRPr="003B1CC5">
              <w:rPr>
                <w:rFonts w:eastAsia="Calibri" w:cs="Calibri"/>
                <w:sz w:val="20"/>
                <w:szCs w:val="20"/>
              </w:rPr>
              <w:sym w:font="Symbol" w:char="F0AE"/>
            </w:r>
            <w:r w:rsidRPr="003B1CC5">
              <w:rPr>
                <w:rFonts w:eastAsia="Calibri" w:cs="Calibri"/>
                <w:sz w:val="20"/>
                <w:szCs w:val="20"/>
              </w:rPr>
              <w:t xml:space="preserve"> choose/plan intervention (with patient input) </w:t>
            </w:r>
            <w:r w:rsidRPr="003B1CC5">
              <w:rPr>
                <w:rFonts w:eastAsia="Calibri" w:cs="Calibri"/>
                <w:sz w:val="20"/>
                <w:szCs w:val="20"/>
              </w:rPr>
              <w:sym w:font="Symbol" w:char="F0AE"/>
            </w:r>
            <w:r w:rsidRPr="003B1CC5">
              <w:rPr>
                <w:rFonts w:eastAsia="Calibri" w:cs="Calibri"/>
                <w:sz w:val="20"/>
                <w:szCs w:val="20"/>
              </w:rPr>
              <w:t xml:space="preserve"> provide intervention </w:t>
            </w:r>
            <w:r w:rsidRPr="003B1CC5">
              <w:rPr>
                <w:rFonts w:eastAsia="Calibri" w:cs="Calibri"/>
                <w:sz w:val="20"/>
                <w:szCs w:val="20"/>
              </w:rPr>
              <w:sym w:font="Symbol" w:char="F0AE"/>
            </w:r>
            <w:r w:rsidRPr="003B1CC5">
              <w:rPr>
                <w:rFonts w:eastAsia="Calibri" w:cs="Calibri"/>
                <w:sz w:val="20"/>
                <w:szCs w:val="20"/>
              </w:rPr>
              <w:t xml:space="preserve"> evaluate impact on health status. If the measure focus is one </w:t>
            </w:r>
            <w:proofErr w:type="gramStart"/>
            <w:r w:rsidRPr="003B1CC5">
              <w:rPr>
                <w:rFonts w:eastAsia="Calibri" w:cs="Calibri"/>
                <w:sz w:val="20"/>
                <w:szCs w:val="20"/>
              </w:rPr>
              <w:lastRenderedPageBreak/>
              <w:t>step</w:t>
            </w:r>
            <w:proofErr w:type="gramEnd"/>
            <w:r w:rsidRPr="003B1CC5">
              <w:rPr>
                <w:rFonts w:eastAsia="Calibri" w:cs="Calibri"/>
                <w:sz w:val="20"/>
                <w:szCs w:val="20"/>
              </w:rPr>
              <w:t xml:space="preserve"> in such a multistep process, the step with the strongest evidence for the link to the desired outcome should be selected as the focus of measurement. Note: A measure focused only on collecting PROM data is not a PRO-PM.</w:t>
            </w:r>
          </w:p>
          <w:p w14:paraId="38C5400C" w14:textId="77777777" w:rsidR="008659ED" w:rsidRPr="003B1CC5" w:rsidRDefault="008659ED" w:rsidP="008F7BDD">
            <w:pPr>
              <w:autoSpaceDE w:val="0"/>
              <w:autoSpaceDN w:val="0"/>
              <w:adjustRightInd w:val="0"/>
              <w:spacing w:after="120"/>
              <w:ind w:left="0" w:firstLine="0"/>
              <w:contextualSpacing/>
            </w:pPr>
            <w:bookmarkStart w:id="4" w:name="Note6"/>
            <w:bookmarkEnd w:id="4"/>
            <w:r w:rsidRPr="003B1CC5">
              <w:rPr>
                <w:rFonts w:eastAsia="Calibri" w:cs="Calibri"/>
                <w:b/>
                <w:sz w:val="20"/>
                <w:szCs w:val="20"/>
              </w:rPr>
              <w:t xml:space="preserve">6. </w:t>
            </w:r>
            <w:r w:rsidRPr="003B1CC5">
              <w:rPr>
                <w:rFonts w:eastAsia="Calibri" w:cs="Calibri"/>
                <w:sz w:val="20"/>
                <w:szCs w:val="20"/>
              </w:rPr>
              <w:t xml:space="preserve">Measures of efficiency combine the concepts of resource use </w:t>
            </w:r>
            <w:r w:rsidRPr="003B1CC5">
              <w:rPr>
                <w:rFonts w:eastAsia="Calibri" w:cs="Calibri"/>
                <w:sz w:val="20"/>
                <w:szCs w:val="20"/>
                <w:u w:val="single"/>
              </w:rPr>
              <w:t>and</w:t>
            </w:r>
            <w:r w:rsidRPr="003B1CC5">
              <w:rPr>
                <w:rFonts w:eastAsia="Calibri" w:cs="Calibri"/>
                <w:sz w:val="20"/>
                <w:szCs w:val="20"/>
              </w:rPr>
              <w:t xml:space="preserve"> quality (see NQF’s </w:t>
            </w:r>
            <w:hyperlink r:id="rId17" w:history="1">
              <w:r w:rsidRPr="004E1764">
                <w:rPr>
                  <w:rFonts w:eastAsia="Calibri" w:cs="Calibri"/>
                  <w:color w:val="7030A0"/>
                  <w:sz w:val="20"/>
                  <w:szCs w:val="20"/>
                  <w:u w:val="single"/>
                </w:rPr>
                <w:t>Measurement Framework: Evaluating Efficiency Across Episodes of Care</w:t>
              </w:r>
            </w:hyperlink>
            <w:r w:rsidRPr="003B1CC5">
              <w:rPr>
                <w:rFonts w:eastAsia="Calibri" w:cs="Calibri"/>
                <w:sz w:val="20"/>
                <w:szCs w:val="20"/>
              </w:rPr>
              <w:t xml:space="preserve">; </w:t>
            </w:r>
            <w:hyperlink r:id="rId18" w:history="1">
              <w:r w:rsidRPr="004E1764">
                <w:rPr>
                  <w:rFonts w:eastAsia="Calibri" w:cs="Calibri"/>
                  <w:color w:val="7030A0"/>
                  <w:sz w:val="20"/>
                  <w:szCs w:val="20"/>
                  <w:u w:val="single"/>
                </w:rPr>
                <w:t>AQA Principles of Efficiency Measures</w:t>
              </w:r>
            </w:hyperlink>
            <w:r w:rsidRPr="003B1CC5">
              <w:rPr>
                <w:rFonts w:eastAsia="Calibri" w:cs="Calibri"/>
                <w:sz w:val="20"/>
                <w:szCs w:val="20"/>
              </w:rPr>
              <w:t>).</w:t>
            </w:r>
          </w:p>
        </w:tc>
      </w:tr>
    </w:tbl>
    <w:p w14:paraId="0C1C2761" w14:textId="2F92BE18" w:rsidR="00A67EB1" w:rsidRPr="003B1CC5" w:rsidRDefault="00496AF8" w:rsidP="0091677A">
      <w:pPr>
        <w:pStyle w:val="question"/>
      </w:pPr>
      <w:r w:rsidRPr="004E1764">
        <w:rPr>
          <w:b/>
          <w:color w:val="7030A0"/>
        </w:rPr>
        <w:lastRenderedPageBreak/>
        <w:t>1</w:t>
      </w:r>
      <w:r w:rsidR="00773485" w:rsidRPr="004E1764">
        <w:rPr>
          <w:b/>
          <w:color w:val="7030A0"/>
        </w:rPr>
        <w:t>a</w:t>
      </w:r>
      <w:r w:rsidRPr="004E1764">
        <w:rPr>
          <w:b/>
          <w:color w:val="7030A0"/>
        </w:rPr>
        <w:t>.1.</w:t>
      </w:r>
      <w:r w:rsidR="0091677A" w:rsidRPr="004E1764">
        <w:rPr>
          <w:b/>
          <w:color w:val="7030A0"/>
        </w:rPr>
        <w:tab/>
      </w:r>
      <w:proofErr w:type="gramStart"/>
      <w:r w:rsidRPr="003B1CC5">
        <w:rPr>
          <w:b/>
        </w:rPr>
        <w:t>This</w:t>
      </w:r>
      <w:proofErr w:type="gramEnd"/>
      <w:r w:rsidRPr="003B1CC5">
        <w:rPr>
          <w:b/>
        </w:rPr>
        <w:t xml:space="preserve"> is a measure of</w:t>
      </w:r>
      <w:r w:rsidRPr="003B1CC5">
        <w:t>:</w:t>
      </w:r>
      <w:r w:rsidR="00A67EB1" w:rsidRPr="0091677A">
        <w:rPr>
          <w:i/>
          <w:iCs w:val="0"/>
        </w:rPr>
        <w:t xml:space="preserve"> (should be consistent with type </w:t>
      </w:r>
      <w:r w:rsidR="00CB1E41" w:rsidRPr="0091677A">
        <w:rPr>
          <w:i/>
          <w:iCs w:val="0"/>
        </w:rPr>
        <w:t xml:space="preserve">of measure </w:t>
      </w:r>
      <w:r w:rsidR="00A67EB1" w:rsidRPr="0091677A">
        <w:rPr>
          <w:i/>
          <w:iCs w:val="0"/>
        </w:rPr>
        <w:t xml:space="preserve">entered in De.1) </w:t>
      </w:r>
    </w:p>
    <w:p w14:paraId="2F1F6FA9" w14:textId="77777777" w:rsidR="00496AF8" w:rsidRPr="003B1CC5" w:rsidRDefault="00E41417" w:rsidP="00015986">
      <w:pPr>
        <w:ind w:left="432" w:hanging="432"/>
        <w:rPr>
          <w:rFonts w:cs="Calibri"/>
          <w:bCs/>
        </w:rPr>
      </w:pPr>
      <w:r w:rsidRPr="003B1CC5">
        <w:rPr>
          <w:rFonts w:cs="Calibri"/>
          <w:bCs/>
        </w:rPr>
        <w:t>O</w:t>
      </w:r>
      <w:r w:rsidR="00496AF8" w:rsidRPr="003B1CC5">
        <w:rPr>
          <w:rFonts w:cs="Calibri"/>
          <w:bCs/>
        </w:rPr>
        <w:t>utcome</w:t>
      </w:r>
    </w:p>
    <w:p w14:paraId="640B726F" w14:textId="2E3434ED" w:rsidR="00496AF8" w:rsidRPr="004E1764" w:rsidRDefault="00194926" w:rsidP="0091677A">
      <w:pPr>
        <w:ind w:left="396" w:hanging="432"/>
        <w:rPr>
          <w:rStyle w:val="Style1"/>
          <w:color w:val="7030A0"/>
        </w:rPr>
      </w:pPr>
      <w:sdt>
        <w:sdtPr>
          <w:rPr>
            <w:color w:val="7030A0"/>
            <w:u w:val="single"/>
          </w:rPr>
          <w:id w:val="1077707841"/>
          <w14:checkbox>
            <w14:checked w14:val="1"/>
            <w14:checkedState w14:val="2612" w14:font="MS Gothic"/>
            <w14:uncheckedState w14:val="2610" w14:font="MS Gothic"/>
          </w14:checkbox>
        </w:sdtPr>
        <w:sdtEndPr/>
        <w:sdtContent>
          <w:r w:rsidR="00C84B57" w:rsidRPr="004E1764">
            <w:rPr>
              <w:rFonts w:ascii="MS Gothic" w:eastAsia="MS Gothic" w:hAnsi="MS Gothic" w:hint="eastAsia"/>
              <w:color w:val="7030A0"/>
              <w:u w:val="single"/>
            </w:rPr>
            <w:t>☒</w:t>
          </w:r>
        </w:sdtContent>
      </w:sdt>
      <w:r w:rsidR="0015535B" w:rsidRPr="004E1764">
        <w:rPr>
          <w:bCs/>
          <w:color w:val="7030A0"/>
        </w:rPr>
        <w:t xml:space="preserve"> </w:t>
      </w:r>
      <w:r w:rsidR="00CC0F87" w:rsidRPr="00F82380">
        <w:rPr>
          <w:bCs/>
        </w:rPr>
        <w:t>O</w:t>
      </w:r>
      <w:r w:rsidR="00BE6373" w:rsidRPr="003B1CC5">
        <w:rPr>
          <w:bCs/>
        </w:rPr>
        <w:t>utc</w:t>
      </w:r>
      <w:r w:rsidR="00496AF8" w:rsidRPr="003B1CC5">
        <w:rPr>
          <w:bCs/>
        </w:rPr>
        <w:t>ome</w:t>
      </w:r>
      <w:r w:rsidR="00B117D0" w:rsidRPr="003B1CC5">
        <w:rPr>
          <w:bCs/>
        </w:rPr>
        <w:t xml:space="preserve">: </w:t>
      </w:r>
      <w:sdt>
        <w:sdtPr>
          <w:rPr>
            <w:rStyle w:val="Style2"/>
            <w:rFonts w:cstheme="minorHAnsi"/>
          </w:rPr>
          <w:id w:val="-577433442"/>
        </w:sdtPr>
        <w:sdtEndPr>
          <w:rPr>
            <w:rStyle w:val="DefaultParagraphFont"/>
            <w:rFonts w:cstheme="minorBidi"/>
            <w:color w:val="7030A0"/>
            <w:u w:val="none"/>
          </w:rPr>
        </w:sdtEndPr>
        <w:sdtContent>
          <w:r w:rsidR="009F43DD" w:rsidRPr="004E1764">
            <w:rPr>
              <w:rStyle w:val="Style1"/>
              <w:color w:val="7030A0"/>
            </w:rPr>
            <w:t>Catheter inserted and left in bladder</w:t>
          </w:r>
        </w:sdtContent>
      </w:sdt>
    </w:p>
    <w:p w14:paraId="26320B4B" w14:textId="49B53577" w:rsidR="00236F87" w:rsidRPr="003B1CC5" w:rsidRDefault="00194926" w:rsidP="003B33EB">
      <w:pPr>
        <w:ind w:left="720" w:hanging="432"/>
        <w:rPr>
          <w:b/>
          <w:bCs/>
        </w:rPr>
      </w:pPr>
      <w:sdt>
        <w:sdtPr>
          <w:rPr>
            <w:bCs/>
            <w:color w:val="7030A0"/>
          </w:rPr>
          <w:id w:val="-1541041819"/>
          <w14:checkbox>
            <w14:checked w14:val="1"/>
            <w14:checkedState w14:val="2612" w14:font="MS Gothic"/>
            <w14:uncheckedState w14:val="2610" w14:font="MS Gothic"/>
          </w14:checkbox>
        </w:sdtPr>
        <w:sdtEndPr/>
        <w:sdtContent>
          <w:r w:rsidR="00E13CCD" w:rsidRPr="004E1764">
            <w:rPr>
              <w:rFonts w:ascii="MS Gothic" w:eastAsia="MS Gothic" w:hAnsi="MS Gothic" w:hint="eastAsia"/>
              <w:bCs/>
              <w:color w:val="7030A0"/>
            </w:rPr>
            <w:t>☒</w:t>
          </w:r>
        </w:sdtContent>
      </w:sdt>
      <w:r w:rsidR="00236F87" w:rsidRPr="00F45255">
        <w:rPr>
          <w:bCs/>
        </w:rPr>
        <w:t>Patient-reported outc</w:t>
      </w:r>
      <w:r w:rsidR="00C613EB" w:rsidRPr="00F45255">
        <w:rPr>
          <w:bCs/>
        </w:rPr>
        <w:t>o</w:t>
      </w:r>
      <w:r w:rsidR="00236F87" w:rsidRPr="00F45255">
        <w:rPr>
          <w:bCs/>
        </w:rPr>
        <w:t>me</w:t>
      </w:r>
      <w:r w:rsidR="009C291F" w:rsidRPr="00F45255">
        <w:rPr>
          <w:bCs/>
        </w:rPr>
        <w:t xml:space="preserve"> (PRO)</w:t>
      </w:r>
      <w:r w:rsidR="00236F87" w:rsidRPr="00F45255">
        <w:rPr>
          <w:bCs/>
        </w:rPr>
        <w:t xml:space="preserve">: </w:t>
      </w:r>
      <w:sdt>
        <w:sdtPr>
          <w:rPr>
            <w:rStyle w:val="Style2"/>
            <w:rFonts w:cstheme="minorHAnsi"/>
          </w:rPr>
          <w:id w:val="528310131"/>
          <w:placeholder>
            <w:docPart w:val="E4EF985437FD4A86AEAA72B01C3EE4B9"/>
          </w:placeholder>
          <w:showingPlcHdr/>
        </w:sdtPr>
        <w:sdtEndPr>
          <w:rPr>
            <w:rStyle w:val="DefaultParagraphFont"/>
            <w:rFonts w:cstheme="minorBidi"/>
            <w:color w:val="auto"/>
            <w:u w:val="none"/>
          </w:rPr>
        </w:sdtEndPr>
        <w:sdtContent>
          <w:r w:rsidR="0087225C" w:rsidRPr="003B1CC5">
            <w:rPr>
              <w:color w:val="A6A6A6" w:themeColor="background1" w:themeShade="A6"/>
            </w:rPr>
            <w:t>Click here to n</w:t>
          </w:r>
          <w:r w:rsidR="0087225C" w:rsidRPr="003B1CC5">
            <w:rPr>
              <w:rStyle w:val="PlaceholderText"/>
              <w:rFonts w:cstheme="minorHAnsi"/>
              <w:color w:val="A6A6A6" w:themeColor="background1" w:themeShade="A6"/>
            </w:rPr>
            <w:t xml:space="preserve">ame the </w:t>
          </w:r>
          <w:r w:rsidR="0087225C">
            <w:rPr>
              <w:rStyle w:val="PlaceholderText"/>
              <w:rFonts w:cstheme="minorHAnsi"/>
              <w:color w:val="A6A6A6" w:themeColor="background1" w:themeShade="A6"/>
            </w:rPr>
            <w:t>PRO</w:t>
          </w:r>
        </w:sdtContent>
      </w:sdt>
    </w:p>
    <w:p w14:paraId="68E7FAE2" w14:textId="714EF508" w:rsidR="00B117D0" w:rsidRPr="004E1764" w:rsidRDefault="00B117D0" w:rsidP="005857F8">
      <w:pPr>
        <w:ind w:left="720" w:firstLine="0"/>
        <w:rPr>
          <w:rFonts w:eastAsia="MS Gothic" w:cs="MS Gothic"/>
          <w:bCs/>
          <w:i/>
          <w:color w:val="7030A0"/>
        </w:rPr>
      </w:pPr>
      <w:r w:rsidRPr="003B1CC5">
        <w:rPr>
          <w:bCs/>
          <w:i/>
        </w:rPr>
        <w:t>PRO</w:t>
      </w:r>
      <w:r w:rsidR="009C291F" w:rsidRPr="003B1CC5">
        <w:rPr>
          <w:bCs/>
          <w:i/>
        </w:rPr>
        <w:t xml:space="preserve">s include </w:t>
      </w:r>
      <w:proofErr w:type="spellStart"/>
      <w:r w:rsidR="005857F8" w:rsidRPr="003B1CC5">
        <w:rPr>
          <w:bCs/>
          <w:i/>
        </w:rPr>
        <w:t>HRQoL</w:t>
      </w:r>
      <w:proofErr w:type="spellEnd"/>
      <w:r w:rsidR="005857F8" w:rsidRPr="003B1CC5">
        <w:rPr>
          <w:bCs/>
          <w:i/>
        </w:rPr>
        <w:t>/functional status, symptom/</w:t>
      </w:r>
      <w:r w:rsidR="003008F4">
        <w:rPr>
          <w:bCs/>
          <w:i/>
        </w:rPr>
        <w:t xml:space="preserve">symptom </w:t>
      </w:r>
      <w:r w:rsidR="005857F8" w:rsidRPr="003B1CC5">
        <w:rPr>
          <w:bCs/>
          <w:i/>
        </w:rPr>
        <w:t>burden, experience with care, health-related behaviors</w:t>
      </w:r>
      <w:r w:rsidR="0061327A" w:rsidRPr="0061327A">
        <w:rPr>
          <w:bCs/>
          <w:i/>
        </w:rPr>
        <w:t>.</w:t>
      </w:r>
      <w:r w:rsidR="0061327A" w:rsidRPr="0061327A">
        <w:rPr>
          <w:rFonts w:eastAsia="Calibri" w:cs="Calibri"/>
          <w:sz w:val="20"/>
          <w:szCs w:val="20"/>
        </w:rPr>
        <w:t xml:space="preserve"> </w:t>
      </w:r>
      <w:r w:rsidR="0061327A" w:rsidRPr="0061327A">
        <w:rPr>
          <w:rFonts w:eastAsia="Calibri" w:cs="Calibri"/>
        </w:rPr>
        <w:t>(</w:t>
      </w:r>
      <w:r w:rsidR="0061327A" w:rsidRPr="0061327A">
        <w:rPr>
          <w:rFonts w:eastAsia="Calibri" w:cs="Calibri"/>
          <w:i/>
        </w:rPr>
        <w:t>A PRO</w:t>
      </w:r>
      <w:r w:rsidR="00E42FAA">
        <w:rPr>
          <w:rFonts w:eastAsia="Calibri" w:cs="Calibri"/>
          <w:i/>
        </w:rPr>
        <w:t>-based performance</w:t>
      </w:r>
      <w:r w:rsidR="0061327A" w:rsidRPr="0061327A">
        <w:rPr>
          <w:rFonts w:eastAsia="Calibri" w:cs="Calibri"/>
          <w:i/>
        </w:rPr>
        <w:t xml:space="preserve"> measure is not a survey instrument. Data may be collected using a survey instrument to construct a PRO measure.)</w:t>
      </w:r>
    </w:p>
    <w:p w14:paraId="2690AA9C" w14:textId="4CA1FFA2" w:rsidR="00496AF8" w:rsidRPr="003B1CC5" w:rsidRDefault="00194926" w:rsidP="008F7BDD">
      <w:pPr>
        <w:ind w:left="720" w:hanging="432"/>
        <w:rPr>
          <w:bCs/>
        </w:rPr>
      </w:pPr>
      <w:sdt>
        <w:sdtPr>
          <w:rPr>
            <w:color w:val="7030A0"/>
          </w:rPr>
          <w:id w:val="1309518776"/>
          <w14:checkbox>
            <w14:checked w14:val="1"/>
            <w14:checkedState w14:val="2612" w14:font="MS Gothic"/>
            <w14:uncheckedState w14:val="2610" w14:font="MS Gothic"/>
          </w14:checkbox>
        </w:sdtPr>
        <w:sdtEndPr/>
        <w:sdtContent>
          <w:r w:rsidR="004717EA" w:rsidRPr="004E1764">
            <w:rPr>
              <w:rFonts w:ascii="MS Gothic" w:eastAsia="MS Gothic" w:hAnsi="MS Gothic" w:hint="eastAsia"/>
              <w:color w:val="7030A0"/>
            </w:rPr>
            <w:t>☒</w:t>
          </w:r>
        </w:sdtContent>
      </w:sdt>
      <w:r w:rsidR="0015535B" w:rsidRPr="008F7BDD">
        <w:t xml:space="preserve"> </w:t>
      </w:r>
      <w:r w:rsidR="00E41417" w:rsidRPr="003B1CC5">
        <w:rPr>
          <w:bCs/>
        </w:rPr>
        <w:t>I</w:t>
      </w:r>
      <w:r w:rsidR="00496AF8" w:rsidRPr="003B1CC5">
        <w:rPr>
          <w:bCs/>
        </w:rPr>
        <w:t>ntermediate clinical outcome</w:t>
      </w:r>
      <w:r w:rsidR="00851466" w:rsidRPr="003B1CC5">
        <w:rPr>
          <w:bCs/>
        </w:rPr>
        <w:t xml:space="preserve"> (</w:t>
      </w:r>
      <w:r w:rsidR="00851466" w:rsidRPr="003B1CC5">
        <w:rPr>
          <w:bCs/>
          <w:i/>
        </w:rPr>
        <w:t>e.g., lab value</w:t>
      </w:r>
      <w:r w:rsidR="00851466" w:rsidRPr="003B1CC5">
        <w:rPr>
          <w:bCs/>
        </w:rPr>
        <w:t>)</w:t>
      </w:r>
      <w:r w:rsidR="00496AF8" w:rsidRPr="003B1CC5">
        <w:rPr>
          <w:bCs/>
        </w:rPr>
        <w:t>:</w:t>
      </w:r>
      <w:r w:rsidR="004E0AA8">
        <w:rPr>
          <w:bCs/>
        </w:rPr>
        <w:t xml:space="preserve"> </w:t>
      </w:r>
      <w:sdt>
        <w:sdtPr>
          <w:rPr>
            <w:rStyle w:val="Style2"/>
            <w:rFonts w:cstheme="minorHAnsi"/>
          </w:rPr>
          <w:id w:val="322628782"/>
          <w:placeholder>
            <w:docPart w:val="57C08B7D662F46EEA59620708A37ADE0"/>
          </w:placeholder>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the intermediate outcome</w:t>
          </w:r>
        </w:sdtContent>
      </w:sdt>
    </w:p>
    <w:p w14:paraId="16EDFBD7" w14:textId="01ACB9E6" w:rsidR="00496AF8" w:rsidRPr="003B1CC5" w:rsidRDefault="00194926" w:rsidP="00015986">
      <w:pPr>
        <w:ind w:left="432" w:hanging="432"/>
        <w:rPr>
          <w:bCs/>
        </w:rPr>
      </w:pPr>
      <w:sdt>
        <w:sdtPr>
          <w:rPr>
            <w:bCs/>
            <w:color w:val="7030A0"/>
          </w:rPr>
          <w:id w:val="-1535727686"/>
          <w14:checkbox>
            <w14:checked w14:val="0"/>
            <w14:checkedState w14:val="2612" w14:font="MS Gothic"/>
            <w14:uncheckedState w14:val="2610" w14:font="MS Gothic"/>
          </w14:checkbox>
        </w:sdtPr>
        <w:sdtEndPr/>
        <w:sdtContent>
          <w:r w:rsidR="0015535B" w:rsidRPr="004E1764">
            <w:rPr>
              <w:rFonts w:ascii="MS Gothic" w:eastAsia="MS Gothic" w:hAnsi="MS Gothic" w:cs="MS Gothic" w:hint="eastAsia"/>
              <w:bCs/>
              <w:color w:val="7030A0"/>
            </w:rPr>
            <w:t>☐</w:t>
          </w:r>
        </w:sdtContent>
      </w:sdt>
      <w:r w:rsidR="0015535B" w:rsidRPr="003B1CC5">
        <w:rPr>
          <w:bCs/>
        </w:rPr>
        <w:t xml:space="preserve"> </w:t>
      </w:r>
      <w:r w:rsidR="00E41417" w:rsidRPr="003B1CC5">
        <w:rPr>
          <w:bCs/>
        </w:rPr>
        <w:t>P</w:t>
      </w:r>
      <w:r w:rsidR="00496AF8" w:rsidRPr="003B1CC5">
        <w:rPr>
          <w:bCs/>
        </w:rPr>
        <w:t>rocess:</w:t>
      </w:r>
      <w:r w:rsidR="004E0AA8">
        <w:rPr>
          <w:bCs/>
        </w:rPr>
        <w:t xml:space="preserve"> </w:t>
      </w:r>
      <w:sdt>
        <w:sdtPr>
          <w:rPr>
            <w:rStyle w:val="Style2"/>
            <w:rFonts w:cstheme="minorHAnsi"/>
          </w:rPr>
          <w:id w:val="-247648753"/>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 xml:space="preserve">Click here to name </w:t>
          </w:r>
          <w:r w:rsidR="00D73685" w:rsidRPr="003B1CC5">
            <w:rPr>
              <w:rStyle w:val="PlaceholderText"/>
              <w:rFonts w:cstheme="minorHAnsi"/>
              <w:color w:val="A6A6A6" w:themeColor="background1" w:themeShade="A6"/>
            </w:rPr>
            <w:t>what is being measured</w:t>
          </w:r>
        </w:sdtContent>
      </w:sdt>
    </w:p>
    <w:p w14:paraId="4DB94937" w14:textId="496BD9E7" w:rsidR="00496AF8" w:rsidRPr="004E1764" w:rsidRDefault="00194926" w:rsidP="004717EA">
      <w:pPr>
        <w:ind w:left="720" w:hanging="432"/>
        <w:rPr>
          <w:rFonts w:ascii="MS Gothic" w:eastAsia="MS Gothic" w:hAnsi="MS Gothic"/>
          <w:b/>
          <w:bCs/>
          <w:color w:val="7030A0"/>
        </w:rPr>
      </w:pPr>
      <w:sdt>
        <w:sdtPr>
          <w:rPr>
            <w:rFonts w:ascii="MS Gothic" w:eastAsia="MS Gothic" w:hAnsi="MS Gothic"/>
            <w:bCs/>
            <w:color w:val="7030A0"/>
          </w:rPr>
          <w:id w:val="1303807965"/>
          <w14:checkbox>
            <w14:checked w14:val="0"/>
            <w14:checkedState w14:val="2612" w14:font="MS Gothic"/>
            <w14:uncheckedState w14:val="2610" w14:font="MS Gothic"/>
          </w14:checkbox>
        </w:sdtPr>
        <w:sdtEndPr/>
        <w:sdtContent>
          <w:r w:rsidR="00D73685" w:rsidRPr="004E1764">
            <w:rPr>
              <w:rFonts w:ascii="MS Gothic" w:eastAsia="MS Gothic" w:hAnsi="MS Gothic" w:hint="eastAsia"/>
              <w:bCs/>
              <w:color w:val="7030A0"/>
            </w:rPr>
            <w:t>☐</w:t>
          </w:r>
        </w:sdtContent>
      </w:sdt>
      <w:r w:rsidR="00D73685" w:rsidRPr="004E1764">
        <w:rPr>
          <w:rFonts w:ascii="MS Gothic" w:eastAsia="MS Gothic" w:hAnsi="MS Gothic"/>
          <w:bCs/>
          <w:color w:val="7030A0"/>
        </w:rPr>
        <w:t xml:space="preserve"> </w:t>
      </w:r>
      <w:r w:rsidR="00D73685" w:rsidRPr="004E7215">
        <w:rPr>
          <w:rFonts w:eastAsia="MS Gothic"/>
          <w:bCs/>
        </w:rPr>
        <w:t>Appropriate use measure</w:t>
      </w:r>
      <w:r w:rsidR="00D73685">
        <w:rPr>
          <w:rFonts w:eastAsia="MS Gothic"/>
          <w:bCs/>
        </w:rPr>
        <w:t>:</w:t>
      </w:r>
      <w:r w:rsidR="00496AF8" w:rsidRPr="00D73685">
        <w:rPr>
          <w:bCs/>
        </w:rPr>
        <w:t xml:space="preserve"> </w:t>
      </w:r>
      <w:sdt>
        <w:sdtPr>
          <w:rPr>
            <w:rStyle w:val="Style2"/>
            <w:rFonts w:cstheme="minorHAnsi"/>
          </w:rPr>
          <w:id w:val="-2123911889"/>
          <w:showingPlcHdr/>
        </w:sdtPr>
        <w:sdtEndPr>
          <w:rPr>
            <w:rStyle w:val="DefaultParagraphFont"/>
            <w:rFonts w:cstheme="minorBidi"/>
            <w:bCs/>
            <w:color w:val="auto"/>
            <w:u w:val="none"/>
          </w:rPr>
        </w:sdtEndPr>
        <w:sdtContent>
          <w:r w:rsidR="00D73685" w:rsidRPr="003B1CC5">
            <w:rPr>
              <w:rStyle w:val="PlaceholderText"/>
              <w:rFonts w:cstheme="minorHAnsi"/>
              <w:color w:val="A6A6A6" w:themeColor="background1" w:themeShade="A6"/>
            </w:rPr>
            <w:t>Click here to name what is being measured</w:t>
          </w:r>
        </w:sdtContent>
      </w:sdt>
      <w:r w:rsidR="00D73685" w:rsidRPr="004E1764">
        <w:rPr>
          <w:rStyle w:val="Style2"/>
          <w:rFonts w:cstheme="minorHAnsi"/>
          <w:color w:val="7030A0"/>
        </w:rPr>
        <w:t xml:space="preserve"> </w:t>
      </w:r>
    </w:p>
    <w:p w14:paraId="42E3206D" w14:textId="54C846FB" w:rsidR="00496AF8" w:rsidRPr="003B1CC5" w:rsidRDefault="00194926" w:rsidP="00015986">
      <w:pPr>
        <w:ind w:left="432" w:hanging="432"/>
        <w:rPr>
          <w:bCs/>
        </w:rPr>
      </w:pPr>
      <w:sdt>
        <w:sdtPr>
          <w:rPr>
            <w:bCs/>
            <w:color w:val="7030A0"/>
          </w:rPr>
          <w:id w:val="1676770628"/>
          <w14:checkbox>
            <w14:checked w14:val="0"/>
            <w14:checkedState w14:val="2612" w14:font="MS Gothic"/>
            <w14:uncheckedState w14:val="2610" w14:font="MS Gothic"/>
          </w14:checkbox>
        </w:sdtPr>
        <w:sdtEndPr/>
        <w:sdtContent>
          <w:r w:rsidR="0015535B" w:rsidRPr="004E1764">
            <w:rPr>
              <w:rFonts w:ascii="MS Gothic" w:eastAsia="MS Gothic" w:hAnsi="MS Gothic" w:cs="MS Gothic" w:hint="eastAsia"/>
              <w:bCs/>
              <w:color w:val="7030A0"/>
            </w:rPr>
            <w:t>☐</w:t>
          </w:r>
        </w:sdtContent>
      </w:sdt>
      <w:r w:rsidR="0015535B" w:rsidRPr="003B1CC5">
        <w:rPr>
          <w:bCs/>
        </w:rPr>
        <w:t xml:space="preserve"> </w:t>
      </w:r>
      <w:r w:rsidR="00E41417" w:rsidRPr="003B1CC5">
        <w:rPr>
          <w:bCs/>
        </w:rPr>
        <w:t>S</w:t>
      </w:r>
      <w:r w:rsidR="00496AF8" w:rsidRPr="003B1CC5">
        <w:rPr>
          <w:bCs/>
        </w:rPr>
        <w:t>tructure:</w:t>
      </w:r>
      <w:r w:rsidR="004E0AA8">
        <w:rPr>
          <w:bCs/>
        </w:rPr>
        <w:t xml:space="preserve"> </w:t>
      </w:r>
      <w:sdt>
        <w:sdtPr>
          <w:rPr>
            <w:rStyle w:val="Style2"/>
            <w:rFonts w:cstheme="minorHAnsi"/>
          </w:rPr>
          <w:id w:val="399486169"/>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the structure</w:t>
          </w:r>
        </w:sdtContent>
      </w:sdt>
    </w:p>
    <w:p w14:paraId="1E5FCDB7" w14:textId="21E87E1F" w:rsidR="00496AF8" w:rsidRPr="003B1CC5" w:rsidRDefault="00194926" w:rsidP="00015304">
      <w:pPr>
        <w:ind w:left="432" w:hanging="432"/>
        <w:rPr>
          <w:bCs/>
        </w:rPr>
      </w:pPr>
      <w:sdt>
        <w:sdtPr>
          <w:rPr>
            <w:bCs/>
            <w:color w:val="7030A0"/>
          </w:rPr>
          <w:id w:val="1719405626"/>
          <w14:checkbox>
            <w14:checked w14:val="0"/>
            <w14:checkedState w14:val="2612" w14:font="MS Gothic"/>
            <w14:uncheckedState w14:val="2610" w14:font="MS Gothic"/>
          </w14:checkbox>
        </w:sdtPr>
        <w:sdtEndPr/>
        <w:sdtContent>
          <w:r w:rsidR="0015535B" w:rsidRPr="004E1764">
            <w:rPr>
              <w:rFonts w:ascii="MS Gothic" w:eastAsia="MS Gothic" w:hAnsi="MS Gothic" w:cs="MS Gothic" w:hint="eastAsia"/>
              <w:bCs/>
              <w:color w:val="7030A0"/>
            </w:rPr>
            <w:t>☐</w:t>
          </w:r>
        </w:sdtContent>
      </w:sdt>
      <w:r w:rsidR="0015535B" w:rsidRPr="003B1CC5">
        <w:rPr>
          <w:bCs/>
        </w:rPr>
        <w:t xml:space="preserve"> </w:t>
      </w:r>
      <w:r w:rsidR="00D73685">
        <w:rPr>
          <w:bCs/>
        </w:rPr>
        <w:t>Composite</w:t>
      </w:r>
      <w:r w:rsidR="00496AF8" w:rsidRPr="003B1CC5">
        <w:rPr>
          <w:bCs/>
        </w:rPr>
        <w:t>:</w:t>
      </w:r>
      <w:r w:rsidR="004E0AA8">
        <w:rPr>
          <w:bCs/>
        </w:rPr>
        <w:t xml:space="preserve"> </w:t>
      </w:r>
      <w:sdt>
        <w:sdtPr>
          <w:rPr>
            <w:rStyle w:val="Style2"/>
            <w:rFonts w:cstheme="minorHAnsi"/>
          </w:rPr>
          <w:id w:val="949512032"/>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what is being measured</w:t>
          </w:r>
        </w:sdtContent>
      </w:sdt>
    </w:p>
    <w:p w14:paraId="592E5B9A" w14:textId="09F4682F" w:rsidR="000634BC" w:rsidRDefault="00676BD4" w:rsidP="00B74EB5">
      <w:pPr>
        <w:pStyle w:val="question"/>
      </w:pPr>
      <w:r w:rsidRPr="004E1764">
        <w:rPr>
          <w:b/>
          <w:bCs/>
          <w:color w:val="7030A0"/>
        </w:rPr>
        <w:t>1a.</w:t>
      </w:r>
      <w:r w:rsidR="00C41794" w:rsidRPr="004E1764">
        <w:rPr>
          <w:b/>
          <w:bCs/>
          <w:color w:val="7030A0"/>
        </w:rPr>
        <w:t>2</w:t>
      </w:r>
      <w:r w:rsidR="002B06BD" w:rsidRPr="00C25F1B">
        <w:rPr>
          <w:bCs/>
        </w:rPr>
        <w:t xml:space="preserve"> </w:t>
      </w:r>
      <w:r w:rsidR="009F695D" w:rsidRPr="00C25F1B">
        <w:rPr>
          <w:bCs/>
        </w:rPr>
        <w:tab/>
      </w:r>
      <w:r w:rsidRPr="00C25F1B">
        <w:rPr>
          <w:b/>
          <w:bCs/>
        </w:rPr>
        <w:t>LOGIC MODEL</w:t>
      </w:r>
      <w:r w:rsidRPr="00C25F1B">
        <w:rPr>
          <w:bCs/>
        </w:rPr>
        <w:t xml:space="preserve"> </w:t>
      </w:r>
      <w:r w:rsidR="008F7BDD" w:rsidRPr="00C25F1B">
        <w:t>Diagram or briefly describe the steps between the healthcare structures and processes (e.g., interventions, or services) and the patient’s health outcome(s). The relationships in the diagram should be easily understood by general, non-technical audiences. Indicate the structure, process or outcome being measured.</w:t>
      </w:r>
      <w:r w:rsidR="00B74EB5">
        <w:br/>
      </w:r>
    </w:p>
    <w:p w14:paraId="6F1D0B9B" w14:textId="033064E8" w:rsidR="005F72D5" w:rsidRPr="004E1764" w:rsidRDefault="005F72D5" w:rsidP="004717EA">
      <w:pPr>
        <w:ind w:left="540" w:firstLine="0"/>
        <w:jc w:val="both"/>
        <w:rPr>
          <w:b/>
          <w:bCs/>
          <w:color w:val="7030A0"/>
        </w:rPr>
      </w:pPr>
      <w:r w:rsidRPr="004E1764">
        <w:rPr>
          <w:b/>
          <w:bCs/>
          <w:color w:val="7030A0"/>
        </w:rPr>
        <w:t>Outcomes and corollary outcomes</w:t>
      </w:r>
    </w:p>
    <w:p w14:paraId="4503CEDA" w14:textId="4A81658C" w:rsidR="005F72D5" w:rsidRPr="004E1764" w:rsidRDefault="005F72D5" w:rsidP="004717EA">
      <w:pPr>
        <w:ind w:left="540" w:firstLine="0"/>
        <w:rPr>
          <w:color w:val="7030A0"/>
        </w:rPr>
      </w:pPr>
      <w:r w:rsidRPr="004E1764">
        <w:rPr>
          <w:rStyle w:val="Style1"/>
          <w:color w:val="7030A0"/>
        </w:rPr>
        <w:t xml:space="preserve">This outcome-based quality measure reports the percentage of </w:t>
      </w:r>
      <w:r w:rsidR="00D332BA" w:rsidRPr="004E1764">
        <w:rPr>
          <w:rStyle w:val="Style1"/>
          <w:color w:val="7030A0"/>
        </w:rPr>
        <w:t>long-stay n</w:t>
      </w:r>
      <w:r w:rsidRPr="004E1764">
        <w:rPr>
          <w:rStyle w:val="Style1"/>
          <w:color w:val="7030A0"/>
        </w:rPr>
        <w:t xml:space="preserve">ursing </w:t>
      </w:r>
      <w:r w:rsidR="00D332BA" w:rsidRPr="004E1764">
        <w:rPr>
          <w:rStyle w:val="Style1"/>
          <w:color w:val="7030A0"/>
        </w:rPr>
        <w:t>h</w:t>
      </w:r>
      <w:r w:rsidRPr="004E1764">
        <w:rPr>
          <w:rStyle w:val="Style1"/>
          <w:color w:val="7030A0"/>
        </w:rPr>
        <w:t xml:space="preserve">ome residents </w:t>
      </w:r>
      <w:r w:rsidR="00D332BA" w:rsidRPr="004E1764">
        <w:rPr>
          <w:rStyle w:val="Style1"/>
          <w:color w:val="7030A0"/>
        </w:rPr>
        <w:t xml:space="preserve">who have had </w:t>
      </w:r>
      <w:r w:rsidRPr="004E1764">
        <w:rPr>
          <w:rStyle w:val="Style1"/>
          <w:color w:val="7030A0"/>
        </w:rPr>
        <w:t xml:space="preserve">a catheter inserted and left in their bladder. </w:t>
      </w:r>
      <w:r w:rsidR="00700A1B" w:rsidRPr="004E1764">
        <w:rPr>
          <w:rStyle w:val="Style1"/>
          <w:color w:val="7030A0"/>
        </w:rPr>
        <w:t>C</w:t>
      </w:r>
      <w:r w:rsidR="00B202CD" w:rsidRPr="004E1764">
        <w:rPr>
          <w:rStyle w:val="Style1"/>
          <w:color w:val="7030A0"/>
        </w:rPr>
        <w:t>atheter</w:t>
      </w:r>
      <w:r w:rsidRPr="004E1764">
        <w:rPr>
          <w:color w:val="7030A0"/>
        </w:rPr>
        <w:t xml:space="preserve"> use is important to address because of </w:t>
      </w:r>
      <w:r w:rsidR="00B202CD" w:rsidRPr="004E1764">
        <w:rPr>
          <w:color w:val="7030A0"/>
        </w:rPr>
        <w:t>its</w:t>
      </w:r>
      <w:r w:rsidRPr="004E1764">
        <w:rPr>
          <w:color w:val="7030A0"/>
        </w:rPr>
        <w:t xml:space="preserve"> impact on </w:t>
      </w:r>
      <w:r w:rsidR="002320CC" w:rsidRPr="004E1764">
        <w:rPr>
          <w:color w:val="7030A0"/>
        </w:rPr>
        <w:t>functioning</w:t>
      </w:r>
      <w:r w:rsidR="002A5BDB" w:rsidRPr="004E1764">
        <w:rPr>
          <w:color w:val="7030A0"/>
        </w:rPr>
        <w:t xml:space="preserve"> and</w:t>
      </w:r>
      <w:r w:rsidR="00147300" w:rsidRPr="004E1764">
        <w:rPr>
          <w:color w:val="7030A0"/>
        </w:rPr>
        <w:t xml:space="preserve"> </w:t>
      </w:r>
      <w:r w:rsidR="002A5BDB" w:rsidRPr="004E1764">
        <w:rPr>
          <w:color w:val="7030A0"/>
        </w:rPr>
        <w:t>activities of daily living</w:t>
      </w:r>
      <w:r w:rsidR="00147300" w:rsidRPr="004E1764">
        <w:rPr>
          <w:color w:val="7030A0"/>
        </w:rPr>
        <w:t xml:space="preserve"> (ADL) as well as overall quality of life,</w:t>
      </w:r>
      <w:r w:rsidR="002320CC" w:rsidRPr="004E1764">
        <w:rPr>
          <w:color w:val="7030A0"/>
        </w:rPr>
        <w:t xml:space="preserve"> </w:t>
      </w:r>
      <w:r w:rsidRPr="004E1764">
        <w:rPr>
          <w:color w:val="7030A0"/>
        </w:rPr>
        <w:t>and</w:t>
      </w:r>
      <w:r w:rsidR="00806DBC" w:rsidRPr="004E1764">
        <w:rPr>
          <w:color w:val="7030A0"/>
        </w:rPr>
        <w:t xml:space="preserve"> other adverse health outcomes associated with use of catheter.</w:t>
      </w:r>
      <w:r w:rsidR="004E0AA8" w:rsidRPr="004E1764">
        <w:rPr>
          <w:color w:val="7030A0"/>
        </w:rPr>
        <w:t xml:space="preserve"> </w:t>
      </w:r>
      <w:r w:rsidR="00957132" w:rsidRPr="004E1764">
        <w:rPr>
          <w:color w:val="7030A0"/>
        </w:rPr>
        <w:t>Catheter use could</w:t>
      </w:r>
      <w:r w:rsidRPr="004E1764">
        <w:rPr>
          <w:color w:val="7030A0"/>
        </w:rPr>
        <w:t xml:space="preserve"> lead t</w:t>
      </w:r>
      <w:r w:rsidR="00A72207" w:rsidRPr="004E1764">
        <w:rPr>
          <w:color w:val="7030A0"/>
        </w:rPr>
        <w:t xml:space="preserve">o </w:t>
      </w:r>
      <w:r w:rsidR="00700A1B" w:rsidRPr="004E1764">
        <w:rPr>
          <w:color w:val="7030A0"/>
        </w:rPr>
        <w:t xml:space="preserve">other </w:t>
      </w:r>
      <w:r w:rsidR="00A72207" w:rsidRPr="004E1764">
        <w:rPr>
          <w:color w:val="7030A0"/>
        </w:rPr>
        <w:t>serious</w:t>
      </w:r>
      <w:r w:rsidRPr="004E1764">
        <w:rPr>
          <w:color w:val="7030A0"/>
        </w:rPr>
        <w:t xml:space="preserve"> corollary </w:t>
      </w:r>
      <w:r w:rsidR="00535308" w:rsidRPr="004E1764">
        <w:rPr>
          <w:color w:val="7030A0"/>
        </w:rPr>
        <w:t xml:space="preserve">health </w:t>
      </w:r>
      <w:r w:rsidRPr="004E1764">
        <w:rPr>
          <w:color w:val="7030A0"/>
        </w:rPr>
        <w:t>outcomes</w:t>
      </w:r>
      <w:r w:rsidR="00535308" w:rsidRPr="004E1764">
        <w:rPr>
          <w:color w:val="7030A0"/>
        </w:rPr>
        <w:t>,</w:t>
      </w:r>
      <w:r w:rsidRPr="004E1764">
        <w:rPr>
          <w:color w:val="7030A0"/>
        </w:rPr>
        <w:t xml:space="preserve"> </w:t>
      </w:r>
      <w:r w:rsidR="00535308" w:rsidRPr="004E1764">
        <w:rPr>
          <w:color w:val="7030A0"/>
        </w:rPr>
        <w:t xml:space="preserve">such as a higher incidence of urinary tract infections (UTI), </w:t>
      </w:r>
      <w:r w:rsidRPr="004E1764">
        <w:rPr>
          <w:color w:val="7030A0"/>
        </w:rPr>
        <w:t xml:space="preserve">and </w:t>
      </w:r>
      <w:r w:rsidR="00147300" w:rsidRPr="004E1764">
        <w:rPr>
          <w:color w:val="7030A0"/>
        </w:rPr>
        <w:t xml:space="preserve">genitourinary </w:t>
      </w:r>
      <w:r w:rsidRPr="004E1764">
        <w:rPr>
          <w:color w:val="7030A0"/>
        </w:rPr>
        <w:t>complications</w:t>
      </w:r>
      <w:r w:rsidR="00535308" w:rsidRPr="004E1764">
        <w:rPr>
          <w:color w:val="7030A0"/>
        </w:rPr>
        <w:t>, including</w:t>
      </w:r>
      <w:r w:rsidRPr="004E1764">
        <w:rPr>
          <w:color w:val="7030A0"/>
        </w:rPr>
        <w:t xml:space="preserve"> </w:t>
      </w:r>
      <w:r w:rsidR="00A72207" w:rsidRPr="004E1764">
        <w:rPr>
          <w:color w:val="7030A0"/>
        </w:rPr>
        <w:t>risk of urethral strictures</w:t>
      </w:r>
      <w:r w:rsidR="00B202CD" w:rsidRPr="004E1764">
        <w:rPr>
          <w:color w:val="7030A0"/>
        </w:rPr>
        <w:t xml:space="preserve"> and risk of urine leakage</w:t>
      </w:r>
      <w:r w:rsidR="004764C2" w:rsidRPr="004E1764">
        <w:rPr>
          <w:color w:val="7030A0"/>
        </w:rPr>
        <w:t xml:space="preserve"> (Hollingsworth et al., 2013)</w:t>
      </w:r>
      <w:r w:rsidR="00B202CD" w:rsidRPr="004E1764">
        <w:rPr>
          <w:color w:val="7030A0"/>
        </w:rPr>
        <w:t xml:space="preserve">. </w:t>
      </w:r>
    </w:p>
    <w:p w14:paraId="1BC3E3B8" w14:textId="77777777" w:rsidR="005F72D5" w:rsidRPr="004E1764" w:rsidRDefault="005F72D5" w:rsidP="004717EA">
      <w:pPr>
        <w:ind w:left="540" w:firstLine="0"/>
        <w:rPr>
          <w:rStyle w:val="Style1"/>
          <w:color w:val="7030A0"/>
        </w:rPr>
      </w:pPr>
    </w:p>
    <w:p w14:paraId="48532A9A" w14:textId="218C3C90" w:rsidR="005F72D5" w:rsidRPr="004E1764" w:rsidRDefault="005F72D5" w:rsidP="004717EA">
      <w:pPr>
        <w:ind w:left="540" w:firstLine="0"/>
        <w:rPr>
          <w:rStyle w:val="Style1"/>
          <w:color w:val="7030A0"/>
        </w:rPr>
      </w:pPr>
      <w:r w:rsidRPr="00967A7F">
        <w:rPr>
          <w:rStyle w:val="Style1"/>
          <w:color w:val="C00000"/>
        </w:rPr>
        <w:t xml:space="preserve">A study by Hu et al. (2014) explored the use of urinary catheters among hospitalized older adults (age 65 and older), finding that more than half (52.8%) of the urinary-catheter days observed in the study were “inappropriate” for hospitalized seniors. The most common population to experience unnecessary catheterization was women, and the primary reason cited was “convenience of care.” Inappropriate catheter use was associated with corollary outcomes of longer hospital stays, increased rate of catheterization at the time of discharge, higher incidence of UTI, and decrease in ADL function. Furthermore, this study has important implications for nursing homes, since the increased rate of </w:t>
      </w:r>
      <w:proofErr w:type="spellStart"/>
      <w:r w:rsidRPr="00967A7F">
        <w:rPr>
          <w:rStyle w:val="Style1"/>
          <w:color w:val="C00000"/>
        </w:rPr>
        <w:t>catherization</w:t>
      </w:r>
      <w:proofErr w:type="spellEnd"/>
      <w:r w:rsidRPr="00967A7F">
        <w:rPr>
          <w:rStyle w:val="Style1"/>
          <w:color w:val="C00000"/>
        </w:rPr>
        <w:t xml:space="preserve"> at hospital discharge translates to more catheterized nursing home residents, which increases their risk for infection (Hu et al., 2014). </w:t>
      </w:r>
    </w:p>
    <w:p w14:paraId="7E18D5B2" w14:textId="77777777" w:rsidR="005F72D5" w:rsidRPr="004E1764" w:rsidRDefault="005F72D5" w:rsidP="004717EA">
      <w:pPr>
        <w:ind w:left="540" w:firstLine="0"/>
        <w:rPr>
          <w:rStyle w:val="Style1"/>
          <w:color w:val="7030A0"/>
        </w:rPr>
      </w:pPr>
    </w:p>
    <w:p w14:paraId="76EAF59A" w14:textId="5E29F4AA" w:rsidR="005F72D5" w:rsidRPr="004E1764" w:rsidRDefault="005F72D5" w:rsidP="004717EA">
      <w:pPr>
        <w:ind w:left="540" w:firstLine="0"/>
        <w:rPr>
          <w:rStyle w:val="Style1"/>
          <w:color w:val="7030A0"/>
        </w:rPr>
      </w:pPr>
      <w:r w:rsidRPr="004E1764">
        <w:rPr>
          <w:rStyle w:val="Style1"/>
          <w:color w:val="7030A0"/>
        </w:rPr>
        <w:t>Decreasing the rate of indwelling catheterization so it is used only when appropriate is important because adverse corollary outcomes go beyond the increased incidence of infection. Hollingsworth et al. (2013) identified additional corollary outcomes of indwelling catheterization. In a meta-analysis of 37 studies involving 2,868 adults, the authors found increased risk of urine leakage in both short</w:t>
      </w:r>
      <w:r w:rsidR="00957132" w:rsidRPr="004E1764">
        <w:rPr>
          <w:rStyle w:val="Style1"/>
          <w:color w:val="7030A0"/>
        </w:rPr>
        <w:t>-</w:t>
      </w:r>
      <w:r w:rsidRPr="004E1764">
        <w:rPr>
          <w:rStyle w:val="Style1"/>
          <w:color w:val="7030A0"/>
        </w:rPr>
        <w:t xml:space="preserve"> (10.6%) and long-term (52.1%) catheterization. The authors also identified a high risk of urethral strictures (3.4%) among individuals with short-term catheters. Among </w:t>
      </w:r>
      <w:r w:rsidRPr="004E1764">
        <w:rPr>
          <w:rStyle w:val="Style1"/>
          <w:color w:val="7030A0"/>
        </w:rPr>
        <w:lastRenderedPageBreak/>
        <w:t>individuals with spinal cord injuries, gross hematuria (13.5%) and bladder cancer (1.0%) were associated with indwelling catheter use. The authors conclude that these findings demonstrate that these other conditions are as prevalent as UTI. Although this meta-analysis includes a range of patient types, not limited only to nursing home residents, the findings show that limiting catheter use may be important for preventing a host of serious health issues (Hollingsworth et al., 2013).</w:t>
      </w:r>
      <w:r w:rsidR="004E0AA8" w:rsidRPr="004E1764">
        <w:rPr>
          <w:rStyle w:val="Style1"/>
          <w:color w:val="7030A0"/>
        </w:rPr>
        <w:t xml:space="preserve"> </w:t>
      </w:r>
    </w:p>
    <w:p w14:paraId="08B10E7E" w14:textId="77777777" w:rsidR="00FD56F6" w:rsidRPr="004E1764" w:rsidRDefault="00FD56F6" w:rsidP="004717EA">
      <w:pPr>
        <w:ind w:left="540" w:firstLine="0"/>
        <w:rPr>
          <w:rStyle w:val="Style1"/>
          <w:color w:val="7030A0"/>
        </w:rPr>
      </w:pPr>
    </w:p>
    <w:p w14:paraId="061B1F57" w14:textId="051F6F1E" w:rsidR="00957132" w:rsidRPr="004E1764" w:rsidRDefault="00957132" w:rsidP="004717EA">
      <w:pPr>
        <w:ind w:left="540" w:firstLine="0"/>
        <w:rPr>
          <w:rStyle w:val="Style1"/>
          <w:color w:val="7030A0"/>
        </w:rPr>
      </w:pPr>
      <w:r w:rsidRPr="004E1764">
        <w:rPr>
          <w:rStyle w:val="Style1"/>
          <w:color w:val="7030A0"/>
        </w:rPr>
        <w:t>The structural characteristics of nursing homes and the process of care delivered in nursing homes have been shown</w:t>
      </w:r>
      <w:r w:rsidR="003169EF" w:rsidRPr="004E1764">
        <w:rPr>
          <w:rStyle w:val="Style1"/>
          <w:color w:val="7030A0"/>
        </w:rPr>
        <w:t xml:space="preserve"> to be</w:t>
      </w:r>
      <w:r w:rsidRPr="004E1764">
        <w:rPr>
          <w:rStyle w:val="Style1"/>
          <w:color w:val="7030A0"/>
        </w:rPr>
        <w:t xml:space="preserve"> related to the use of catheter among their residents</w:t>
      </w:r>
      <w:r w:rsidR="00B42742" w:rsidRPr="004E1764">
        <w:rPr>
          <w:rStyle w:val="Style1"/>
          <w:color w:val="7030A0"/>
        </w:rPr>
        <w:t xml:space="preserve">, or more generally associated with quality of care that impacts health outcomes of residents </w:t>
      </w:r>
      <w:r w:rsidRPr="004E1764">
        <w:rPr>
          <w:rStyle w:val="Style1"/>
          <w:color w:val="7030A0"/>
        </w:rPr>
        <w:t xml:space="preserve">(Castle &amp; Anderson, 2011; </w:t>
      </w:r>
      <w:proofErr w:type="spellStart"/>
      <w:r w:rsidRPr="004E1764">
        <w:rPr>
          <w:rStyle w:val="Style1"/>
          <w:color w:val="7030A0"/>
        </w:rPr>
        <w:t>Hyer</w:t>
      </w:r>
      <w:proofErr w:type="spellEnd"/>
      <w:r w:rsidR="00EB6063" w:rsidRPr="004E1764">
        <w:rPr>
          <w:rStyle w:val="Style1"/>
          <w:color w:val="7030A0"/>
        </w:rPr>
        <w:t xml:space="preserve"> et al.</w:t>
      </w:r>
      <w:r w:rsidRPr="004E1764">
        <w:rPr>
          <w:rStyle w:val="Style1"/>
          <w:color w:val="7030A0"/>
        </w:rPr>
        <w:t xml:space="preserve">, 2011; </w:t>
      </w:r>
      <w:proofErr w:type="spellStart"/>
      <w:r w:rsidRPr="004E1764">
        <w:rPr>
          <w:rStyle w:val="Style1"/>
          <w:color w:val="7030A0"/>
        </w:rPr>
        <w:t>Mukamel</w:t>
      </w:r>
      <w:proofErr w:type="spellEnd"/>
      <w:r w:rsidR="00EB6063" w:rsidRPr="004E1764">
        <w:rPr>
          <w:rStyle w:val="Style1"/>
          <w:color w:val="7030A0"/>
        </w:rPr>
        <w:t xml:space="preserve"> et al.</w:t>
      </w:r>
      <w:r w:rsidRPr="004E1764">
        <w:rPr>
          <w:rStyle w:val="Style1"/>
          <w:color w:val="7030A0"/>
        </w:rPr>
        <w:t xml:space="preserve">, 2008). </w:t>
      </w:r>
      <w:r w:rsidRPr="004E1764">
        <w:rPr>
          <w:rStyle w:val="Style1"/>
          <w:b/>
          <w:bCs/>
          <w:i/>
          <w:iCs/>
          <w:color w:val="7030A0"/>
        </w:rPr>
        <w:t>Figure 1</w:t>
      </w:r>
      <w:r w:rsidRPr="004E1764">
        <w:rPr>
          <w:rStyle w:val="Style1"/>
          <w:color w:val="7030A0"/>
        </w:rPr>
        <w:t xml:space="preserve"> below illustrates the key structures, processes, and outcomes that are associated with lower rates of catheterization. The structures and processes listed in the figure are not exhaustive but are intended as examples. </w:t>
      </w:r>
    </w:p>
    <w:p w14:paraId="468DBA1C" w14:textId="77777777" w:rsidR="00DD21B7" w:rsidRPr="004E1764" w:rsidRDefault="00DD21B7" w:rsidP="004717EA">
      <w:pPr>
        <w:ind w:left="540" w:firstLine="0"/>
        <w:jc w:val="both"/>
        <w:rPr>
          <w:rStyle w:val="Style1"/>
          <w:b/>
          <w:bCs/>
          <w:color w:val="7030A0"/>
        </w:rPr>
      </w:pPr>
    </w:p>
    <w:p w14:paraId="57F48184" w14:textId="4B6F40F0" w:rsidR="00843212" w:rsidRPr="004E1764" w:rsidRDefault="00843212" w:rsidP="004717EA">
      <w:pPr>
        <w:ind w:left="540" w:firstLine="0"/>
        <w:jc w:val="both"/>
        <w:rPr>
          <w:rStyle w:val="Style1"/>
          <w:b/>
          <w:bCs/>
          <w:color w:val="7030A0"/>
        </w:rPr>
      </w:pPr>
      <w:r w:rsidRPr="004E1764">
        <w:rPr>
          <w:rStyle w:val="Style1"/>
          <w:b/>
          <w:bCs/>
          <w:color w:val="7030A0"/>
        </w:rPr>
        <w:t>Evidence for link between structure and quality of care outcomes</w:t>
      </w:r>
    </w:p>
    <w:p w14:paraId="48F6B13C" w14:textId="0FAC8650" w:rsidR="00843212" w:rsidRPr="004E1764" w:rsidRDefault="00061AE4" w:rsidP="004717EA">
      <w:pPr>
        <w:ind w:left="540" w:firstLine="0"/>
        <w:rPr>
          <w:rStyle w:val="Style1"/>
          <w:color w:val="7030A0"/>
        </w:rPr>
      </w:pPr>
      <w:r w:rsidRPr="004E1764">
        <w:rPr>
          <w:rStyle w:val="Style1"/>
          <w:color w:val="7030A0"/>
        </w:rPr>
        <w:t>Castle and Anderson (2011) found that improvement</w:t>
      </w:r>
      <w:r w:rsidR="007068B6" w:rsidRPr="004E1764">
        <w:rPr>
          <w:rStyle w:val="Style1"/>
          <w:color w:val="7030A0"/>
        </w:rPr>
        <w:t>s</w:t>
      </w:r>
      <w:r w:rsidRPr="004E1764">
        <w:rPr>
          <w:rStyle w:val="Style1"/>
          <w:color w:val="7030A0"/>
        </w:rPr>
        <w:t xml:space="preserve"> in structural characteristics such as increasing RN staffing levels and decreasing RN turnover significantly decreased catheter use, thus improving resident outcomes.</w:t>
      </w:r>
      <w:r w:rsidR="004342E3" w:rsidRPr="004E1764">
        <w:rPr>
          <w:rStyle w:val="Style1"/>
          <w:color w:val="7030A0"/>
        </w:rPr>
        <w:t xml:space="preserve"> </w:t>
      </w:r>
      <w:r w:rsidR="00843212" w:rsidRPr="004E1764">
        <w:rPr>
          <w:rStyle w:val="Style1"/>
          <w:color w:val="7030A0"/>
        </w:rPr>
        <w:t xml:space="preserve">Nursing homes with more educated staff, including a Director of </w:t>
      </w:r>
      <w:r w:rsidR="00843212" w:rsidRPr="00967A7F">
        <w:rPr>
          <w:rStyle w:val="Style1"/>
          <w:color w:val="C00000"/>
        </w:rPr>
        <w:t>Nurses with at least a bachelor’s degree, were found to have lower catheterization rates than those with less educated staff (</w:t>
      </w:r>
      <w:proofErr w:type="spellStart"/>
      <w:r w:rsidR="00843212" w:rsidRPr="00967A7F">
        <w:rPr>
          <w:rStyle w:val="Style1"/>
          <w:color w:val="C00000"/>
        </w:rPr>
        <w:t>Damkoehler</w:t>
      </w:r>
      <w:proofErr w:type="spellEnd"/>
      <w:r w:rsidR="00843212" w:rsidRPr="00967A7F">
        <w:rPr>
          <w:rStyle w:val="Style1"/>
          <w:color w:val="C00000"/>
        </w:rPr>
        <w:t xml:space="preserve">, 2014). </w:t>
      </w:r>
      <w:r w:rsidR="00700A1B" w:rsidRPr="004E1764">
        <w:rPr>
          <w:rStyle w:val="Style1"/>
          <w:color w:val="7030A0"/>
        </w:rPr>
        <w:t>Further, p</w:t>
      </w:r>
      <w:r w:rsidR="00843212" w:rsidRPr="004E1764">
        <w:rPr>
          <w:rStyle w:val="Style1"/>
          <w:color w:val="7030A0"/>
        </w:rPr>
        <w:t>roviders with more committed staff through a stronger culture, more experienced staff, and proper staff to resident/patient ratios have also been presented as characteristics that may be linked to adherence with infection control guidelines/practices and appropriate catheter use (</w:t>
      </w:r>
      <w:proofErr w:type="spellStart"/>
      <w:r w:rsidR="00843212" w:rsidRPr="004E1764">
        <w:rPr>
          <w:rStyle w:val="Style1"/>
          <w:color w:val="7030A0"/>
        </w:rPr>
        <w:t>Flodgren</w:t>
      </w:r>
      <w:proofErr w:type="spellEnd"/>
      <w:r w:rsidR="00843212" w:rsidRPr="004E1764" w:rsidDel="003D15DF">
        <w:rPr>
          <w:rStyle w:val="Style1"/>
          <w:color w:val="7030A0"/>
        </w:rPr>
        <w:t xml:space="preserve"> </w:t>
      </w:r>
      <w:r w:rsidR="00843212" w:rsidRPr="004E1764">
        <w:rPr>
          <w:rStyle w:val="Style1"/>
          <w:color w:val="7030A0"/>
        </w:rPr>
        <w:t>et al., 2013).</w:t>
      </w:r>
    </w:p>
    <w:p w14:paraId="27CCC4DD" w14:textId="77777777" w:rsidR="00843212" w:rsidRPr="004E1764" w:rsidRDefault="00843212" w:rsidP="0086210E">
      <w:pPr>
        <w:ind w:left="540" w:firstLine="0"/>
        <w:rPr>
          <w:rStyle w:val="Style1"/>
          <w:color w:val="7030A0"/>
        </w:rPr>
      </w:pPr>
    </w:p>
    <w:p w14:paraId="5A84F5BD" w14:textId="77777777" w:rsidR="00843212" w:rsidRPr="004E1764" w:rsidRDefault="00843212" w:rsidP="004717EA">
      <w:pPr>
        <w:ind w:left="540" w:firstLine="0"/>
        <w:jc w:val="both"/>
        <w:rPr>
          <w:rStyle w:val="Style1"/>
          <w:b/>
          <w:bCs/>
          <w:color w:val="7030A0"/>
        </w:rPr>
      </w:pPr>
      <w:r w:rsidRPr="004E1764">
        <w:rPr>
          <w:rStyle w:val="Style1"/>
          <w:b/>
          <w:bCs/>
          <w:color w:val="7030A0"/>
        </w:rPr>
        <w:t>Evidence for link between processes and quality of care outcomes</w:t>
      </w:r>
    </w:p>
    <w:p w14:paraId="3E71F956" w14:textId="1D3431B9" w:rsidR="00743A18" w:rsidRPr="00967A7F" w:rsidRDefault="00A0729E" w:rsidP="004717EA">
      <w:pPr>
        <w:ind w:left="540" w:firstLine="0"/>
        <w:rPr>
          <w:rStyle w:val="Style1"/>
          <w:color w:val="C00000"/>
        </w:rPr>
      </w:pPr>
      <w:r w:rsidRPr="00967A7F">
        <w:rPr>
          <w:rStyle w:val="Style1"/>
          <w:color w:val="C00000"/>
        </w:rPr>
        <w:t>One reason structural improvements</w:t>
      </w:r>
      <w:r w:rsidR="003A2E06" w:rsidRPr="00967A7F">
        <w:rPr>
          <w:rStyle w:val="Style1"/>
          <w:color w:val="C00000"/>
        </w:rPr>
        <w:t>,</w:t>
      </w:r>
      <w:r w:rsidR="00393C48" w:rsidRPr="00967A7F">
        <w:rPr>
          <w:rStyle w:val="Style1"/>
          <w:color w:val="C00000"/>
        </w:rPr>
        <w:t xml:space="preserve"> such </w:t>
      </w:r>
      <w:r w:rsidR="003A2E06" w:rsidRPr="00967A7F">
        <w:rPr>
          <w:rStyle w:val="Style1"/>
          <w:color w:val="C00000"/>
        </w:rPr>
        <w:t>are those referenced above,</w:t>
      </w:r>
      <w:r w:rsidRPr="00967A7F">
        <w:rPr>
          <w:rStyle w:val="Style1"/>
          <w:color w:val="C00000"/>
        </w:rPr>
        <w:t xml:space="preserve"> are thought to improve outcomes is because staff are more likely to be aware of and utilize best practices. Clifton et al. (2018) studied a quality improvement initiative across VA hospitals and found that use of best practices for catheter insertion, indication</w:t>
      </w:r>
      <w:r w:rsidR="007068B6" w:rsidRPr="00967A7F">
        <w:rPr>
          <w:rStyle w:val="Style1"/>
          <w:color w:val="C00000"/>
        </w:rPr>
        <w:t>,</w:t>
      </w:r>
      <w:r w:rsidRPr="00967A7F">
        <w:rPr>
          <w:rStyle w:val="Style1"/>
          <w:color w:val="C00000"/>
        </w:rPr>
        <w:t xml:space="preserve"> and assessments were correlated with an improved </w:t>
      </w:r>
      <w:r w:rsidR="003A2E06" w:rsidRPr="00967A7F">
        <w:rPr>
          <w:rStyle w:val="Style1"/>
          <w:color w:val="C00000"/>
        </w:rPr>
        <w:t>catheter-associated urinary tract infection (</w:t>
      </w:r>
      <w:r w:rsidRPr="00967A7F">
        <w:rPr>
          <w:rStyle w:val="Style1"/>
          <w:color w:val="C00000"/>
        </w:rPr>
        <w:t>CAUTI</w:t>
      </w:r>
      <w:r w:rsidR="003A2E06" w:rsidRPr="00967A7F">
        <w:rPr>
          <w:rStyle w:val="Style1"/>
          <w:color w:val="C00000"/>
        </w:rPr>
        <w:t>)</w:t>
      </w:r>
      <w:r w:rsidRPr="00967A7F">
        <w:rPr>
          <w:rStyle w:val="Style1"/>
          <w:color w:val="C00000"/>
        </w:rPr>
        <w:t xml:space="preserve"> outcome (Clifton et al., 2018).</w:t>
      </w:r>
      <w:r w:rsidR="004E0AA8" w:rsidRPr="00967A7F">
        <w:rPr>
          <w:rStyle w:val="Style1"/>
          <w:color w:val="C00000"/>
        </w:rPr>
        <w:t xml:space="preserve"> </w:t>
      </w:r>
      <w:r w:rsidR="00843212" w:rsidRPr="00967A7F">
        <w:rPr>
          <w:rStyle w:val="Style1"/>
          <w:color w:val="C00000"/>
        </w:rPr>
        <w:t>Additional processes such as a thorough and informed assessment of the resident, and evaluation of the medical need for a catheter, can sometimes decrease or prevent the use of catheters and the risks associated with their use.</w:t>
      </w:r>
      <w:r w:rsidR="005623D1" w:rsidRPr="00967A7F">
        <w:rPr>
          <w:rStyle w:val="Style1"/>
          <w:color w:val="C00000"/>
        </w:rPr>
        <w:t xml:space="preserve"> </w:t>
      </w:r>
    </w:p>
    <w:p w14:paraId="305E9586" w14:textId="77777777" w:rsidR="00A0729E" w:rsidRDefault="00A0729E" w:rsidP="0086210E">
      <w:pPr>
        <w:ind w:left="540" w:firstLine="0"/>
        <w:rPr>
          <w:rFonts w:ascii="BSGulliver" w:hAnsi="BSGulliver" w:cs="BSGulliver"/>
          <w:sz w:val="14"/>
          <w:szCs w:val="14"/>
        </w:rPr>
      </w:pPr>
    </w:p>
    <w:p w14:paraId="7E0E44E5" w14:textId="77777777" w:rsidR="00EA7295" w:rsidRDefault="00EA7295" w:rsidP="00EA7295">
      <w:pPr>
        <w:pStyle w:val="Caption"/>
        <w:keepNext/>
        <w:ind w:left="0" w:firstLine="0"/>
        <w:sectPr w:rsidR="00EA7295" w:rsidSect="002C173C">
          <w:headerReference w:type="default" r:id="rId19"/>
          <w:footerReference w:type="default" r:id="rId20"/>
          <w:pgSz w:w="12240" w:h="15840"/>
          <w:pgMar w:top="1440" w:right="1440" w:bottom="1440" w:left="1440" w:header="720" w:footer="720" w:gutter="0"/>
          <w:cols w:space="720"/>
          <w:docGrid w:linePitch="360"/>
        </w:sectPr>
      </w:pPr>
    </w:p>
    <w:p w14:paraId="1F683EC6" w14:textId="1A808E92" w:rsidR="0086210E" w:rsidRPr="004E1764" w:rsidRDefault="0086210E" w:rsidP="00FE2F1F">
      <w:pPr>
        <w:pStyle w:val="Caption"/>
        <w:keepNext/>
        <w:ind w:left="0" w:firstLine="0"/>
        <w:rPr>
          <w:i w:val="0"/>
          <w:iCs w:val="0"/>
          <w:color w:val="7030A0"/>
          <w:sz w:val="22"/>
          <w:szCs w:val="22"/>
        </w:rPr>
      </w:pPr>
      <w:r w:rsidRPr="004E1764">
        <w:rPr>
          <w:i w:val="0"/>
          <w:iCs w:val="0"/>
          <w:color w:val="7030A0"/>
          <w:sz w:val="22"/>
          <w:szCs w:val="22"/>
        </w:rPr>
        <w:lastRenderedPageBreak/>
        <w:t xml:space="preserve">Figure </w:t>
      </w:r>
      <w:r w:rsidRPr="004E1764">
        <w:rPr>
          <w:i w:val="0"/>
          <w:iCs w:val="0"/>
          <w:color w:val="7030A0"/>
          <w:sz w:val="22"/>
          <w:szCs w:val="22"/>
        </w:rPr>
        <w:fldChar w:fldCharType="begin"/>
      </w:r>
      <w:r w:rsidRPr="004E1764">
        <w:rPr>
          <w:i w:val="0"/>
          <w:iCs w:val="0"/>
          <w:color w:val="7030A0"/>
          <w:sz w:val="22"/>
          <w:szCs w:val="22"/>
        </w:rPr>
        <w:instrText xml:space="preserve"> SEQ Figure \* ARABIC </w:instrText>
      </w:r>
      <w:r w:rsidRPr="004E1764">
        <w:rPr>
          <w:i w:val="0"/>
          <w:iCs w:val="0"/>
          <w:color w:val="7030A0"/>
          <w:sz w:val="22"/>
          <w:szCs w:val="22"/>
        </w:rPr>
        <w:fldChar w:fldCharType="separate"/>
      </w:r>
      <w:r w:rsidR="0029056F" w:rsidRPr="004E1764">
        <w:rPr>
          <w:i w:val="0"/>
          <w:iCs w:val="0"/>
          <w:noProof/>
          <w:color w:val="7030A0"/>
          <w:sz w:val="22"/>
          <w:szCs w:val="22"/>
        </w:rPr>
        <w:t>1</w:t>
      </w:r>
      <w:r w:rsidRPr="004E1764">
        <w:rPr>
          <w:i w:val="0"/>
          <w:iCs w:val="0"/>
          <w:color w:val="7030A0"/>
          <w:sz w:val="22"/>
          <w:szCs w:val="22"/>
        </w:rPr>
        <w:fldChar w:fldCharType="end"/>
      </w:r>
      <w:r w:rsidRPr="004E1764">
        <w:rPr>
          <w:i w:val="0"/>
          <w:iCs w:val="0"/>
          <w:color w:val="7030A0"/>
          <w:sz w:val="22"/>
          <w:szCs w:val="22"/>
        </w:rPr>
        <w:t xml:space="preserve">. Role of Nursing Home Structure and </w:t>
      </w:r>
      <w:r w:rsidR="008806C3" w:rsidRPr="004E1764">
        <w:rPr>
          <w:i w:val="0"/>
          <w:iCs w:val="0"/>
          <w:color w:val="7030A0"/>
          <w:sz w:val="22"/>
          <w:szCs w:val="22"/>
        </w:rPr>
        <w:t>Processe</w:t>
      </w:r>
      <w:r w:rsidRPr="004E1764">
        <w:rPr>
          <w:i w:val="0"/>
          <w:iCs w:val="0"/>
          <w:color w:val="7030A0"/>
          <w:sz w:val="22"/>
          <w:szCs w:val="22"/>
        </w:rPr>
        <w:t>s in Rate of Resident Catheterization</w:t>
      </w:r>
    </w:p>
    <w:p w14:paraId="46107A26" w14:textId="58D7F7B1" w:rsidR="00EA7295" w:rsidRPr="004E1764" w:rsidRDefault="0072280F" w:rsidP="00020BD3">
      <w:pPr>
        <w:pStyle w:val="Response"/>
        <w:sectPr w:rsidR="00EA7295" w:rsidRPr="004E1764" w:rsidSect="00EA7295">
          <w:pgSz w:w="15840" w:h="12240" w:orient="landscape"/>
          <w:pgMar w:top="1440" w:right="1440" w:bottom="1440" w:left="1440" w:header="720" w:footer="720" w:gutter="0"/>
          <w:cols w:space="720"/>
          <w:docGrid w:linePitch="360"/>
        </w:sectPr>
      </w:pPr>
      <w:r w:rsidRPr="004E1764">
        <w:rPr>
          <w:noProof/>
        </w:rPr>
        <mc:AlternateContent>
          <mc:Choice Requires="wpc">
            <w:drawing>
              <wp:inline distT="0" distB="0" distL="0" distR="0" wp14:anchorId="18DD0641" wp14:editId="18973FEA">
                <wp:extent cx="7919150" cy="5362574"/>
                <wp:effectExtent l="0" t="0" r="0" b="0"/>
                <wp:docPr id="2" name="Canvas 2" descr="Figure 1. Role of Nursing Home Structure and Processes in Rate of Resident Catheterization flow chart: from structures to processes to outcomes." title="Figure 1. Role of Nursing Home Structure and Processes in Rate of Resident Catheterization"/>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3" name="Rectangle: Rounded Corners 3"/>
                        <wps:cNvSpPr/>
                        <wps:spPr>
                          <a:xfrm>
                            <a:off x="0" y="54720"/>
                            <a:ext cx="2105024" cy="4556047"/>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2D7B2E89" w14:textId="26E60CC5" w:rsidR="00D332BA" w:rsidRDefault="00D332BA">
                              <w:r>
                                <w:t>STRUCTURES</w:t>
                              </w:r>
                            </w:p>
                            <w:p w14:paraId="4A767A9B" w14:textId="488C0976" w:rsidR="00D332BA" w:rsidRPr="00A8755B" w:rsidRDefault="00D332BA" w:rsidP="0019598D">
                              <w:pPr>
                                <w:numPr>
                                  <w:ilvl w:val="0"/>
                                  <w:numId w:val="22"/>
                                </w:numPr>
                                <w:tabs>
                                  <w:tab w:val="clear" w:pos="720"/>
                                  <w:tab w:val="num" w:pos="180"/>
                                </w:tabs>
                                <w:ind w:left="187" w:hanging="187"/>
                              </w:pPr>
                              <w:r w:rsidRPr="00A8755B">
                                <w:t xml:space="preserve">Facility characteristics (e.g., size, ownership, chain affiliation, financial resources, profit status, case mix, </w:t>
                              </w:r>
                              <w:r>
                                <w:t xml:space="preserve">acuity levels, average age, and </w:t>
                              </w:r>
                              <w:r w:rsidRPr="00A8755B">
                                <w:t xml:space="preserve">culture) </w:t>
                              </w:r>
                              <w:r w:rsidR="003A2E06">
                                <w:br/>
                              </w:r>
                              <w:r w:rsidRPr="00A8755B">
                                <w:t xml:space="preserve"> </w:t>
                              </w:r>
                            </w:p>
                            <w:p w14:paraId="4903BD0B" w14:textId="14D0E5ED" w:rsidR="00D332BA" w:rsidRPr="00A8755B" w:rsidRDefault="00D332BA" w:rsidP="0019598D">
                              <w:pPr>
                                <w:numPr>
                                  <w:ilvl w:val="0"/>
                                  <w:numId w:val="22"/>
                                </w:numPr>
                                <w:tabs>
                                  <w:tab w:val="clear" w:pos="720"/>
                                  <w:tab w:val="num" w:pos="180"/>
                                </w:tabs>
                                <w:ind w:left="187" w:hanging="187"/>
                              </w:pPr>
                              <w:r>
                                <w:t>Adequate s</w:t>
                              </w:r>
                              <w:r w:rsidRPr="00A8755B">
                                <w:t xml:space="preserve">taffing resources (e.g., </w:t>
                              </w:r>
                              <w:r>
                                <w:t xml:space="preserve">staff to resident/patient </w:t>
                              </w:r>
                              <w:r w:rsidRPr="00A8755B">
                                <w:t>ratios</w:t>
                              </w:r>
                              <w:r>
                                <w:t>, multidisciplinary care team, education levels, experience, licensure, leadership qualities, and staff culture/commitment</w:t>
                              </w:r>
                              <w:r w:rsidRPr="00A8755B">
                                <w:t>)</w:t>
                              </w:r>
                            </w:p>
                            <w:p w14:paraId="41638CB3" w14:textId="77777777" w:rsidR="00D332BA" w:rsidRDefault="00D332BA" w:rsidP="0019598D">
                              <w:pPr>
                                <w:tabs>
                                  <w:tab w:val="num" w:pos="180"/>
                                </w:tabs>
                                <w:ind w:left="187" w:hanging="187"/>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 name="Rectangle: Rounded Corners 4"/>
                        <wps:cNvSpPr/>
                        <wps:spPr>
                          <a:xfrm>
                            <a:off x="2785297" y="54712"/>
                            <a:ext cx="2125651" cy="4641113"/>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63E5FA8E" w14:textId="08CA13CC" w:rsidR="00D332BA" w:rsidRDefault="00D332BA" w:rsidP="00C1232C">
                              <w:r>
                                <w:t>PROCESSES</w:t>
                              </w:r>
                            </w:p>
                            <w:p w14:paraId="56DBB51F" w14:textId="41235A7F" w:rsidR="00D332BA" w:rsidRDefault="00D332BA" w:rsidP="0019598D">
                              <w:pPr>
                                <w:pStyle w:val="ListParagraph"/>
                                <w:numPr>
                                  <w:ilvl w:val="0"/>
                                  <w:numId w:val="21"/>
                                </w:numPr>
                              </w:pPr>
                              <w:r>
                                <w:t>Promoting best practices (proper techniques for insertion, monitoring, replacing/washouts)</w:t>
                              </w:r>
                            </w:p>
                            <w:p w14:paraId="0AB3013E" w14:textId="2B9B22FF" w:rsidR="00D332BA" w:rsidRDefault="00D332BA" w:rsidP="001D3580">
                              <w:pPr>
                                <w:pStyle w:val="ListParagraph"/>
                                <w:numPr>
                                  <w:ilvl w:val="0"/>
                                  <w:numId w:val="21"/>
                                </w:numPr>
                              </w:pPr>
                              <w:r>
                                <w:t>Educational interventions on urinary catheter practices and catheterization rates</w:t>
                              </w:r>
                            </w:p>
                            <w:p w14:paraId="3E3C05FB" w14:textId="16D5FF2D" w:rsidR="00D332BA" w:rsidRDefault="00D332BA" w:rsidP="0019598D">
                              <w:pPr>
                                <w:pStyle w:val="ListParagraph"/>
                                <w:numPr>
                                  <w:ilvl w:val="0"/>
                                  <w:numId w:val="21"/>
                                </w:numPr>
                              </w:pPr>
                              <w:r>
                                <w:t>Adherence to guidelines (prevention of device-related infections and alternative approaches to care)</w:t>
                              </w:r>
                            </w:p>
                            <w:p w14:paraId="349C829C" w14:textId="11C23FAC" w:rsidR="00D332BA" w:rsidRDefault="00D332BA" w:rsidP="001D3580">
                              <w:pPr>
                                <w:pStyle w:val="ListParagraph"/>
                                <w:numPr>
                                  <w:ilvl w:val="0"/>
                                  <w:numId w:val="21"/>
                                </w:numPr>
                              </w:pPr>
                              <w:r>
                                <w:t>Appropriate assessment and evaluation of medical needs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 name="Rectangle: Rounded Corners 5"/>
                        <wps:cNvSpPr/>
                        <wps:spPr>
                          <a:xfrm>
                            <a:off x="5562371" y="44937"/>
                            <a:ext cx="2162050" cy="4653656"/>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28155D02" w14:textId="025A5C1D" w:rsidR="00D332BA" w:rsidRDefault="00D332BA" w:rsidP="00C1232C">
                              <w:pPr>
                                <w:ind w:left="0" w:firstLine="0"/>
                              </w:pPr>
                              <w:r>
                                <w:t>OUTCOMES</w:t>
                              </w:r>
                            </w:p>
                            <w:p w14:paraId="780CFEA1" w14:textId="3F78C4E8" w:rsidR="00D332BA" w:rsidRDefault="00D332BA" w:rsidP="003E7BC2">
                              <w:pPr>
                                <w:pStyle w:val="ListParagraph"/>
                                <w:numPr>
                                  <w:ilvl w:val="0"/>
                                  <w:numId w:val="20"/>
                                </w:numPr>
                              </w:pPr>
                              <w:r>
                                <w:t xml:space="preserve">Lower rates of indwelling </w:t>
                              </w:r>
                              <w:proofErr w:type="spellStart"/>
                              <w:r>
                                <w:t>catherization</w:t>
                              </w:r>
                              <w:proofErr w:type="spellEnd"/>
                              <w:r>
                                <w:t xml:space="preserve"> </w:t>
                              </w:r>
                            </w:p>
                            <w:p w14:paraId="282F4830" w14:textId="34B426F1" w:rsidR="00D332BA" w:rsidRDefault="00D332BA" w:rsidP="00C1232C">
                              <w:pPr>
                                <w:pStyle w:val="ListParagraph"/>
                                <w:numPr>
                                  <w:ilvl w:val="0"/>
                                  <w:numId w:val="20"/>
                                </w:numPr>
                                <w:spacing w:after="0"/>
                              </w:pPr>
                              <w:r>
                                <w:t>Appropriate</w:t>
                              </w:r>
                              <w:r w:rsidR="004E0AA8">
                                <w:t xml:space="preserve"> </w:t>
                              </w:r>
                              <w:r>
                                <w:t xml:space="preserve">use of indwelling </w:t>
                              </w:r>
                              <w:proofErr w:type="spellStart"/>
                              <w:r>
                                <w:t>catherization</w:t>
                              </w:r>
                              <w:proofErr w:type="spellEnd"/>
                              <w:r>
                                <w:t xml:space="preserve"> </w:t>
                              </w:r>
                            </w:p>
                            <w:p w14:paraId="25915D54" w14:textId="2D82C40A" w:rsidR="00D332BA" w:rsidRDefault="00194926" w:rsidP="00C1232C">
                              <w:pPr>
                                <w:pStyle w:val="ListParagraph"/>
                                <w:numPr>
                                  <w:ilvl w:val="0"/>
                                  <w:numId w:val="20"/>
                                </w:numPr>
                                <w:spacing w:after="0"/>
                              </w:pPr>
                              <w:r>
                                <w:t>Lower percentage of inappropriate</w:t>
                              </w:r>
                              <w:bookmarkStart w:id="5" w:name="_GoBack"/>
                              <w:bookmarkEnd w:id="5"/>
                              <w:r w:rsidR="00D332BA">
                                <w:t xml:space="preserve"> urinary catheter practices</w:t>
                              </w:r>
                              <w:r w:rsidR="003A2E06">
                                <w:br/>
                              </w:r>
                            </w:p>
                            <w:p w14:paraId="0361AF16" w14:textId="5A34C407" w:rsidR="00D332BA" w:rsidRDefault="00D332BA" w:rsidP="00C1232C">
                              <w:pPr>
                                <w:ind w:left="0" w:firstLine="0"/>
                              </w:pPr>
                              <w:r>
                                <w:t>COROLLARY OUTCOMES</w:t>
                              </w:r>
                            </w:p>
                            <w:p w14:paraId="7A8BF03E" w14:textId="4E5FE01A" w:rsidR="00D332BA" w:rsidRDefault="00D332BA" w:rsidP="0019598D">
                              <w:pPr>
                                <w:pStyle w:val="ListParagraph"/>
                                <w:numPr>
                                  <w:ilvl w:val="0"/>
                                  <w:numId w:val="20"/>
                                </w:numPr>
                              </w:pPr>
                              <w:r>
                                <w:t>Lower incidence of infection (e.g., urinary tract infections)</w:t>
                              </w:r>
                            </w:p>
                            <w:p w14:paraId="4F25341D" w14:textId="1C692586" w:rsidR="004764C2" w:rsidRDefault="004764C2" w:rsidP="0019598D">
                              <w:pPr>
                                <w:pStyle w:val="ListParagraph"/>
                                <w:numPr>
                                  <w:ilvl w:val="0"/>
                                  <w:numId w:val="20"/>
                                </w:numPr>
                              </w:pPr>
                              <w:r>
                                <w:t xml:space="preserve">Lower incidence of genitourinary </w:t>
                              </w:r>
                              <w:r w:rsidR="00147300">
                                <w:t xml:space="preserve">complications </w:t>
                              </w:r>
                              <w:r>
                                <w:t>(e.g., urethral stricture, urine leakage)</w:t>
                              </w:r>
                            </w:p>
                            <w:p w14:paraId="350D3AAC" w14:textId="1D05F987" w:rsidR="00D332BA" w:rsidRDefault="00D332BA" w:rsidP="0072280F">
                              <w:pPr>
                                <w:pStyle w:val="ListParagraph"/>
                                <w:numPr>
                                  <w:ilvl w:val="0"/>
                                  <w:numId w:val="20"/>
                                </w:numPr>
                              </w:pPr>
                              <w:r>
                                <w:t>Less chronic pain</w:t>
                              </w:r>
                            </w:p>
                            <w:p w14:paraId="03400156" w14:textId="4B2165D4" w:rsidR="00D332BA" w:rsidRDefault="00D332BA">
                              <w:pPr>
                                <w:pStyle w:val="ListParagraph"/>
                                <w:numPr>
                                  <w:ilvl w:val="0"/>
                                  <w:numId w:val="20"/>
                                </w:numPr>
                              </w:pPr>
                              <w:r>
                                <w:t>Increased autonomy in ADLs and functioning</w:t>
                              </w:r>
                            </w:p>
                            <w:p w14:paraId="27621A2A" w14:textId="2A6B8831" w:rsidR="00D332BA" w:rsidRDefault="00D332BA">
                              <w:pPr>
                                <w:pStyle w:val="ListParagraph"/>
                                <w:numPr>
                                  <w:ilvl w:val="0"/>
                                  <w:numId w:val="20"/>
                                </w:numPr>
                              </w:pPr>
                              <w:r>
                                <w:t>Higher quality of life</w:t>
                              </w:r>
                            </w:p>
                            <w:p w14:paraId="14CAA088" w14:textId="4393A558" w:rsidR="00D332BA" w:rsidRDefault="00D332BA" w:rsidP="0019598D">
                              <w:pPr>
                                <w:pStyle w:val="ListParagraph"/>
                                <w:ind w:left="360" w:firstLine="0"/>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 name="Arrow: Right 6"/>
                        <wps:cNvSpPr/>
                        <wps:spPr>
                          <a:xfrm>
                            <a:off x="2247540" y="1227949"/>
                            <a:ext cx="414068" cy="362310"/>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 name="Arrow: Right 7"/>
                        <wps:cNvSpPr/>
                        <wps:spPr>
                          <a:xfrm>
                            <a:off x="5059496" y="1228309"/>
                            <a:ext cx="414020" cy="361950"/>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18DD0641" id="Canvas 2" o:spid="_x0000_s1026" editas="canvas" alt="Title: Figure 1. Role of Nursing Home Structure and Processes in Rate of Resident Catheterization - Description: Figure 1. Role of Nursing Home Structure and Processes in Rate of Resident Catheterization flow chart: from structures to processes to outcomes." style="width:623.55pt;height:422.25pt;mso-position-horizontal-relative:char;mso-position-vertical-relative:line" coordsize="79190,536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alt="Figure 1. Role of Nursing Home Structure and Processes in Rate of Resident Catheterization flow chart: from structures to processes to outcomes." style="position:absolute;width:79190;height:53619;visibility:visible;mso-wrap-style:square">
                  <v:fill o:detectmouseclick="t"/>
                  <v:path o:connecttype="none"/>
                </v:shape>
                <v:roundrect id="Rectangle: Rounded Corners 3" o:spid="_x0000_s1028" style="position:absolute;top:547;width:21050;height:4556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" fillcolor="#4f81bd [3204]" strokecolor="#243f60 [1604]" strokeweight="2pt">
                  <v:textbox>
                    <w:txbxContent>
                      <w:p w14:paraId="2D7B2E89" w14:textId="26E60CC5" w:rsidR="00D332BA" w:rsidRDefault="00D332BA">
                        <w:r>
                          <w:t>STRUCTURES</w:t>
                        </w:r>
                      </w:p>
                      <w:p w14:paraId="4A767A9B" w14:textId="488C0976" w:rsidR="00D332BA" w:rsidRPr="00A8755B" w:rsidRDefault="00D332BA" w:rsidP="0019598D">
                        <w:pPr>
                          <w:numPr>
                            <w:ilvl w:val="0"/>
                            <w:numId w:val="22"/>
                          </w:numPr>
                          <w:tabs>
                            <w:tab w:val="clear" w:pos="720"/>
                            <w:tab w:val="num" w:pos="180"/>
                          </w:tabs>
                          <w:ind w:left="187" w:hanging="187"/>
                        </w:pPr>
                        <w:r w:rsidRPr="00A8755B">
                          <w:t xml:space="preserve">Facility characteristics (e.g., size, ownership, chain affiliation, financial resources, profit status, case mix, </w:t>
                        </w:r>
                        <w:r>
                          <w:t xml:space="preserve">acuity levels, average age, and </w:t>
                        </w:r>
                        <w:r w:rsidRPr="00A8755B">
                          <w:t xml:space="preserve">culture) </w:t>
                        </w:r>
                        <w:r w:rsidR="003A2E06">
                          <w:br/>
                        </w:r>
                        <w:r w:rsidRPr="00A8755B">
                          <w:t xml:space="preserve"> </w:t>
                        </w:r>
                      </w:p>
                      <w:p w14:paraId="4903BD0B" w14:textId="14D0E5ED" w:rsidR="00D332BA" w:rsidRPr="00A8755B" w:rsidRDefault="00D332BA" w:rsidP="0019598D">
                        <w:pPr>
                          <w:numPr>
                            <w:ilvl w:val="0"/>
                            <w:numId w:val="22"/>
                          </w:numPr>
                          <w:tabs>
                            <w:tab w:val="clear" w:pos="720"/>
                            <w:tab w:val="num" w:pos="180"/>
                          </w:tabs>
                          <w:ind w:left="187" w:hanging="187"/>
                        </w:pPr>
                        <w:r>
                          <w:t>Adequate s</w:t>
                        </w:r>
                        <w:r w:rsidRPr="00A8755B">
                          <w:t xml:space="preserve">taffing resources (e.g., </w:t>
                        </w:r>
                        <w:r>
                          <w:t xml:space="preserve">staff to resident/patient </w:t>
                        </w:r>
                        <w:r w:rsidRPr="00A8755B">
                          <w:t>ratios</w:t>
                        </w:r>
                        <w:r>
                          <w:t>, multidisciplinary care team, education levels, experience, licensure, leadership qualities, and staff culture/commitment</w:t>
                        </w:r>
                        <w:r w:rsidRPr="00A8755B">
                          <w:t>)</w:t>
                        </w:r>
                      </w:p>
                      <w:p w14:paraId="41638CB3" w14:textId="77777777" w:rsidR="00D332BA" w:rsidRDefault="00D332BA" w:rsidP="0019598D">
                        <w:pPr>
                          <w:tabs>
                            <w:tab w:val="num" w:pos="180"/>
                          </w:tabs>
                          <w:ind w:left="187" w:hanging="187"/>
                        </w:pPr>
                      </w:p>
                    </w:txbxContent>
                  </v:textbox>
                </v:roundrect>
                <v:roundrect id="Rectangle: Rounded Corners 4" o:spid="_x0000_s1029" style="position:absolute;left:27852;top:547;width:21257;height:4641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" fillcolor="#4f81bd [3204]" strokecolor="#243f60 [1604]" strokeweight="2pt">
                  <v:textbox>
                    <w:txbxContent>
                      <w:p w14:paraId="63E5FA8E" w14:textId="08CA13CC" w:rsidR="00D332BA" w:rsidRDefault="00D332BA" w:rsidP="00C1232C">
                        <w:r>
                          <w:t>PROCESSES</w:t>
                        </w:r>
                      </w:p>
                      <w:p w14:paraId="56DBB51F" w14:textId="41235A7F" w:rsidR="00D332BA" w:rsidRDefault="00D332BA" w:rsidP="0019598D">
                        <w:pPr>
                          <w:pStyle w:val="ListParagraph"/>
                          <w:numPr>
                            <w:ilvl w:val="0"/>
                            <w:numId w:val="21"/>
                          </w:numPr>
                        </w:pPr>
                        <w:r>
                          <w:t>Promoting best practices (proper techniques for insertion, monitoring, replacing/washouts)</w:t>
                        </w:r>
                      </w:p>
                      <w:p w14:paraId="0AB3013E" w14:textId="2B9B22FF" w:rsidR="00D332BA" w:rsidRDefault="00D332BA" w:rsidP="001D3580">
                        <w:pPr>
                          <w:pStyle w:val="ListParagraph"/>
                          <w:numPr>
                            <w:ilvl w:val="0"/>
                            <w:numId w:val="21"/>
                          </w:numPr>
                        </w:pPr>
                        <w:r>
                          <w:t>Educational interventions on urinary catheter practices and catheterization rates</w:t>
                        </w:r>
                      </w:p>
                      <w:p w14:paraId="3E3C05FB" w14:textId="16D5FF2D" w:rsidR="00D332BA" w:rsidRDefault="00D332BA" w:rsidP="0019598D">
                        <w:pPr>
                          <w:pStyle w:val="ListParagraph"/>
                          <w:numPr>
                            <w:ilvl w:val="0"/>
                            <w:numId w:val="21"/>
                          </w:numPr>
                        </w:pPr>
                        <w:r>
                          <w:t>Adherence to guidelines (prevention of device-related infections and alternative approaches to care)</w:t>
                        </w:r>
                      </w:p>
                      <w:p w14:paraId="349C829C" w14:textId="11C23FAC" w:rsidR="00D332BA" w:rsidRDefault="00D332BA" w:rsidP="001D3580">
                        <w:pPr>
                          <w:pStyle w:val="ListParagraph"/>
                          <w:numPr>
                            <w:ilvl w:val="0"/>
                            <w:numId w:val="21"/>
                          </w:numPr>
                        </w:pPr>
                        <w:r>
                          <w:t>Appropriate assessment and evaluation of medical needs</w:t>
                        </w:r>
                      </w:p>
                    </w:txbxContent>
                  </v:textbox>
                </v:roundrect>
                <v:roundrect id="Rectangle: Rounded Corners 5" o:spid="_x0000_s1030" style="position:absolute;left:55623;top:449;width:21621;height:4653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" fillcolor="#4f81bd [3204]" strokecolor="#243f60 [1604]" strokeweight="2pt">
                  <v:textbox>
                    <w:txbxContent>
                      <w:p w14:paraId="28155D02" w14:textId="025A5C1D" w:rsidR="00D332BA" w:rsidRDefault="00D332BA" w:rsidP="00C1232C">
                        <w:pPr>
                          <w:ind w:left="0" w:firstLine="0"/>
                        </w:pPr>
                        <w:r>
                          <w:t>OUTCOMES</w:t>
                        </w:r>
                      </w:p>
                      <w:p w14:paraId="780CFEA1" w14:textId="3F78C4E8" w:rsidR="00D332BA" w:rsidRDefault="00D332BA" w:rsidP="003E7BC2">
                        <w:pPr>
                          <w:pStyle w:val="ListParagraph"/>
                          <w:numPr>
                            <w:ilvl w:val="0"/>
                            <w:numId w:val="20"/>
                          </w:numPr>
                        </w:pPr>
                        <w:r>
                          <w:t xml:space="preserve">Lower rates of indwelling </w:t>
                        </w:r>
                        <w:proofErr w:type="spellStart"/>
                        <w:r>
                          <w:t>catherization</w:t>
                        </w:r>
                        <w:proofErr w:type="spellEnd"/>
                        <w:r>
                          <w:t xml:space="preserve"> </w:t>
                        </w:r>
                      </w:p>
                      <w:p w14:paraId="282F4830" w14:textId="34B426F1" w:rsidR="00D332BA" w:rsidRDefault="00D332BA" w:rsidP="00C1232C">
                        <w:pPr>
                          <w:pStyle w:val="ListParagraph"/>
                          <w:numPr>
                            <w:ilvl w:val="0"/>
                            <w:numId w:val="20"/>
                          </w:numPr>
                          <w:spacing w:after="0"/>
                        </w:pPr>
                        <w:r>
                          <w:t>Appropriate</w:t>
                        </w:r>
                        <w:r w:rsidR="004E0AA8">
                          <w:t xml:space="preserve"> </w:t>
                        </w:r>
                        <w:r>
                          <w:t xml:space="preserve">use of indwelling </w:t>
                        </w:r>
                        <w:proofErr w:type="spellStart"/>
                        <w:r>
                          <w:t>catherization</w:t>
                        </w:r>
                        <w:proofErr w:type="spellEnd"/>
                        <w:r>
                          <w:t xml:space="preserve"> </w:t>
                        </w:r>
                      </w:p>
                      <w:p w14:paraId="25915D54" w14:textId="2D82C40A" w:rsidR="00D332BA" w:rsidRDefault="00194926" w:rsidP="00C1232C">
                        <w:pPr>
                          <w:pStyle w:val="ListParagraph"/>
                          <w:numPr>
                            <w:ilvl w:val="0"/>
                            <w:numId w:val="20"/>
                          </w:numPr>
                          <w:spacing w:after="0"/>
                        </w:pPr>
                        <w:r>
                          <w:t>Lower percentage of inappropriate</w:t>
                        </w:r>
                        <w:bookmarkStart w:id="6" w:name="_GoBack"/>
                        <w:bookmarkEnd w:id="6"/>
                        <w:r w:rsidR="00D332BA">
                          <w:t xml:space="preserve"> urinary catheter practices</w:t>
                        </w:r>
                        <w:r w:rsidR="003A2E06">
                          <w:br/>
                        </w:r>
                      </w:p>
                      <w:p w14:paraId="0361AF16" w14:textId="5A34C407" w:rsidR="00D332BA" w:rsidRDefault="00D332BA" w:rsidP="00C1232C">
                        <w:pPr>
                          <w:ind w:left="0" w:firstLine="0"/>
                        </w:pPr>
                        <w:r>
                          <w:t>COROLLARY OUTCOMES</w:t>
                        </w:r>
                      </w:p>
                      <w:p w14:paraId="7A8BF03E" w14:textId="4E5FE01A" w:rsidR="00D332BA" w:rsidRDefault="00D332BA" w:rsidP="0019598D">
                        <w:pPr>
                          <w:pStyle w:val="ListParagraph"/>
                          <w:numPr>
                            <w:ilvl w:val="0"/>
                            <w:numId w:val="20"/>
                          </w:numPr>
                        </w:pPr>
                        <w:r>
                          <w:t>Lower incidence of infection (e.g., urinary tract infections)</w:t>
                        </w:r>
                      </w:p>
                      <w:p w14:paraId="4F25341D" w14:textId="1C692586" w:rsidR="004764C2" w:rsidRDefault="004764C2" w:rsidP="0019598D">
                        <w:pPr>
                          <w:pStyle w:val="ListParagraph"/>
                          <w:numPr>
                            <w:ilvl w:val="0"/>
                            <w:numId w:val="20"/>
                          </w:numPr>
                        </w:pPr>
                        <w:r>
                          <w:t xml:space="preserve">Lower incidence of genitourinary </w:t>
                        </w:r>
                        <w:r w:rsidR="00147300">
                          <w:t xml:space="preserve">complications </w:t>
                        </w:r>
                        <w:r>
                          <w:t>(e.g., urethral stricture, urine leakage)</w:t>
                        </w:r>
                      </w:p>
                      <w:p w14:paraId="350D3AAC" w14:textId="1D05F987" w:rsidR="00D332BA" w:rsidRDefault="00D332BA" w:rsidP="0072280F">
                        <w:pPr>
                          <w:pStyle w:val="ListParagraph"/>
                          <w:numPr>
                            <w:ilvl w:val="0"/>
                            <w:numId w:val="20"/>
                          </w:numPr>
                        </w:pPr>
                        <w:r>
                          <w:t>Less chronic pain</w:t>
                        </w:r>
                      </w:p>
                      <w:p w14:paraId="03400156" w14:textId="4B2165D4" w:rsidR="00D332BA" w:rsidRDefault="00D332BA">
                        <w:pPr>
                          <w:pStyle w:val="ListParagraph"/>
                          <w:numPr>
                            <w:ilvl w:val="0"/>
                            <w:numId w:val="20"/>
                          </w:numPr>
                        </w:pPr>
                        <w:r>
                          <w:t>Increased autonomy in ADLs and functioning</w:t>
                        </w:r>
                      </w:p>
                      <w:p w14:paraId="27621A2A" w14:textId="2A6B8831" w:rsidR="00D332BA" w:rsidRDefault="00D332BA">
                        <w:pPr>
                          <w:pStyle w:val="ListParagraph"/>
                          <w:numPr>
                            <w:ilvl w:val="0"/>
                            <w:numId w:val="20"/>
                          </w:numPr>
                        </w:pPr>
                        <w:r>
                          <w:t>Higher quality of life</w:t>
                        </w:r>
                      </w:p>
                      <w:p w14:paraId="14CAA088" w14:textId="4393A558" w:rsidR="00D332BA" w:rsidRDefault="00D332BA" w:rsidP="0019598D">
                        <w:pPr>
                          <w:pStyle w:val="ListParagraph"/>
                          <w:ind w:left="360" w:firstLine="0"/>
                        </w:pPr>
                      </w:p>
                    </w:txbxContent>
                  </v:textbox>
                </v:roundre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rrow: Right 6" o:spid="_x0000_s1031" type="#_x0000_t13" style="position:absolute;left:22475;top:12279;width:4141;height:36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" adj="12150" fillcolor="#4f81bd [3204]" strokecolor="#243f60 [1604]" strokeweight="2pt"/>
                <v:shape id="Arrow: Right 7" o:spid="_x0000_s1032" type="#_x0000_t13" style="position:absolute;left:50594;top:12283;width:4141;height:36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" adj="12158" fillcolor="#4f81bd [3204]" strokecolor="#243f60 [1604]" strokeweight="2pt"/>
                <w10:anchorlock/>
              </v:group>
            </w:pict>
          </mc:Fallback>
        </mc:AlternateContent>
      </w:r>
      <w:r w:rsidR="00FE2F1F" w:rsidRPr="004E1764">
        <w:br/>
      </w:r>
      <w:r w:rsidR="00020BD3" w:rsidRPr="004E1764">
        <w:t xml:space="preserve"> </w:t>
      </w:r>
    </w:p>
    <w:p w14:paraId="3A37E3A2" w14:textId="0E7CEA11" w:rsidR="0049395C" w:rsidRPr="004E1764" w:rsidRDefault="00EA7295" w:rsidP="00531722">
      <w:pPr>
        <w:pStyle w:val="Response"/>
        <w:ind w:left="907" w:hanging="360"/>
        <w:rPr>
          <w:sz w:val="20"/>
          <w:szCs w:val="20"/>
        </w:rPr>
      </w:pPr>
      <w:r w:rsidRPr="004E1764">
        <w:rPr>
          <w:sz w:val="20"/>
          <w:szCs w:val="20"/>
        </w:rPr>
        <w:lastRenderedPageBreak/>
        <w:t xml:space="preserve">Castle, N. G., Anderson, R. A. (2011). Caregiver staffing in nursing homes and their influence on quality of care: using dynamic panel estimation methods. </w:t>
      </w:r>
      <w:r w:rsidRPr="004E1764">
        <w:rPr>
          <w:i/>
          <w:sz w:val="20"/>
          <w:szCs w:val="20"/>
        </w:rPr>
        <w:t>Medical Care, 49</w:t>
      </w:r>
      <w:r w:rsidRPr="004E1764">
        <w:rPr>
          <w:sz w:val="20"/>
          <w:szCs w:val="20"/>
        </w:rPr>
        <w:t>(6), 545-552</w:t>
      </w:r>
    </w:p>
    <w:p w14:paraId="4C4A9D5D" w14:textId="6C4F5334" w:rsidR="00EA7295" w:rsidRPr="00967A7F" w:rsidRDefault="00EA7295" w:rsidP="00531722">
      <w:pPr>
        <w:pStyle w:val="Response"/>
        <w:ind w:left="907" w:hanging="360"/>
        <w:rPr>
          <w:color w:val="C00000"/>
          <w:sz w:val="20"/>
          <w:szCs w:val="20"/>
        </w:rPr>
      </w:pPr>
      <w:proofErr w:type="spellStart"/>
      <w:r w:rsidRPr="00967A7F">
        <w:rPr>
          <w:color w:val="C00000"/>
          <w:sz w:val="20"/>
          <w:szCs w:val="20"/>
        </w:rPr>
        <w:t>Damkoehler</w:t>
      </w:r>
      <w:proofErr w:type="spellEnd"/>
      <w:r w:rsidRPr="00967A7F">
        <w:rPr>
          <w:color w:val="C00000"/>
          <w:sz w:val="20"/>
          <w:szCs w:val="20"/>
        </w:rPr>
        <w:t xml:space="preserve">, G. Using a nurse-led protocol to reduce infections. McKnight’s. Oct. 15, 2014. Available from: </w:t>
      </w:r>
      <w:hyperlink r:id="rId21" w:history="1">
        <w:r w:rsidRPr="00967A7F">
          <w:rPr>
            <w:rStyle w:val="Hyperlink"/>
            <w:color w:val="C00000"/>
            <w:sz w:val="20"/>
            <w:szCs w:val="20"/>
          </w:rPr>
          <w:t>http://www.mcknights.com/marketplace/using-a-nurse-led-protocol-to-reduce-infections/article/377448/</w:t>
        </w:r>
      </w:hyperlink>
    </w:p>
    <w:p w14:paraId="6DB41355" w14:textId="2610045D" w:rsidR="000C21B3" w:rsidRPr="004E1764" w:rsidRDefault="000C21B3" w:rsidP="00531722">
      <w:pPr>
        <w:pStyle w:val="question"/>
        <w:ind w:left="907" w:right="0" w:hanging="360"/>
        <w:rPr>
          <w:iCs w:val="0"/>
          <w:color w:val="7030A0"/>
          <w:sz w:val="20"/>
          <w:szCs w:val="20"/>
        </w:rPr>
      </w:pPr>
      <w:proofErr w:type="spellStart"/>
      <w:r w:rsidRPr="004E1764">
        <w:rPr>
          <w:iCs w:val="0"/>
          <w:color w:val="7030A0"/>
          <w:sz w:val="20"/>
          <w:szCs w:val="20"/>
        </w:rPr>
        <w:t>Flodgren</w:t>
      </w:r>
      <w:proofErr w:type="spellEnd"/>
      <w:r w:rsidRPr="004E1764">
        <w:rPr>
          <w:iCs w:val="0"/>
          <w:color w:val="7030A0"/>
          <w:sz w:val="20"/>
          <w:szCs w:val="20"/>
        </w:rPr>
        <w:t xml:space="preserve">, G., </w:t>
      </w:r>
      <w:proofErr w:type="spellStart"/>
      <w:r w:rsidRPr="004E1764">
        <w:rPr>
          <w:iCs w:val="0"/>
          <w:color w:val="7030A0"/>
          <w:sz w:val="20"/>
          <w:szCs w:val="20"/>
        </w:rPr>
        <w:t>Conterno</w:t>
      </w:r>
      <w:proofErr w:type="spellEnd"/>
      <w:r w:rsidRPr="004E1764">
        <w:rPr>
          <w:iCs w:val="0"/>
          <w:color w:val="7030A0"/>
          <w:sz w:val="20"/>
          <w:szCs w:val="20"/>
        </w:rPr>
        <w:t xml:space="preserve">, L. O., Mayhew, A., Omar, O., Pereira, C. R., &amp; </w:t>
      </w:r>
      <w:proofErr w:type="spellStart"/>
      <w:r w:rsidRPr="004E1764">
        <w:rPr>
          <w:iCs w:val="0"/>
          <w:color w:val="7030A0"/>
          <w:sz w:val="20"/>
          <w:szCs w:val="20"/>
        </w:rPr>
        <w:t>Shepperd</w:t>
      </w:r>
      <w:proofErr w:type="spellEnd"/>
      <w:r w:rsidRPr="004E1764">
        <w:rPr>
          <w:iCs w:val="0"/>
          <w:color w:val="7030A0"/>
          <w:sz w:val="20"/>
          <w:szCs w:val="20"/>
        </w:rPr>
        <w:t>, S. (2013). Interventions to improve professional adherence to guidelines for prevention of device‐related infections. Cochrane Database of Systematic Reviews, (3).</w:t>
      </w:r>
    </w:p>
    <w:p w14:paraId="529AAA88" w14:textId="7D7046F8" w:rsidR="0086210E" w:rsidRPr="004E1764" w:rsidRDefault="0086210E" w:rsidP="00531722">
      <w:pPr>
        <w:pStyle w:val="question"/>
        <w:ind w:left="907" w:right="0" w:hanging="360"/>
        <w:rPr>
          <w:rFonts w:ascii="Arial" w:hAnsi="Arial" w:cs="Arial"/>
          <w:color w:val="7030A0"/>
          <w:sz w:val="20"/>
          <w:szCs w:val="20"/>
          <w:shd w:val="clear" w:color="auto" w:fill="FFFFFF"/>
        </w:rPr>
      </w:pPr>
      <w:proofErr w:type="spellStart"/>
      <w:r w:rsidRPr="004E1764">
        <w:rPr>
          <w:color w:val="7030A0"/>
          <w:sz w:val="20"/>
          <w:szCs w:val="20"/>
        </w:rPr>
        <w:t>Hyer</w:t>
      </w:r>
      <w:proofErr w:type="spellEnd"/>
      <w:r w:rsidRPr="004E1764">
        <w:rPr>
          <w:color w:val="7030A0"/>
          <w:sz w:val="20"/>
          <w:szCs w:val="20"/>
        </w:rPr>
        <w:t xml:space="preserve">, K., Thomas, K. S., Branch, L. G., Harman, J. S., Johnson, C. E., &amp; </w:t>
      </w:r>
      <w:proofErr w:type="spellStart"/>
      <w:r w:rsidRPr="004E1764">
        <w:rPr>
          <w:color w:val="7030A0"/>
          <w:sz w:val="20"/>
          <w:szCs w:val="20"/>
        </w:rPr>
        <w:t>Weech</w:t>
      </w:r>
      <w:proofErr w:type="spellEnd"/>
      <w:r w:rsidRPr="004E1764">
        <w:rPr>
          <w:color w:val="7030A0"/>
          <w:sz w:val="20"/>
          <w:szCs w:val="20"/>
        </w:rPr>
        <w:t xml:space="preserve">-Maldonado, R. (2011). The influence of nurse staffing levels on quality of care in nursing homes. </w:t>
      </w:r>
      <w:r w:rsidRPr="004E1764">
        <w:rPr>
          <w:i/>
          <w:iCs w:val="0"/>
          <w:color w:val="7030A0"/>
          <w:sz w:val="20"/>
          <w:szCs w:val="20"/>
        </w:rPr>
        <w:t>The Gerontologist, 51</w:t>
      </w:r>
      <w:r w:rsidRPr="004E1764">
        <w:rPr>
          <w:color w:val="7030A0"/>
          <w:sz w:val="20"/>
          <w:szCs w:val="20"/>
        </w:rPr>
        <w:t>(5), 610-616.</w:t>
      </w:r>
      <w:r w:rsidR="004E0AA8" w:rsidRPr="004E1764">
        <w:rPr>
          <w:rFonts w:ascii="Arial" w:hAnsi="Arial" w:cs="Arial"/>
          <w:color w:val="7030A0"/>
          <w:sz w:val="20"/>
          <w:szCs w:val="20"/>
          <w:shd w:val="clear" w:color="auto" w:fill="FFFFFF"/>
        </w:rPr>
        <w:t xml:space="preserve"> </w:t>
      </w:r>
    </w:p>
    <w:p w14:paraId="128D0D35" w14:textId="148ECE9C" w:rsidR="0086210E" w:rsidRPr="004E1764" w:rsidRDefault="0086210E" w:rsidP="00531722">
      <w:pPr>
        <w:pStyle w:val="question"/>
        <w:ind w:left="907" w:right="0" w:hanging="360"/>
        <w:rPr>
          <w:rFonts w:ascii="Calibri" w:eastAsia="Calibri" w:hAnsi="Calibri" w:cs="Times New Roman"/>
          <w:color w:val="7030A0"/>
          <w:sz w:val="20"/>
          <w:szCs w:val="20"/>
        </w:rPr>
      </w:pPr>
      <w:proofErr w:type="spellStart"/>
      <w:r w:rsidRPr="004E1764">
        <w:rPr>
          <w:rFonts w:ascii="Calibri" w:eastAsia="Calibri" w:hAnsi="Calibri" w:cs="Times New Roman"/>
          <w:color w:val="7030A0"/>
          <w:sz w:val="20"/>
          <w:szCs w:val="20"/>
        </w:rPr>
        <w:t>Mukamel</w:t>
      </w:r>
      <w:proofErr w:type="spellEnd"/>
      <w:r w:rsidRPr="004E1764">
        <w:rPr>
          <w:rFonts w:ascii="Calibri" w:eastAsia="Calibri" w:hAnsi="Calibri" w:cs="Times New Roman"/>
          <w:color w:val="7030A0"/>
          <w:sz w:val="20"/>
          <w:szCs w:val="20"/>
        </w:rPr>
        <w:t xml:space="preserve">, D. B., Weimer, D. L, Spector, W. D., Ladd, H., &amp; Zinn, J. S. (2008). Publication of quality report cards and trends in reported quality measures in nursing homes. </w:t>
      </w:r>
      <w:r w:rsidRPr="004E1764">
        <w:rPr>
          <w:rFonts w:ascii="Calibri" w:eastAsia="Calibri" w:hAnsi="Calibri" w:cs="Times New Roman"/>
          <w:i/>
          <w:color w:val="7030A0"/>
          <w:sz w:val="20"/>
          <w:szCs w:val="20"/>
        </w:rPr>
        <w:t>Health Services Research, 43</w:t>
      </w:r>
      <w:r w:rsidRPr="004E1764">
        <w:rPr>
          <w:rFonts w:ascii="Calibri" w:eastAsia="Calibri" w:hAnsi="Calibri" w:cs="Times New Roman"/>
          <w:color w:val="7030A0"/>
          <w:sz w:val="20"/>
          <w:szCs w:val="20"/>
        </w:rPr>
        <w:t>(4), 1244-1262.</w:t>
      </w:r>
    </w:p>
    <w:p w14:paraId="62E01CFE" w14:textId="69B185A9" w:rsidR="00CF7A0A" w:rsidRPr="004E1764" w:rsidRDefault="00CF7A0A" w:rsidP="00531722">
      <w:pPr>
        <w:pStyle w:val="question"/>
        <w:spacing w:after="240"/>
        <w:ind w:left="907" w:right="0" w:hanging="360"/>
        <w:rPr>
          <w:rFonts w:eastAsia="Calibri" w:cstheme="minorHAnsi"/>
          <w:color w:val="7030A0"/>
          <w:sz w:val="20"/>
          <w:szCs w:val="20"/>
        </w:rPr>
      </w:pPr>
      <w:r w:rsidRPr="004E1764">
        <w:rPr>
          <w:rFonts w:cstheme="minorHAnsi"/>
          <w:color w:val="7030A0"/>
          <w:sz w:val="20"/>
          <w:szCs w:val="20"/>
          <w:shd w:val="clear" w:color="auto" w:fill="FFFFFF"/>
        </w:rPr>
        <w:t xml:space="preserve">Rogers, M. A., </w:t>
      </w:r>
      <w:proofErr w:type="spellStart"/>
      <w:r w:rsidRPr="004E1764">
        <w:rPr>
          <w:rFonts w:cstheme="minorHAnsi"/>
          <w:color w:val="7030A0"/>
          <w:sz w:val="20"/>
          <w:szCs w:val="20"/>
          <w:shd w:val="clear" w:color="auto" w:fill="FFFFFF"/>
        </w:rPr>
        <w:t>Mody</w:t>
      </w:r>
      <w:proofErr w:type="spellEnd"/>
      <w:r w:rsidRPr="004E1764">
        <w:rPr>
          <w:rFonts w:cstheme="minorHAnsi"/>
          <w:color w:val="7030A0"/>
          <w:sz w:val="20"/>
          <w:szCs w:val="20"/>
          <w:shd w:val="clear" w:color="auto" w:fill="FFFFFF"/>
        </w:rPr>
        <w:t>, L., Kaufman, S. R., Fries, B. E., McMahon, L. F., &amp; Saint, S. (2008). Use of urinary collection devices in skilled nursing facilities in five states. </w:t>
      </w:r>
      <w:r w:rsidRPr="004E1764">
        <w:rPr>
          <w:rFonts w:cstheme="minorHAnsi"/>
          <w:i/>
          <w:iCs w:val="0"/>
          <w:color w:val="7030A0"/>
          <w:sz w:val="20"/>
          <w:szCs w:val="20"/>
          <w:shd w:val="clear" w:color="auto" w:fill="FFFFFF"/>
        </w:rPr>
        <w:t>Journal of the American Geriatrics Society</w:t>
      </w:r>
      <w:r w:rsidRPr="004E1764">
        <w:rPr>
          <w:rFonts w:cstheme="minorHAnsi"/>
          <w:color w:val="7030A0"/>
          <w:sz w:val="20"/>
          <w:szCs w:val="20"/>
          <w:shd w:val="clear" w:color="auto" w:fill="FFFFFF"/>
        </w:rPr>
        <w:t>, </w:t>
      </w:r>
      <w:r w:rsidRPr="004E1764">
        <w:rPr>
          <w:rFonts w:cstheme="minorHAnsi"/>
          <w:i/>
          <w:iCs w:val="0"/>
          <w:color w:val="7030A0"/>
          <w:sz w:val="20"/>
          <w:szCs w:val="20"/>
          <w:shd w:val="clear" w:color="auto" w:fill="FFFFFF"/>
        </w:rPr>
        <w:t>56</w:t>
      </w:r>
      <w:r w:rsidRPr="004E1764">
        <w:rPr>
          <w:rFonts w:cstheme="minorHAnsi"/>
          <w:color w:val="7030A0"/>
          <w:sz w:val="20"/>
          <w:szCs w:val="20"/>
          <w:shd w:val="clear" w:color="auto" w:fill="FFFFFF"/>
        </w:rPr>
        <w:t>(5), 854-861.</w:t>
      </w:r>
    </w:p>
    <w:p w14:paraId="679CD991" w14:textId="20C7CAAF" w:rsidR="00C8677E" w:rsidRPr="00967A7F" w:rsidRDefault="00C8677E" w:rsidP="00531722">
      <w:pPr>
        <w:spacing w:before="240"/>
        <w:ind w:left="907"/>
        <w:rPr>
          <w:rFonts w:cstheme="minorHAnsi"/>
          <w:color w:val="C00000"/>
          <w:sz w:val="20"/>
          <w:szCs w:val="20"/>
        </w:rPr>
      </w:pPr>
      <w:r w:rsidRPr="00967A7F">
        <w:rPr>
          <w:rFonts w:cstheme="minorHAnsi"/>
          <w:color w:val="C00000"/>
          <w:sz w:val="20"/>
          <w:szCs w:val="20"/>
        </w:rPr>
        <w:t xml:space="preserve">Hu, F. W., et al. (2014). "Inappropriate use of urinary catheters among hospitalized elderly patients: Clinician awareness is key." </w:t>
      </w:r>
      <w:proofErr w:type="spellStart"/>
      <w:r w:rsidRPr="00967A7F">
        <w:rPr>
          <w:rFonts w:cstheme="minorHAnsi"/>
          <w:color w:val="C00000"/>
          <w:sz w:val="20"/>
          <w:szCs w:val="20"/>
        </w:rPr>
        <w:t>Geriatr</w:t>
      </w:r>
      <w:proofErr w:type="spellEnd"/>
      <w:r w:rsidRPr="00967A7F">
        <w:rPr>
          <w:rFonts w:cstheme="minorHAnsi"/>
          <w:color w:val="C00000"/>
          <w:sz w:val="20"/>
          <w:szCs w:val="20"/>
        </w:rPr>
        <w:t xml:space="preserve"> </w:t>
      </w:r>
      <w:proofErr w:type="spellStart"/>
      <w:r w:rsidRPr="00967A7F">
        <w:rPr>
          <w:rFonts w:cstheme="minorHAnsi"/>
          <w:color w:val="C00000"/>
          <w:sz w:val="20"/>
          <w:szCs w:val="20"/>
        </w:rPr>
        <w:t>Gerontol</w:t>
      </w:r>
      <w:proofErr w:type="spellEnd"/>
      <w:r w:rsidRPr="00967A7F">
        <w:rPr>
          <w:rFonts w:cstheme="minorHAnsi"/>
          <w:color w:val="C00000"/>
          <w:sz w:val="20"/>
          <w:szCs w:val="20"/>
        </w:rPr>
        <w:t xml:space="preserve"> Int. Dec. 11.</w:t>
      </w:r>
    </w:p>
    <w:p w14:paraId="646145D7" w14:textId="77777777" w:rsidR="000B508C" w:rsidRPr="004E1764" w:rsidRDefault="00C8677E" w:rsidP="00531722">
      <w:pPr>
        <w:spacing w:before="240"/>
        <w:ind w:left="907"/>
        <w:rPr>
          <w:rFonts w:cstheme="minorHAnsi"/>
          <w:color w:val="7030A0"/>
          <w:sz w:val="20"/>
          <w:szCs w:val="20"/>
        </w:rPr>
      </w:pPr>
      <w:r w:rsidRPr="004E1764">
        <w:rPr>
          <w:rFonts w:cstheme="minorHAnsi"/>
          <w:color w:val="7030A0"/>
          <w:sz w:val="20"/>
          <w:szCs w:val="20"/>
        </w:rPr>
        <w:t>Hollingsworth, J. M., et al. (2013). “Determining the Noninfectious Complications of Indwelling Urethral Catheters.” Ann Intern Med. 159(6): 401-10</w:t>
      </w:r>
    </w:p>
    <w:p w14:paraId="07536ED7" w14:textId="044BCEB4" w:rsidR="00C8677E" w:rsidRPr="00967A7F" w:rsidRDefault="000B508C" w:rsidP="00531722">
      <w:pPr>
        <w:spacing w:before="240"/>
        <w:ind w:left="907"/>
        <w:rPr>
          <w:color w:val="C00000"/>
          <w:sz w:val="20"/>
          <w:szCs w:val="20"/>
        </w:rPr>
      </w:pPr>
      <w:r w:rsidRPr="00967A7F">
        <w:rPr>
          <w:rFonts w:cstheme="minorHAnsi"/>
          <w:color w:val="C00000"/>
          <w:sz w:val="20"/>
          <w:szCs w:val="20"/>
        </w:rPr>
        <w:t xml:space="preserve">Clifton, M., </w:t>
      </w:r>
      <w:proofErr w:type="spellStart"/>
      <w:r w:rsidRPr="00967A7F">
        <w:rPr>
          <w:rFonts w:cstheme="minorHAnsi"/>
          <w:color w:val="C00000"/>
          <w:sz w:val="20"/>
          <w:szCs w:val="20"/>
        </w:rPr>
        <w:t>Kralovic</w:t>
      </w:r>
      <w:proofErr w:type="spellEnd"/>
      <w:r w:rsidRPr="00967A7F">
        <w:rPr>
          <w:rFonts w:cstheme="minorHAnsi"/>
          <w:color w:val="C00000"/>
          <w:sz w:val="20"/>
          <w:szCs w:val="20"/>
        </w:rPr>
        <w:t xml:space="preserve">, S. M., </w:t>
      </w:r>
      <w:proofErr w:type="spellStart"/>
      <w:r w:rsidRPr="00967A7F">
        <w:rPr>
          <w:rFonts w:cstheme="minorHAnsi"/>
          <w:color w:val="C00000"/>
          <w:sz w:val="20"/>
          <w:szCs w:val="20"/>
        </w:rPr>
        <w:t>Simbartl</w:t>
      </w:r>
      <w:proofErr w:type="spellEnd"/>
      <w:r w:rsidRPr="00967A7F">
        <w:rPr>
          <w:rFonts w:cstheme="minorHAnsi"/>
          <w:color w:val="C00000"/>
          <w:sz w:val="20"/>
          <w:szCs w:val="20"/>
        </w:rPr>
        <w:t>, L. A., Minor, L., Hasselbeck, R., Martin, T., &amp; Roselle, G. A. (2018). Achieving balance between implementing effective infection prevention and control practices and maintaining a home-like setting in US Department of Veterans Affairs nursing homes. American journal of infection control, 46(11), 1307-1310.</w:t>
      </w:r>
    </w:p>
    <w:p w14:paraId="2DA3533A" w14:textId="06F5894B" w:rsidR="00516B90" w:rsidRDefault="004922E4" w:rsidP="00D739A8">
      <w:pPr>
        <w:pStyle w:val="question"/>
      </w:pPr>
      <w:r w:rsidRPr="004E1764">
        <w:rPr>
          <w:b/>
          <w:bCs/>
          <w:color w:val="7030A0"/>
        </w:rPr>
        <w:t>1a.3</w:t>
      </w:r>
      <w:r w:rsidRPr="00C25F1B">
        <w:rPr>
          <w:bCs/>
        </w:rPr>
        <w:t xml:space="preserve"> </w:t>
      </w:r>
      <w:r w:rsidR="009F695D" w:rsidRPr="00C25F1B">
        <w:rPr>
          <w:bCs/>
        </w:rPr>
        <w:tab/>
      </w:r>
      <w:r w:rsidRPr="00C25F1B">
        <w:rPr>
          <w:b/>
          <w:bCs/>
        </w:rPr>
        <w:t xml:space="preserve">Value and Meaningfulness: </w:t>
      </w:r>
      <w:r w:rsidRPr="00C25F1B">
        <w:rPr>
          <w:b/>
        </w:rPr>
        <w:t xml:space="preserve">IF </w:t>
      </w:r>
      <w:r w:rsidRPr="00C25F1B">
        <w:t xml:space="preserve">this measure is derived from patient report, provide evidence that the target population values the measured </w:t>
      </w:r>
      <w:r w:rsidRPr="00C25F1B">
        <w:rPr>
          <w:b/>
          <w:i/>
        </w:rPr>
        <w:t>outcome, process, or structure</w:t>
      </w:r>
      <w:r w:rsidRPr="00C25F1B">
        <w:t xml:space="preserve"> and finds it meaningful. (Describe how and from whom their input was obtained.)</w:t>
      </w:r>
    </w:p>
    <w:p w14:paraId="5112FBED" w14:textId="6794E996" w:rsidR="0091677A" w:rsidRPr="004E1764" w:rsidRDefault="0091677A" w:rsidP="00A60002">
      <w:pPr>
        <w:ind w:left="0" w:firstLine="0"/>
        <w:rPr>
          <w:b/>
          <w:color w:val="7030A0"/>
        </w:rPr>
      </w:pPr>
    </w:p>
    <w:p w14:paraId="56D20F49" w14:textId="14F92504" w:rsidR="00A03493" w:rsidRPr="004E1764" w:rsidRDefault="00A03493" w:rsidP="007233DC">
      <w:pPr>
        <w:ind w:left="979" w:hanging="432"/>
        <w:rPr>
          <w:color w:val="7030A0"/>
        </w:rPr>
      </w:pPr>
      <w:r w:rsidRPr="004E1764">
        <w:rPr>
          <w:color w:val="7030A0"/>
        </w:rPr>
        <w:t>This is not applicable.</w:t>
      </w:r>
    </w:p>
    <w:p w14:paraId="60488F48" w14:textId="77777777" w:rsidR="00A03493" w:rsidRPr="004E1764" w:rsidRDefault="00A03493" w:rsidP="00A60002">
      <w:pPr>
        <w:ind w:left="0" w:firstLine="0"/>
        <w:rPr>
          <w:b/>
          <w:color w:val="7030A0"/>
        </w:rPr>
      </w:pPr>
    </w:p>
    <w:p w14:paraId="6ADF5C69" w14:textId="09851212" w:rsidR="00F21528" w:rsidRPr="004E1764" w:rsidRDefault="00F21528" w:rsidP="00F21528">
      <w:pPr>
        <w:ind w:left="432" w:hanging="432"/>
        <w:rPr>
          <w:b/>
          <w:color w:val="7030A0"/>
        </w:rPr>
      </w:pPr>
      <w:r w:rsidRPr="004E1764">
        <w:rPr>
          <w:b/>
          <w:color w:val="7030A0"/>
        </w:rPr>
        <w:t>**RESPOND TO ONLY ONE SECTION BELOW -EITHER 1a.2, 1a.3 or 1a.4) **</w:t>
      </w:r>
    </w:p>
    <w:p w14:paraId="13010C5D" w14:textId="772BCA81" w:rsidR="00D073C2" w:rsidRDefault="00B058A6" w:rsidP="00D073C2">
      <w:pPr>
        <w:pStyle w:val="question"/>
        <w:rPr>
          <w:b/>
          <w:bCs/>
        </w:rPr>
      </w:pPr>
      <w:r w:rsidRPr="004E1764">
        <w:rPr>
          <w:b/>
          <w:bCs/>
          <w:color w:val="7030A0"/>
        </w:rPr>
        <w:t>1</w:t>
      </w:r>
      <w:r w:rsidR="00773485" w:rsidRPr="004E1764">
        <w:rPr>
          <w:b/>
          <w:bCs/>
          <w:color w:val="7030A0"/>
        </w:rPr>
        <w:t>a</w:t>
      </w:r>
      <w:r w:rsidRPr="004E1764">
        <w:rPr>
          <w:b/>
          <w:bCs/>
          <w:color w:val="7030A0"/>
        </w:rPr>
        <w:t>.2</w:t>
      </w:r>
      <w:r w:rsidR="00E41417" w:rsidRPr="00C25F1B">
        <w:t xml:space="preserve"> </w:t>
      </w:r>
      <w:r w:rsidR="0091677A" w:rsidRPr="00C25F1B">
        <w:tab/>
      </w:r>
      <w:r w:rsidR="00C41794" w:rsidRPr="00C25F1B">
        <w:rPr>
          <w:b/>
          <w:bCs/>
        </w:rPr>
        <w:t>FOR OUTCOME MEASURES including PATIENT REPORTED OUTCOMES</w:t>
      </w:r>
      <w:r w:rsidR="003D6721" w:rsidRPr="00C25F1B">
        <w:rPr>
          <w:b/>
          <w:bCs/>
        </w:rPr>
        <w:t xml:space="preserve"> </w:t>
      </w:r>
      <w:r w:rsidR="00C41794" w:rsidRPr="00C25F1B">
        <w:rPr>
          <w:b/>
          <w:bCs/>
        </w:rPr>
        <w:t xml:space="preserve">- </w:t>
      </w:r>
      <w:r w:rsidR="003D6721" w:rsidRPr="00C25F1B">
        <w:rPr>
          <w:b/>
          <w:bCs/>
        </w:rPr>
        <w:t>Provide empirical data demonstrating</w:t>
      </w:r>
      <w:r w:rsidR="001D5B5D" w:rsidRPr="00C25F1B">
        <w:rPr>
          <w:b/>
          <w:bCs/>
        </w:rPr>
        <w:t xml:space="preserve"> </w:t>
      </w:r>
      <w:r w:rsidR="008B51D9" w:rsidRPr="00C25F1B">
        <w:rPr>
          <w:b/>
          <w:bCs/>
        </w:rPr>
        <w:t xml:space="preserve">the </w:t>
      </w:r>
      <w:r w:rsidR="005D25E9" w:rsidRPr="00C25F1B">
        <w:rPr>
          <w:b/>
          <w:bCs/>
        </w:rPr>
        <w:t xml:space="preserve">relationship </w:t>
      </w:r>
      <w:r w:rsidR="00AC1E53" w:rsidRPr="00C25F1B">
        <w:rPr>
          <w:b/>
          <w:bCs/>
        </w:rPr>
        <w:t>between</w:t>
      </w:r>
      <w:r w:rsidR="005D25E9" w:rsidRPr="00C25F1B">
        <w:rPr>
          <w:b/>
          <w:bCs/>
        </w:rPr>
        <w:t xml:space="preserve"> the </w:t>
      </w:r>
      <w:r w:rsidR="008B51D9" w:rsidRPr="00C25F1B">
        <w:rPr>
          <w:b/>
          <w:bCs/>
        </w:rPr>
        <w:t>outcome</w:t>
      </w:r>
      <w:r w:rsidR="005857F8" w:rsidRPr="00C25F1B">
        <w:rPr>
          <w:b/>
          <w:bCs/>
        </w:rPr>
        <w:t xml:space="preserve"> </w:t>
      </w:r>
      <w:r w:rsidR="00AA5587" w:rsidRPr="00C25F1B">
        <w:rPr>
          <w:b/>
          <w:bCs/>
        </w:rPr>
        <w:t>(</w:t>
      </w:r>
      <w:proofErr w:type="gramStart"/>
      <w:r w:rsidR="005857F8" w:rsidRPr="00C25F1B">
        <w:rPr>
          <w:b/>
          <w:bCs/>
        </w:rPr>
        <w:t>or</w:t>
      </w:r>
      <w:proofErr w:type="gramEnd"/>
      <w:r w:rsidR="005857F8" w:rsidRPr="00C25F1B">
        <w:rPr>
          <w:b/>
          <w:bCs/>
        </w:rPr>
        <w:t xml:space="preserve"> PRO</w:t>
      </w:r>
      <w:r w:rsidR="00AA5587" w:rsidRPr="00C25F1B">
        <w:rPr>
          <w:b/>
          <w:bCs/>
        </w:rPr>
        <w:t>)</w:t>
      </w:r>
      <w:r w:rsidR="008B51D9" w:rsidRPr="00C25F1B">
        <w:rPr>
          <w:b/>
          <w:bCs/>
        </w:rPr>
        <w:t xml:space="preserve"> </w:t>
      </w:r>
      <w:r w:rsidR="005D25E9" w:rsidRPr="00C25F1B">
        <w:rPr>
          <w:b/>
          <w:bCs/>
        </w:rPr>
        <w:t>to</w:t>
      </w:r>
      <w:r w:rsidR="00236F87" w:rsidRPr="00C25F1B">
        <w:rPr>
          <w:b/>
          <w:bCs/>
        </w:rPr>
        <w:t xml:space="preserve"> </w:t>
      </w:r>
      <w:r w:rsidR="00496AF8" w:rsidRPr="00C25F1B">
        <w:rPr>
          <w:b/>
          <w:bCs/>
        </w:rPr>
        <w:t>at least one</w:t>
      </w:r>
      <w:r w:rsidR="009B5BEA" w:rsidRPr="00C25F1B">
        <w:rPr>
          <w:b/>
          <w:bCs/>
        </w:rPr>
        <w:t xml:space="preserve"> </w:t>
      </w:r>
      <w:r w:rsidR="00496AF8" w:rsidRPr="00C25F1B">
        <w:rPr>
          <w:b/>
          <w:bCs/>
        </w:rPr>
        <w:t>healthcare structure, process, intervention, or service</w:t>
      </w:r>
      <w:r w:rsidR="00676BD4" w:rsidRPr="00C25F1B">
        <w:rPr>
          <w:b/>
          <w:bCs/>
        </w:rPr>
        <w:t>.</w:t>
      </w:r>
    </w:p>
    <w:p w14:paraId="5FCA5079" w14:textId="77777777" w:rsidR="001D1467" w:rsidRPr="004E1764" w:rsidRDefault="001D1467" w:rsidP="001D1467">
      <w:pPr>
        <w:ind w:left="432" w:hanging="432"/>
        <w:rPr>
          <w:color w:val="7030A0"/>
        </w:rPr>
      </w:pPr>
    </w:p>
    <w:p w14:paraId="6604BA36" w14:textId="6F7E0A25" w:rsidR="001D1467" w:rsidRPr="00D073C2" w:rsidRDefault="001D1467" w:rsidP="007233DC">
      <w:pPr>
        <w:ind w:left="979" w:hanging="432"/>
        <w:rPr>
          <w:rStyle w:val="Style1"/>
          <w:b/>
          <w:bCs/>
          <w:color w:val="auto"/>
        </w:rPr>
      </w:pPr>
      <w:r w:rsidRPr="004E1764">
        <w:rPr>
          <w:color w:val="7030A0"/>
        </w:rPr>
        <w:t>This is not applicable.</w:t>
      </w:r>
    </w:p>
    <w:p w14:paraId="52B322A1" w14:textId="3B5B77C3" w:rsidR="00496AF8" w:rsidRPr="0091677A" w:rsidRDefault="002B06BD" w:rsidP="0091677A">
      <w:pPr>
        <w:pStyle w:val="question"/>
        <w:rPr>
          <w:b/>
          <w:bCs/>
        </w:rPr>
      </w:pPr>
      <w:r w:rsidRPr="004E1764">
        <w:rPr>
          <w:b/>
          <w:bCs/>
          <w:color w:val="7030A0"/>
        </w:rPr>
        <w:t>1a.3</w:t>
      </w:r>
      <w:r w:rsidRPr="004E1764">
        <w:rPr>
          <w:b/>
          <w:iCs w:val="0"/>
          <w:color w:val="7030A0"/>
        </w:rPr>
        <w:t xml:space="preserve"> </w:t>
      </w:r>
      <w:r w:rsidR="0091677A" w:rsidRPr="004E1764">
        <w:rPr>
          <w:b/>
          <w:iCs w:val="0"/>
          <w:color w:val="7030A0"/>
        </w:rPr>
        <w:tab/>
      </w:r>
      <w:r w:rsidR="00C41794" w:rsidRPr="004E1764">
        <w:rPr>
          <w:b/>
          <w:iCs w:val="0"/>
          <w:color w:val="7030A0"/>
        </w:rPr>
        <w:t>SYSTEMATIC REVIEW</w:t>
      </w:r>
      <w:r w:rsidR="00AB4ECE" w:rsidRPr="004E1764">
        <w:rPr>
          <w:b/>
          <w:iCs w:val="0"/>
          <w:color w:val="7030A0"/>
        </w:rPr>
        <w:t>(SR)</w:t>
      </w:r>
      <w:r w:rsidR="00C41794" w:rsidRPr="004E1764">
        <w:rPr>
          <w:b/>
          <w:iCs w:val="0"/>
          <w:color w:val="7030A0"/>
        </w:rPr>
        <w:t xml:space="preserve"> OF THE EVIDENCE</w:t>
      </w:r>
      <w:r w:rsidR="00C41794" w:rsidRPr="0091677A">
        <w:rPr>
          <w:b/>
          <w:bCs/>
        </w:rPr>
        <w:t xml:space="preserve"> (for</w:t>
      </w:r>
      <w:r w:rsidR="00C41794" w:rsidRPr="0091677A">
        <w:rPr>
          <w:b/>
          <w:bCs/>
          <w:caps/>
        </w:rPr>
        <w:t xml:space="preserve"> </w:t>
      </w:r>
      <w:r w:rsidR="002F20A7" w:rsidRPr="0091677A">
        <w:rPr>
          <w:b/>
          <w:bCs/>
          <w:caps/>
        </w:rPr>
        <w:t>intermediate outcome</w:t>
      </w:r>
      <w:r w:rsidR="007573F0" w:rsidRPr="0091677A">
        <w:rPr>
          <w:b/>
          <w:bCs/>
          <w:caps/>
        </w:rPr>
        <w:t>, PROCESS, or STRUCTURE</w:t>
      </w:r>
      <w:r w:rsidR="002F20A7" w:rsidRPr="0091677A">
        <w:rPr>
          <w:b/>
          <w:bCs/>
          <w:caps/>
        </w:rPr>
        <w:t xml:space="preserve"> </w:t>
      </w:r>
      <w:r w:rsidR="0055559D" w:rsidRPr="0091677A">
        <w:rPr>
          <w:b/>
          <w:bCs/>
          <w:caps/>
        </w:rPr>
        <w:t xml:space="preserve">PERFORMANCE </w:t>
      </w:r>
      <w:r w:rsidR="00C41794" w:rsidRPr="0091677A">
        <w:rPr>
          <w:b/>
          <w:bCs/>
          <w:caps/>
        </w:rPr>
        <w:t>measures</w:t>
      </w:r>
      <w:r w:rsidR="003D6721" w:rsidRPr="0091677A">
        <w:rPr>
          <w:b/>
          <w:bCs/>
          <w:caps/>
        </w:rPr>
        <w:t>, including those that are instrument-based</w:t>
      </w:r>
      <w:r w:rsidR="00C41794" w:rsidRPr="0091677A">
        <w:rPr>
          <w:b/>
          <w:bCs/>
          <w:caps/>
        </w:rPr>
        <w:t>)</w:t>
      </w:r>
      <w:r w:rsidR="00C41794" w:rsidRPr="0091677A">
        <w:rPr>
          <w:b/>
          <w:bCs/>
        </w:rPr>
        <w:t xml:space="preserve"> If </w:t>
      </w:r>
      <w:r w:rsidR="00C41794" w:rsidRPr="0091677A">
        <w:rPr>
          <w:b/>
          <w:bCs/>
        </w:rPr>
        <w:lastRenderedPageBreak/>
        <w:t>the evidence is not based on a system</w:t>
      </w:r>
      <w:r w:rsidR="00AB4ECE" w:rsidRPr="0091677A">
        <w:rPr>
          <w:b/>
          <w:bCs/>
        </w:rPr>
        <w:t>a</w:t>
      </w:r>
      <w:r w:rsidR="00C41794" w:rsidRPr="0091677A">
        <w:rPr>
          <w:b/>
          <w:bCs/>
        </w:rPr>
        <w:t>tic review go to section 1a.4)</w:t>
      </w:r>
      <w:r w:rsidR="00AB4ECE" w:rsidRPr="0091677A">
        <w:rPr>
          <w:b/>
          <w:bCs/>
        </w:rPr>
        <w:t xml:space="preserve"> If you wish to include more than one systematic review, add </w:t>
      </w:r>
      <w:r w:rsidR="000F4A7F" w:rsidRPr="0091677A">
        <w:rPr>
          <w:b/>
          <w:bCs/>
        </w:rPr>
        <w:t>additional tables.</w:t>
      </w:r>
      <w:r w:rsidR="00496AF8" w:rsidRPr="0091677A">
        <w:rPr>
          <w:b/>
          <w:bCs/>
        </w:rPr>
        <w:t xml:space="preserve"> </w:t>
      </w:r>
    </w:p>
    <w:p w14:paraId="12CC6B10" w14:textId="77777777" w:rsidR="0091677A" w:rsidRDefault="0091677A" w:rsidP="002E2177">
      <w:pPr>
        <w:ind w:left="0" w:firstLine="0"/>
        <w:rPr>
          <w:b/>
        </w:rPr>
      </w:pPr>
      <w:bookmarkStart w:id="7" w:name="Section1a3"/>
      <w:bookmarkEnd w:id="7"/>
    </w:p>
    <w:p w14:paraId="14C9CD17" w14:textId="768D532D" w:rsidR="00075BAE" w:rsidRPr="004E1764" w:rsidRDefault="00FD4D82" w:rsidP="002E2177">
      <w:pPr>
        <w:ind w:left="0" w:firstLine="0"/>
        <w:rPr>
          <w:rFonts w:ascii="Times New Roman" w:eastAsia="Arial Unicode MS" w:hAnsi="Times New Roman" w:cs="Mangal"/>
          <w:color w:val="7030A0"/>
          <w:kern w:val="1"/>
          <w:sz w:val="24"/>
          <w:szCs w:val="24"/>
          <w:cs/>
          <w:lang w:eastAsia="hi-IN" w:bidi="hi-IN"/>
        </w:rPr>
      </w:pPr>
      <w:r w:rsidRPr="00075BAE">
        <w:rPr>
          <w:b/>
        </w:rPr>
        <w:t>What is the source of</w:t>
      </w:r>
      <w:r w:rsidR="00030F43" w:rsidRPr="00075BAE">
        <w:rPr>
          <w:b/>
        </w:rPr>
        <w:t xml:space="preserve"> the</w:t>
      </w:r>
      <w:r w:rsidRPr="00075BAE">
        <w:rPr>
          <w:b/>
        </w:rPr>
        <w:t xml:space="preserve"> </w:t>
      </w:r>
      <w:r w:rsidR="007573F0" w:rsidRPr="00075BAE">
        <w:rPr>
          <w:b/>
          <w:u w:val="single"/>
        </w:rPr>
        <w:t xml:space="preserve">systematic review of the body of </w:t>
      </w:r>
      <w:r w:rsidRPr="00075BAE">
        <w:rPr>
          <w:b/>
          <w:u w:val="single"/>
        </w:rPr>
        <w:t>evi</w:t>
      </w:r>
      <w:r w:rsidR="00201FF9" w:rsidRPr="00075BAE">
        <w:rPr>
          <w:b/>
          <w:u w:val="single"/>
        </w:rPr>
        <w:t>dence</w:t>
      </w:r>
      <w:r w:rsidR="00201FF9" w:rsidRPr="00075BAE">
        <w:rPr>
          <w:b/>
        </w:rPr>
        <w:t xml:space="preserve"> that </w:t>
      </w:r>
      <w:r w:rsidR="00BA579E" w:rsidRPr="00075BAE">
        <w:rPr>
          <w:b/>
        </w:rPr>
        <w:t xml:space="preserve">supports </w:t>
      </w:r>
      <w:r w:rsidR="007C1887" w:rsidRPr="00075BAE">
        <w:rPr>
          <w:b/>
        </w:rPr>
        <w:t xml:space="preserve">the </w:t>
      </w:r>
      <w:r w:rsidR="00BA579E" w:rsidRPr="00075BAE">
        <w:rPr>
          <w:b/>
        </w:rPr>
        <w:t>performance measure</w:t>
      </w:r>
      <w:r w:rsidRPr="00075BAE">
        <w:rPr>
          <w:b/>
        </w:rPr>
        <w:t>?</w:t>
      </w:r>
      <w:r w:rsidR="004E0AA8">
        <w:rPr>
          <w:rFonts w:ascii="Calibri" w:eastAsia="Calibri" w:hAnsi="Calibri" w:cs="Times New Roman"/>
          <w:b/>
        </w:rPr>
        <w:t xml:space="preserve"> </w:t>
      </w:r>
      <w:r w:rsidR="00A9011D">
        <w:rPr>
          <w:rFonts w:ascii="Calibri" w:eastAsia="Calibri" w:hAnsi="Calibri" w:cs="Times New Roman"/>
          <w:b/>
        </w:rPr>
        <w:t xml:space="preserve">A systematic review is a scientific investigation that focuses on a specific question and uses explicit, </w:t>
      </w:r>
      <w:proofErr w:type="spellStart"/>
      <w:r w:rsidR="00A9011D">
        <w:rPr>
          <w:rFonts w:ascii="Calibri" w:eastAsia="Calibri" w:hAnsi="Calibri" w:cs="Times New Roman"/>
          <w:b/>
        </w:rPr>
        <w:t>prespecified</w:t>
      </w:r>
      <w:proofErr w:type="spellEnd"/>
      <w:r w:rsidR="00A9011D">
        <w:rPr>
          <w:rFonts w:ascii="Calibri" w:eastAsia="Calibri" w:hAnsi="Calibri" w:cs="Times New Roman"/>
          <w:b/>
        </w:rPr>
        <w:t xml:space="preserve"> scientific methods to identify, select, assess, and summarize the findings of similar but separate studies. It may include a quantitative synthesis (meta-analysis), depending on the available data. (IOM)</w:t>
      </w:r>
    </w:p>
    <w:p w14:paraId="63A4CA20" w14:textId="4FBD6485" w:rsidR="00FD4D82" w:rsidRPr="00075BAE" w:rsidRDefault="00194926" w:rsidP="002E2177">
      <w:pPr>
        <w:ind w:left="0" w:firstLine="0"/>
      </w:pPr>
      <w:sdt>
        <w:sdtPr>
          <w:rPr>
            <w:bCs/>
            <w:color w:val="7030A0"/>
          </w:rPr>
          <w:id w:val="-468508862"/>
          <w14:checkbox>
            <w14:checked w14:val="0"/>
            <w14:checkedState w14:val="2612" w14:font="MS Gothic"/>
            <w14:uncheckedState w14:val="2610" w14:font="MS Gothic"/>
          </w14:checkbox>
        </w:sdtPr>
        <w:sdtEndPr/>
        <w:sdtContent>
          <w:r w:rsidR="003D30AA" w:rsidRPr="004E1764">
            <w:rPr>
              <w:rFonts w:ascii="MS Gothic" w:eastAsia="MS Gothic" w:hAnsi="MS Gothic" w:hint="eastAsia"/>
              <w:bCs/>
              <w:color w:val="7030A0"/>
            </w:rPr>
            <w:t>☐</w:t>
          </w:r>
        </w:sdtContent>
      </w:sdt>
      <w:r w:rsidR="001B38BF" w:rsidRPr="00075BAE">
        <w:t xml:space="preserve"> Clinical Practice </w:t>
      </w:r>
      <w:r w:rsidR="00AA5587" w:rsidRPr="00075BAE">
        <w:t>G</w:t>
      </w:r>
      <w:r w:rsidR="001B38BF" w:rsidRPr="00075BAE">
        <w:t>uideline</w:t>
      </w:r>
      <w:r w:rsidR="00E746A2" w:rsidRPr="00075BAE">
        <w:t xml:space="preserve"> recommendation</w:t>
      </w:r>
      <w:r w:rsidR="001B38BF" w:rsidRPr="00075BAE">
        <w:t xml:space="preserve"> </w:t>
      </w:r>
      <w:r w:rsidR="00EC1225">
        <w:rPr>
          <w:rFonts w:ascii="Calibri" w:eastAsia="Calibri" w:hAnsi="Calibri" w:cs="Times New Roman"/>
        </w:rPr>
        <w:t>(with evidence review)</w:t>
      </w:r>
    </w:p>
    <w:p w14:paraId="43EB1999" w14:textId="6FB12D77" w:rsidR="00FD4D82" w:rsidRPr="00075BAE" w:rsidRDefault="00A9011D" w:rsidP="002E2177">
      <w:pPr>
        <w:ind w:left="0" w:firstLine="0"/>
        <w:rPr>
          <w:rFonts w:ascii="Calibri" w:hAnsi="Calibri"/>
          <w:b/>
          <w:i/>
        </w:rPr>
      </w:pPr>
      <w:r w:rsidRPr="004E1764">
        <w:rPr>
          <w:rFonts w:ascii="Segoe UI Symbol" w:eastAsia="Arial Unicode MS" w:hAnsi="Segoe UI Symbol" w:cs="Segoe UI Symbol" w:hint="cs"/>
          <w:color w:val="7030A0"/>
          <w:kern w:val="1"/>
          <w:sz w:val="24"/>
          <w:szCs w:val="24"/>
          <w:cs/>
          <w:lang w:eastAsia="hi-IN" w:bidi="hi-IN"/>
        </w:rPr>
        <w:t>☐</w:t>
      </w:r>
      <w:r w:rsidR="00FD4D82" w:rsidRPr="00F21528">
        <w:rPr>
          <w:rFonts w:ascii="Calibri" w:hAnsi="Calibri"/>
        </w:rPr>
        <w:t xml:space="preserve"> US Preventive Services Task Force Recommendation</w:t>
      </w:r>
    </w:p>
    <w:p w14:paraId="2D41D29B" w14:textId="4FC0A390" w:rsidR="007573F0" w:rsidRPr="00075BAE" w:rsidRDefault="00A9011D" w:rsidP="002E2177">
      <w:pPr>
        <w:ind w:left="0" w:firstLine="0"/>
        <w:rPr>
          <w:rFonts w:ascii="Calibri" w:hAnsi="Calibri"/>
        </w:rPr>
      </w:pPr>
      <w:r w:rsidRPr="004E1764">
        <w:rPr>
          <w:rFonts w:ascii="Segoe UI Symbol" w:eastAsia="Arial Unicode MS" w:hAnsi="Segoe UI Symbol" w:cs="Segoe UI Symbol" w:hint="cs"/>
          <w:color w:val="7030A0"/>
          <w:kern w:val="1"/>
          <w:sz w:val="24"/>
          <w:szCs w:val="24"/>
          <w:cs/>
          <w:lang w:eastAsia="hi-IN" w:bidi="hi-IN"/>
        </w:rPr>
        <w:t>☐</w:t>
      </w:r>
      <w:r w:rsidR="007573F0" w:rsidRPr="00075BAE">
        <w:rPr>
          <w:rFonts w:ascii="Calibri" w:hAnsi="Calibri"/>
        </w:rPr>
        <w:t xml:space="preserve"> Other systematic review and grading of the body of evidence (</w:t>
      </w:r>
      <w:r w:rsidR="007573F0" w:rsidRPr="00075BAE">
        <w:rPr>
          <w:rFonts w:ascii="Calibri" w:hAnsi="Calibri"/>
          <w:i/>
        </w:rPr>
        <w:t>e.g., Cochrane Collaboration, AHRQ Evidence Practice Center</w:t>
      </w:r>
      <w:r w:rsidR="007573F0" w:rsidRPr="00075BAE">
        <w:rPr>
          <w:rFonts w:ascii="Calibri" w:hAnsi="Calibri"/>
        </w:rPr>
        <w:t xml:space="preserve">) </w:t>
      </w:r>
    </w:p>
    <w:p w14:paraId="3DB0D99E" w14:textId="77777777" w:rsidR="00045C47" w:rsidRDefault="00A9011D" w:rsidP="002E2177">
      <w:pPr>
        <w:ind w:left="0" w:firstLine="0"/>
        <w:rPr>
          <w:rFonts w:ascii="Calibri" w:eastAsia="Calibri" w:hAnsi="Calibri" w:cs="Times New Roman"/>
        </w:rPr>
      </w:pPr>
      <w:r w:rsidRPr="004E1764">
        <w:rPr>
          <w:rFonts w:ascii="Segoe UI Symbol" w:eastAsia="Arial Unicode MS" w:hAnsi="Segoe UI Symbol" w:cs="Segoe UI Symbol" w:hint="cs"/>
          <w:color w:val="7030A0"/>
          <w:kern w:val="1"/>
          <w:sz w:val="24"/>
          <w:szCs w:val="24"/>
          <w:cs/>
          <w:lang w:eastAsia="hi-IN" w:bidi="hi-IN"/>
        </w:rPr>
        <w:t>☐</w:t>
      </w:r>
      <w:r w:rsidRPr="00A9011D">
        <w:rPr>
          <w:rFonts w:ascii="Calibri" w:eastAsia="Calibri" w:hAnsi="Calibri" w:cs="Times New Roman"/>
        </w:rPr>
        <w:t xml:space="preserve"> Other</w:t>
      </w:r>
    </w:p>
    <w:p w14:paraId="716BEA48" w14:textId="77777777" w:rsidR="00045C47" w:rsidRDefault="00045C47" w:rsidP="002E2177">
      <w:pPr>
        <w:ind w:left="0" w:firstLine="0"/>
        <w:rPr>
          <w:rFonts w:ascii="Calibri" w:eastAsia="Calibri" w:hAnsi="Calibri" w:cs="Times New Roman"/>
        </w:rPr>
      </w:pPr>
    </w:p>
    <w:p w14:paraId="36E826A3" w14:textId="656BBA28" w:rsidR="007E3004" w:rsidRPr="00967A7F" w:rsidRDefault="007E3004" w:rsidP="00372000">
      <w:pPr>
        <w:pStyle w:val="Response"/>
        <w:numPr>
          <w:ilvl w:val="0"/>
          <w:numId w:val="6"/>
        </w:numPr>
        <w:ind w:left="360"/>
        <w:rPr>
          <w:color w:val="C00000"/>
        </w:rPr>
      </w:pPr>
      <w:r w:rsidRPr="00967A7F">
        <w:rPr>
          <w:color w:val="C00000"/>
        </w:rPr>
        <w:t>Guideline for Prevention of Catheter-Associated Urinary Tract Infections 2009. Centers for Disease Control and Prevention</w:t>
      </w:r>
      <w:r w:rsidR="00BB787C" w:rsidRPr="00967A7F">
        <w:rPr>
          <w:color w:val="C00000"/>
        </w:rPr>
        <w:t>. Updated February 2017.</w:t>
      </w:r>
      <w:hyperlink w:history="1"/>
      <w:r w:rsidR="004B26A7" w:rsidRPr="00967A7F">
        <w:rPr>
          <w:color w:val="C00000"/>
        </w:rPr>
        <w:t xml:space="preserve"> </w:t>
      </w:r>
      <w:hyperlink r:id="rId22" w:anchor="anchor_1552413639" w:history="1">
        <w:r w:rsidR="00A03493" w:rsidRPr="00967A7F">
          <w:rPr>
            <w:rStyle w:val="Hyperlink"/>
            <w:color w:val="C00000"/>
          </w:rPr>
          <w:t>https://www.cdc.gov/infectioncontrol/guidelines/CAUTI/index.html#anchor_1552413639</w:t>
        </w:r>
      </w:hyperlink>
      <w:r w:rsidR="00A03493" w:rsidRPr="00967A7F">
        <w:rPr>
          <w:color w:val="C00000"/>
        </w:rPr>
        <w:t xml:space="preserve"> </w:t>
      </w:r>
    </w:p>
    <w:p w14:paraId="5AACB1D1" w14:textId="3B2220E0" w:rsidR="00877D08" w:rsidRPr="00967A7F" w:rsidRDefault="007E3004" w:rsidP="00877D08">
      <w:pPr>
        <w:pStyle w:val="Response"/>
        <w:ind w:left="0"/>
        <w:rPr>
          <w:color w:val="C00000"/>
        </w:rPr>
      </w:pPr>
      <w:r w:rsidRPr="00967A7F">
        <w:rPr>
          <w:color w:val="C00000"/>
        </w:rPr>
        <w:t>FROM CDC:</w:t>
      </w:r>
      <w:r w:rsidR="00877D08" w:rsidRPr="00967A7F">
        <w:rPr>
          <w:color w:val="C00000"/>
        </w:rPr>
        <w:t xml:space="preserve"> Summary of Recommendations</w:t>
      </w:r>
    </w:p>
    <w:p w14:paraId="27540080" w14:textId="5CA40125" w:rsidR="00877D08" w:rsidRPr="00967A7F" w:rsidRDefault="00877D08" w:rsidP="00877D08">
      <w:pPr>
        <w:rPr>
          <w:color w:val="C00000"/>
        </w:rPr>
      </w:pPr>
    </w:p>
    <w:p w14:paraId="3E489EAE" w14:textId="24B9EC9C" w:rsidR="00877D08" w:rsidRPr="00967A7F" w:rsidRDefault="00877D08" w:rsidP="003D30AA">
      <w:pPr>
        <w:ind w:left="0" w:firstLine="0"/>
        <w:jc w:val="center"/>
        <w:rPr>
          <w:b/>
          <w:bCs/>
          <w:color w:val="C00000"/>
        </w:rPr>
      </w:pPr>
      <w:r w:rsidRPr="00967A7F">
        <w:rPr>
          <w:b/>
          <w:bCs/>
          <w:color w:val="C00000"/>
        </w:rPr>
        <w:t>Table 1.</w:t>
      </w:r>
      <w:r w:rsidRPr="00967A7F">
        <w:rPr>
          <w:b/>
          <w:bCs/>
          <w:color w:val="C00000"/>
        </w:rPr>
        <w:br/>
        <w:t>Modified</w:t>
      </w:r>
      <w:r w:rsidR="009012CF" w:rsidRPr="00967A7F">
        <w:rPr>
          <w:b/>
          <w:bCs/>
          <w:color w:val="C00000"/>
        </w:rPr>
        <w:t xml:space="preserve"> Healthcare Infection Control Practices Advisory Committee Categorization</w:t>
      </w:r>
      <w:r w:rsidRPr="00967A7F">
        <w:rPr>
          <w:b/>
          <w:bCs/>
          <w:color w:val="C00000"/>
        </w:rPr>
        <w:t xml:space="preserve"> </w:t>
      </w:r>
      <w:r w:rsidR="009012CF" w:rsidRPr="00967A7F">
        <w:rPr>
          <w:b/>
          <w:bCs/>
          <w:color w:val="C00000"/>
        </w:rPr>
        <w:t>(</w:t>
      </w:r>
      <w:r w:rsidRPr="00967A7F">
        <w:rPr>
          <w:b/>
          <w:bCs/>
          <w:color w:val="C00000"/>
        </w:rPr>
        <w:t>HICPAC</w:t>
      </w:r>
      <w:proofErr w:type="gramStart"/>
      <w:r w:rsidR="009012CF" w:rsidRPr="00967A7F">
        <w:rPr>
          <w:b/>
          <w:bCs/>
          <w:color w:val="C00000"/>
        </w:rPr>
        <w:t>)</w:t>
      </w:r>
      <w:proofErr w:type="gramEnd"/>
      <w:r w:rsidR="00751A64" w:rsidRPr="00967A7F">
        <w:rPr>
          <w:b/>
          <w:bCs/>
          <w:color w:val="C00000"/>
        </w:rPr>
        <w:br/>
      </w:r>
      <w:r w:rsidRPr="00967A7F">
        <w:rPr>
          <w:b/>
          <w:bCs/>
          <w:color w:val="C00000"/>
        </w:rPr>
        <w:t>Scheme* for Recommendations</w:t>
      </w:r>
    </w:p>
    <w:tbl>
      <w:tblPr>
        <w:tblW w:w="8956" w:type="dxa"/>
        <w:tblInd w:w="180" w:type="dxa"/>
        <w:tblBorders>
          <w:top w:val="single" w:sz="12" w:space="0" w:color="0000FF"/>
          <w:bottom w:val="single" w:sz="12" w:space="0" w:color="0000FF"/>
        </w:tblBorders>
        <w:tblLayout w:type="fixed"/>
        <w:tblLook w:val="0000" w:firstRow="0" w:lastRow="0" w:firstColumn="0" w:lastColumn="0" w:noHBand="0" w:noVBand="0"/>
        <w:tblCaption w:val="Table 1. Modified Healthcare Infection Control Practices Advisory Committee Categorization (HICPAC)"/>
        <w:tblDescription w:val="Table 1 provides descriptions for Category IA, IB, IC, II, and no recommendation/resolved issue."/>
      </w:tblPr>
      <w:tblGrid>
        <w:gridCol w:w="4130"/>
        <w:gridCol w:w="4826"/>
      </w:tblGrid>
      <w:tr w:rsidR="003C4642" w:rsidRPr="003C4642" w14:paraId="33207A88" w14:textId="77777777" w:rsidTr="00404081">
        <w:trPr>
          <w:cantSplit/>
          <w:trHeight w:val="272"/>
          <w:tblHeader/>
        </w:trPr>
        <w:tc>
          <w:tcPr>
            <w:tcW w:w="4130" w:type="dxa"/>
            <w:tcBorders>
              <w:top w:val="single" w:sz="12" w:space="0" w:color="C00000"/>
              <w:bottom w:val="single" w:sz="8" w:space="0" w:color="C00000"/>
            </w:tcBorders>
          </w:tcPr>
          <w:p w14:paraId="02FC49D6" w14:textId="77777777" w:rsidR="00877D08" w:rsidRPr="00404081" w:rsidRDefault="00877D08" w:rsidP="001236DF">
            <w:pPr>
              <w:pStyle w:val="Response"/>
              <w:spacing w:before="0" w:after="0"/>
              <w:ind w:left="0"/>
              <w:rPr>
                <w:color w:val="C00000"/>
              </w:rPr>
            </w:pPr>
            <w:r w:rsidRPr="00404081">
              <w:rPr>
                <w:color w:val="C00000"/>
              </w:rPr>
              <w:t>Rank</w:t>
            </w:r>
          </w:p>
        </w:tc>
        <w:tc>
          <w:tcPr>
            <w:tcW w:w="4826" w:type="dxa"/>
            <w:tcBorders>
              <w:top w:val="single" w:sz="12" w:space="0" w:color="C00000"/>
              <w:bottom w:val="single" w:sz="8" w:space="0" w:color="C00000"/>
            </w:tcBorders>
          </w:tcPr>
          <w:p w14:paraId="23A95B4E" w14:textId="77777777" w:rsidR="00877D08" w:rsidRPr="00404081" w:rsidRDefault="00877D08" w:rsidP="001236DF">
            <w:pPr>
              <w:pStyle w:val="Response"/>
              <w:spacing w:before="0" w:after="0"/>
              <w:ind w:left="0"/>
              <w:rPr>
                <w:color w:val="C00000"/>
              </w:rPr>
            </w:pPr>
            <w:r w:rsidRPr="00404081">
              <w:rPr>
                <w:color w:val="C00000"/>
              </w:rPr>
              <w:t>Description</w:t>
            </w:r>
          </w:p>
        </w:tc>
      </w:tr>
      <w:tr w:rsidR="003C4642" w:rsidRPr="003C4642" w14:paraId="23173AFC" w14:textId="77777777" w:rsidTr="00404081">
        <w:trPr>
          <w:cantSplit/>
          <w:trHeight w:val="272"/>
          <w:tblHeader/>
        </w:trPr>
        <w:tc>
          <w:tcPr>
            <w:tcW w:w="4130" w:type="dxa"/>
            <w:tcBorders>
              <w:top w:val="single" w:sz="8" w:space="0" w:color="C00000"/>
              <w:bottom w:val="nil"/>
            </w:tcBorders>
          </w:tcPr>
          <w:p w14:paraId="000990EC" w14:textId="77777777" w:rsidR="00877D08" w:rsidRPr="00967A7F" w:rsidRDefault="00877D08" w:rsidP="001236DF">
            <w:pPr>
              <w:pStyle w:val="Response"/>
              <w:spacing w:before="0" w:after="0"/>
              <w:ind w:left="0"/>
              <w:rPr>
                <w:color w:val="C00000"/>
              </w:rPr>
            </w:pPr>
            <w:r w:rsidRPr="00967A7F">
              <w:rPr>
                <w:color w:val="C00000"/>
              </w:rPr>
              <w:t xml:space="preserve">Category IA </w:t>
            </w:r>
          </w:p>
        </w:tc>
        <w:tc>
          <w:tcPr>
            <w:tcW w:w="4826" w:type="dxa"/>
            <w:tcBorders>
              <w:top w:val="single" w:sz="8" w:space="0" w:color="C00000"/>
              <w:bottom w:val="nil"/>
            </w:tcBorders>
          </w:tcPr>
          <w:p w14:paraId="0A09553A" w14:textId="77777777" w:rsidR="00877D08" w:rsidRPr="00967A7F" w:rsidRDefault="00877D08" w:rsidP="001236DF">
            <w:pPr>
              <w:pStyle w:val="Response"/>
              <w:spacing w:before="0" w:after="0"/>
              <w:ind w:left="0"/>
              <w:rPr>
                <w:color w:val="C00000"/>
              </w:rPr>
            </w:pPr>
            <w:r w:rsidRPr="00967A7F">
              <w:rPr>
                <w:color w:val="C00000"/>
              </w:rPr>
              <w:t xml:space="preserve">A strong recommendation supported by high to moderate quality† evidence suggesting net clinical benefits or harms </w:t>
            </w:r>
          </w:p>
        </w:tc>
      </w:tr>
      <w:tr w:rsidR="003C4642" w:rsidRPr="003C4642" w14:paraId="46F2F55A" w14:textId="77777777" w:rsidTr="005D5CDF">
        <w:trPr>
          <w:cantSplit/>
          <w:trHeight w:val="399"/>
          <w:tblHeader/>
        </w:trPr>
        <w:tc>
          <w:tcPr>
            <w:tcW w:w="4130" w:type="dxa"/>
            <w:tcBorders>
              <w:top w:val="nil"/>
            </w:tcBorders>
          </w:tcPr>
          <w:p w14:paraId="4D3E9D6C" w14:textId="77777777" w:rsidR="00877D08" w:rsidRPr="00967A7F" w:rsidRDefault="00877D08" w:rsidP="001236DF">
            <w:pPr>
              <w:pStyle w:val="Response"/>
              <w:spacing w:before="0" w:after="0"/>
              <w:ind w:left="0"/>
              <w:rPr>
                <w:color w:val="C00000"/>
              </w:rPr>
            </w:pPr>
            <w:r w:rsidRPr="00967A7F">
              <w:rPr>
                <w:color w:val="C00000"/>
              </w:rPr>
              <w:t xml:space="preserve">Category IB </w:t>
            </w:r>
          </w:p>
        </w:tc>
        <w:tc>
          <w:tcPr>
            <w:tcW w:w="4826" w:type="dxa"/>
            <w:tcBorders>
              <w:top w:val="nil"/>
            </w:tcBorders>
          </w:tcPr>
          <w:p w14:paraId="762A119F" w14:textId="77777777" w:rsidR="00877D08" w:rsidRPr="00967A7F" w:rsidRDefault="00877D08" w:rsidP="001236DF">
            <w:pPr>
              <w:pStyle w:val="Response"/>
              <w:spacing w:before="0" w:after="0"/>
              <w:ind w:left="0"/>
              <w:rPr>
                <w:color w:val="C00000"/>
              </w:rPr>
            </w:pPr>
            <w:r w:rsidRPr="00967A7F">
              <w:rPr>
                <w:color w:val="C00000"/>
              </w:rPr>
              <w:t xml:space="preserve">A strong recommendation supported by low quality evidence suggesting net clinical benefits or harms or an accepted practice (e.g., aseptic technique) supported by low to very low quality evidence </w:t>
            </w:r>
          </w:p>
        </w:tc>
      </w:tr>
      <w:tr w:rsidR="003C4642" w:rsidRPr="003C4642" w14:paraId="720DA925" w14:textId="77777777" w:rsidTr="00D528DF">
        <w:trPr>
          <w:cantSplit/>
          <w:trHeight w:val="146"/>
          <w:tblHeader/>
        </w:trPr>
        <w:tc>
          <w:tcPr>
            <w:tcW w:w="4130" w:type="dxa"/>
          </w:tcPr>
          <w:p w14:paraId="71BB4972" w14:textId="77777777" w:rsidR="00877D08" w:rsidRPr="00967A7F" w:rsidRDefault="00877D08" w:rsidP="001236DF">
            <w:pPr>
              <w:pStyle w:val="Response"/>
              <w:spacing w:before="0" w:after="0"/>
              <w:ind w:left="0"/>
              <w:rPr>
                <w:color w:val="C00000"/>
              </w:rPr>
            </w:pPr>
            <w:r w:rsidRPr="00967A7F">
              <w:rPr>
                <w:color w:val="C00000"/>
              </w:rPr>
              <w:t xml:space="preserve">Category IC </w:t>
            </w:r>
          </w:p>
        </w:tc>
        <w:tc>
          <w:tcPr>
            <w:tcW w:w="4826" w:type="dxa"/>
          </w:tcPr>
          <w:p w14:paraId="38FD8CC1" w14:textId="77777777" w:rsidR="00877D08" w:rsidRPr="00967A7F" w:rsidRDefault="00877D08" w:rsidP="001236DF">
            <w:pPr>
              <w:pStyle w:val="Response"/>
              <w:spacing w:before="0" w:after="0"/>
              <w:ind w:left="0"/>
              <w:rPr>
                <w:color w:val="C00000"/>
              </w:rPr>
            </w:pPr>
            <w:r w:rsidRPr="00967A7F">
              <w:rPr>
                <w:color w:val="C00000"/>
              </w:rPr>
              <w:t xml:space="preserve">A strong recommendation required by state or federal regulation. </w:t>
            </w:r>
          </w:p>
        </w:tc>
      </w:tr>
      <w:tr w:rsidR="003C4642" w:rsidRPr="003C4642" w14:paraId="5FB7D892" w14:textId="77777777" w:rsidTr="00404081">
        <w:trPr>
          <w:cantSplit/>
          <w:trHeight w:val="272"/>
          <w:tblHeader/>
        </w:trPr>
        <w:tc>
          <w:tcPr>
            <w:tcW w:w="4130" w:type="dxa"/>
            <w:tcBorders>
              <w:bottom w:val="nil"/>
            </w:tcBorders>
          </w:tcPr>
          <w:p w14:paraId="111ED2E6" w14:textId="77777777" w:rsidR="00877D08" w:rsidRPr="00967A7F" w:rsidRDefault="00877D08" w:rsidP="001236DF">
            <w:pPr>
              <w:pStyle w:val="Response"/>
              <w:spacing w:before="0" w:after="0"/>
              <w:ind w:left="0"/>
              <w:rPr>
                <w:color w:val="C00000"/>
              </w:rPr>
            </w:pPr>
            <w:r w:rsidRPr="00967A7F">
              <w:rPr>
                <w:color w:val="C00000"/>
              </w:rPr>
              <w:t xml:space="preserve">Category II </w:t>
            </w:r>
          </w:p>
        </w:tc>
        <w:tc>
          <w:tcPr>
            <w:tcW w:w="4826" w:type="dxa"/>
            <w:tcBorders>
              <w:bottom w:val="nil"/>
            </w:tcBorders>
          </w:tcPr>
          <w:p w14:paraId="668D8F1A" w14:textId="77777777" w:rsidR="00877D08" w:rsidRPr="00967A7F" w:rsidRDefault="00877D08" w:rsidP="001236DF">
            <w:pPr>
              <w:pStyle w:val="Response"/>
              <w:spacing w:before="0" w:after="0"/>
              <w:ind w:left="0"/>
              <w:rPr>
                <w:color w:val="C00000"/>
              </w:rPr>
            </w:pPr>
            <w:r w:rsidRPr="00967A7F">
              <w:rPr>
                <w:color w:val="C00000"/>
              </w:rPr>
              <w:t xml:space="preserve">A weak recommendation supported by any quality evidence suggesting a tradeoff between clinical benefits and harms </w:t>
            </w:r>
          </w:p>
        </w:tc>
      </w:tr>
      <w:tr w:rsidR="003C4642" w:rsidRPr="003C4642" w14:paraId="2B8BD6A4" w14:textId="77777777" w:rsidTr="00404081">
        <w:trPr>
          <w:cantSplit/>
          <w:trHeight w:val="272"/>
          <w:tblHeader/>
        </w:trPr>
        <w:tc>
          <w:tcPr>
            <w:tcW w:w="4130" w:type="dxa"/>
            <w:tcBorders>
              <w:top w:val="nil"/>
              <w:bottom w:val="single" w:sz="12" w:space="0" w:color="C00000"/>
            </w:tcBorders>
          </w:tcPr>
          <w:p w14:paraId="2AFC4A1C" w14:textId="77777777" w:rsidR="00877D08" w:rsidRPr="00967A7F" w:rsidRDefault="00877D08" w:rsidP="001236DF">
            <w:pPr>
              <w:pStyle w:val="Response"/>
              <w:spacing w:before="0" w:after="0"/>
              <w:ind w:left="0"/>
              <w:rPr>
                <w:color w:val="C00000"/>
              </w:rPr>
            </w:pPr>
            <w:r w:rsidRPr="00967A7F">
              <w:rPr>
                <w:color w:val="C00000"/>
              </w:rPr>
              <w:t xml:space="preserve">No recommendation/unresolved issue </w:t>
            </w:r>
          </w:p>
        </w:tc>
        <w:tc>
          <w:tcPr>
            <w:tcW w:w="4826" w:type="dxa"/>
            <w:tcBorders>
              <w:top w:val="nil"/>
              <w:bottom w:val="single" w:sz="12" w:space="0" w:color="C00000"/>
            </w:tcBorders>
          </w:tcPr>
          <w:p w14:paraId="2BB3CB52" w14:textId="77777777" w:rsidR="00877D08" w:rsidRPr="00967A7F" w:rsidRDefault="00877D08" w:rsidP="001236DF">
            <w:pPr>
              <w:pStyle w:val="Response"/>
              <w:spacing w:before="0" w:after="0"/>
              <w:ind w:left="0"/>
              <w:rPr>
                <w:color w:val="C00000"/>
              </w:rPr>
            </w:pPr>
            <w:r w:rsidRPr="00967A7F">
              <w:rPr>
                <w:color w:val="C00000"/>
              </w:rPr>
              <w:t xml:space="preserve">Unresolved issue for which there is low to very low quality evidence with uncertain tradeoffs between benefits and harms </w:t>
            </w:r>
          </w:p>
        </w:tc>
      </w:tr>
    </w:tbl>
    <w:p w14:paraId="1ACCCFB2" w14:textId="392A7CA9" w:rsidR="00877D08" w:rsidRPr="00967A7F" w:rsidRDefault="002E7E95" w:rsidP="00877D08">
      <w:pPr>
        <w:rPr>
          <w:color w:val="C00000"/>
        </w:rPr>
      </w:pPr>
      <w:r w:rsidRPr="00967A7F">
        <w:rPr>
          <w:color w:val="C00000"/>
        </w:rPr>
        <w:br/>
      </w:r>
    </w:p>
    <w:p w14:paraId="145557B5" w14:textId="5469769A" w:rsidR="00110A5A" w:rsidRPr="00967A7F" w:rsidRDefault="00110A5A" w:rsidP="00751A64">
      <w:pPr>
        <w:pStyle w:val="ListParagraph"/>
        <w:pageBreakBefore/>
        <w:numPr>
          <w:ilvl w:val="0"/>
          <w:numId w:val="27"/>
        </w:numPr>
        <w:shd w:val="clear" w:color="auto" w:fill="FFFFFF"/>
        <w:ind w:left="720"/>
        <w:rPr>
          <w:color w:val="C00000"/>
        </w:rPr>
      </w:pPr>
      <w:r w:rsidRPr="00967A7F">
        <w:rPr>
          <w:color w:val="C00000"/>
        </w:rPr>
        <w:lastRenderedPageBreak/>
        <w:t>Appropriate Urinary Catheter Use</w:t>
      </w:r>
      <w:r w:rsidR="00751A64" w:rsidRPr="00967A7F">
        <w:rPr>
          <w:color w:val="C00000"/>
        </w:rPr>
        <w:br/>
      </w:r>
    </w:p>
    <w:p w14:paraId="7EA69692" w14:textId="4D59E531" w:rsidR="00110A5A" w:rsidRPr="00967A7F" w:rsidRDefault="007E3004" w:rsidP="00924A2A">
      <w:pPr>
        <w:pStyle w:val="ListParagraph"/>
        <w:numPr>
          <w:ilvl w:val="0"/>
          <w:numId w:val="28"/>
        </w:numPr>
        <w:ind w:left="1080"/>
        <w:rPr>
          <w:color w:val="C00000"/>
        </w:rPr>
      </w:pPr>
      <w:r w:rsidRPr="00967A7F">
        <w:rPr>
          <w:color w:val="C00000"/>
        </w:rPr>
        <w:t>Insert catheters only for appropriate indications (see </w:t>
      </w:r>
      <w:r w:rsidRPr="00967A7F">
        <w:rPr>
          <w:b/>
          <w:bCs/>
          <w:i/>
          <w:iCs/>
          <w:color w:val="C00000"/>
        </w:rPr>
        <w:t xml:space="preserve">Table </w:t>
      </w:r>
      <w:r w:rsidR="0077658B" w:rsidRPr="00967A7F">
        <w:rPr>
          <w:b/>
          <w:bCs/>
          <w:i/>
          <w:iCs/>
          <w:color w:val="C00000"/>
        </w:rPr>
        <w:t>1</w:t>
      </w:r>
      <w:r w:rsidRPr="00967A7F">
        <w:rPr>
          <w:color w:val="C00000"/>
        </w:rPr>
        <w:t> for guidance), and leave in place only as</w:t>
      </w:r>
      <w:r w:rsidR="00110A5A" w:rsidRPr="00967A7F">
        <w:rPr>
          <w:color w:val="C00000"/>
        </w:rPr>
        <w:t xml:space="preserve"> </w:t>
      </w:r>
      <w:r w:rsidRPr="00967A7F">
        <w:rPr>
          <w:color w:val="C00000"/>
        </w:rPr>
        <w:t>long as needed. (Category IB) </w:t>
      </w:r>
    </w:p>
    <w:p w14:paraId="4D08F7BA" w14:textId="764ECDCB" w:rsidR="00110A5A" w:rsidRPr="00967A7F" w:rsidRDefault="007E3004" w:rsidP="00924A2A">
      <w:pPr>
        <w:pStyle w:val="ListParagraph"/>
        <w:numPr>
          <w:ilvl w:val="1"/>
          <w:numId w:val="28"/>
        </w:numPr>
        <w:rPr>
          <w:color w:val="C00000"/>
        </w:rPr>
      </w:pPr>
      <w:r w:rsidRPr="00967A7F">
        <w:rPr>
          <w:color w:val="C00000"/>
        </w:rPr>
        <w:t>Minimize urinary catheter use and duration of use in all patients, particularly those at higher risk for CAUTI or mortality from catheterization such as women, the elderly, and patients with impaired immunity</w:t>
      </w:r>
      <w:r w:rsidRPr="00967A7F">
        <w:rPr>
          <w:b/>
          <w:bCs/>
          <w:color w:val="C00000"/>
        </w:rPr>
        <w:t>.</w:t>
      </w:r>
      <w:r w:rsidR="003A0B44" w:rsidRPr="00967A7F">
        <w:rPr>
          <w:b/>
          <w:bCs/>
          <w:color w:val="C00000"/>
        </w:rPr>
        <w:t xml:space="preserve"> </w:t>
      </w:r>
      <w:r w:rsidRPr="00967A7F">
        <w:rPr>
          <w:b/>
          <w:bCs/>
          <w:color w:val="C00000"/>
        </w:rPr>
        <w:t>(Category IB)</w:t>
      </w:r>
      <w:r w:rsidRPr="00967A7F">
        <w:rPr>
          <w:color w:val="C00000"/>
        </w:rPr>
        <w:t> </w:t>
      </w:r>
    </w:p>
    <w:p w14:paraId="62EFC711" w14:textId="6D25B1A5" w:rsidR="00110A5A" w:rsidRPr="00967A7F" w:rsidRDefault="007E3004" w:rsidP="00924A2A">
      <w:pPr>
        <w:pStyle w:val="ListParagraph"/>
        <w:numPr>
          <w:ilvl w:val="1"/>
          <w:numId w:val="28"/>
        </w:numPr>
        <w:rPr>
          <w:color w:val="C00000"/>
        </w:rPr>
      </w:pPr>
      <w:r w:rsidRPr="00967A7F">
        <w:rPr>
          <w:color w:val="C00000"/>
        </w:rPr>
        <w:t>Avoid use of urinary catheters in patients and nursing home residents for management of incontinence. </w:t>
      </w:r>
      <w:r w:rsidRPr="00967A7F">
        <w:rPr>
          <w:b/>
          <w:bCs/>
          <w:color w:val="C00000"/>
        </w:rPr>
        <w:t>(Category IB)</w:t>
      </w:r>
      <w:r w:rsidRPr="00967A7F">
        <w:rPr>
          <w:color w:val="C00000"/>
        </w:rPr>
        <w:t> </w:t>
      </w:r>
    </w:p>
    <w:p w14:paraId="53A447C3" w14:textId="273A81AB" w:rsidR="00110A5A" w:rsidRPr="00967A7F" w:rsidRDefault="007E3004" w:rsidP="00924A2A">
      <w:pPr>
        <w:pStyle w:val="ListParagraph"/>
        <w:numPr>
          <w:ilvl w:val="2"/>
          <w:numId w:val="28"/>
        </w:numPr>
        <w:rPr>
          <w:color w:val="C00000"/>
        </w:rPr>
      </w:pPr>
      <w:r w:rsidRPr="00967A7F">
        <w:rPr>
          <w:color w:val="C00000"/>
        </w:rPr>
        <w:t>Further research is needed on periodic (e.g., nighttime) use of external catheters (e.g., condom catheters) in incontinent patients or residents and the use of catheters to prevent skin breakdown. </w:t>
      </w:r>
      <w:r w:rsidRPr="00967A7F">
        <w:rPr>
          <w:b/>
          <w:bCs/>
          <w:color w:val="C00000"/>
        </w:rPr>
        <w:t>(No recommendation/unresolved issue)</w:t>
      </w:r>
    </w:p>
    <w:p w14:paraId="770E19F9" w14:textId="6A931571" w:rsidR="00110A5A" w:rsidRPr="00967A7F" w:rsidRDefault="007E3004" w:rsidP="00924A2A">
      <w:pPr>
        <w:pStyle w:val="ListParagraph"/>
        <w:numPr>
          <w:ilvl w:val="1"/>
          <w:numId w:val="28"/>
        </w:numPr>
        <w:rPr>
          <w:color w:val="C00000"/>
        </w:rPr>
      </w:pPr>
      <w:r w:rsidRPr="00967A7F">
        <w:rPr>
          <w:color w:val="C00000"/>
        </w:rPr>
        <w:t>Use urinary catheters in operative patients only as necessary, rather than routinely.</w:t>
      </w:r>
      <w:r w:rsidR="0073618A" w:rsidRPr="00967A7F">
        <w:rPr>
          <w:color w:val="C00000"/>
        </w:rPr>
        <w:t xml:space="preserve"> </w:t>
      </w:r>
      <w:r w:rsidRPr="00967A7F">
        <w:rPr>
          <w:b/>
          <w:bCs/>
          <w:color w:val="C00000"/>
        </w:rPr>
        <w:t>(Category IB)</w:t>
      </w:r>
      <w:r w:rsidRPr="00967A7F">
        <w:rPr>
          <w:color w:val="C00000"/>
        </w:rPr>
        <w:t> </w:t>
      </w:r>
    </w:p>
    <w:p w14:paraId="7CCA3B00" w14:textId="27AA8F22" w:rsidR="007E3004" w:rsidRPr="00967A7F" w:rsidRDefault="007E3004" w:rsidP="00924A2A">
      <w:pPr>
        <w:pStyle w:val="ListParagraph"/>
        <w:numPr>
          <w:ilvl w:val="1"/>
          <w:numId w:val="28"/>
        </w:numPr>
        <w:rPr>
          <w:color w:val="C00000"/>
        </w:rPr>
      </w:pPr>
      <w:r w:rsidRPr="00967A7F">
        <w:rPr>
          <w:color w:val="C00000"/>
        </w:rPr>
        <w:t>For operative patients who have an indication for an indwelling catheter, remove the catheter as soon as possible postoperatively, preferably within 24 hours, unless there are appropriate indications for continued use. </w:t>
      </w:r>
      <w:r w:rsidRPr="00967A7F">
        <w:rPr>
          <w:b/>
          <w:bCs/>
          <w:color w:val="C00000"/>
        </w:rPr>
        <w:t>(Category IB)</w:t>
      </w:r>
    </w:p>
    <w:p w14:paraId="3659FB56" w14:textId="5074483A" w:rsidR="007E3004" w:rsidRPr="00967A7F" w:rsidRDefault="007E3004" w:rsidP="00924A2A">
      <w:pPr>
        <w:numPr>
          <w:ilvl w:val="0"/>
          <w:numId w:val="11"/>
        </w:numPr>
        <w:shd w:val="clear" w:color="auto" w:fill="FFFFFF"/>
        <w:spacing w:after="200" w:line="276" w:lineRule="auto"/>
        <w:ind w:left="1080"/>
        <w:contextualSpacing/>
        <w:rPr>
          <w:color w:val="C00000"/>
        </w:rPr>
      </w:pPr>
      <w:bookmarkStart w:id="8" w:name="table2"/>
      <w:bookmarkEnd w:id="8"/>
      <w:r w:rsidRPr="00967A7F">
        <w:rPr>
          <w:color w:val="C00000"/>
        </w:rPr>
        <w:t>Consider using alternatives to indwelling urethral catheterization in selected patients when appropriate</w:t>
      </w:r>
      <w:r w:rsidR="00F50A22" w:rsidRPr="00967A7F">
        <w:rPr>
          <w:color w:val="C00000"/>
        </w:rPr>
        <w:t xml:space="preserve"> </w:t>
      </w:r>
    </w:p>
    <w:p w14:paraId="350BE39E" w14:textId="10B8F0A5" w:rsidR="007E3004" w:rsidRPr="00967A7F" w:rsidRDefault="007E3004" w:rsidP="00924A2A">
      <w:pPr>
        <w:numPr>
          <w:ilvl w:val="1"/>
          <w:numId w:val="12"/>
        </w:numPr>
        <w:shd w:val="clear" w:color="auto" w:fill="FFFFFF"/>
        <w:spacing w:after="200" w:line="276" w:lineRule="auto"/>
        <w:contextualSpacing/>
        <w:rPr>
          <w:color w:val="C00000"/>
        </w:rPr>
      </w:pPr>
      <w:r w:rsidRPr="00967A7F">
        <w:rPr>
          <w:color w:val="C00000"/>
        </w:rPr>
        <w:t>Consider using external catheters as an alternative to indwelling urethral catheters in cooperative male patients without urinary retention or bladder outlet obstruction.</w:t>
      </w:r>
      <w:r w:rsidR="00DB17C6" w:rsidRPr="00967A7F">
        <w:rPr>
          <w:color w:val="C00000"/>
        </w:rPr>
        <w:t xml:space="preserve"> </w:t>
      </w:r>
      <w:r w:rsidRPr="00967A7F">
        <w:rPr>
          <w:b/>
          <w:bCs/>
          <w:color w:val="C00000"/>
        </w:rPr>
        <w:t>(Category II)</w:t>
      </w:r>
      <w:r w:rsidRPr="00967A7F">
        <w:rPr>
          <w:color w:val="C00000"/>
        </w:rPr>
        <w:t> </w:t>
      </w:r>
    </w:p>
    <w:p w14:paraId="2427E1EB" w14:textId="21F4B40C" w:rsidR="007E3004" w:rsidRPr="00967A7F" w:rsidRDefault="007E3004" w:rsidP="00924A2A">
      <w:pPr>
        <w:numPr>
          <w:ilvl w:val="1"/>
          <w:numId w:val="12"/>
        </w:numPr>
        <w:shd w:val="clear" w:color="auto" w:fill="FFFFFF"/>
        <w:spacing w:after="200" w:line="276" w:lineRule="auto"/>
        <w:contextualSpacing/>
        <w:rPr>
          <w:color w:val="C00000"/>
        </w:rPr>
      </w:pPr>
      <w:r w:rsidRPr="00967A7F">
        <w:rPr>
          <w:color w:val="C00000"/>
        </w:rPr>
        <w:t>Consider alternatives to chronic indwelling catheters, such as intermittent catheterization, in spinal cord injury patients. </w:t>
      </w:r>
      <w:r w:rsidRPr="00967A7F">
        <w:rPr>
          <w:b/>
          <w:bCs/>
          <w:color w:val="C00000"/>
        </w:rPr>
        <w:t>(Category II)</w:t>
      </w:r>
    </w:p>
    <w:p w14:paraId="2912ACB8" w14:textId="43ABFC7D" w:rsidR="007E3004" w:rsidRPr="00967A7F" w:rsidRDefault="007E3004" w:rsidP="00924A2A">
      <w:pPr>
        <w:numPr>
          <w:ilvl w:val="1"/>
          <w:numId w:val="12"/>
        </w:numPr>
        <w:shd w:val="clear" w:color="auto" w:fill="FFFFFF"/>
        <w:spacing w:after="200" w:line="276" w:lineRule="auto"/>
        <w:contextualSpacing/>
        <w:rPr>
          <w:color w:val="C00000"/>
        </w:rPr>
      </w:pPr>
      <w:r w:rsidRPr="00967A7F">
        <w:rPr>
          <w:color w:val="C00000"/>
        </w:rPr>
        <w:t>Intermittent catheterization is preferable to indwelling urethral or suprapubic catheters in patients with bladder emptying dysfunction. </w:t>
      </w:r>
      <w:r w:rsidRPr="00967A7F">
        <w:rPr>
          <w:b/>
          <w:bCs/>
          <w:color w:val="C00000"/>
        </w:rPr>
        <w:t>(Category II)</w:t>
      </w:r>
    </w:p>
    <w:p w14:paraId="4C78D919" w14:textId="38020FDE" w:rsidR="007E3004" w:rsidRPr="00967A7F" w:rsidRDefault="007E3004" w:rsidP="00924A2A">
      <w:pPr>
        <w:numPr>
          <w:ilvl w:val="1"/>
          <w:numId w:val="12"/>
        </w:numPr>
        <w:shd w:val="clear" w:color="auto" w:fill="FFFFFF"/>
        <w:spacing w:after="200" w:line="276" w:lineRule="auto"/>
        <w:contextualSpacing/>
        <w:rPr>
          <w:color w:val="C00000"/>
        </w:rPr>
      </w:pPr>
      <w:r w:rsidRPr="00967A7F">
        <w:rPr>
          <w:color w:val="C00000"/>
        </w:rPr>
        <w:t>Consider intermittent catheterization in children with myelomeningocele and neurogenic bladder to reduce the risk of urinary tract deterioration. </w:t>
      </w:r>
      <w:r w:rsidRPr="00967A7F">
        <w:rPr>
          <w:b/>
          <w:bCs/>
          <w:color w:val="C00000"/>
        </w:rPr>
        <w:t>(Category II)</w:t>
      </w:r>
    </w:p>
    <w:p w14:paraId="532D6E25" w14:textId="422783ED" w:rsidR="007E3004" w:rsidRPr="00967A7F" w:rsidRDefault="007E3004" w:rsidP="00924A2A">
      <w:pPr>
        <w:numPr>
          <w:ilvl w:val="1"/>
          <w:numId w:val="12"/>
        </w:numPr>
        <w:shd w:val="clear" w:color="auto" w:fill="FFFFFF"/>
        <w:spacing w:after="200" w:line="276" w:lineRule="auto"/>
        <w:contextualSpacing/>
        <w:rPr>
          <w:color w:val="C00000"/>
        </w:rPr>
      </w:pPr>
      <w:r w:rsidRPr="00967A7F">
        <w:rPr>
          <w:color w:val="C00000"/>
        </w:rPr>
        <w:t>Further research is needed on the benefit of using a urethral stent as an alternative to an indwelling catheter in selected patients with bladder outlet obstruction. </w:t>
      </w:r>
      <w:r w:rsidRPr="00967A7F">
        <w:rPr>
          <w:b/>
          <w:bCs/>
          <w:color w:val="C00000"/>
        </w:rPr>
        <w:t>(No recommendation/unresolved issue)</w:t>
      </w:r>
    </w:p>
    <w:p w14:paraId="10E76805" w14:textId="00FCF17F" w:rsidR="007E3004" w:rsidRPr="00967A7F" w:rsidRDefault="007E3004" w:rsidP="00924A2A">
      <w:pPr>
        <w:numPr>
          <w:ilvl w:val="1"/>
          <w:numId w:val="12"/>
        </w:numPr>
        <w:shd w:val="clear" w:color="auto" w:fill="FFFFFF"/>
        <w:spacing w:after="200" w:line="276" w:lineRule="auto"/>
        <w:contextualSpacing/>
        <w:rPr>
          <w:color w:val="C00000"/>
        </w:rPr>
      </w:pPr>
      <w:r w:rsidRPr="00967A7F">
        <w:rPr>
          <w:color w:val="C00000"/>
        </w:rPr>
        <w:t>Further research is needed on the risks and benefits of suprapubic catheters as an alternative to indwelling urethral catheters in selected patients requiring short- or long-term catheterization, particularly with respect to complications related to catheter insertion or the catheter site. </w:t>
      </w:r>
      <w:r w:rsidRPr="00967A7F">
        <w:rPr>
          <w:b/>
          <w:bCs/>
          <w:color w:val="C00000"/>
        </w:rPr>
        <w:t>(No recommendation/unresolved issue)</w:t>
      </w:r>
    </w:p>
    <w:p w14:paraId="188E54D8" w14:textId="4D8FBEFE" w:rsidR="007E3004" w:rsidRPr="00967A7F" w:rsidRDefault="007E3004" w:rsidP="00877D08">
      <w:pPr>
        <w:shd w:val="clear" w:color="auto" w:fill="FFFFFF"/>
        <w:rPr>
          <w:color w:val="C00000"/>
        </w:rPr>
      </w:pPr>
    </w:p>
    <w:p w14:paraId="1E9EF5A9" w14:textId="04932677" w:rsidR="00877D08" w:rsidRPr="00967A7F" w:rsidRDefault="00877D08" w:rsidP="00924A2A">
      <w:pPr>
        <w:pStyle w:val="ListParagraph"/>
        <w:pageBreakBefore/>
        <w:numPr>
          <w:ilvl w:val="0"/>
          <w:numId w:val="27"/>
        </w:numPr>
        <w:shd w:val="clear" w:color="auto" w:fill="FFFFFF"/>
        <w:ind w:left="720"/>
        <w:rPr>
          <w:color w:val="C00000"/>
        </w:rPr>
      </w:pPr>
      <w:r w:rsidRPr="00967A7F">
        <w:rPr>
          <w:color w:val="C00000"/>
        </w:rPr>
        <w:lastRenderedPageBreak/>
        <w:t xml:space="preserve">Proper Techniques for Urinary Catheter Insertion </w:t>
      </w:r>
      <w:r w:rsidRPr="00967A7F">
        <w:rPr>
          <w:color w:val="C00000"/>
        </w:rPr>
        <w:br/>
      </w:r>
    </w:p>
    <w:p w14:paraId="4CA96FC6" w14:textId="584AEA6F" w:rsidR="00877D08" w:rsidRPr="00967A7F" w:rsidRDefault="00877D08" w:rsidP="00877D08">
      <w:pPr>
        <w:pStyle w:val="ListParagraph"/>
        <w:numPr>
          <w:ilvl w:val="2"/>
          <w:numId w:val="12"/>
        </w:numPr>
        <w:shd w:val="clear" w:color="auto" w:fill="FFFFFF"/>
        <w:ind w:left="1080"/>
        <w:rPr>
          <w:color w:val="C00000"/>
        </w:rPr>
      </w:pPr>
      <w:r w:rsidRPr="00967A7F">
        <w:rPr>
          <w:color w:val="C00000"/>
        </w:rPr>
        <w:t xml:space="preserve">Perform hand hygiene immediately before and after insertion or any manipulation of the catheter device or site </w:t>
      </w:r>
      <w:r w:rsidRPr="00967A7F">
        <w:rPr>
          <w:b/>
          <w:bCs/>
          <w:color w:val="C00000"/>
        </w:rPr>
        <w:t>(Category IB)</w:t>
      </w:r>
    </w:p>
    <w:p w14:paraId="4D10892D" w14:textId="2EB620DB" w:rsidR="00877D08" w:rsidRPr="00967A7F" w:rsidRDefault="00877D08" w:rsidP="00877D08">
      <w:pPr>
        <w:pStyle w:val="ListParagraph"/>
        <w:numPr>
          <w:ilvl w:val="2"/>
          <w:numId w:val="12"/>
        </w:numPr>
        <w:shd w:val="clear" w:color="auto" w:fill="FFFFFF"/>
        <w:ind w:left="1080"/>
        <w:rPr>
          <w:color w:val="C00000"/>
        </w:rPr>
      </w:pPr>
      <w:r w:rsidRPr="00967A7F">
        <w:rPr>
          <w:color w:val="C00000"/>
        </w:rPr>
        <w:t xml:space="preserve">Ensure that only properly trained persons (e.g., hospital personnel, family members, or patients themselves) who know the correct technique of aseptic catheter insertion and maintenance are given this responsibility </w:t>
      </w:r>
      <w:r w:rsidRPr="00967A7F">
        <w:rPr>
          <w:b/>
          <w:color w:val="C00000"/>
        </w:rPr>
        <w:t>(Category IB)</w:t>
      </w:r>
    </w:p>
    <w:p w14:paraId="1C172BC8" w14:textId="475DA8B1" w:rsidR="00877D08" w:rsidRPr="00967A7F" w:rsidRDefault="00877D08" w:rsidP="00877D08">
      <w:pPr>
        <w:pStyle w:val="ListParagraph"/>
        <w:numPr>
          <w:ilvl w:val="2"/>
          <w:numId w:val="12"/>
        </w:numPr>
        <w:shd w:val="clear" w:color="auto" w:fill="FFFFFF"/>
        <w:ind w:left="1080"/>
        <w:rPr>
          <w:color w:val="C00000"/>
        </w:rPr>
      </w:pPr>
      <w:r w:rsidRPr="00967A7F">
        <w:rPr>
          <w:color w:val="C00000"/>
        </w:rPr>
        <w:t>In the acute</w:t>
      </w:r>
      <w:r w:rsidR="002E7E95" w:rsidRPr="00967A7F">
        <w:rPr>
          <w:color w:val="C00000"/>
        </w:rPr>
        <w:t xml:space="preserve"> care hospital setting, insert urinary catheters using aseptic technique and sterile equipment </w:t>
      </w:r>
      <w:r w:rsidR="002E7E95" w:rsidRPr="00967A7F">
        <w:rPr>
          <w:b/>
          <w:color w:val="C00000"/>
        </w:rPr>
        <w:t>(Category IB)</w:t>
      </w:r>
    </w:p>
    <w:p w14:paraId="63461EF9" w14:textId="77777777" w:rsidR="002E7E95" w:rsidRPr="00967A7F" w:rsidRDefault="002E7E95" w:rsidP="002E7E95">
      <w:pPr>
        <w:pStyle w:val="ListParagraph"/>
        <w:numPr>
          <w:ilvl w:val="3"/>
          <w:numId w:val="12"/>
        </w:numPr>
        <w:shd w:val="clear" w:color="auto" w:fill="FFFFFF"/>
        <w:tabs>
          <w:tab w:val="clear" w:pos="2880"/>
          <w:tab w:val="num" w:pos="3510"/>
        </w:tabs>
        <w:ind w:left="1440"/>
        <w:rPr>
          <w:color w:val="C00000"/>
        </w:rPr>
      </w:pPr>
      <w:r w:rsidRPr="00967A7F">
        <w:rPr>
          <w:color w:val="C00000"/>
        </w:rPr>
        <w:t xml:space="preserve">Use sterile gloves, drape, sponges, an appropriate antiseptic or sterile solution for </w:t>
      </w:r>
      <w:proofErr w:type="spellStart"/>
      <w:r w:rsidRPr="00967A7F">
        <w:rPr>
          <w:color w:val="C00000"/>
        </w:rPr>
        <w:t>periurethral</w:t>
      </w:r>
      <w:proofErr w:type="spellEnd"/>
      <w:r w:rsidRPr="00967A7F">
        <w:rPr>
          <w:color w:val="C00000"/>
        </w:rPr>
        <w:t xml:space="preserve"> cleaning, and a single-use packet of lubricant jelly for insertion </w:t>
      </w:r>
      <w:r w:rsidRPr="00967A7F">
        <w:rPr>
          <w:b/>
          <w:color w:val="C00000"/>
        </w:rPr>
        <w:t>(Category IB)</w:t>
      </w:r>
    </w:p>
    <w:p w14:paraId="72713EC8" w14:textId="77777777" w:rsidR="002E7E95" w:rsidRPr="00967A7F" w:rsidRDefault="002E7E95" w:rsidP="002E7E95">
      <w:pPr>
        <w:pStyle w:val="ListParagraph"/>
        <w:numPr>
          <w:ilvl w:val="3"/>
          <w:numId w:val="12"/>
        </w:numPr>
        <w:shd w:val="clear" w:color="auto" w:fill="FFFFFF"/>
        <w:tabs>
          <w:tab w:val="clear" w:pos="2880"/>
          <w:tab w:val="num" w:pos="3510"/>
        </w:tabs>
        <w:ind w:left="1440"/>
        <w:rPr>
          <w:color w:val="C00000"/>
        </w:rPr>
      </w:pPr>
      <w:r w:rsidRPr="00967A7F">
        <w:rPr>
          <w:color w:val="C00000"/>
        </w:rPr>
        <w:t xml:space="preserve">Routine use of antiseptic lubricants is not necessary </w:t>
      </w:r>
      <w:r w:rsidRPr="00967A7F">
        <w:rPr>
          <w:b/>
          <w:color w:val="C00000"/>
        </w:rPr>
        <w:t>(Category II)</w:t>
      </w:r>
    </w:p>
    <w:p w14:paraId="385E80B8" w14:textId="5B72BF58" w:rsidR="002E7E95" w:rsidRPr="00967A7F" w:rsidRDefault="002E7E95" w:rsidP="002E7E95">
      <w:pPr>
        <w:pStyle w:val="ListParagraph"/>
        <w:numPr>
          <w:ilvl w:val="3"/>
          <w:numId w:val="12"/>
        </w:numPr>
        <w:shd w:val="clear" w:color="auto" w:fill="FFFFFF"/>
        <w:tabs>
          <w:tab w:val="clear" w:pos="2880"/>
          <w:tab w:val="num" w:pos="3510"/>
        </w:tabs>
        <w:ind w:left="1440"/>
        <w:rPr>
          <w:color w:val="C00000"/>
        </w:rPr>
      </w:pPr>
      <w:r w:rsidRPr="00967A7F">
        <w:rPr>
          <w:color w:val="C00000"/>
        </w:rPr>
        <w:t xml:space="preserve">Further research is needed on the use of antiseptic solutions vs. sterile water or saline for </w:t>
      </w:r>
      <w:proofErr w:type="spellStart"/>
      <w:r w:rsidRPr="00967A7F">
        <w:rPr>
          <w:color w:val="C00000"/>
        </w:rPr>
        <w:t>periurethral</w:t>
      </w:r>
      <w:proofErr w:type="spellEnd"/>
      <w:r w:rsidRPr="00967A7F">
        <w:rPr>
          <w:color w:val="C00000"/>
        </w:rPr>
        <w:t xml:space="preserve"> cleaning prior to catheter insertion </w:t>
      </w:r>
      <w:r w:rsidRPr="00967A7F">
        <w:rPr>
          <w:b/>
          <w:color w:val="C00000"/>
        </w:rPr>
        <w:t>(</w:t>
      </w:r>
      <w:r w:rsidR="000E2CC2" w:rsidRPr="00967A7F">
        <w:rPr>
          <w:b/>
          <w:color w:val="C00000"/>
        </w:rPr>
        <w:t>N</w:t>
      </w:r>
      <w:r w:rsidRPr="00967A7F">
        <w:rPr>
          <w:b/>
          <w:color w:val="C00000"/>
        </w:rPr>
        <w:t>o recommendation/unresolved issue)</w:t>
      </w:r>
    </w:p>
    <w:p w14:paraId="136EE8F2" w14:textId="607E0BFE" w:rsidR="002E7E95" w:rsidRPr="00967A7F" w:rsidRDefault="002E7E95" w:rsidP="00877D08">
      <w:pPr>
        <w:pStyle w:val="ListParagraph"/>
        <w:numPr>
          <w:ilvl w:val="2"/>
          <w:numId w:val="12"/>
        </w:numPr>
        <w:shd w:val="clear" w:color="auto" w:fill="FFFFFF"/>
        <w:ind w:left="1080"/>
        <w:rPr>
          <w:color w:val="C00000"/>
        </w:rPr>
      </w:pPr>
      <w:r w:rsidRPr="00967A7F">
        <w:rPr>
          <w:color w:val="C00000"/>
        </w:rPr>
        <w:t xml:space="preserve">In the non-acute care setting, clean (i.e., non-sterile) technique for intermittent catheterization is an acceptable and more practical alternative to sterile technique for patients requiring chronic intermittent catheterization </w:t>
      </w:r>
      <w:r w:rsidRPr="00967A7F">
        <w:rPr>
          <w:b/>
          <w:color w:val="C00000"/>
        </w:rPr>
        <w:t>(Category IA)</w:t>
      </w:r>
    </w:p>
    <w:p w14:paraId="5E9F0C2D" w14:textId="58E67248" w:rsidR="002E7E95" w:rsidRPr="00967A7F" w:rsidRDefault="002E7E95" w:rsidP="002E7E95">
      <w:pPr>
        <w:pStyle w:val="ListParagraph"/>
        <w:numPr>
          <w:ilvl w:val="3"/>
          <w:numId w:val="12"/>
        </w:numPr>
        <w:shd w:val="clear" w:color="auto" w:fill="FFFFFF"/>
        <w:tabs>
          <w:tab w:val="clear" w:pos="2880"/>
        </w:tabs>
        <w:ind w:left="1440"/>
        <w:rPr>
          <w:color w:val="C00000"/>
        </w:rPr>
      </w:pPr>
      <w:r w:rsidRPr="00967A7F">
        <w:rPr>
          <w:color w:val="C00000"/>
        </w:rPr>
        <w:t xml:space="preserve">Further research is needed on optimal cleaning and storage methods for catheters used for clean intermittent catheterization </w:t>
      </w:r>
      <w:r w:rsidRPr="00967A7F">
        <w:rPr>
          <w:b/>
          <w:color w:val="C00000"/>
        </w:rPr>
        <w:t>(</w:t>
      </w:r>
      <w:r w:rsidR="000E2CC2" w:rsidRPr="00967A7F">
        <w:rPr>
          <w:b/>
          <w:color w:val="C00000"/>
        </w:rPr>
        <w:t>N</w:t>
      </w:r>
      <w:r w:rsidRPr="00967A7F">
        <w:rPr>
          <w:b/>
          <w:color w:val="C00000"/>
        </w:rPr>
        <w:t>o recommendation/unresolved issue)</w:t>
      </w:r>
    </w:p>
    <w:p w14:paraId="643498C4" w14:textId="08DE7127" w:rsidR="002E7E95" w:rsidRPr="00967A7F" w:rsidRDefault="002E7E95" w:rsidP="00877D08">
      <w:pPr>
        <w:pStyle w:val="ListParagraph"/>
        <w:numPr>
          <w:ilvl w:val="2"/>
          <w:numId w:val="12"/>
        </w:numPr>
        <w:shd w:val="clear" w:color="auto" w:fill="FFFFFF"/>
        <w:ind w:left="1080"/>
        <w:rPr>
          <w:color w:val="C00000"/>
        </w:rPr>
      </w:pPr>
      <w:r w:rsidRPr="00967A7F">
        <w:rPr>
          <w:color w:val="C00000"/>
        </w:rPr>
        <w:t xml:space="preserve">Properly secure indwelling catheters after insertion to prevent movement and urethral traction </w:t>
      </w:r>
      <w:r w:rsidRPr="00967A7F">
        <w:rPr>
          <w:b/>
          <w:color w:val="C00000"/>
        </w:rPr>
        <w:t>(Category IB)</w:t>
      </w:r>
    </w:p>
    <w:p w14:paraId="58A79904" w14:textId="439CB0A6" w:rsidR="002E7E95" w:rsidRPr="00967A7F" w:rsidRDefault="002E7E95" w:rsidP="00877D08">
      <w:pPr>
        <w:pStyle w:val="ListParagraph"/>
        <w:numPr>
          <w:ilvl w:val="2"/>
          <w:numId w:val="12"/>
        </w:numPr>
        <w:shd w:val="clear" w:color="auto" w:fill="FFFFFF"/>
        <w:ind w:left="1080"/>
        <w:rPr>
          <w:color w:val="C00000"/>
        </w:rPr>
      </w:pPr>
      <w:r w:rsidRPr="00967A7F">
        <w:rPr>
          <w:color w:val="C00000"/>
        </w:rPr>
        <w:t xml:space="preserve">Unless otherwise clinically indicated, consider using the smallest bore catheter possible, consistent with good drainage, to minimize bladder neck and urethral trauma </w:t>
      </w:r>
      <w:r w:rsidRPr="00967A7F">
        <w:rPr>
          <w:b/>
          <w:color w:val="C00000"/>
        </w:rPr>
        <w:t>(Category II)</w:t>
      </w:r>
    </w:p>
    <w:p w14:paraId="6D31AC04" w14:textId="326A0945" w:rsidR="002E7E95" w:rsidRPr="00967A7F" w:rsidRDefault="002E7E95" w:rsidP="00877D08">
      <w:pPr>
        <w:pStyle w:val="ListParagraph"/>
        <w:numPr>
          <w:ilvl w:val="2"/>
          <w:numId w:val="12"/>
        </w:numPr>
        <w:shd w:val="clear" w:color="auto" w:fill="FFFFFF"/>
        <w:ind w:left="1080"/>
        <w:rPr>
          <w:color w:val="C00000"/>
        </w:rPr>
      </w:pPr>
      <w:r w:rsidRPr="00967A7F">
        <w:rPr>
          <w:color w:val="C00000"/>
        </w:rPr>
        <w:t xml:space="preserve">If intermittent catheterization is used, perform it at regular intervals to prevent bladder </w:t>
      </w:r>
      <w:proofErr w:type="spellStart"/>
      <w:r w:rsidRPr="00967A7F">
        <w:rPr>
          <w:color w:val="C00000"/>
        </w:rPr>
        <w:t>overdistension</w:t>
      </w:r>
      <w:proofErr w:type="spellEnd"/>
      <w:r w:rsidRPr="00967A7F">
        <w:rPr>
          <w:color w:val="C00000"/>
        </w:rPr>
        <w:t xml:space="preserve"> </w:t>
      </w:r>
      <w:r w:rsidRPr="00967A7F">
        <w:rPr>
          <w:b/>
          <w:color w:val="C00000"/>
        </w:rPr>
        <w:t>(Category IB)</w:t>
      </w:r>
    </w:p>
    <w:p w14:paraId="28F2754F" w14:textId="1CCA0CF1" w:rsidR="002E7E95" w:rsidRPr="00967A7F" w:rsidRDefault="002E7E95" w:rsidP="00877D08">
      <w:pPr>
        <w:pStyle w:val="ListParagraph"/>
        <w:numPr>
          <w:ilvl w:val="2"/>
          <w:numId w:val="12"/>
        </w:numPr>
        <w:shd w:val="clear" w:color="auto" w:fill="FFFFFF"/>
        <w:ind w:left="1080"/>
        <w:rPr>
          <w:color w:val="C00000"/>
        </w:rPr>
      </w:pPr>
      <w:r w:rsidRPr="00967A7F">
        <w:rPr>
          <w:color w:val="C00000"/>
        </w:rPr>
        <w:t xml:space="preserve">Consider using a portable ultrasound device to assess urine volume in patients undergoing intermittent catheterization to assess urine volume and reduce unnecessary catheter insertions </w:t>
      </w:r>
      <w:r w:rsidRPr="00967A7F">
        <w:rPr>
          <w:b/>
          <w:color w:val="C00000"/>
        </w:rPr>
        <w:t>(Category II)</w:t>
      </w:r>
    </w:p>
    <w:p w14:paraId="0E5F2DC7" w14:textId="45B28177" w:rsidR="002E7E95" w:rsidRPr="00967A7F" w:rsidRDefault="002E7E95" w:rsidP="002E7E95">
      <w:pPr>
        <w:pStyle w:val="ListParagraph"/>
        <w:numPr>
          <w:ilvl w:val="3"/>
          <w:numId w:val="12"/>
        </w:numPr>
        <w:shd w:val="clear" w:color="auto" w:fill="FFFFFF"/>
        <w:tabs>
          <w:tab w:val="clear" w:pos="2880"/>
          <w:tab w:val="num" w:pos="3150"/>
        </w:tabs>
        <w:ind w:left="1440"/>
        <w:rPr>
          <w:color w:val="C00000"/>
        </w:rPr>
      </w:pPr>
      <w:r w:rsidRPr="00967A7F">
        <w:rPr>
          <w:color w:val="C00000"/>
        </w:rPr>
        <w:t xml:space="preserve">If ultrasound bladder scanners are used, ensure that indications for use are clearly stated, nursing staff are trained in their use, and equipment is adequately cleaned and disinfected in between patients </w:t>
      </w:r>
      <w:r w:rsidRPr="00967A7F">
        <w:rPr>
          <w:b/>
          <w:color w:val="C00000"/>
        </w:rPr>
        <w:t>(Category IB)</w:t>
      </w:r>
    </w:p>
    <w:p w14:paraId="30AC6CC2" w14:textId="6C1D8446" w:rsidR="00877D08" w:rsidRPr="00967A7F" w:rsidRDefault="00877D08" w:rsidP="00877D08">
      <w:pPr>
        <w:pStyle w:val="ListParagraph"/>
        <w:shd w:val="clear" w:color="auto" w:fill="FFFFFF"/>
        <w:ind w:firstLine="0"/>
        <w:rPr>
          <w:color w:val="C00000"/>
        </w:rPr>
      </w:pPr>
    </w:p>
    <w:p w14:paraId="45FD3ADE" w14:textId="3354AFD4" w:rsidR="00110A5A" w:rsidRPr="00967A7F" w:rsidRDefault="00110A5A" w:rsidP="00D15270">
      <w:pPr>
        <w:pStyle w:val="ListParagraph"/>
        <w:numPr>
          <w:ilvl w:val="0"/>
          <w:numId w:val="27"/>
        </w:numPr>
        <w:shd w:val="clear" w:color="auto" w:fill="FFFFFF"/>
        <w:ind w:left="720"/>
        <w:rPr>
          <w:color w:val="C00000"/>
        </w:rPr>
      </w:pPr>
      <w:r w:rsidRPr="00967A7F">
        <w:rPr>
          <w:color w:val="C00000"/>
        </w:rPr>
        <w:t xml:space="preserve">Proper Techniques for Urinary </w:t>
      </w:r>
      <w:r w:rsidR="00A25EE3" w:rsidRPr="00967A7F">
        <w:rPr>
          <w:color w:val="C00000"/>
        </w:rPr>
        <w:t>Catheter Maintenance</w:t>
      </w:r>
      <w:r w:rsidR="00F50A22" w:rsidRPr="00967A7F">
        <w:rPr>
          <w:color w:val="C00000"/>
        </w:rPr>
        <w:t xml:space="preserve"> </w:t>
      </w:r>
      <w:r w:rsidR="00A25EE3" w:rsidRPr="00967A7F">
        <w:rPr>
          <w:color w:val="C00000"/>
        </w:rPr>
        <w:br/>
      </w:r>
    </w:p>
    <w:p w14:paraId="0AA29FC5" w14:textId="6794A9DA" w:rsidR="00A25EE3" w:rsidRPr="00967A7F" w:rsidRDefault="00A25EE3" w:rsidP="00A25EE3">
      <w:pPr>
        <w:pStyle w:val="ListParagraph"/>
        <w:numPr>
          <w:ilvl w:val="0"/>
          <w:numId w:val="29"/>
        </w:numPr>
        <w:shd w:val="clear" w:color="auto" w:fill="FFFFFF"/>
        <w:ind w:left="1080"/>
        <w:rPr>
          <w:color w:val="C00000"/>
        </w:rPr>
      </w:pPr>
      <w:r w:rsidRPr="00967A7F">
        <w:rPr>
          <w:color w:val="C00000"/>
        </w:rPr>
        <w:t xml:space="preserve">Following aseptic insertion of the urinary catheter, maintain a closed drainage system </w:t>
      </w:r>
      <w:r w:rsidRPr="00967A7F">
        <w:rPr>
          <w:b/>
          <w:color w:val="C00000"/>
        </w:rPr>
        <w:t>(Category IB)</w:t>
      </w:r>
    </w:p>
    <w:p w14:paraId="4D450CE0" w14:textId="25BC44BE" w:rsidR="00A25EE3" w:rsidRPr="00967A7F" w:rsidRDefault="00A25EE3" w:rsidP="00A25EE3">
      <w:pPr>
        <w:pStyle w:val="ListParagraph"/>
        <w:numPr>
          <w:ilvl w:val="1"/>
          <w:numId w:val="29"/>
        </w:numPr>
        <w:shd w:val="clear" w:color="auto" w:fill="FFFFFF"/>
        <w:rPr>
          <w:color w:val="C00000"/>
        </w:rPr>
      </w:pPr>
      <w:r w:rsidRPr="00967A7F">
        <w:rPr>
          <w:color w:val="C00000"/>
        </w:rPr>
        <w:t>If breaks in aseptic technique, disconnection, or leakage occur, replace the catheter and collecting system using aseptic technique and sterile equipment</w:t>
      </w:r>
      <w:r w:rsidR="00216987" w:rsidRPr="00967A7F">
        <w:rPr>
          <w:color w:val="C00000"/>
        </w:rPr>
        <w:t xml:space="preserve"> </w:t>
      </w:r>
      <w:r w:rsidR="00216987" w:rsidRPr="00967A7F">
        <w:rPr>
          <w:b/>
          <w:color w:val="C00000"/>
        </w:rPr>
        <w:t>(Category IB)</w:t>
      </w:r>
    </w:p>
    <w:p w14:paraId="42A5F82D" w14:textId="69F40B13" w:rsidR="00216987" w:rsidRPr="00967A7F" w:rsidRDefault="00216987" w:rsidP="00A25EE3">
      <w:pPr>
        <w:pStyle w:val="ListParagraph"/>
        <w:numPr>
          <w:ilvl w:val="1"/>
          <w:numId w:val="29"/>
        </w:numPr>
        <w:shd w:val="clear" w:color="auto" w:fill="FFFFFF"/>
        <w:rPr>
          <w:color w:val="C00000"/>
        </w:rPr>
      </w:pPr>
      <w:r w:rsidRPr="00967A7F">
        <w:rPr>
          <w:color w:val="C00000"/>
        </w:rPr>
        <w:t xml:space="preserve">Consider using urinary catheter systems with </w:t>
      </w:r>
      <w:proofErr w:type="spellStart"/>
      <w:r w:rsidRPr="00967A7F">
        <w:rPr>
          <w:color w:val="C00000"/>
        </w:rPr>
        <w:t>preconnected</w:t>
      </w:r>
      <w:proofErr w:type="spellEnd"/>
      <w:r w:rsidRPr="00967A7F">
        <w:rPr>
          <w:color w:val="C00000"/>
        </w:rPr>
        <w:t xml:space="preserve">, sealed catheter-tubing junctions </w:t>
      </w:r>
      <w:r w:rsidRPr="00967A7F">
        <w:rPr>
          <w:b/>
          <w:color w:val="C00000"/>
        </w:rPr>
        <w:t>(Category II)</w:t>
      </w:r>
    </w:p>
    <w:p w14:paraId="5259C4FF" w14:textId="60EF8BAB" w:rsidR="00216987" w:rsidRPr="00967A7F" w:rsidRDefault="00216987" w:rsidP="00216987">
      <w:pPr>
        <w:pStyle w:val="ListParagraph"/>
        <w:numPr>
          <w:ilvl w:val="0"/>
          <w:numId w:val="29"/>
        </w:numPr>
        <w:shd w:val="clear" w:color="auto" w:fill="FFFFFF"/>
        <w:ind w:left="1080"/>
        <w:rPr>
          <w:color w:val="C00000"/>
        </w:rPr>
      </w:pPr>
      <w:r w:rsidRPr="00967A7F">
        <w:rPr>
          <w:color w:val="C00000"/>
        </w:rPr>
        <w:lastRenderedPageBreak/>
        <w:t xml:space="preserve">Maintain unobstructed urine flow </w:t>
      </w:r>
      <w:r w:rsidRPr="00967A7F">
        <w:rPr>
          <w:b/>
          <w:color w:val="C00000"/>
        </w:rPr>
        <w:t>(Category IB)</w:t>
      </w:r>
    </w:p>
    <w:p w14:paraId="60CE0279" w14:textId="5A9F0848" w:rsidR="00216987" w:rsidRPr="00967A7F" w:rsidRDefault="00216987" w:rsidP="00216987">
      <w:pPr>
        <w:pStyle w:val="ListParagraph"/>
        <w:numPr>
          <w:ilvl w:val="1"/>
          <w:numId w:val="29"/>
        </w:numPr>
        <w:shd w:val="clear" w:color="auto" w:fill="FFFFFF"/>
        <w:rPr>
          <w:color w:val="C00000"/>
        </w:rPr>
      </w:pPr>
      <w:r w:rsidRPr="00967A7F">
        <w:rPr>
          <w:color w:val="C00000"/>
        </w:rPr>
        <w:t xml:space="preserve">Keep the catheter and collecting tube free from kinking </w:t>
      </w:r>
      <w:r w:rsidRPr="00967A7F">
        <w:rPr>
          <w:b/>
          <w:color w:val="C00000"/>
        </w:rPr>
        <w:t>(Category IB)</w:t>
      </w:r>
    </w:p>
    <w:p w14:paraId="220DA480" w14:textId="607BA796" w:rsidR="00216987" w:rsidRPr="00967A7F" w:rsidRDefault="00216987" w:rsidP="00216987">
      <w:pPr>
        <w:pStyle w:val="ListParagraph"/>
        <w:numPr>
          <w:ilvl w:val="1"/>
          <w:numId w:val="29"/>
        </w:numPr>
        <w:shd w:val="clear" w:color="auto" w:fill="FFFFFF"/>
        <w:rPr>
          <w:color w:val="C00000"/>
        </w:rPr>
      </w:pPr>
      <w:r w:rsidRPr="00967A7F">
        <w:rPr>
          <w:color w:val="C00000"/>
        </w:rPr>
        <w:t xml:space="preserve">Keep the collecting bag below the level of the bladder at all times. Do not rest the bag on the floor </w:t>
      </w:r>
      <w:r w:rsidRPr="00967A7F">
        <w:rPr>
          <w:b/>
          <w:color w:val="C00000"/>
        </w:rPr>
        <w:t>(Category IB)</w:t>
      </w:r>
    </w:p>
    <w:p w14:paraId="02D91776" w14:textId="23637912" w:rsidR="00216987" w:rsidRPr="00967A7F" w:rsidRDefault="00216987" w:rsidP="00216987">
      <w:pPr>
        <w:pStyle w:val="ListParagraph"/>
        <w:numPr>
          <w:ilvl w:val="1"/>
          <w:numId w:val="29"/>
        </w:numPr>
        <w:shd w:val="clear" w:color="auto" w:fill="FFFFFF"/>
        <w:rPr>
          <w:color w:val="C00000"/>
        </w:rPr>
      </w:pPr>
      <w:r w:rsidRPr="00967A7F">
        <w:rPr>
          <w:color w:val="C00000"/>
        </w:rPr>
        <w:t xml:space="preserve">Emptying the collecting bag regularly using a separate, clean collecting container for each patient; avoid splashing, and prevent contact of the drainage spigot with the nonsterile collecting container </w:t>
      </w:r>
      <w:r w:rsidRPr="00967A7F">
        <w:rPr>
          <w:b/>
          <w:color w:val="C00000"/>
        </w:rPr>
        <w:t>(Category IB)</w:t>
      </w:r>
    </w:p>
    <w:p w14:paraId="3A287012" w14:textId="3E60118D" w:rsidR="00216987" w:rsidRPr="00967A7F" w:rsidRDefault="00216987" w:rsidP="00924A2A">
      <w:pPr>
        <w:pStyle w:val="ListParagraph"/>
        <w:numPr>
          <w:ilvl w:val="0"/>
          <w:numId w:val="29"/>
        </w:numPr>
        <w:shd w:val="clear" w:color="auto" w:fill="FFFFFF"/>
        <w:ind w:left="1080"/>
        <w:rPr>
          <w:color w:val="C00000"/>
        </w:rPr>
      </w:pPr>
      <w:r w:rsidRPr="00967A7F">
        <w:rPr>
          <w:color w:val="C00000"/>
        </w:rPr>
        <w:t xml:space="preserve">Use Standard Precautions, including the use of gloves and gown as appropriate, during any manipulation of the catheter or collecting system </w:t>
      </w:r>
      <w:r w:rsidRPr="00967A7F">
        <w:rPr>
          <w:b/>
          <w:color w:val="C00000"/>
        </w:rPr>
        <w:t>(Category IB)</w:t>
      </w:r>
    </w:p>
    <w:p w14:paraId="068E1E66" w14:textId="5B455475" w:rsidR="00216987" w:rsidRPr="00967A7F" w:rsidRDefault="00216987" w:rsidP="00924A2A">
      <w:pPr>
        <w:pStyle w:val="ListParagraph"/>
        <w:numPr>
          <w:ilvl w:val="0"/>
          <w:numId w:val="29"/>
        </w:numPr>
        <w:shd w:val="clear" w:color="auto" w:fill="FFFFFF"/>
        <w:ind w:left="1080"/>
        <w:rPr>
          <w:color w:val="C00000"/>
        </w:rPr>
      </w:pPr>
      <w:r w:rsidRPr="00967A7F">
        <w:rPr>
          <w:color w:val="C00000"/>
        </w:rPr>
        <w:t xml:space="preserve">Complex urinary drainage systems (utilizing mechanisms for reducing bacterial entry such as antiseptic-release cartridges in the drain port) are not necessary for routine use </w:t>
      </w:r>
      <w:r w:rsidRPr="00967A7F">
        <w:rPr>
          <w:b/>
          <w:color w:val="C00000"/>
        </w:rPr>
        <w:t>(Category II)</w:t>
      </w:r>
    </w:p>
    <w:p w14:paraId="0DC5E9A5" w14:textId="72CFEB0D" w:rsidR="00216987" w:rsidRPr="00967A7F" w:rsidRDefault="00216987" w:rsidP="00924A2A">
      <w:pPr>
        <w:pStyle w:val="ListParagraph"/>
        <w:numPr>
          <w:ilvl w:val="0"/>
          <w:numId w:val="29"/>
        </w:numPr>
        <w:shd w:val="clear" w:color="auto" w:fill="FFFFFF"/>
        <w:ind w:left="1080"/>
        <w:rPr>
          <w:color w:val="C00000"/>
        </w:rPr>
      </w:pPr>
      <w:r w:rsidRPr="00967A7F">
        <w:rPr>
          <w:color w:val="C00000"/>
        </w:rPr>
        <w:t xml:space="preserve">Changing indwelling catheters or drainage bags at routine, fixed intervals is not recommended. Rather, it is suggested to change catheters and drainage bags based on clinical indications such as infection, obstruction, or when the closed system is compromised </w:t>
      </w:r>
      <w:r w:rsidRPr="00967A7F">
        <w:rPr>
          <w:b/>
          <w:color w:val="C00000"/>
        </w:rPr>
        <w:t>(Category II)</w:t>
      </w:r>
    </w:p>
    <w:p w14:paraId="2D794B7C" w14:textId="1BBB0ADA" w:rsidR="00216987" w:rsidRPr="00967A7F" w:rsidRDefault="00216987" w:rsidP="00924A2A">
      <w:pPr>
        <w:pStyle w:val="ListParagraph"/>
        <w:numPr>
          <w:ilvl w:val="0"/>
          <w:numId w:val="29"/>
        </w:numPr>
        <w:shd w:val="clear" w:color="auto" w:fill="FFFFFF"/>
        <w:ind w:left="1080"/>
        <w:rPr>
          <w:color w:val="C00000"/>
        </w:rPr>
      </w:pPr>
      <w:r w:rsidRPr="00967A7F">
        <w:rPr>
          <w:color w:val="C00000"/>
        </w:rPr>
        <w:t xml:space="preserve">Unless clinical indications exist (e.g., in patients with bacteriuria upon catheter removal post urologic surgery), do not use systemic antimicrobials routinely to prevent CAUTI in patients requiring either short or long-term catheterization </w:t>
      </w:r>
      <w:r w:rsidRPr="00967A7F">
        <w:rPr>
          <w:b/>
          <w:color w:val="C00000"/>
        </w:rPr>
        <w:t>(Category IB)</w:t>
      </w:r>
    </w:p>
    <w:p w14:paraId="719C06BD" w14:textId="54F63299" w:rsidR="000E2CC2" w:rsidRPr="00967A7F" w:rsidRDefault="000E2CC2" w:rsidP="00D15270">
      <w:pPr>
        <w:pStyle w:val="ListParagraph"/>
        <w:numPr>
          <w:ilvl w:val="1"/>
          <w:numId w:val="29"/>
        </w:numPr>
        <w:shd w:val="clear" w:color="auto" w:fill="FFFFFF"/>
        <w:rPr>
          <w:color w:val="C00000"/>
        </w:rPr>
      </w:pPr>
      <w:r w:rsidRPr="00967A7F">
        <w:rPr>
          <w:color w:val="C00000"/>
        </w:rPr>
        <w:t xml:space="preserve">Further research is needed on the use of urinary antiseptics (e.g., </w:t>
      </w:r>
      <w:proofErr w:type="spellStart"/>
      <w:r w:rsidRPr="00967A7F">
        <w:rPr>
          <w:color w:val="C00000"/>
        </w:rPr>
        <w:t>methenamine</w:t>
      </w:r>
      <w:proofErr w:type="spellEnd"/>
      <w:r w:rsidRPr="00967A7F">
        <w:rPr>
          <w:color w:val="C00000"/>
        </w:rPr>
        <w:t xml:space="preserve">) to prevent UTI in patients requiring short-term catheterization </w:t>
      </w:r>
      <w:r w:rsidRPr="00967A7F">
        <w:rPr>
          <w:b/>
          <w:color w:val="C00000"/>
        </w:rPr>
        <w:t>(Category IB)</w:t>
      </w:r>
    </w:p>
    <w:p w14:paraId="51B41E75" w14:textId="73AC151B" w:rsidR="00216987" w:rsidRPr="00967A7F" w:rsidRDefault="00216987" w:rsidP="00924A2A">
      <w:pPr>
        <w:pStyle w:val="ListParagraph"/>
        <w:numPr>
          <w:ilvl w:val="0"/>
          <w:numId w:val="29"/>
        </w:numPr>
        <w:shd w:val="clear" w:color="auto" w:fill="FFFFFF"/>
        <w:ind w:left="1080"/>
        <w:rPr>
          <w:color w:val="C00000"/>
        </w:rPr>
      </w:pPr>
      <w:r w:rsidRPr="00967A7F">
        <w:rPr>
          <w:color w:val="C00000"/>
        </w:rPr>
        <w:t xml:space="preserve">Do not clean the </w:t>
      </w:r>
      <w:proofErr w:type="spellStart"/>
      <w:r w:rsidRPr="00967A7F">
        <w:rPr>
          <w:color w:val="C00000"/>
        </w:rPr>
        <w:t>periurethral</w:t>
      </w:r>
      <w:proofErr w:type="spellEnd"/>
      <w:r w:rsidRPr="00967A7F">
        <w:rPr>
          <w:color w:val="C00000"/>
        </w:rPr>
        <w:t xml:space="preserve"> area with antiseptics to prevent CAUTI while the catheter is in place. Routine hygiene (e.g., cleansing of the meatal surface during daily bathing or showering) is appropriate </w:t>
      </w:r>
      <w:r w:rsidRPr="00967A7F">
        <w:rPr>
          <w:b/>
          <w:color w:val="C00000"/>
        </w:rPr>
        <w:t>(Category IB)</w:t>
      </w:r>
    </w:p>
    <w:p w14:paraId="15BAEC25" w14:textId="03FFF279" w:rsidR="00216987" w:rsidRPr="00967A7F" w:rsidRDefault="00216987" w:rsidP="00924A2A">
      <w:pPr>
        <w:pStyle w:val="ListParagraph"/>
        <w:numPr>
          <w:ilvl w:val="0"/>
          <w:numId w:val="29"/>
        </w:numPr>
        <w:shd w:val="clear" w:color="auto" w:fill="FFFFFF"/>
        <w:ind w:left="1080"/>
        <w:rPr>
          <w:color w:val="C00000"/>
        </w:rPr>
      </w:pPr>
      <w:r w:rsidRPr="00967A7F">
        <w:rPr>
          <w:color w:val="C00000"/>
        </w:rPr>
        <w:t xml:space="preserve">Unless obstruction is anticipated (e.g., as might occur with bleeding after prostatic or bladder surgery) bladder irrigation is not recommended </w:t>
      </w:r>
      <w:r w:rsidRPr="00967A7F">
        <w:rPr>
          <w:b/>
          <w:color w:val="C00000"/>
        </w:rPr>
        <w:t>(Category II)</w:t>
      </w:r>
    </w:p>
    <w:p w14:paraId="0D05CC19" w14:textId="4B1BCD37" w:rsidR="000E2CC2" w:rsidRPr="00967A7F" w:rsidRDefault="000E2CC2" w:rsidP="00D15270">
      <w:pPr>
        <w:pStyle w:val="ListParagraph"/>
        <w:numPr>
          <w:ilvl w:val="1"/>
          <w:numId w:val="29"/>
        </w:numPr>
        <w:shd w:val="clear" w:color="auto" w:fill="FFFFFF"/>
        <w:rPr>
          <w:color w:val="C00000"/>
        </w:rPr>
      </w:pPr>
      <w:r w:rsidRPr="00967A7F">
        <w:rPr>
          <w:color w:val="C00000"/>
        </w:rPr>
        <w:t xml:space="preserve">If obstruction is anticipated, closed continuous irrigation is suggested to prevent obstruction </w:t>
      </w:r>
      <w:r w:rsidRPr="00967A7F">
        <w:rPr>
          <w:b/>
          <w:color w:val="C00000"/>
        </w:rPr>
        <w:t>(Category II)</w:t>
      </w:r>
    </w:p>
    <w:p w14:paraId="77BD8011" w14:textId="12128977" w:rsidR="00216987" w:rsidRPr="00967A7F" w:rsidRDefault="00216987" w:rsidP="00924A2A">
      <w:pPr>
        <w:pStyle w:val="ListParagraph"/>
        <w:numPr>
          <w:ilvl w:val="0"/>
          <w:numId w:val="29"/>
        </w:numPr>
        <w:shd w:val="clear" w:color="auto" w:fill="FFFFFF"/>
        <w:ind w:left="1080"/>
        <w:rPr>
          <w:color w:val="C00000"/>
        </w:rPr>
      </w:pPr>
      <w:r w:rsidRPr="00967A7F">
        <w:rPr>
          <w:color w:val="C00000"/>
        </w:rPr>
        <w:t xml:space="preserve">Routine irrigation of the bladder with antimicrobials is not recommended </w:t>
      </w:r>
      <w:r w:rsidRPr="00967A7F">
        <w:rPr>
          <w:b/>
          <w:color w:val="C00000"/>
        </w:rPr>
        <w:t>(Category II)</w:t>
      </w:r>
    </w:p>
    <w:p w14:paraId="6C3043E3" w14:textId="33C830EE" w:rsidR="00216987" w:rsidRPr="00967A7F" w:rsidRDefault="00216987" w:rsidP="00924A2A">
      <w:pPr>
        <w:pStyle w:val="ListParagraph"/>
        <w:numPr>
          <w:ilvl w:val="0"/>
          <w:numId w:val="29"/>
        </w:numPr>
        <w:shd w:val="clear" w:color="auto" w:fill="FFFFFF"/>
        <w:ind w:left="1080"/>
        <w:rPr>
          <w:color w:val="C00000"/>
        </w:rPr>
      </w:pPr>
      <w:r w:rsidRPr="00967A7F">
        <w:rPr>
          <w:color w:val="C00000"/>
        </w:rPr>
        <w:t xml:space="preserve">Routine instillation of antiseptic or antimicrobial solutions into urinary drainage bags is not recommended </w:t>
      </w:r>
      <w:r w:rsidRPr="00967A7F">
        <w:rPr>
          <w:b/>
          <w:color w:val="C00000"/>
        </w:rPr>
        <w:t>(Category II)</w:t>
      </w:r>
    </w:p>
    <w:p w14:paraId="2209D86E" w14:textId="01976574" w:rsidR="00216987" w:rsidRPr="00967A7F" w:rsidRDefault="00216987" w:rsidP="00924A2A">
      <w:pPr>
        <w:pStyle w:val="ListParagraph"/>
        <w:numPr>
          <w:ilvl w:val="0"/>
          <w:numId w:val="29"/>
        </w:numPr>
        <w:shd w:val="clear" w:color="auto" w:fill="FFFFFF"/>
        <w:ind w:left="1080"/>
        <w:rPr>
          <w:color w:val="C00000"/>
        </w:rPr>
      </w:pPr>
      <w:r w:rsidRPr="00967A7F">
        <w:rPr>
          <w:color w:val="C00000"/>
        </w:rPr>
        <w:t xml:space="preserve">Clamping indwelling catheters prior to removal is not necessary </w:t>
      </w:r>
      <w:r w:rsidRPr="00967A7F">
        <w:rPr>
          <w:b/>
          <w:color w:val="C00000"/>
        </w:rPr>
        <w:t>(Category II)</w:t>
      </w:r>
    </w:p>
    <w:p w14:paraId="281BB5E9" w14:textId="0F1A0507" w:rsidR="00216987" w:rsidRPr="00967A7F" w:rsidRDefault="00216987" w:rsidP="00924A2A">
      <w:pPr>
        <w:pStyle w:val="ListParagraph"/>
        <w:numPr>
          <w:ilvl w:val="0"/>
          <w:numId w:val="29"/>
        </w:numPr>
        <w:shd w:val="clear" w:color="auto" w:fill="FFFFFF"/>
        <w:ind w:left="1080"/>
        <w:rPr>
          <w:color w:val="C00000"/>
        </w:rPr>
      </w:pPr>
      <w:r w:rsidRPr="00967A7F">
        <w:rPr>
          <w:color w:val="C00000"/>
        </w:rPr>
        <w:t xml:space="preserve">Further research is needed on the use of bacterial interference (i.e., bladder inoculation with a nonpathogenic bacterial strain) to prevent UTI in patients requiring chronic urinary catheterization </w:t>
      </w:r>
      <w:r w:rsidRPr="00967A7F">
        <w:rPr>
          <w:b/>
          <w:color w:val="C00000"/>
        </w:rPr>
        <w:t>(No recommendation/unresolved issue)</w:t>
      </w:r>
    </w:p>
    <w:p w14:paraId="62D7ADC3" w14:textId="77777777" w:rsidR="00877D08" w:rsidRPr="00967A7F" w:rsidRDefault="00877D08" w:rsidP="00D15270">
      <w:pPr>
        <w:shd w:val="clear" w:color="auto" w:fill="FFFFFF"/>
        <w:ind w:left="0" w:firstLine="0"/>
        <w:rPr>
          <w:color w:val="C00000"/>
        </w:rPr>
      </w:pPr>
    </w:p>
    <w:p w14:paraId="2759B1D2" w14:textId="7ACA0FC8" w:rsidR="007E3004" w:rsidRPr="00967A7F" w:rsidRDefault="007E3004" w:rsidP="00372000">
      <w:pPr>
        <w:pStyle w:val="Response"/>
        <w:numPr>
          <w:ilvl w:val="0"/>
          <w:numId w:val="6"/>
        </w:numPr>
        <w:spacing w:before="0" w:after="0"/>
        <w:ind w:left="360"/>
        <w:rPr>
          <w:color w:val="C00000"/>
        </w:rPr>
      </w:pPr>
      <w:r w:rsidRPr="00967A7F">
        <w:rPr>
          <w:color w:val="C00000"/>
        </w:rPr>
        <w:t>Urinary Incontinence Clinical Practice Guideline</w:t>
      </w:r>
      <w:r w:rsidR="00BB787C" w:rsidRPr="00967A7F">
        <w:rPr>
          <w:color w:val="C00000"/>
        </w:rPr>
        <w:t>. Updated 2015.</w:t>
      </w:r>
      <w:r w:rsidR="00AA5882" w:rsidRPr="00967A7F">
        <w:rPr>
          <w:color w:val="C00000"/>
        </w:rPr>
        <w:t xml:space="preserve"> </w:t>
      </w:r>
      <w:hyperlink r:id="rId23" w:history="1">
        <w:r w:rsidR="009E2556" w:rsidRPr="00967A7F">
          <w:rPr>
            <w:rStyle w:val="Hyperlink"/>
            <w:color w:val="C00000"/>
          </w:rPr>
          <w:t>https://paltc.org/product-store/urinary-incontinence-cpg</w:t>
        </w:r>
      </w:hyperlink>
      <w:r w:rsidR="009E2556" w:rsidRPr="00967A7F">
        <w:rPr>
          <w:color w:val="C00000"/>
        </w:rPr>
        <w:t xml:space="preserve"> </w:t>
      </w:r>
    </w:p>
    <w:p w14:paraId="3707867A" w14:textId="77777777" w:rsidR="007E3004" w:rsidRPr="00967A7F" w:rsidRDefault="007E3004" w:rsidP="00887D0B">
      <w:pPr>
        <w:pStyle w:val="Heading3"/>
        <w:rPr>
          <w:rFonts w:asciiTheme="minorHAnsi" w:eastAsiaTheme="minorHAnsi" w:hAnsiTheme="minorHAnsi" w:cstheme="minorBidi"/>
          <w:b w:val="0"/>
          <w:bCs w:val="0"/>
          <w:color w:val="C00000"/>
        </w:rPr>
      </w:pPr>
      <w:bookmarkStart w:id="9" w:name="incontinence"/>
    </w:p>
    <w:p w14:paraId="36BED136" w14:textId="77777777" w:rsidR="007E3004" w:rsidRPr="00967A7F" w:rsidRDefault="007E3004" w:rsidP="00887D0B">
      <w:pPr>
        <w:ind w:firstLine="0"/>
        <w:rPr>
          <w:color w:val="C00000"/>
        </w:rPr>
      </w:pPr>
      <w:r w:rsidRPr="00967A7F">
        <w:rPr>
          <w:color w:val="C00000"/>
        </w:rPr>
        <w:t xml:space="preserve">FROM AMDA: Clinical Practice Guideline: Urinary Incontinence </w:t>
      </w:r>
    </w:p>
    <w:p w14:paraId="516CC4C1" w14:textId="77777777" w:rsidR="007E3004" w:rsidRPr="00967A7F" w:rsidRDefault="007E3004" w:rsidP="007E3004">
      <w:pPr>
        <w:rPr>
          <w:color w:val="C00000"/>
        </w:rPr>
      </w:pPr>
    </w:p>
    <w:bookmarkEnd w:id="9"/>
    <w:p w14:paraId="54C50C89" w14:textId="05A98D49" w:rsidR="007E3004" w:rsidRPr="00967A7F" w:rsidRDefault="007E3004" w:rsidP="007E3004">
      <w:pPr>
        <w:pStyle w:val="NormalWeb"/>
        <w:shd w:val="clear" w:color="auto" w:fill="FFFFFF"/>
        <w:spacing w:after="0"/>
        <w:ind w:left="720"/>
        <w:rPr>
          <w:rFonts w:asciiTheme="minorHAnsi" w:eastAsiaTheme="minorHAnsi" w:hAnsiTheme="minorHAnsi" w:cstheme="minorBidi"/>
          <w:color w:val="C00000"/>
          <w:sz w:val="22"/>
          <w:szCs w:val="22"/>
        </w:rPr>
      </w:pPr>
      <w:r w:rsidRPr="00967A7F">
        <w:rPr>
          <w:rFonts w:asciiTheme="minorHAnsi" w:eastAsiaTheme="minorHAnsi" w:hAnsiTheme="minorHAnsi" w:cstheme="minorBidi"/>
          <w:color w:val="C00000"/>
          <w:sz w:val="22"/>
          <w:szCs w:val="22"/>
        </w:rPr>
        <w:lastRenderedPageBreak/>
        <w:t xml:space="preserve">Urinary incontinence is one of the most common conditions among residents of </w:t>
      </w:r>
      <w:r w:rsidR="00887D0B" w:rsidRPr="00967A7F">
        <w:rPr>
          <w:rFonts w:asciiTheme="minorHAnsi" w:eastAsiaTheme="minorHAnsi" w:hAnsiTheme="minorHAnsi" w:cstheme="minorBidi"/>
          <w:color w:val="C00000"/>
          <w:sz w:val="22"/>
          <w:szCs w:val="22"/>
        </w:rPr>
        <w:t xml:space="preserve">post-acute and </w:t>
      </w:r>
      <w:r w:rsidR="00CC5C36" w:rsidRPr="00967A7F">
        <w:rPr>
          <w:rFonts w:asciiTheme="minorHAnsi" w:eastAsiaTheme="minorHAnsi" w:hAnsiTheme="minorHAnsi" w:cstheme="minorBidi"/>
          <w:color w:val="C00000"/>
          <w:sz w:val="22"/>
          <w:szCs w:val="22"/>
        </w:rPr>
        <w:t xml:space="preserve">long term </w:t>
      </w:r>
      <w:r w:rsidRPr="00967A7F">
        <w:rPr>
          <w:rFonts w:asciiTheme="minorHAnsi" w:eastAsiaTheme="minorHAnsi" w:hAnsiTheme="minorHAnsi" w:cstheme="minorBidi"/>
          <w:color w:val="C00000"/>
          <w:sz w:val="22"/>
          <w:szCs w:val="22"/>
        </w:rPr>
        <w:t>care facilities, affecting about 55% of residents. The prevalence of urinary incontinence increases with age</w:t>
      </w:r>
      <w:r w:rsidR="00887D0B" w:rsidRPr="00967A7F">
        <w:rPr>
          <w:rFonts w:asciiTheme="minorHAnsi" w:eastAsiaTheme="minorHAnsi" w:hAnsiTheme="minorHAnsi" w:cstheme="minorBidi"/>
          <w:color w:val="C00000"/>
          <w:sz w:val="22"/>
          <w:szCs w:val="22"/>
        </w:rPr>
        <w:t>.</w:t>
      </w:r>
      <w:r w:rsidR="00CC5C36" w:rsidRPr="00967A7F">
        <w:rPr>
          <w:rFonts w:asciiTheme="minorHAnsi" w:eastAsiaTheme="minorHAnsi" w:hAnsiTheme="minorHAnsi" w:cstheme="minorBidi"/>
          <w:color w:val="C00000"/>
          <w:sz w:val="22"/>
          <w:szCs w:val="22"/>
        </w:rPr>
        <w:t xml:space="preserve"> W</w:t>
      </w:r>
      <w:r w:rsidRPr="00967A7F">
        <w:rPr>
          <w:rFonts w:asciiTheme="minorHAnsi" w:eastAsiaTheme="minorHAnsi" w:hAnsiTheme="minorHAnsi" w:cstheme="minorBidi"/>
          <w:color w:val="C00000"/>
          <w:sz w:val="22"/>
          <w:szCs w:val="22"/>
        </w:rPr>
        <w:t xml:space="preserve">omen are affected more than men. </w:t>
      </w:r>
      <w:r w:rsidR="00887D0B" w:rsidRPr="00967A7F">
        <w:rPr>
          <w:rFonts w:asciiTheme="minorHAnsi" w:eastAsiaTheme="minorHAnsi" w:hAnsiTheme="minorHAnsi" w:cstheme="minorBidi"/>
          <w:color w:val="C00000"/>
          <w:sz w:val="22"/>
          <w:szCs w:val="22"/>
        </w:rPr>
        <w:t>Although urinary incontinence is increasingly prevalent with age, it is not a normal part of aging.</w:t>
      </w:r>
    </w:p>
    <w:p w14:paraId="4EC3BADF" w14:textId="77777777" w:rsidR="00CC5C36" w:rsidRPr="00967A7F" w:rsidRDefault="00CC5C36" w:rsidP="007E3004">
      <w:pPr>
        <w:pStyle w:val="NormalWeb"/>
        <w:shd w:val="clear" w:color="auto" w:fill="FFFFFF"/>
        <w:spacing w:after="0"/>
        <w:ind w:left="720"/>
        <w:rPr>
          <w:rFonts w:asciiTheme="minorHAnsi" w:eastAsiaTheme="minorHAnsi" w:hAnsiTheme="minorHAnsi" w:cstheme="minorBidi"/>
          <w:color w:val="C00000"/>
          <w:sz w:val="22"/>
          <w:szCs w:val="22"/>
        </w:rPr>
      </w:pPr>
    </w:p>
    <w:p w14:paraId="51F54DB5" w14:textId="549DE0F7" w:rsidR="00CC5C36" w:rsidRPr="00967A7F" w:rsidRDefault="007E3004" w:rsidP="007E3004">
      <w:pPr>
        <w:pStyle w:val="NormalWeb"/>
        <w:shd w:val="clear" w:color="auto" w:fill="FFFFFF"/>
        <w:spacing w:after="0"/>
        <w:ind w:left="720"/>
        <w:rPr>
          <w:rFonts w:asciiTheme="minorHAnsi" w:eastAsiaTheme="minorHAnsi" w:hAnsiTheme="minorHAnsi" w:cstheme="minorBidi"/>
          <w:color w:val="C00000"/>
          <w:sz w:val="22"/>
          <w:szCs w:val="22"/>
        </w:rPr>
      </w:pPr>
      <w:r w:rsidRPr="00967A7F">
        <w:rPr>
          <w:rFonts w:asciiTheme="minorHAnsi" w:eastAsiaTheme="minorHAnsi" w:hAnsiTheme="minorHAnsi" w:cstheme="minorBidi"/>
          <w:color w:val="C00000"/>
          <w:sz w:val="22"/>
          <w:szCs w:val="22"/>
        </w:rPr>
        <w:t>Urinary incontinence can adversely affect patients’ dignity and can contribute to depression, embarrassment, and social isolation. The annual cost of managing urinary incontinence in</w:t>
      </w:r>
      <w:r w:rsidR="00887D0B" w:rsidRPr="00967A7F">
        <w:rPr>
          <w:rFonts w:asciiTheme="minorHAnsi" w:eastAsiaTheme="minorHAnsi" w:hAnsiTheme="minorHAnsi" w:cstheme="minorBidi"/>
          <w:color w:val="C00000"/>
          <w:sz w:val="22"/>
          <w:szCs w:val="22"/>
        </w:rPr>
        <w:t xml:space="preserve"> post-acute and</w:t>
      </w:r>
      <w:r w:rsidR="00CC5C36" w:rsidRPr="00967A7F">
        <w:rPr>
          <w:rFonts w:asciiTheme="minorHAnsi" w:eastAsiaTheme="minorHAnsi" w:hAnsiTheme="minorHAnsi" w:cstheme="minorBidi"/>
          <w:color w:val="C00000"/>
          <w:sz w:val="22"/>
          <w:szCs w:val="22"/>
        </w:rPr>
        <w:t xml:space="preserve"> long term</w:t>
      </w:r>
      <w:r w:rsidRPr="00967A7F">
        <w:rPr>
          <w:rFonts w:asciiTheme="minorHAnsi" w:eastAsiaTheme="minorHAnsi" w:hAnsiTheme="minorHAnsi" w:cstheme="minorBidi"/>
          <w:color w:val="C00000"/>
          <w:sz w:val="22"/>
          <w:szCs w:val="22"/>
        </w:rPr>
        <w:t xml:space="preserve"> care facilities is estimated at $5.5 billion.</w:t>
      </w:r>
      <w:r w:rsidRPr="00967A7F">
        <w:rPr>
          <w:rFonts w:asciiTheme="minorHAnsi" w:eastAsiaTheme="minorHAnsi" w:hAnsiTheme="minorHAnsi" w:cstheme="minorBidi"/>
          <w:color w:val="C00000"/>
          <w:sz w:val="22"/>
          <w:szCs w:val="22"/>
        </w:rPr>
        <w:br/>
      </w:r>
    </w:p>
    <w:p w14:paraId="267EB73E" w14:textId="059F7918" w:rsidR="007E3004" w:rsidRPr="00967A7F" w:rsidRDefault="007E3004" w:rsidP="007E3004">
      <w:pPr>
        <w:pStyle w:val="NormalWeb"/>
        <w:shd w:val="clear" w:color="auto" w:fill="FFFFFF"/>
        <w:spacing w:after="0"/>
        <w:ind w:left="720"/>
        <w:rPr>
          <w:rFonts w:asciiTheme="minorHAnsi" w:eastAsiaTheme="minorHAnsi" w:hAnsiTheme="minorHAnsi" w:cstheme="minorBidi"/>
          <w:color w:val="C00000"/>
          <w:sz w:val="22"/>
          <w:szCs w:val="22"/>
        </w:rPr>
      </w:pPr>
      <w:r w:rsidRPr="00967A7F">
        <w:rPr>
          <w:rFonts w:asciiTheme="minorHAnsi" w:eastAsiaTheme="minorHAnsi" w:hAnsiTheme="minorHAnsi" w:cstheme="minorBidi"/>
          <w:color w:val="C00000"/>
          <w:sz w:val="22"/>
          <w:szCs w:val="22"/>
        </w:rPr>
        <w:t>Outcomes that may be expected from the implementation of this clinical practice guideline include the following:</w:t>
      </w:r>
    </w:p>
    <w:p w14:paraId="66488656" w14:textId="77777777" w:rsidR="007E3004" w:rsidRPr="00967A7F" w:rsidRDefault="007E3004" w:rsidP="007E3004">
      <w:pPr>
        <w:pStyle w:val="NormalWeb"/>
        <w:shd w:val="clear" w:color="auto" w:fill="FFFFFF"/>
        <w:spacing w:after="0"/>
        <w:ind w:left="720"/>
        <w:rPr>
          <w:rFonts w:asciiTheme="minorHAnsi" w:eastAsiaTheme="minorHAnsi" w:hAnsiTheme="minorHAnsi" w:cstheme="minorBidi"/>
          <w:color w:val="C00000"/>
          <w:sz w:val="22"/>
          <w:szCs w:val="22"/>
        </w:rPr>
      </w:pPr>
    </w:p>
    <w:p w14:paraId="07566FA8" w14:textId="77777777" w:rsidR="007E3004" w:rsidRPr="00967A7F" w:rsidRDefault="007E3004" w:rsidP="006F7296">
      <w:pPr>
        <w:pStyle w:val="ListBullet"/>
        <w:tabs>
          <w:tab w:val="clear" w:pos="360"/>
          <w:tab w:val="num" w:pos="1080"/>
        </w:tabs>
        <w:ind w:left="1080"/>
        <w:rPr>
          <w:color w:val="C00000"/>
        </w:rPr>
      </w:pPr>
      <w:r w:rsidRPr="00967A7F">
        <w:rPr>
          <w:color w:val="C00000"/>
        </w:rPr>
        <w:t>Better identification of individuals who have a reversible urinary incontinence problem.</w:t>
      </w:r>
    </w:p>
    <w:p w14:paraId="1A062E6A" w14:textId="77777777" w:rsidR="007E3004" w:rsidRPr="00967A7F" w:rsidRDefault="007E3004" w:rsidP="006F7296">
      <w:pPr>
        <w:pStyle w:val="ListBullet"/>
        <w:tabs>
          <w:tab w:val="clear" w:pos="360"/>
          <w:tab w:val="num" w:pos="1080"/>
        </w:tabs>
        <w:ind w:left="1080"/>
        <w:rPr>
          <w:color w:val="C00000"/>
        </w:rPr>
      </w:pPr>
      <w:r w:rsidRPr="00967A7F">
        <w:rPr>
          <w:color w:val="C00000"/>
        </w:rPr>
        <w:t>More individualized approaches to urinary incontinence management.</w:t>
      </w:r>
    </w:p>
    <w:p w14:paraId="7A2F5CB0" w14:textId="77777777" w:rsidR="007E3004" w:rsidRPr="00967A7F" w:rsidRDefault="007E3004" w:rsidP="006F7296">
      <w:pPr>
        <w:pStyle w:val="ListBullet"/>
        <w:tabs>
          <w:tab w:val="clear" w:pos="360"/>
          <w:tab w:val="num" w:pos="1080"/>
        </w:tabs>
        <w:ind w:left="1080"/>
        <w:rPr>
          <w:color w:val="C00000"/>
        </w:rPr>
      </w:pPr>
      <w:r w:rsidRPr="00967A7F">
        <w:rPr>
          <w:color w:val="C00000"/>
        </w:rPr>
        <w:t>More effective targeting of staff resources to urinary incontinence management.</w:t>
      </w:r>
    </w:p>
    <w:p w14:paraId="0603D762" w14:textId="77777777" w:rsidR="007E3004" w:rsidRPr="00967A7F" w:rsidRDefault="007E3004" w:rsidP="006F7296">
      <w:pPr>
        <w:pStyle w:val="ListBullet"/>
        <w:tabs>
          <w:tab w:val="clear" w:pos="360"/>
          <w:tab w:val="num" w:pos="1080"/>
        </w:tabs>
        <w:ind w:left="1080"/>
        <w:rPr>
          <w:color w:val="C00000"/>
        </w:rPr>
      </w:pPr>
      <w:r w:rsidRPr="00967A7F">
        <w:rPr>
          <w:color w:val="C00000"/>
        </w:rPr>
        <w:t>Minimization of inappropriate use of diapers and catheters.</w:t>
      </w:r>
    </w:p>
    <w:p w14:paraId="5C6A7F6D" w14:textId="77777777" w:rsidR="007E3004" w:rsidRPr="00967A7F" w:rsidRDefault="007E3004" w:rsidP="006F7296">
      <w:pPr>
        <w:pStyle w:val="ListBullet"/>
        <w:tabs>
          <w:tab w:val="clear" w:pos="360"/>
          <w:tab w:val="num" w:pos="1080"/>
        </w:tabs>
        <w:ind w:left="1080"/>
        <w:rPr>
          <w:color w:val="C00000"/>
        </w:rPr>
      </w:pPr>
      <w:r w:rsidRPr="00967A7F">
        <w:rPr>
          <w:color w:val="C00000"/>
        </w:rPr>
        <w:t>Reduction in significant complications of urinary incontinence and urinary catheters.</w:t>
      </w:r>
    </w:p>
    <w:p w14:paraId="24A9ED63" w14:textId="77777777" w:rsidR="005D5CDF" w:rsidRDefault="005D5CDF" w:rsidP="005D5CDF">
      <w:pPr>
        <w:ind w:left="0" w:firstLine="0"/>
        <w:rPr>
          <w:color w:val="7030A0"/>
        </w:rPr>
      </w:pPr>
    </w:p>
    <w:p w14:paraId="3A65C09C" w14:textId="29909577" w:rsidR="007E3004" w:rsidRPr="004E1764" w:rsidRDefault="005D5CDF" w:rsidP="005D5CDF">
      <w:pPr>
        <w:pStyle w:val="Response"/>
        <w:numPr>
          <w:ilvl w:val="0"/>
          <w:numId w:val="6"/>
        </w:numPr>
        <w:spacing w:before="0" w:after="0"/>
        <w:ind w:left="360"/>
      </w:pPr>
      <w:r>
        <w:t xml:space="preserve">AIPC-SHEA guideline: </w:t>
      </w:r>
      <w:r w:rsidRPr="005D5CDF">
        <w:t>Infection prevention and control in the long-term care facility. Contains information on indwelling</w:t>
      </w:r>
      <w:r>
        <w:t xml:space="preserve"> catheter use. September 2008. </w:t>
      </w:r>
      <w:hyperlink r:id="rId24" w:history="1">
        <w:r w:rsidR="0050255C">
          <w:rPr>
            <w:rStyle w:val="Hyperlink"/>
          </w:rPr>
          <w:t>http://www.apic.org/Resource_/TinyMceFileManager/Practice_Guidance/id_APIC-SHEA_GuidelineforICinLTCFs.pdf</w:t>
        </w:r>
      </w:hyperlink>
    </w:p>
    <w:p w14:paraId="6C9AF5B7" w14:textId="77777777" w:rsidR="007E3004" w:rsidRPr="004E1764" w:rsidRDefault="007E3004" w:rsidP="007E3004">
      <w:pPr>
        <w:pStyle w:val="Response"/>
        <w:spacing w:before="0" w:after="0"/>
        <w:ind w:left="360"/>
      </w:pPr>
    </w:p>
    <w:p w14:paraId="0FD14D8B" w14:textId="03C4404C" w:rsidR="007E3004" w:rsidRPr="004E1764" w:rsidRDefault="007E3004" w:rsidP="007E3004">
      <w:pPr>
        <w:pStyle w:val="Response"/>
        <w:spacing w:before="0" w:after="0"/>
        <w:ind w:left="720"/>
      </w:pPr>
      <w:r w:rsidRPr="004E1764">
        <w:t xml:space="preserve">While the use of urinary catheters in </w:t>
      </w:r>
      <w:r w:rsidR="00CB03A8" w:rsidRPr="004E1764">
        <w:t xml:space="preserve">long term care facility </w:t>
      </w:r>
      <w:r w:rsidRPr="004E1764">
        <w:t xml:space="preserve">residents has decreased in recent years, utilization remains around 5 percent. In </w:t>
      </w:r>
      <w:r w:rsidR="00CB03A8" w:rsidRPr="004E1764">
        <w:t>long term care</w:t>
      </w:r>
      <w:r w:rsidRPr="004E1764">
        <w:t xml:space="preserve"> residents, the use of invasive devices (e.g., central venous catheters, mechanical ventilators, </w:t>
      </w:r>
      <w:proofErr w:type="gramStart"/>
      <w:r w:rsidRPr="004E1764">
        <w:t>enteral</w:t>
      </w:r>
      <w:proofErr w:type="gramEnd"/>
      <w:r w:rsidRPr="004E1764">
        <w:t xml:space="preserve"> feeding tubes) increases the likelihood of a device-associated infection (p. 506).</w:t>
      </w:r>
    </w:p>
    <w:p w14:paraId="6B987BE0" w14:textId="77777777" w:rsidR="007E3004" w:rsidRPr="004E1764" w:rsidRDefault="007E3004" w:rsidP="007E3004">
      <w:pPr>
        <w:pStyle w:val="Response"/>
        <w:spacing w:before="0" w:after="0"/>
        <w:ind w:left="720"/>
      </w:pPr>
    </w:p>
    <w:p w14:paraId="53D52AEC" w14:textId="44DC1C6E" w:rsidR="007E3004" w:rsidRPr="004E1764" w:rsidRDefault="007E3004" w:rsidP="007E3004">
      <w:pPr>
        <w:pStyle w:val="Response"/>
        <w:spacing w:before="0" w:after="0"/>
        <w:ind w:left="720"/>
      </w:pPr>
      <w:r w:rsidRPr="004E1764">
        <w:t xml:space="preserve">Guidelines for prevention of catheter-associated UTIs in hospitalized patients are generally applicable to catheterized residents in </w:t>
      </w:r>
      <w:r w:rsidR="00DB596A" w:rsidRPr="004E1764">
        <w:t>long-term care facilities</w:t>
      </w:r>
      <w:r w:rsidRPr="004E1764">
        <w:t xml:space="preserve">. Recommended measures include limiting use of catheters, insertion of catheters aseptically by trained personnel, use of as small diameter a catheter as possible, handwashing before and after catheter manipulation, maintenance of a closed catheter system, avoiding irrigation unless the catheter is obstructed, keeping the collecting bag below the bladder, and maintaining good hydration in residents. Urinary catheters coated with antimicrobial materials have the potential to decrease UTIs but have not been studied in the </w:t>
      </w:r>
      <w:r w:rsidR="0017495A" w:rsidRPr="004E1764">
        <w:t xml:space="preserve">long-term care </w:t>
      </w:r>
      <w:r w:rsidRPr="004E1764">
        <w:t>setting. For some residents with impaired voiding, intermittent catheterization is an option, and clean technique is as safe as sterile technique. External catheters are also a risk factor for UTIs in male residents but are significantly more comfortable and associated with fewer adverse effects, including symptomatic urinary infection, than indwelling catheter</w:t>
      </w:r>
      <w:r w:rsidR="00CB03A8" w:rsidRPr="004E1764">
        <w:t>s</w:t>
      </w:r>
      <w:r w:rsidRPr="004E1764">
        <w:t xml:space="preserve">. </w:t>
      </w:r>
    </w:p>
    <w:p w14:paraId="6D1CAB05" w14:textId="7FD9CFF4" w:rsidR="00A434B2" w:rsidRPr="004E1764" w:rsidRDefault="00A434B2" w:rsidP="007E3004">
      <w:pPr>
        <w:pStyle w:val="Response"/>
        <w:spacing w:before="0" w:after="0"/>
        <w:ind w:left="720"/>
      </w:pPr>
    </w:p>
    <w:p w14:paraId="375F731C" w14:textId="28B4E51F" w:rsidR="00A434B2" w:rsidRPr="004E1764" w:rsidRDefault="00A434B2" w:rsidP="00CF698A">
      <w:pPr>
        <w:pStyle w:val="ListParagraph"/>
        <w:numPr>
          <w:ilvl w:val="0"/>
          <w:numId w:val="6"/>
        </w:numPr>
        <w:ind w:left="360"/>
        <w:rPr>
          <w:rFonts w:eastAsiaTheme="minorHAnsi"/>
          <w:color w:val="7030A0"/>
        </w:rPr>
      </w:pPr>
      <w:r w:rsidRPr="004E1764">
        <w:rPr>
          <w:rFonts w:eastAsiaTheme="minorHAnsi"/>
          <w:color w:val="7030A0"/>
        </w:rPr>
        <w:t xml:space="preserve">Diagnosis, Prevention, and Treatment of Catheter-Associated Urinary Tract Infections in Adults: 2009 International Clinical Practice Guidelines from the Infectious Disease Society of America. March 2010. </w:t>
      </w:r>
      <w:hyperlink r:id="rId25" w:history="1">
        <w:r w:rsidRPr="00E04619">
          <w:rPr>
            <w:rStyle w:val="Hyperlink"/>
            <w:rFonts w:eastAsiaTheme="minorHAnsi"/>
          </w:rPr>
          <w:t>https://academic.oup.com/cid/article/50/5/625/324341</w:t>
        </w:r>
      </w:hyperlink>
      <w:r w:rsidRPr="004E1764">
        <w:rPr>
          <w:rFonts w:eastAsiaTheme="minorHAnsi"/>
          <w:color w:val="7030A0"/>
        </w:rPr>
        <w:t xml:space="preserve"> </w:t>
      </w:r>
    </w:p>
    <w:p w14:paraId="36B6AD93" w14:textId="77777777" w:rsidR="00A434B2" w:rsidRPr="004E1764" w:rsidRDefault="00A434B2" w:rsidP="00A434B2">
      <w:pPr>
        <w:pStyle w:val="Response"/>
        <w:spacing w:before="0" w:after="0"/>
        <w:ind w:left="720"/>
        <w:jc w:val="center"/>
      </w:pPr>
    </w:p>
    <w:p w14:paraId="1294A016" w14:textId="68CC4731" w:rsidR="00A434B2" w:rsidRPr="004E1764" w:rsidRDefault="00A434B2" w:rsidP="003D30AA">
      <w:pPr>
        <w:ind w:left="0" w:firstLine="0"/>
        <w:jc w:val="center"/>
        <w:rPr>
          <w:b/>
          <w:bCs/>
          <w:color w:val="7030A0"/>
        </w:rPr>
      </w:pPr>
      <w:r w:rsidRPr="004E1764">
        <w:rPr>
          <w:b/>
          <w:bCs/>
          <w:color w:val="7030A0"/>
        </w:rPr>
        <w:lastRenderedPageBreak/>
        <w:t>Table 2.</w:t>
      </w:r>
      <w:r w:rsidRPr="004E1764">
        <w:rPr>
          <w:b/>
          <w:bCs/>
          <w:color w:val="7030A0"/>
        </w:rPr>
        <w:br/>
        <w:t>Strength of Recommendation and Quality of Evidence</w:t>
      </w:r>
    </w:p>
    <w:tbl>
      <w:tblPr>
        <w:tblW w:w="8956" w:type="dxa"/>
        <w:tblInd w:w="180" w:type="dxa"/>
        <w:tblBorders>
          <w:top w:val="single" w:sz="12" w:space="0" w:color="0000FF"/>
          <w:bottom w:val="single" w:sz="12" w:space="0" w:color="0000FF"/>
        </w:tblBorders>
        <w:tblLayout w:type="fixed"/>
        <w:tblLook w:val="0000" w:firstRow="0" w:lastRow="0" w:firstColumn="0" w:lastColumn="0" w:noHBand="0" w:noVBand="0"/>
        <w:tblCaption w:val="Table 2. Strength of Recommendation and Quality of Evidence"/>
        <w:tblDescription w:val="Table 2 provides definitions for Category/grades A, B, C, and Quality of evidence I, II, III."/>
      </w:tblPr>
      <w:tblGrid>
        <w:gridCol w:w="4130"/>
        <w:gridCol w:w="4826"/>
      </w:tblGrid>
      <w:tr w:rsidR="00A434B2" w:rsidRPr="00C4131E" w14:paraId="276FF17F" w14:textId="77777777" w:rsidTr="006D14D4">
        <w:trPr>
          <w:cantSplit/>
          <w:trHeight w:val="272"/>
          <w:tblHeader/>
        </w:trPr>
        <w:tc>
          <w:tcPr>
            <w:tcW w:w="4130" w:type="dxa"/>
            <w:tcBorders>
              <w:top w:val="single" w:sz="12" w:space="0" w:color="7030A0"/>
              <w:bottom w:val="single" w:sz="8" w:space="0" w:color="7030A0"/>
            </w:tcBorders>
          </w:tcPr>
          <w:p w14:paraId="6ACE2576" w14:textId="4E7AD7CB" w:rsidR="00A434B2" w:rsidRPr="00C4131E" w:rsidRDefault="00A434B2" w:rsidP="001236DF">
            <w:pPr>
              <w:pStyle w:val="Response"/>
              <w:spacing w:before="0" w:after="0"/>
              <w:ind w:left="0"/>
            </w:pPr>
            <w:r w:rsidRPr="004E1764">
              <w:t>Category/grade</w:t>
            </w:r>
          </w:p>
        </w:tc>
        <w:tc>
          <w:tcPr>
            <w:tcW w:w="4826" w:type="dxa"/>
            <w:tcBorders>
              <w:top w:val="single" w:sz="12" w:space="0" w:color="7030A0"/>
              <w:bottom w:val="single" w:sz="8" w:space="0" w:color="7030A0"/>
            </w:tcBorders>
          </w:tcPr>
          <w:p w14:paraId="018005EC" w14:textId="539996B6" w:rsidR="00A434B2" w:rsidRPr="004E1764" w:rsidRDefault="00A434B2" w:rsidP="001236DF">
            <w:pPr>
              <w:pStyle w:val="Response"/>
              <w:spacing w:before="0" w:after="0"/>
              <w:ind w:left="0"/>
            </w:pPr>
            <w:r w:rsidRPr="004E1764">
              <w:t>Definition</w:t>
            </w:r>
          </w:p>
        </w:tc>
      </w:tr>
      <w:tr w:rsidR="00A434B2" w:rsidRPr="00C4131E" w14:paraId="2121FC2B" w14:textId="77777777" w:rsidTr="006D14D4">
        <w:trPr>
          <w:cantSplit/>
          <w:trHeight w:val="272"/>
          <w:tblHeader/>
        </w:trPr>
        <w:tc>
          <w:tcPr>
            <w:tcW w:w="4130" w:type="dxa"/>
            <w:tcBorders>
              <w:top w:val="single" w:sz="8" w:space="0" w:color="7030A0"/>
            </w:tcBorders>
          </w:tcPr>
          <w:p w14:paraId="0C9068E9" w14:textId="5FB925E8" w:rsidR="00A434B2" w:rsidRPr="00C4131E" w:rsidRDefault="00A434B2" w:rsidP="001236DF">
            <w:pPr>
              <w:pStyle w:val="Response"/>
              <w:spacing w:before="0" w:after="0"/>
              <w:ind w:left="0"/>
            </w:pPr>
            <w:r w:rsidRPr="004E1764">
              <w:t xml:space="preserve">A </w:t>
            </w:r>
          </w:p>
        </w:tc>
        <w:tc>
          <w:tcPr>
            <w:tcW w:w="4826" w:type="dxa"/>
            <w:tcBorders>
              <w:top w:val="single" w:sz="8" w:space="0" w:color="7030A0"/>
            </w:tcBorders>
          </w:tcPr>
          <w:p w14:paraId="1B157479" w14:textId="4D8D0CB0" w:rsidR="00A434B2" w:rsidRPr="004E1764" w:rsidRDefault="00A434B2" w:rsidP="001236DF">
            <w:pPr>
              <w:pStyle w:val="Response"/>
              <w:spacing w:before="0" w:after="0"/>
              <w:ind w:left="0"/>
            </w:pPr>
            <w:r w:rsidRPr="004E1764">
              <w:t>Good evidence to support a recommendation for or against use.</w:t>
            </w:r>
          </w:p>
        </w:tc>
      </w:tr>
      <w:tr w:rsidR="00A434B2" w:rsidRPr="00C4131E" w14:paraId="0994422C" w14:textId="77777777" w:rsidTr="00D528DF">
        <w:trPr>
          <w:cantSplit/>
          <w:trHeight w:val="399"/>
          <w:tblHeader/>
        </w:trPr>
        <w:tc>
          <w:tcPr>
            <w:tcW w:w="4130" w:type="dxa"/>
          </w:tcPr>
          <w:p w14:paraId="2FD3D447" w14:textId="01BA3BD7" w:rsidR="00A434B2" w:rsidRPr="00C4131E" w:rsidRDefault="00A434B2" w:rsidP="001236DF">
            <w:pPr>
              <w:pStyle w:val="Response"/>
              <w:spacing w:before="0" w:after="0"/>
              <w:ind w:left="0"/>
            </w:pPr>
            <w:r w:rsidRPr="004E1764">
              <w:t xml:space="preserve">B </w:t>
            </w:r>
          </w:p>
        </w:tc>
        <w:tc>
          <w:tcPr>
            <w:tcW w:w="4826" w:type="dxa"/>
          </w:tcPr>
          <w:p w14:paraId="6C837108" w14:textId="372C9F25" w:rsidR="00A434B2" w:rsidRPr="004E1764" w:rsidRDefault="00A434B2" w:rsidP="001236DF">
            <w:pPr>
              <w:pStyle w:val="Response"/>
              <w:spacing w:before="0" w:after="0"/>
              <w:ind w:left="0"/>
            </w:pPr>
            <w:r w:rsidRPr="004E1764">
              <w:t>Moderate evidence to support a recommendation for or against use.</w:t>
            </w:r>
          </w:p>
        </w:tc>
      </w:tr>
      <w:tr w:rsidR="00A434B2" w:rsidRPr="00C4131E" w14:paraId="3F58988F" w14:textId="77777777" w:rsidTr="006D14D4">
        <w:trPr>
          <w:cantSplit/>
          <w:trHeight w:val="146"/>
          <w:tblHeader/>
        </w:trPr>
        <w:tc>
          <w:tcPr>
            <w:tcW w:w="4130" w:type="dxa"/>
            <w:tcBorders>
              <w:bottom w:val="single" w:sz="8" w:space="0" w:color="7030A0"/>
            </w:tcBorders>
          </w:tcPr>
          <w:p w14:paraId="17BB5067" w14:textId="04B8E550" w:rsidR="00A434B2" w:rsidRPr="00C4131E" w:rsidRDefault="00A434B2" w:rsidP="001236DF">
            <w:pPr>
              <w:pStyle w:val="Response"/>
              <w:spacing w:before="0" w:after="0"/>
              <w:ind w:left="0"/>
            </w:pPr>
            <w:r w:rsidRPr="004E1764">
              <w:t xml:space="preserve">C </w:t>
            </w:r>
          </w:p>
        </w:tc>
        <w:tc>
          <w:tcPr>
            <w:tcW w:w="4826" w:type="dxa"/>
            <w:tcBorders>
              <w:bottom w:val="single" w:sz="8" w:space="0" w:color="7030A0"/>
            </w:tcBorders>
          </w:tcPr>
          <w:p w14:paraId="08083EA9" w14:textId="45E214CD" w:rsidR="00A434B2" w:rsidRPr="004E1764" w:rsidRDefault="00A434B2" w:rsidP="001236DF">
            <w:pPr>
              <w:pStyle w:val="Response"/>
              <w:spacing w:before="0" w:after="0"/>
              <w:ind w:left="0"/>
            </w:pPr>
            <w:r w:rsidRPr="004E1764">
              <w:t>Poor evidence to support a recommendation for or against use.</w:t>
            </w:r>
          </w:p>
        </w:tc>
      </w:tr>
      <w:tr w:rsidR="00967A7F" w:rsidRPr="00C4131E" w14:paraId="42FD8D2B" w14:textId="77777777" w:rsidTr="006D14D4">
        <w:trPr>
          <w:cantSplit/>
          <w:trHeight w:val="146"/>
          <w:tblHeader/>
        </w:trPr>
        <w:tc>
          <w:tcPr>
            <w:tcW w:w="4130" w:type="dxa"/>
            <w:tcBorders>
              <w:top w:val="single" w:sz="8" w:space="0" w:color="7030A0"/>
              <w:bottom w:val="single" w:sz="8" w:space="0" w:color="7030A0"/>
            </w:tcBorders>
          </w:tcPr>
          <w:p w14:paraId="00EF7F8C" w14:textId="7C77E0C6" w:rsidR="00967A7F" w:rsidRDefault="00967A7F" w:rsidP="00967A7F">
            <w:pPr>
              <w:pStyle w:val="Response"/>
              <w:spacing w:before="0" w:after="0"/>
              <w:ind w:left="0"/>
            </w:pPr>
            <w:r w:rsidRPr="008421CD">
              <w:t>Quality of evidence</w:t>
            </w:r>
          </w:p>
        </w:tc>
        <w:tc>
          <w:tcPr>
            <w:tcW w:w="4826" w:type="dxa"/>
            <w:tcBorders>
              <w:top w:val="single" w:sz="8" w:space="0" w:color="7030A0"/>
              <w:bottom w:val="single" w:sz="8" w:space="0" w:color="7030A0"/>
            </w:tcBorders>
          </w:tcPr>
          <w:p w14:paraId="7EFCCAD0" w14:textId="2879D308" w:rsidR="00967A7F" w:rsidRPr="004E1764" w:rsidRDefault="00967A7F" w:rsidP="00967A7F">
            <w:pPr>
              <w:pStyle w:val="Response"/>
              <w:spacing w:before="0" w:after="0"/>
              <w:ind w:left="0"/>
            </w:pPr>
            <w:r w:rsidRPr="008421CD">
              <w:t>Definition</w:t>
            </w:r>
          </w:p>
        </w:tc>
      </w:tr>
      <w:tr w:rsidR="00A434B2" w:rsidRPr="00C4131E" w14:paraId="53441396" w14:textId="77777777" w:rsidTr="006D14D4">
        <w:trPr>
          <w:cantSplit/>
          <w:trHeight w:val="272"/>
          <w:tblHeader/>
        </w:trPr>
        <w:tc>
          <w:tcPr>
            <w:tcW w:w="4130" w:type="dxa"/>
            <w:tcBorders>
              <w:top w:val="single" w:sz="8" w:space="0" w:color="7030A0"/>
            </w:tcBorders>
          </w:tcPr>
          <w:p w14:paraId="44E18482" w14:textId="7A881B9A" w:rsidR="00A434B2" w:rsidRPr="00C4131E" w:rsidRDefault="00A434B2" w:rsidP="001236DF">
            <w:pPr>
              <w:pStyle w:val="Response"/>
              <w:spacing w:before="0" w:after="0"/>
              <w:ind w:left="0"/>
            </w:pPr>
            <w:r w:rsidRPr="004E1764">
              <w:t xml:space="preserve">I </w:t>
            </w:r>
          </w:p>
        </w:tc>
        <w:tc>
          <w:tcPr>
            <w:tcW w:w="4826" w:type="dxa"/>
            <w:tcBorders>
              <w:top w:val="single" w:sz="8" w:space="0" w:color="7030A0"/>
            </w:tcBorders>
          </w:tcPr>
          <w:p w14:paraId="1AA551E9" w14:textId="0D44C575" w:rsidR="00A434B2" w:rsidRPr="004E1764" w:rsidRDefault="00A434B2" w:rsidP="001236DF">
            <w:pPr>
              <w:pStyle w:val="Response"/>
              <w:spacing w:before="0" w:after="0"/>
              <w:ind w:left="0"/>
            </w:pPr>
            <w:r w:rsidRPr="004E1764">
              <w:t>Evidence from &gt;1 properly randomized, controlled trial.</w:t>
            </w:r>
          </w:p>
        </w:tc>
      </w:tr>
      <w:tr w:rsidR="00A434B2" w:rsidRPr="00C4131E" w14:paraId="326E1245" w14:textId="77777777" w:rsidTr="006D14D4">
        <w:trPr>
          <w:cantSplit/>
          <w:trHeight w:val="272"/>
          <w:tblHeader/>
        </w:trPr>
        <w:tc>
          <w:tcPr>
            <w:tcW w:w="4130" w:type="dxa"/>
            <w:tcBorders>
              <w:bottom w:val="nil"/>
            </w:tcBorders>
          </w:tcPr>
          <w:p w14:paraId="75B04751" w14:textId="6605E9AC" w:rsidR="00A434B2" w:rsidRPr="00C4131E" w:rsidRDefault="00A434B2" w:rsidP="001236DF">
            <w:pPr>
              <w:pStyle w:val="Response"/>
              <w:spacing w:before="0" w:after="0"/>
              <w:ind w:left="0"/>
            </w:pPr>
            <w:r w:rsidRPr="004E1764">
              <w:t xml:space="preserve">II </w:t>
            </w:r>
          </w:p>
        </w:tc>
        <w:tc>
          <w:tcPr>
            <w:tcW w:w="4826" w:type="dxa"/>
            <w:tcBorders>
              <w:bottom w:val="nil"/>
            </w:tcBorders>
          </w:tcPr>
          <w:p w14:paraId="06ACE8DD" w14:textId="2257C9D6" w:rsidR="00A434B2" w:rsidRPr="004E1764" w:rsidRDefault="00A434B2" w:rsidP="001236DF">
            <w:pPr>
              <w:pStyle w:val="Response"/>
              <w:spacing w:before="0" w:after="0"/>
              <w:ind w:left="0"/>
            </w:pPr>
            <w:r w:rsidRPr="004E1764">
              <w:t>Evidence from &gt;1 well-designed clinical trial, without randomization; from cohort or case-controlled analytic studies (preferably from &gt;1 center); from multiple time-series; or from dramatic results from uncontrolled experiments.</w:t>
            </w:r>
          </w:p>
        </w:tc>
      </w:tr>
      <w:tr w:rsidR="00A434B2" w:rsidRPr="00C4131E" w14:paraId="2BC21D5D" w14:textId="77777777" w:rsidTr="006D14D4">
        <w:trPr>
          <w:cantSplit/>
          <w:trHeight w:val="272"/>
          <w:tblHeader/>
        </w:trPr>
        <w:tc>
          <w:tcPr>
            <w:tcW w:w="4130" w:type="dxa"/>
            <w:tcBorders>
              <w:top w:val="nil"/>
              <w:bottom w:val="single" w:sz="12" w:space="0" w:color="7030A0"/>
            </w:tcBorders>
          </w:tcPr>
          <w:p w14:paraId="563D4CA3" w14:textId="32AE16F1" w:rsidR="00A434B2" w:rsidRPr="00C4131E" w:rsidRDefault="00A434B2" w:rsidP="001236DF">
            <w:pPr>
              <w:pStyle w:val="Response"/>
              <w:spacing w:before="0" w:after="0"/>
              <w:ind w:left="0"/>
            </w:pPr>
            <w:r w:rsidRPr="004E1764">
              <w:t>III</w:t>
            </w:r>
          </w:p>
        </w:tc>
        <w:tc>
          <w:tcPr>
            <w:tcW w:w="4826" w:type="dxa"/>
            <w:tcBorders>
              <w:top w:val="nil"/>
              <w:bottom w:val="single" w:sz="12" w:space="0" w:color="7030A0"/>
            </w:tcBorders>
          </w:tcPr>
          <w:p w14:paraId="08B1E59B" w14:textId="30A5391E" w:rsidR="00A434B2" w:rsidRPr="004E1764" w:rsidRDefault="00A434B2" w:rsidP="001236DF">
            <w:pPr>
              <w:pStyle w:val="Response"/>
              <w:spacing w:before="0" w:after="0"/>
              <w:ind w:left="0"/>
            </w:pPr>
            <w:r w:rsidRPr="004E1764">
              <w:t>Evidence from opinions of respected authorities, based on clinical experience, descriptive studies, or reports of expert committees.</w:t>
            </w:r>
          </w:p>
        </w:tc>
      </w:tr>
    </w:tbl>
    <w:p w14:paraId="717E3391" w14:textId="77777777" w:rsidR="00643984" w:rsidRPr="004E1764" w:rsidRDefault="00643984" w:rsidP="00643984">
      <w:pPr>
        <w:rPr>
          <w:color w:val="7030A0"/>
        </w:rPr>
      </w:pPr>
    </w:p>
    <w:p w14:paraId="34F2BBA1" w14:textId="77777777" w:rsidR="00F50A22" w:rsidRPr="004E1764" w:rsidRDefault="00F50A22" w:rsidP="00643984">
      <w:pPr>
        <w:rPr>
          <w:color w:val="7030A0"/>
        </w:rPr>
      </w:pPr>
    </w:p>
    <w:p w14:paraId="3B5B3CCD" w14:textId="1461E4DC" w:rsidR="00643984" w:rsidRPr="004E1764" w:rsidRDefault="00A434B2" w:rsidP="00F50A22">
      <w:pPr>
        <w:rPr>
          <w:color w:val="7030A0"/>
        </w:rPr>
      </w:pPr>
      <w:r w:rsidRPr="004E1764">
        <w:rPr>
          <w:color w:val="7030A0"/>
        </w:rPr>
        <w:t>Reduction of Inappropriate Urinary Catheter Insertion and Duration</w:t>
      </w:r>
      <w:r w:rsidR="0012272A" w:rsidRPr="004E1764">
        <w:rPr>
          <w:color w:val="7030A0"/>
        </w:rPr>
        <w:t xml:space="preserve"> </w:t>
      </w:r>
    </w:p>
    <w:p w14:paraId="2B8CB47A" w14:textId="77777777" w:rsidR="00643984" w:rsidRPr="004E1764" w:rsidRDefault="00643984" w:rsidP="00A434B2">
      <w:pPr>
        <w:ind w:left="720" w:firstLine="0"/>
        <w:rPr>
          <w:color w:val="7030A0"/>
        </w:rPr>
      </w:pPr>
    </w:p>
    <w:p w14:paraId="379E0DE6" w14:textId="05951192" w:rsidR="00A434B2" w:rsidRPr="004E1764" w:rsidRDefault="00A434B2" w:rsidP="00A434B2">
      <w:pPr>
        <w:ind w:left="720" w:firstLine="0"/>
        <w:rPr>
          <w:color w:val="7030A0"/>
        </w:rPr>
      </w:pPr>
      <w:r w:rsidRPr="004E1764">
        <w:rPr>
          <w:color w:val="7030A0"/>
        </w:rPr>
        <w:t>Limiting Unnecessary Catheterization</w:t>
      </w:r>
      <w:r w:rsidR="0012272A" w:rsidRPr="004E1764">
        <w:rPr>
          <w:color w:val="7030A0"/>
        </w:rPr>
        <w:t>:</w:t>
      </w:r>
    </w:p>
    <w:p w14:paraId="1167A428" w14:textId="50113A78" w:rsidR="00A434B2" w:rsidRPr="004E1764" w:rsidRDefault="00A434B2" w:rsidP="00A434B2">
      <w:pPr>
        <w:ind w:left="720" w:firstLine="0"/>
        <w:rPr>
          <w:color w:val="7030A0"/>
        </w:rPr>
      </w:pPr>
    </w:p>
    <w:p w14:paraId="3FFCE051" w14:textId="348BB9D5" w:rsidR="00A434B2" w:rsidRPr="004E1764" w:rsidRDefault="00A434B2" w:rsidP="00A434B2">
      <w:pPr>
        <w:pStyle w:val="ListParagraph"/>
        <w:numPr>
          <w:ilvl w:val="1"/>
          <w:numId w:val="29"/>
        </w:numPr>
        <w:ind w:left="810"/>
        <w:rPr>
          <w:color w:val="7030A0"/>
        </w:rPr>
      </w:pPr>
      <w:r w:rsidRPr="004E1764">
        <w:rPr>
          <w:color w:val="7030A0"/>
        </w:rPr>
        <w:t>Indwelling catheters should be place</w:t>
      </w:r>
      <w:r w:rsidR="00643984" w:rsidRPr="004E1764">
        <w:rPr>
          <w:color w:val="7030A0"/>
        </w:rPr>
        <w:t>d</w:t>
      </w:r>
      <w:r w:rsidRPr="004E1764">
        <w:rPr>
          <w:color w:val="7030A0"/>
        </w:rPr>
        <w:t xml:space="preserve"> only when they are indicate</w:t>
      </w:r>
      <w:r w:rsidR="00643984" w:rsidRPr="004E1764">
        <w:rPr>
          <w:color w:val="7030A0"/>
        </w:rPr>
        <w:t xml:space="preserve">d </w:t>
      </w:r>
      <w:r w:rsidR="00643984" w:rsidRPr="004E1764">
        <w:rPr>
          <w:b/>
          <w:color w:val="7030A0"/>
        </w:rPr>
        <w:t>(A-III)</w:t>
      </w:r>
    </w:p>
    <w:p w14:paraId="6F64F9EA" w14:textId="36D03226" w:rsidR="00643984" w:rsidRPr="004E1764" w:rsidRDefault="00643984" w:rsidP="00F50A22">
      <w:pPr>
        <w:pStyle w:val="ListParagraph"/>
        <w:numPr>
          <w:ilvl w:val="2"/>
          <w:numId w:val="29"/>
        </w:numPr>
        <w:ind w:left="1080"/>
        <w:rPr>
          <w:color w:val="7030A0"/>
        </w:rPr>
      </w:pPr>
      <w:r w:rsidRPr="004E1764">
        <w:rPr>
          <w:color w:val="7030A0"/>
        </w:rPr>
        <w:t xml:space="preserve">Indwelling urinary catheters should not be used for the management of urinary incontinence </w:t>
      </w:r>
      <w:r w:rsidRPr="004E1764">
        <w:rPr>
          <w:b/>
          <w:color w:val="7030A0"/>
        </w:rPr>
        <w:t>(A-III)</w:t>
      </w:r>
      <w:r w:rsidRPr="004E1764">
        <w:rPr>
          <w:color w:val="7030A0"/>
        </w:rPr>
        <w:t>. In exceptional cases, when all other approaches to management of incontinence have not been effective, it may be considered at patient request.</w:t>
      </w:r>
    </w:p>
    <w:p w14:paraId="6C20B903" w14:textId="28F7CEAF" w:rsidR="00643984" w:rsidRPr="004E1764" w:rsidRDefault="00643984" w:rsidP="00643984">
      <w:pPr>
        <w:pStyle w:val="ListParagraph"/>
        <w:numPr>
          <w:ilvl w:val="1"/>
          <w:numId w:val="29"/>
        </w:numPr>
        <w:ind w:left="810"/>
        <w:rPr>
          <w:color w:val="7030A0"/>
        </w:rPr>
      </w:pPr>
      <w:r w:rsidRPr="004E1764">
        <w:rPr>
          <w:color w:val="7030A0"/>
        </w:rPr>
        <w:t xml:space="preserve">Institutions should develop a list of appropriate indications for inserting indwelling urinary catheters, educate staff about such indications, and periodically assess adherence to the institution-specific guidelines </w:t>
      </w:r>
      <w:r w:rsidRPr="004E1764">
        <w:rPr>
          <w:b/>
          <w:color w:val="7030A0"/>
        </w:rPr>
        <w:t>(A-III)</w:t>
      </w:r>
      <w:r w:rsidRPr="004E1764">
        <w:rPr>
          <w:color w:val="7030A0"/>
        </w:rPr>
        <w:t>.</w:t>
      </w:r>
    </w:p>
    <w:p w14:paraId="45C0D628" w14:textId="5818B308" w:rsidR="00643984" w:rsidRPr="004E1764" w:rsidRDefault="00643984" w:rsidP="00643984">
      <w:pPr>
        <w:pStyle w:val="ListParagraph"/>
        <w:numPr>
          <w:ilvl w:val="1"/>
          <w:numId w:val="29"/>
        </w:numPr>
        <w:ind w:left="810"/>
        <w:rPr>
          <w:color w:val="7030A0"/>
        </w:rPr>
      </w:pPr>
      <w:r w:rsidRPr="004E1764">
        <w:rPr>
          <w:color w:val="7030A0"/>
        </w:rPr>
        <w:t xml:space="preserve">Institutions should require a physician's order in the chart before an indwelling catheter is placed </w:t>
      </w:r>
      <w:r w:rsidRPr="004E1764">
        <w:rPr>
          <w:b/>
          <w:color w:val="7030A0"/>
        </w:rPr>
        <w:t>(A-III)</w:t>
      </w:r>
      <w:r w:rsidRPr="004E1764">
        <w:rPr>
          <w:color w:val="7030A0"/>
        </w:rPr>
        <w:t>.</w:t>
      </w:r>
    </w:p>
    <w:p w14:paraId="46991459" w14:textId="40B86ABA" w:rsidR="00643984" w:rsidRPr="004E1764" w:rsidRDefault="00643984" w:rsidP="00643984">
      <w:pPr>
        <w:pStyle w:val="ListParagraph"/>
        <w:numPr>
          <w:ilvl w:val="1"/>
          <w:numId w:val="29"/>
        </w:numPr>
        <w:ind w:left="810"/>
        <w:rPr>
          <w:color w:val="7030A0"/>
        </w:rPr>
      </w:pPr>
      <w:r w:rsidRPr="004E1764">
        <w:rPr>
          <w:color w:val="7030A0"/>
        </w:rPr>
        <w:t xml:space="preserve">Institutions should consider use of portable bladder scanners to determine whether catheterization is necessary for postoperative patients </w:t>
      </w:r>
      <w:r w:rsidRPr="004E1764">
        <w:rPr>
          <w:b/>
          <w:color w:val="7030A0"/>
        </w:rPr>
        <w:t>(B-II)</w:t>
      </w:r>
      <w:r w:rsidRPr="004E1764">
        <w:rPr>
          <w:color w:val="7030A0"/>
        </w:rPr>
        <w:t>.</w:t>
      </w:r>
    </w:p>
    <w:p w14:paraId="7969E622" w14:textId="36D55B69" w:rsidR="00643984" w:rsidRPr="004E1764" w:rsidRDefault="00643984" w:rsidP="00643984">
      <w:pPr>
        <w:ind w:left="720" w:firstLine="0"/>
        <w:rPr>
          <w:color w:val="7030A0"/>
        </w:rPr>
      </w:pPr>
      <w:r w:rsidRPr="004E1764">
        <w:rPr>
          <w:color w:val="7030A0"/>
        </w:rPr>
        <w:t>Discontinuation of Catheter</w:t>
      </w:r>
      <w:r w:rsidR="0012272A" w:rsidRPr="004E1764">
        <w:rPr>
          <w:color w:val="7030A0"/>
        </w:rPr>
        <w:t>:</w:t>
      </w:r>
    </w:p>
    <w:p w14:paraId="68C5D3F9" w14:textId="0861F09F" w:rsidR="00643984" w:rsidRPr="004E1764" w:rsidRDefault="00643984" w:rsidP="00643984">
      <w:pPr>
        <w:ind w:left="720" w:firstLine="0"/>
        <w:rPr>
          <w:color w:val="7030A0"/>
        </w:rPr>
      </w:pPr>
    </w:p>
    <w:p w14:paraId="3058AC39" w14:textId="5E4D1922" w:rsidR="00643984" w:rsidRPr="004E1764" w:rsidRDefault="00643984" w:rsidP="00643984">
      <w:pPr>
        <w:pStyle w:val="ListParagraph"/>
        <w:numPr>
          <w:ilvl w:val="1"/>
          <w:numId w:val="29"/>
        </w:numPr>
        <w:ind w:left="810"/>
        <w:rPr>
          <w:rFonts w:eastAsiaTheme="minorHAnsi"/>
          <w:color w:val="7030A0"/>
        </w:rPr>
      </w:pPr>
      <w:r w:rsidRPr="004E1764">
        <w:rPr>
          <w:color w:val="7030A0"/>
        </w:rPr>
        <w:t xml:space="preserve">Indwelling </w:t>
      </w:r>
      <w:r w:rsidRPr="004E1764">
        <w:rPr>
          <w:rFonts w:eastAsiaTheme="minorHAnsi"/>
          <w:color w:val="7030A0"/>
        </w:rPr>
        <w:t xml:space="preserve">catheters should be removed as soon as they are no longer required to reduce the risk of CA-bacteriuria </w:t>
      </w:r>
      <w:r w:rsidRPr="004E1764">
        <w:rPr>
          <w:rFonts w:eastAsiaTheme="minorHAnsi"/>
          <w:b/>
          <w:color w:val="7030A0"/>
        </w:rPr>
        <w:t>(A-I)</w:t>
      </w:r>
      <w:r w:rsidRPr="004E1764">
        <w:rPr>
          <w:rFonts w:eastAsiaTheme="minorHAnsi"/>
          <w:color w:val="7030A0"/>
        </w:rPr>
        <w:t xml:space="preserve"> and CA-UTI </w:t>
      </w:r>
      <w:r w:rsidRPr="004E1764">
        <w:rPr>
          <w:rFonts w:eastAsiaTheme="minorHAnsi"/>
          <w:b/>
          <w:color w:val="7030A0"/>
        </w:rPr>
        <w:t>(A-II)</w:t>
      </w:r>
      <w:r w:rsidRPr="004E1764">
        <w:rPr>
          <w:rFonts w:eastAsiaTheme="minorHAnsi"/>
          <w:color w:val="7030A0"/>
        </w:rPr>
        <w:t>.</w:t>
      </w:r>
    </w:p>
    <w:p w14:paraId="4ECA1B0C" w14:textId="74A3C720" w:rsidR="00643984" w:rsidRPr="004E1764" w:rsidRDefault="00643984" w:rsidP="00643984">
      <w:pPr>
        <w:pStyle w:val="ListParagraph"/>
        <w:numPr>
          <w:ilvl w:val="1"/>
          <w:numId w:val="29"/>
        </w:numPr>
        <w:ind w:left="810"/>
        <w:rPr>
          <w:rFonts w:eastAsiaTheme="minorHAnsi"/>
          <w:color w:val="7030A0"/>
        </w:rPr>
      </w:pPr>
      <w:r w:rsidRPr="004E1764">
        <w:rPr>
          <w:rFonts w:eastAsiaTheme="minorHAnsi"/>
          <w:color w:val="7030A0"/>
        </w:rPr>
        <w:t xml:space="preserve">Institutions should consider nurse-based or electronic physician reminder systems to reduce inappropriate urinary catheterization </w:t>
      </w:r>
      <w:r w:rsidRPr="004E1764">
        <w:rPr>
          <w:rFonts w:eastAsiaTheme="minorHAnsi"/>
          <w:b/>
          <w:color w:val="7030A0"/>
        </w:rPr>
        <w:t>(A-II)</w:t>
      </w:r>
      <w:r w:rsidRPr="004E1764">
        <w:rPr>
          <w:rFonts w:eastAsiaTheme="minorHAnsi"/>
          <w:color w:val="7030A0"/>
        </w:rPr>
        <w:t xml:space="preserve"> and CA-UTI </w:t>
      </w:r>
      <w:r w:rsidRPr="004E1764">
        <w:rPr>
          <w:rFonts w:eastAsiaTheme="minorHAnsi"/>
          <w:b/>
          <w:color w:val="7030A0"/>
        </w:rPr>
        <w:t>(A-II)</w:t>
      </w:r>
      <w:r w:rsidRPr="004E1764">
        <w:rPr>
          <w:rFonts w:eastAsiaTheme="minorHAnsi"/>
          <w:color w:val="7030A0"/>
        </w:rPr>
        <w:t>.</w:t>
      </w:r>
    </w:p>
    <w:p w14:paraId="4A1B0FB5" w14:textId="3E636E3D" w:rsidR="00643984" w:rsidRPr="004E1764" w:rsidRDefault="00643984" w:rsidP="00643984">
      <w:pPr>
        <w:pStyle w:val="ListParagraph"/>
        <w:numPr>
          <w:ilvl w:val="1"/>
          <w:numId w:val="29"/>
        </w:numPr>
        <w:ind w:left="810"/>
        <w:rPr>
          <w:rFonts w:eastAsiaTheme="minorHAnsi"/>
          <w:color w:val="7030A0"/>
        </w:rPr>
      </w:pPr>
      <w:r w:rsidRPr="004E1764">
        <w:rPr>
          <w:rFonts w:eastAsiaTheme="minorHAnsi"/>
          <w:color w:val="7030A0"/>
        </w:rPr>
        <w:lastRenderedPageBreak/>
        <w:t xml:space="preserve">Institutions should consider automatic stop-orders to reduce inappropriate urinary catheterization </w:t>
      </w:r>
      <w:r w:rsidRPr="004E1764">
        <w:rPr>
          <w:rFonts w:eastAsiaTheme="minorHAnsi"/>
          <w:b/>
          <w:color w:val="7030A0"/>
        </w:rPr>
        <w:t>(B-I)</w:t>
      </w:r>
      <w:r w:rsidRPr="004E1764">
        <w:rPr>
          <w:rFonts w:eastAsiaTheme="minorHAnsi"/>
          <w:color w:val="7030A0"/>
        </w:rPr>
        <w:t>.</w:t>
      </w:r>
    </w:p>
    <w:p w14:paraId="079C62BB" w14:textId="0A958758" w:rsidR="00A434B2" w:rsidRPr="004E1764" w:rsidRDefault="00643984" w:rsidP="00CF698A">
      <w:pPr>
        <w:rPr>
          <w:color w:val="7030A0"/>
        </w:rPr>
      </w:pPr>
      <w:r w:rsidRPr="004E1764">
        <w:rPr>
          <w:color w:val="7030A0"/>
        </w:rPr>
        <w:t>Strategies to Consider Prior to Catheter Insertion</w:t>
      </w:r>
    </w:p>
    <w:p w14:paraId="3D1E27A0" w14:textId="48E2F440" w:rsidR="00643984" w:rsidRPr="004E1764" w:rsidRDefault="00643984" w:rsidP="00643984">
      <w:pPr>
        <w:rPr>
          <w:color w:val="7030A0"/>
        </w:rPr>
      </w:pPr>
    </w:p>
    <w:p w14:paraId="45C10DE5" w14:textId="3220A390" w:rsidR="00643984" w:rsidRPr="004E1764" w:rsidRDefault="00643984" w:rsidP="00643984">
      <w:pPr>
        <w:ind w:left="810"/>
        <w:rPr>
          <w:color w:val="7030A0"/>
        </w:rPr>
      </w:pPr>
      <w:r w:rsidRPr="004E1764">
        <w:rPr>
          <w:color w:val="7030A0"/>
        </w:rPr>
        <w:tab/>
        <w:t>Infection Prevention</w:t>
      </w:r>
      <w:r w:rsidR="0012272A" w:rsidRPr="004E1764">
        <w:rPr>
          <w:color w:val="7030A0"/>
        </w:rPr>
        <w:t>:</w:t>
      </w:r>
    </w:p>
    <w:p w14:paraId="26902F1B" w14:textId="046BF43B" w:rsidR="00643984" w:rsidRPr="004E1764" w:rsidRDefault="00643984" w:rsidP="00643984">
      <w:pPr>
        <w:ind w:left="810"/>
        <w:rPr>
          <w:color w:val="7030A0"/>
        </w:rPr>
      </w:pPr>
    </w:p>
    <w:p w14:paraId="3C85319B" w14:textId="37350B92" w:rsidR="00643984" w:rsidRPr="004E1764" w:rsidRDefault="00643984" w:rsidP="00643984">
      <w:pPr>
        <w:pStyle w:val="ListParagraph"/>
        <w:numPr>
          <w:ilvl w:val="1"/>
          <w:numId w:val="29"/>
        </w:numPr>
        <w:ind w:left="810"/>
        <w:rPr>
          <w:rFonts w:eastAsiaTheme="minorHAnsi"/>
          <w:color w:val="7030A0"/>
        </w:rPr>
      </w:pPr>
      <w:r w:rsidRPr="004E1764">
        <w:rPr>
          <w:color w:val="7030A0"/>
        </w:rPr>
        <w:t xml:space="preserve">Hospitals </w:t>
      </w:r>
      <w:r w:rsidRPr="004E1764">
        <w:rPr>
          <w:rFonts w:eastAsiaTheme="minorHAnsi"/>
          <w:color w:val="7030A0"/>
        </w:rPr>
        <w:t xml:space="preserve">and LTCFs should develop, maintain, and promulgate policies and procedures for recommended catheter insertion indications, insertion and maintenance techniques, discontinuation strategies, and replacement indications </w:t>
      </w:r>
      <w:r w:rsidRPr="004E1764">
        <w:rPr>
          <w:rFonts w:eastAsiaTheme="minorHAnsi"/>
          <w:b/>
          <w:color w:val="7030A0"/>
        </w:rPr>
        <w:t>(A-III)</w:t>
      </w:r>
      <w:r w:rsidRPr="004E1764">
        <w:rPr>
          <w:rFonts w:eastAsiaTheme="minorHAnsi"/>
          <w:color w:val="7030A0"/>
        </w:rPr>
        <w:t>.</w:t>
      </w:r>
    </w:p>
    <w:p w14:paraId="0909BEAD" w14:textId="1D455002" w:rsidR="00643984" w:rsidRPr="004E1764" w:rsidRDefault="00643984" w:rsidP="00643984">
      <w:pPr>
        <w:pStyle w:val="ListParagraph"/>
        <w:numPr>
          <w:ilvl w:val="2"/>
          <w:numId w:val="29"/>
        </w:numPr>
        <w:ind w:left="1080"/>
        <w:rPr>
          <w:rFonts w:eastAsiaTheme="minorHAnsi"/>
          <w:color w:val="7030A0"/>
        </w:rPr>
      </w:pPr>
      <w:r w:rsidRPr="004E1764">
        <w:rPr>
          <w:rFonts w:eastAsiaTheme="minorHAnsi"/>
          <w:color w:val="7030A0"/>
        </w:rPr>
        <w:t xml:space="preserve">Strategies should include education and training of staff relevant to these policies and procedures </w:t>
      </w:r>
      <w:r w:rsidRPr="004E1764">
        <w:rPr>
          <w:rFonts w:eastAsiaTheme="minorHAnsi"/>
          <w:b/>
          <w:color w:val="7030A0"/>
        </w:rPr>
        <w:t>(A-III)</w:t>
      </w:r>
      <w:r w:rsidRPr="004E1764">
        <w:rPr>
          <w:rFonts w:eastAsiaTheme="minorHAnsi"/>
          <w:color w:val="7030A0"/>
        </w:rPr>
        <w:t>.</w:t>
      </w:r>
    </w:p>
    <w:p w14:paraId="071B2530" w14:textId="6D2B7031" w:rsidR="00643984" w:rsidRPr="004E1764" w:rsidRDefault="00643984" w:rsidP="00643984">
      <w:pPr>
        <w:pStyle w:val="ListParagraph"/>
        <w:numPr>
          <w:ilvl w:val="1"/>
          <w:numId w:val="29"/>
        </w:numPr>
        <w:ind w:left="810"/>
        <w:rPr>
          <w:rFonts w:eastAsiaTheme="minorHAnsi"/>
          <w:color w:val="7030A0"/>
        </w:rPr>
      </w:pPr>
      <w:r w:rsidRPr="004E1764">
        <w:rPr>
          <w:rFonts w:eastAsiaTheme="minorHAnsi"/>
          <w:color w:val="7030A0"/>
        </w:rPr>
        <w:t xml:space="preserve">Institutions may consider feedback of CA-bacteriuria rates to nurses and physicians on a regular basis to reduce the risk of CA-bacteriuria </w:t>
      </w:r>
      <w:r w:rsidRPr="004E1764">
        <w:rPr>
          <w:rFonts w:eastAsiaTheme="minorHAnsi"/>
          <w:b/>
          <w:color w:val="7030A0"/>
        </w:rPr>
        <w:t>(C-II)</w:t>
      </w:r>
      <w:r w:rsidRPr="004E1764">
        <w:rPr>
          <w:rFonts w:eastAsiaTheme="minorHAnsi"/>
          <w:color w:val="7030A0"/>
        </w:rPr>
        <w:t>.</w:t>
      </w:r>
    </w:p>
    <w:p w14:paraId="367BFCD7" w14:textId="3719D390" w:rsidR="00643984" w:rsidRPr="004E1764" w:rsidRDefault="00643984" w:rsidP="00643984">
      <w:pPr>
        <w:pStyle w:val="ListParagraph"/>
        <w:numPr>
          <w:ilvl w:val="2"/>
          <w:numId w:val="29"/>
        </w:numPr>
        <w:ind w:left="1080"/>
        <w:rPr>
          <w:rFonts w:eastAsiaTheme="minorHAnsi"/>
          <w:color w:val="7030A0"/>
        </w:rPr>
      </w:pPr>
      <w:r w:rsidRPr="004E1764">
        <w:rPr>
          <w:rFonts w:eastAsiaTheme="minorHAnsi"/>
          <w:color w:val="7030A0"/>
        </w:rPr>
        <w:t>Data are insufficient to make a recommendation as to whether such an intervention might reduce the risk of CA-UTI.</w:t>
      </w:r>
    </w:p>
    <w:p w14:paraId="74D60D6E" w14:textId="514C999E" w:rsidR="00643984" w:rsidRPr="004E1764" w:rsidRDefault="00643984" w:rsidP="000D3155">
      <w:pPr>
        <w:pStyle w:val="ListParagraph"/>
        <w:numPr>
          <w:ilvl w:val="1"/>
          <w:numId w:val="29"/>
        </w:numPr>
        <w:ind w:left="810"/>
        <w:rPr>
          <w:rFonts w:eastAsiaTheme="minorHAnsi"/>
          <w:color w:val="7030A0"/>
        </w:rPr>
      </w:pPr>
      <w:r w:rsidRPr="004E1764">
        <w:rPr>
          <w:rFonts w:eastAsiaTheme="minorHAnsi"/>
          <w:color w:val="7030A0"/>
        </w:rPr>
        <w:t>Data are insufficient to make a recommendation as to whether institutions should place patients with indwelling urinary catheters in different rooms from other patients who have indwelling urinary catheters or other invasive devices to reduce the risk of CA-bacteriuria or CA-UTI.</w:t>
      </w:r>
    </w:p>
    <w:p w14:paraId="0E657D7B" w14:textId="292F8BAD" w:rsidR="00A434B2" w:rsidRPr="004E1764" w:rsidRDefault="00643984" w:rsidP="000D3155">
      <w:pPr>
        <w:ind w:left="0" w:firstLine="720"/>
        <w:rPr>
          <w:color w:val="7030A0"/>
        </w:rPr>
      </w:pPr>
      <w:r w:rsidRPr="004E1764">
        <w:rPr>
          <w:color w:val="7030A0"/>
        </w:rPr>
        <w:t>Alternatives to Indwelling Urethral Catheterization</w:t>
      </w:r>
      <w:r w:rsidR="0012272A" w:rsidRPr="004E1764">
        <w:rPr>
          <w:color w:val="7030A0"/>
        </w:rPr>
        <w:t>:</w:t>
      </w:r>
    </w:p>
    <w:p w14:paraId="354127B9" w14:textId="1F9DC039" w:rsidR="00643984" w:rsidRPr="004E1764" w:rsidRDefault="00643984" w:rsidP="00643984">
      <w:pPr>
        <w:ind w:left="0" w:firstLine="0"/>
        <w:rPr>
          <w:color w:val="7030A0"/>
        </w:rPr>
      </w:pPr>
    </w:p>
    <w:p w14:paraId="01E40049" w14:textId="52C5E0E1" w:rsidR="00643984" w:rsidRPr="004E1764" w:rsidRDefault="00BB787C" w:rsidP="00BB787C">
      <w:pPr>
        <w:pStyle w:val="ListParagraph"/>
        <w:numPr>
          <w:ilvl w:val="1"/>
          <w:numId w:val="29"/>
        </w:numPr>
        <w:ind w:left="810"/>
        <w:rPr>
          <w:color w:val="7030A0"/>
        </w:rPr>
      </w:pPr>
      <w:r w:rsidRPr="004E1764">
        <w:rPr>
          <w:color w:val="7030A0"/>
        </w:rPr>
        <w:t xml:space="preserve">In men for whom a urinary catheter is indicated and who have minimal </w:t>
      </w:r>
      <w:proofErr w:type="spellStart"/>
      <w:r w:rsidRPr="004E1764">
        <w:rPr>
          <w:color w:val="7030A0"/>
        </w:rPr>
        <w:t>postvoid</w:t>
      </w:r>
      <w:proofErr w:type="spellEnd"/>
      <w:r w:rsidRPr="004E1764">
        <w:rPr>
          <w:color w:val="7030A0"/>
        </w:rPr>
        <w:t xml:space="preserve"> residual urine, condom catheterization should be considered as an alternative to short-term </w:t>
      </w:r>
      <w:r w:rsidRPr="004E1764">
        <w:rPr>
          <w:b/>
          <w:color w:val="7030A0"/>
        </w:rPr>
        <w:t>(A-II)</w:t>
      </w:r>
      <w:r w:rsidRPr="004E1764">
        <w:rPr>
          <w:color w:val="7030A0"/>
        </w:rPr>
        <w:t xml:space="preserve"> and long-term </w:t>
      </w:r>
      <w:r w:rsidRPr="004E1764">
        <w:rPr>
          <w:b/>
          <w:color w:val="7030A0"/>
        </w:rPr>
        <w:t>(B-II)</w:t>
      </w:r>
      <w:r w:rsidRPr="004E1764">
        <w:rPr>
          <w:color w:val="7030A0"/>
        </w:rPr>
        <w:t xml:space="preserve"> indwelling catheterization to reduce CA-bacteriuria in those who are not cognitively impaired.</w:t>
      </w:r>
    </w:p>
    <w:p w14:paraId="0C50F6AD" w14:textId="764D0434" w:rsidR="00BB787C" w:rsidRPr="004E1764" w:rsidRDefault="00BB787C" w:rsidP="00BB787C">
      <w:pPr>
        <w:pStyle w:val="ListParagraph"/>
        <w:numPr>
          <w:ilvl w:val="2"/>
          <w:numId w:val="29"/>
        </w:numPr>
        <w:ind w:left="1080"/>
        <w:rPr>
          <w:color w:val="7030A0"/>
        </w:rPr>
      </w:pPr>
      <w:r w:rsidRPr="004E1764">
        <w:rPr>
          <w:color w:val="7030A0"/>
        </w:rPr>
        <w:t>Data are insufficient to make a recommendation as to whether condom catheterization is preferable to short-term or long-term indwelling urethral catheterization for reduction of CA-UTI.</w:t>
      </w:r>
    </w:p>
    <w:p w14:paraId="03A73E59" w14:textId="4F3A07C5" w:rsidR="00BB787C" w:rsidRPr="004E1764" w:rsidRDefault="00BB787C" w:rsidP="00BB787C">
      <w:pPr>
        <w:pStyle w:val="ListParagraph"/>
        <w:numPr>
          <w:ilvl w:val="2"/>
          <w:numId w:val="29"/>
        </w:numPr>
        <w:ind w:left="1080"/>
        <w:rPr>
          <w:color w:val="7030A0"/>
        </w:rPr>
      </w:pPr>
      <w:r w:rsidRPr="004E1764">
        <w:rPr>
          <w:color w:val="7030A0"/>
        </w:rPr>
        <w:t>Data are insufficient to make a recommendation as to whether condom catheterization is preferable to short-term or long-term indwelling urethral catheterization for reduction of CA-bacteriuria in those who are cognitively impaired.</w:t>
      </w:r>
    </w:p>
    <w:p w14:paraId="0048EE75" w14:textId="729ADB4C" w:rsidR="00BB787C" w:rsidRPr="004E1764" w:rsidRDefault="00BB787C" w:rsidP="00BB787C">
      <w:pPr>
        <w:pStyle w:val="ListParagraph"/>
        <w:numPr>
          <w:ilvl w:val="1"/>
          <w:numId w:val="29"/>
        </w:numPr>
        <w:ind w:left="810"/>
        <w:rPr>
          <w:color w:val="7030A0"/>
        </w:rPr>
      </w:pPr>
      <w:r w:rsidRPr="004E1764">
        <w:rPr>
          <w:color w:val="7030A0"/>
        </w:rPr>
        <w:t xml:space="preserve">Intermittent catheterization should be considered as an alternative to short-term </w:t>
      </w:r>
      <w:r w:rsidRPr="004E1764">
        <w:rPr>
          <w:b/>
          <w:color w:val="7030A0"/>
        </w:rPr>
        <w:t>(C-I)</w:t>
      </w:r>
      <w:r w:rsidRPr="004E1764">
        <w:rPr>
          <w:color w:val="7030A0"/>
        </w:rPr>
        <w:t xml:space="preserve"> or long-term </w:t>
      </w:r>
      <w:r w:rsidRPr="004E1764">
        <w:rPr>
          <w:b/>
          <w:color w:val="7030A0"/>
        </w:rPr>
        <w:t>(A-III)</w:t>
      </w:r>
      <w:r w:rsidRPr="004E1764">
        <w:rPr>
          <w:color w:val="7030A0"/>
        </w:rPr>
        <w:t xml:space="preserve"> indwelling urethral catheterization to reduce CA-bacteriuria and an alternative to short-term </w:t>
      </w:r>
      <w:r w:rsidRPr="004E1764">
        <w:rPr>
          <w:b/>
          <w:color w:val="7030A0"/>
        </w:rPr>
        <w:t xml:space="preserve">(C-III) </w:t>
      </w:r>
      <w:r w:rsidRPr="004E1764">
        <w:rPr>
          <w:color w:val="7030A0"/>
        </w:rPr>
        <w:t xml:space="preserve">or long-term </w:t>
      </w:r>
      <w:r w:rsidRPr="004E1764">
        <w:rPr>
          <w:b/>
          <w:color w:val="7030A0"/>
        </w:rPr>
        <w:t>(A-III)</w:t>
      </w:r>
      <w:r w:rsidRPr="004E1764">
        <w:rPr>
          <w:color w:val="7030A0"/>
        </w:rPr>
        <w:t xml:space="preserve"> indwelling urethral catheterization to reduce CA-UTI.</w:t>
      </w:r>
    </w:p>
    <w:p w14:paraId="39DBF8E2" w14:textId="6D8692C5" w:rsidR="00BB787C" w:rsidRPr="004E1764" w:rsidRDefault="00BB787C" w:rsidP="00BB787C">
      <w:pPr>
        <w:pStyle w:val="ListParagraph"/>
        <w:numPr>
          <w:ilvl w:val="1"/>
          <w:numId w:val="29"/>
        </w:numPr>
        <w:ind w:left="810"/>
        <w:rPr>
          <w:color w:val="7030A0"/>
        </w:rPr>
      </w:pPr>
      <w:r w:rsidRPr="004E1764">
        <w:rPr>
          <w:color w:val="7030A0"/>
        </w:rPr>
        <w:t xml:space="preserve">Suprapubic catheterization may be considered as an alternative to short-term indwelling urethral catheterization to reduce CA-bacteriuria </w:t>
      </w:r>
      <w:r w:rsidRPr="004E1764">
        <w:rPr>
          <w:b/>
          <w:color w:val="7030A0"/>
        </w:rPr>
        <w:t>(B-I)</w:t>
      </w:r>
      <w:r w:rsidRPr="004E1764">
        <w:rPr>
          <w:color w:val="7030A0"/>
        </w:rPr>
        <w:t xml:space="preserve"> and CA-UTI </w:t>
      </w:r>
      <w:r w:rsidRPr="004E1764">
        <w:rPr>
          <w:b/>
          <w:color w:val="7030A0"/>
        </w:rPr>
        <w:t>(C-III)</w:t>
      </w:r>
      <w:r w:rsidRPr="004E1764">
        <w:rPr>
          <w:color w:val="7030A0"/>
        </w:rPr>
        <w:t>.</w:t>
      </w:r>
    </w:p>
    <w:p w14:paraId="5EB9771E" w14:textId="444C05CB" w:rsidR="00BB787C" w:rsidRPr="004E1764" w:rsidRDefault="00BB787C" w:rsidP="00BB787C">
      <w:pPr>
        <w:pStyle w:val="ListParagraph"/>
        <w:numPr>
          <w:ilvl w:val="2"/>
          <w:numId w:val="29"/>
        </w:numPr>
        <w:ind w:left="1080"/>
        <w:rPr>
          <w:color w:val="7030A0"/>
        </w:rPr>
      </w:pPr>
      <w:r w:rsidRPr="004E1764">
        <w:rPr>
          <w:color w:val="7030A0"/>
        </w:rPr>
        <w:t>Data are insufficient to make a recommendation as to whether suprapubic catheterization is preferable to long-term indwelling urethral catheterization for reduction of CA-bacteriuria or CA-UTI.</w:t>
      </w:r>
    </w:p>
    <w:p w14:paraId="48700BEC" w14:textId="57BE459A" w:rsidR="00A434B2" w:rsidRPr="004E1764" w:rsidRDefault="00BB787C" w:rsidP="000D3155">
      <w:pPr>
        <w:pStyle w:val="ListParagraph"/>
        <w:numPr>
          <w:ilvl w:val="2"/>
          <w:numId w:val="29"/>
        </w:numPr>
        <w:ind w:left="1080"/>
        <w:rPr>
          <w:color w:val="7030A0"/>
        </w:rPr>
      </w:pPr>
      <w:r w:rsidRPr="004E1764">
        <w:rPr>
          <w:color w:val="7030A0"/>
        </w:rPr>
        <w:t>Data are insufficient to make a recommendation as to whether intermittent catheterization is preferable to suprapubic catheterization for reduction of CA-bacteriuria or CA-UTI.</w:t>
      </w:r>
    </w:p>
    <w:p w14:paraId="54F694A2" w14:textId="27B07F12" w:rsidR="007C1887" w:rsidRPr="00B44A2F" w:rsidRDefault="007C1887" w:rsidP="00B44A2F">
      <w:pPr>
        <w:ind w:left="0" w:firstLine="0"/>
        <w:rPr>
          <w:i/>
          <w:iCs/>
        </w:rPr>
      </w:pPr>
    </w:p>
    <w:p w14:paraId="12B0DFFA" w14:textId="77777777" w:rsidR="0094689F" w:rsidRPr="003B1CC5" w:rsidRDefault="00925F11" w:rsidP="002E2177">
      <w:pPr>
        <w:ind w:left="0" w:firstLine="0"/>
        <w:rPr>
          <w:b/>
          <w:color w:val="0070C0"/>
        </w:rPr>
      </w:pPr>
      <w:r w:rsidRPr="003B1CC5">
        <w:rPr>
          <w:b/>
          <w:iCs/>
          <w:caps/>
        </w:rPr>
        <w:t>________________________</w:t>
      </w:r>
    </w:p>
    <w:p w14:paraId="00F1789F" w14:textId="12EA4CDB" w:rsidR="00127BBE" w:rsidRPr="003B1CC5" w:rsidRDefault="00127BBE" w:rsidP="0082046E">
      <w:pPr>
        <w:ind w:left="634" w:hanging="634"/>
        <w:rPr>
          <w:b/>
        </w:rPr>
      </w:pPr>
      <w:r w:rsidRPr="004E1764">
        <w:rPr>
          <w:b/>
          <w:color w:val="7030A0"/>
        </w:rPr>
        <w:t>1a.4</w:t>
      </w:r>
      <w:bookmarkStart w:id="10" w:name="Section1a5"/>
      <w:bookmarkStart w:id="11" w:name="Section1a6"/>
      <w:bookmarkStart w:id="12" w:name="Section1a7"/>
      <w:bookmarkStart w:id="13" w:name="Section1a8"/>
      <w:bookmarkEnd w:id="10"/>
      <w:bookmarkEnd w:id="11"/>
      <w:bookmarkEnd w:id="12"/>
      <w:bookmarkEnd w:id="13"/>
      <w:r w:rsidR="0082046E" w:rsidRPr="004E1764">
        <w:rPr>
          <w:b/>
          <w:color w:val="7030A0"/>
        </w:rPr>
        <w:tab/>
      </w:r>
      <w:r w:rsidRPr="003B1CC5">
        <w:rPr>
          <w:b/>
        </w:rPr>
        <w:t>OTHER SOURCE OF EVIDENCE</w:t>
      </w:r>
    </w:p>
    <w:p w14:paraId="0B1C7225" w14:textId="326F8E7F" w:rsidR="00A32B06" w:rsidRDefault="00127BBE" w:rsidP="00127BBE">
      <w:pPr>
        <w:ind w:left="0" w:firstLine="0"/>
        <w:rPr>
          <w:i/>
        </w:rPr>
      </w:pPr>
      <w:r w:rsidRPr="003B1CC5">
        <w:rPr>
          <w:i/>
        </w:rPr>
        <w:t>If source of evidence is NOT from a clinical practice guideline, USPSTF, or systematic review, please describe the evidence on which you are basing the performance measure.</w:t>
      </w:r>
    </w:p>
    <w:p w14:paraId="7CBA738D" w14:textId="17EFEB20" w:rsidR="00A32B06" w:rsidRDefault="00A32B06" w:rsidP="00127BBE">
      <w:pPr>
        <w:ind w:left="0" w:firstLine="0"/>
        <w:rPr>
          <w:i/>
        </w:rPr>
      </w:pPr>
    </w:p>
    <w:p w14:paraId="7D6FF21F" w14:textId="77777777" w:rsidR="001D1467" w:rsidRPr="004E1764" w:rsidRDefault="001D1467" w:rsidP="001D1467">
      <w:pPr>
        <w:ind w:left="432" w:hanging="432"/>
        <w:rPr>
          <w:color w:val="7030A0"/>
        </w:rPr>
      </w:pPr>
      <w:r w:rsidRPr="004E1764">
        <w:rPr>
          <w:color w:val="7030A0"/>
        </w:rPr>
        <w:t>This is not applicable.</w:t>
      </w:r>
    </w:p>
    <w:p w14:paraId="3C1E5323" w14:textId="77777777" w:rsidR="00CF698A" w:rsidRPr="003B1CC5" w:rsidRDefault="00CF698A" w:rsidP="00127BBE">
      <w:pPr>
        <w:ind w:left="0" w:firstLine="0"/>
      </w:pPr>
    </w:p>
    <w:p w14:paraId="48FDD215" w14:textId="50172455" w:rsidR="00127BBE" w:rsidRPr="000E5C93" w:rsidRDefault="00127BBE" w:rsidP="0082046E">
      <w:pPr>
        <w:ind w:left="630" w:hanging="630"/>
        <w:rPr>
          <w:color w:val="0070C0"/>
        </w:rPr>
      </w:pPr>
      <w:r w:rsidRPr="004E1764">
        <w:rPr>
          <w:b/>
          <w:color w:val="7030A0"/>
        </w:rPr>
        <w:t>1a.4.1</w:t>
      </w:r>
      <w:r w:rsidR="0082046E">
        <w:rPr>
          <w:color w:val="0070C0"/>
        </w:rPr>
        <w:tab/>
      </w:r>
      <w:proofErr w:type="gramStart"/>
      <w:r w:rsidRPr="000E5C93">
        <w:rPr>
          <w:b/>
        </w:rPr>
        <w:t>B</w:t>
      </w:r>
      <w:r>
        <w:rPr>
          <w:b/>
        </w:rPr>
        <w:t>riefly</w:t>
      </w:r>
      <w:proofErr w:type="gramEnd"/>
      <w:r>
        <w:rPr>
          <w:b/>
        </w:rPr>
        <w:t xml:space="preserve"> SYNTHESIZE</w:t>
      </w:r>
      <w:r w:rsidRPr="000E5C93">
        <w:rPr>
          <w:b/>
        </w:rPr>
        <w:t xml:space="preserve"> </w:t>
      </w:r>
      <w:r>
        <w:rPr>
          <w:b/>
        </w:rPr>
        <w:t xml:space="preserve">the evidence that supports the measure. </w:t>
      </w:r>
      <w:r>
        <w:t>A list of references without a summary is not acceptable.</w:t>
      </w:r>
    </w:p>
    <w:p w14:paraId="593CBAF6" w14:textId="3A03E591" w:rsidR="00075BAE" w:rsidRDefault="00075BAE" w:rsidP="00127BBE">
      <w:pPr>
        <w:ind w:left="0" w:firstLine="0"/>
      </w:pPr>
    </w:p>
    <w:p w14:paraId="15EE4BA5" w14:textId="77777777" w:rsidR="001D1467" w:rsidRPr="004E1764" w:rsidRDefault="001D1467" w:rsidP="001D1467">
      <w:pPr>
        <w:ind w:left="432" w:hanging="432"/>
        <w:rPr>
          <w:color w:val="7030A0"/>
        </w:rPr>
      </w:pPr>
      <w:r w:rsidRPr="004E1764">
        <w:rPr>
          <w:color w:val="7030A0"/>
        </w:rPr>
        <w:t>This is not applicable.</w:t>
      </w:r>
    </w:p>
    <w:p w14:paraId="03005CF6" w14:textId="77777777" w:rsidR="00423407" w:rsidRPr="004E1764" w:rsidRDefault="00423407" w:rsidP="00423407">
      <w:pPr>
        <w:ind w:left="0" w:firstLine="0"/>
        <w:rPr>
          <w:color w:val="7030A0"/>
        </w:rPr>
      </w:pPr>
    </w:p>
    <w:p w14:paraId="6FD4CFDB" w14:textId="77777777" w:rsidR="00423407" w:rsidRPr="004E1764" w:rsidRDefault="00423407" w:rsidP="00423407">
      <w:pPr>
        <w:ind w:left="0" w:firstLine="0"/>
        <w:rPr>
          <w:color w:val="7030A0"/>
        </w:rPr>
      </w:pPr>
    </w:p>
    <w:p w14:paraId="428AACA4" w14:textId="77777777" w:rsidR="00423407" w:rsidRPr="005734FB" w:rsidRDefault="00423407" w:rsidP="00127BBE">
      <w:pPr>
        <w:ind w:left="0" w:firstLine="0"/>
      </w:pPr>
    </w:p>
    <w:sectPr w:rsidR="00423407" w:rsidRPr="005734FB" w:rsidSect="00EA729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97B58A" w14:textId="77777777" w:rsidR="00B309EE" w:rsidRDefault="00B309EE" w:rsidP="007E37A5">
      <w:r>
        <w:separator/>
      </w:r>
    </w:p>
  </w:endnote>
  <w:endnote w:type="continuationSeparator" w:id="0">
    <w:p w14:paraId="47763DA8" w14:textId="77777777" w:rsidR="00B309EE" w:rsidRDefault="00B309EE" w:rsidP="007E37A5">
      <w:r>
        <w:continuationSeparator/>
      </w:r>
    </w:p>
  </w:endnote>
  <w:endnote w:type="continuationNotice" w:id="1">
    <w:p w14:paraId="07F4E1D9" w14:textId="77777777" w:rsidR="00B309EE" w:rsidRDefault="00B309E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BSGulliver">
    <w:altName w:val="Calibri"/>
    <w:panose1 w:val="00000000000000000000"/>
    <w:charset w:val="00"/>
    <w:family w:val="auto"/>
    <w:notTrueType/>
    <w:pitch w:val="default"/>
    <w:sig w:usb0="00000003" w:usb1="00000000" w:usb2="00000000" w:usb3="00000000" w:csb0="00000001"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Mangal">
    <w:altName w:val="Courier New"/>
    <w:panose1 w:val="00000400000000000000"/>
    <w:charset w:val="00"/>
    <w:family w:val="roman"/>
    <w:pitch w:val="variable"/>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71B24A" w14:textId="166E9D8E" w:rsidR="00D332BA" w:rsidRDefault="00D332BA" w:rsidP="008F7BDD">
    <w:pPr>
      <w:pStyle w:val="Footer"/>
      <w:ind w:left="0" w:firstLine="0"/>
    </w:pPr>
    <w:r w:rsidRPr="00395263">
      <w:ptab w:relativeTo="margin" w:alignment="center" w:leader="none"/>
    </w:r>
    <w:r w:rsidRPr="00395263">
      <w:ptab w:relativeTo="margin" w:alignment="right" w:leader="none"/>
    </w:r>
    <w:r w:rsidRPr="00395263">
      <w:fldChar w:fldCharType="begin"/>
    </w:r>
    <w:r w:rsidRPr="00395263">
      <w:instrText xml:space="preserve"> PAGE   \* MERGEFORMAT </w:instrText>
    </w:r>
    <w:r w:rsidRPr="00395263">
      <w:fldChar w:fldCharType="separate"/>
    </w:r>
    <w:r w:rsidR="00194926">
      <w:rPr>
        <w:noProof/>
      </w:rPr>
      <w:t>13</w:t>
    </w:r>
    <w:r w:rsidRPr="00395263">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A90F1D" w14:textId="77777777" w:rsidR="00B309EE" w:rsidRDefault="00B309EE" w:rsidP="007E37A5">
      <w:r>
        <w:separator/>
      </w:r>
    </w:p>
  </w:footnote>
  <w:footnote w:type="continuationSeparator" w:id="0">
    <w:p w14:paraId="7B06EE8A" w14:textId="77777777" w:rsidR="00B309EE" w:rsidRDefault="00B309EE" w:rsidP="007E37A5">
      <w:r>
        <w:continuationSeparator/>
      </w:r>
    </w:p>
  </w:footnote>
  <w:footnote w:type="continuationNotice" w:id="1">
    <w:p w14:paraId="3E8D2633" w14:textId="77777777" w:rsidR="00B309EE" w:rsidRDefault="00B309EE"/>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C25DE9" w14:textId="77777777" w:rsidR="00D332BA" w:rsidRDefault="00D332BA" w:rsidP="007E37A5">
    <w:pPr>
      <w:pStyle w:val="Header"/>
      <w:ind w:left="0" w:firstLine="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7CC99C6"/>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A1A646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27B0D22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F1748D2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9E5A676C"/>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6DBC268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E2DE00FE"/>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D46D5F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DEB4266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0AC5B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4CD5716"/>
    <w:multiLevelType w:val="hybridMultilevel"/>
    <w:tmpl w:val="68260DD4"/>
    <w:lvl w:ilvl="0" w:tplc="5D64494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FE57477"/>
    <w:multiLevelType w:val="hybridMultilevel"/>
    <w:tmpl w:val="9E26AE88"/>
    <w:lvl w:ilvl="0" w:tplc="B600AB00">
      <w:start w:val="2"/>
      <w:numFmt w:val="upperLetter"/>
      <w:lvlText w:val="%1."/>
      <w:lvlJc w:val="left"/>
      <w:pPr>
        <w:tabs>
          <w:tab w:val="num" w:pos="720"/>
        </w:tabs>
        <w:ind w:left="720" w:hanging="360"/>
      </w:pPr>
    </w:lvl>
    <w:lvl w:ilvl="1" w:tplc="8C3A0670">
      <w:start w:val="1"/>
      <w:numFmt w:val="decimal"/>
      <w:lvlText w:val="%2."/>
      <w:lvlJc w:val="left"/>
      <w:pPr>
        <w:tabs>
          <w:tab w:val="num" w:pos="1440"/>
        </w:tabs>
        <w:ind w:left="1440" w:hanging="360"/>
      </w:pPr>
    </w:lvl>
    <w:lvl w:ilvl="2" w:tplc="04090015">
      <w:start w:val="1"/>
      <w:numFmt w:val="upperLetter"/>
      <w:lvlText w:val="%3."/>
      <w:lvlJc w:val="left"/>
      <w:pPr>
        <w:ind w:left="2160" w:hanging="360"/>
      </w:pPr>
      <w:rPr>
        <w:rFonts w:hint="default"/>
        <w:b w:val="0"/>
      </w:rPr>
    </w:lvl>
    <w:lvl w:ilvl="3" w:tplc="2E328368">
      <w:start w:val="1"/>
      <w:numFmt w:val="decimal"/>
      <w:lvlText w:val="%4."/>
      <w:lvlJc w:val="left"/>
      <w:pPr>
        <w:tabs>
          <w:tab w:val="num" w:pos="2880"/>
        </w:tabs>
        <w:ind w:left="2880" w:hanging="360"/>
      </w:pPr>
      <w:rPr>
        <w:b w:val="0"/>
      </w:rPr>
    </w:lvl>
    <w:lvl w:ilvl="4" w:tplc="2836283C" w:tentative="1">
      <w:start w:val="1"/>
      <w:numFmt w:val="decimal"/>
      <w:lvlText w:val="%5."/>
      <w:lvlJc w:val="left"/>
      <w:pPr>
        <w:tabs>
          <w:tab w:val="num" w:pos="3600"/>
        </w:tabs>
        <w:ind w:left="3600" w:hanging="360"/>
      </w:pPr>
    </w:lvl>
    <w:lvl w:ilvl="5" w:tplc="FF98F0AA" w:tentative="1">
      <w:start w:val="1"/>
      <w:numFmt w:val="decimal"/>
      <w:lvlText w:val="%6."/>
      <w:lvlJc w:val="left"/>
      <w:pPr>
        <w:tabs>
          <w:tab w:val="num" w:pos="4320"/>
        </w:tabs>
        <w:ind w:left="4320" w:hanging="360"/>
      </w:pPr>
    </w:lvl>
    <w:lvl w:ilvl="6" w:tplc="48D8FA2A" w:tentative="1">
      <w:start w:val="1"/>
      <w:numFmt w:val="decimal"/>
      <w:lvlText w:val="%7."/>
      <w:lvlJc w:val="left"/>
      <w:pPr>
        <w:tabs>
          <w:tab w:val="num" w:pos="5040"/>
        </w:tabs>
        <w:ind w:left="5040" w:hanging="360"/>
      </w:pPr>
    </w:lvl>
    <w:lvl w:ilvl="7" w:tplc="B746844E" w:tentative="1">
      <w:start w:val="1"/>
      <w:numFmt w:val="decimal"/>
      <w:lvlText w:val="%8."/>
      <w:lvlJc w:val="left"/>
      <w:pPr>
        <w:tabs>
          <w:tab w:val="num" w:pos="5760"/>
        </w:tabs>
        <w:ind w:left="5760" w:hanging="360"/>
      </w:pPr>
    </w:lvl>
    <w:lvl w:ilvl="8" w:tplc="2B5AA56A" w:tentative="1">
      <w:start w:val="1"/>
      <w:numFmt w:val="decimal"/>
      <w:lvlText w:val="%9."/>
      <w:lvlJc w:val="left"/>
      <w:pPr>
        <w:tabs>
          <w:tab w:val="num" w:pos="6480"/>
        </w:tabs>
        <w:ind w:left="6480" w:hanging="360"/>
      </w:pPr>
    </w:lvl>
  </w:abstractNum>
  <w:abstractNum w:abstractNumId="12" w15:restartNumberingAfterBreak="0">
    <w:nsid w:val="144F3EF5"/>
    <w:multiLevelType w:val="hybridMultilevel"/>
    <w:tmpl w:val="DB8072D4"/>
    <w:lvl w:ilvl="0" w:tplc="CA0A82C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837310C"/>
    <w:multiLevelType w:val="multilevel"/>
    <w:tmpl w:val="AA4C9BBA"/>
    <w:lvl w:ilvl="0">
      <w:start w:val="1"/>
      <w:numFmt w:val="decimal"/>
      <w:lvlText w:val="%1."/>
      <w:lvlJc w:val="left"/>
      <w:pPr>
        <w:tabs>
          <w:tab w:val="num" w:pos="720"/>
        </w:tabs>
        <w:ind w:left="720" w:hanging="360"/>
      </w:pPr>
      <w:rPr>
        <w:rFonts w:hint="default"/>
        <w:sz w:val="20"/>
      </w:rPr>
    </w:lvl>
    <w:lvl w:ilvl="1">
      <w:start w:val="1"/>
      <w:numFmt w:val="decimal"/>
      <w:lvlText w:val="%2."/>
      <w:lvlJc w:val="left"/>
      <w:pPr>
        <w:ind w:left="1440" w:hanging="360"/>
      </w:pPr>
      <w:rPr>
        <w:rFonts w:asciiTheme="minorHAnsi" w:hAnsiTheme="minorHAnsi" w:cstheme="minorBidi" w:hint="default"/>
        <w:sz w:val="22"/>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89B3869"/>
    <w:multiLevelType w:val="hybridMultilevel"/>
    <w:tmpl w:val="90384464"/>
    <w:lvl w:ilvl="0" w:tplc="41D28898">
      <w:start w:val="2"/>
      <w:numFmt w:val="upperLetter"/>
      <w:lvlText w:val="%1."/>
      <w:lvlJc w:val="left"/>
      <w:pPr>
        <w:tabs>
          <w:tab w:val="num" w:pos="720"/>
        </w:tabs>
        <w:ind w:left="720" w:hanging="360"/>
      </w:pPr>
    </w:lvl>
    <w:lvl w:ilvl="1" w:tplc="C87E2456">
      <w:start w:val="1"/>
      <w:numFmt w:val="lowerLetter"/>
      <w:lvlText w:val="%2."/>
      <w:lvlJc w:val="left"/>
      <w:pPr>
        <w:tabs>
          <w:tab w:val="num" w:pos="1440"/>
        </w:tabs>
        <w:ind w:left="1440" w:hanging="360"/>
      </w:pPr>
    </w:lvl>
    <w:lvl w:ilvl="2" w:tplc="7F4C2202" w:tentative="1">
      <w:start w:val="1"/>
      <w:numFmt w:val="decimal"/>
      <w:lvlText w:val="%3."/>
      <w:lvlJc w:val="left"/>
      <w:pPr>
        <w:tabs>
          <w:tab w:val="num" w:pos="2160"/>
        </w:tabs>
        <w:ind w:left="2160" w:hanging="360"/>
      </w:pPr>
    </w:lvl>
    <w:lvl w:ilvl="3" w:tplc="215AE4CE" w:tentative="1">
      <w:start w:val="1"/>
      <w:numFmt w:val="decimal"/>
      <w:lvlText w:val="%4."/>
      <w:lvlJc w:val="left"/>
      <w:pPr>
        <w:tabs>
          <w:tab w:val="num" w:pos="2880"/>
        </w:tabs>
        <w:ind w:left="2880" w:hanging="360"/>
      </w:pPr>
    </w:lvl>
    <w:lvl w:ilvl="4" w:tplc="6C883EDC" w:tentative="1">
      <w:start w:val="1"/>
      <w:numFmt w:val="decimal"/>
      <w:lvlText w:val="%5."/>
      <w:lvlJc w:val="left"/>
      <w:pPr>
        <w:tabs>
          <w:tab w:val="num" w:pos="3600"/>
        </w:tabs>
        <w:ind w:left="3600" w:hanging="360"/>
      </w:pPr>
    </w:lvl>
    <w:lvl w:ilvl="5" w:tplc="C9BCD860" w:tentative="1">
      <w:start w:val="1"/>
      <w:numFmt w:val="decimal"/>
      <w:lvlText w:val="%6."/>
      <w:lvlJc w:val="left"/>
      <w:pPr>
        <w:tabs>
          <w:tab w:val="num" w:pos="4320"/>
        </w:tabs>
        <w:ind w:left="4320" w:hanging="360"/>
      </w:pPr>
    </w:lvl>
    <w:lvl w:ilvl="6" w:tplc="7CCAB326" w:tentative="1">
      <w:start w:val="1"/>
      <w:numFmt w:val="decimal"/>
      <w:lvlText w:val="%7."/>
      <w:lvlJc w:val="left"/>
      <w:pPr>
        <w:tabs>
          <w:tab w:val="num" w:pos="5040"/>
        </w:tabs>
        <w:ind w:left="5040" w:hanging="360"/>
      </w:pPr>
    </w:lvl>
    <w:lvl w:ilvl="7" w:tplc="6392533A" w:tentative="1">
      <w:start w:val="1"/>
      <w:numFmt w:val="decimal"/>
      <w:lvlText w:val="%8."/>
      <w:lvlJc w:val="left"/>
      <w:pPr>
        <w:tabs>
          <w:tab w:val="num" w:pos="5760"/>
        </w:tabs>
        <w:ind w:left="5760" w:hanging="360"/>
      </w:pPr>
    </w:lvl>
    <w:lvl w:ilvl="8" w:tplc="52E2F852" w:tentative="1">
      <w:start w:val="1"/>
      <w:numFmt w:val="decimal"/>
      <w:lvlText w:val="%9."/>
      <w:lvlJc w:val="left"/>
      <w:pPr>
        <w:tabs>
          <w:tab w:val="num" w:pos="6480"/>
        </w:tabs>
        <w:ind w:left="6480" w:hanging="360"/>
      </w:pPr>
    </w:lvl>
  </w:abstractNum>
  <w:abstractNum w:abstractNumId="15" w15:restartNumberingAfterBreak="0">
    <w:nsid w:val="21DD519D"/>
    <w:multiLevelType w:val="hybridMultilevel"/>
    <w:tmpl w:val="719AA2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56D7541"/>
    <w:multiLevelType w:val="hybridMultilevel"/>
    <w:tmpl w:val="14C413B4"/>
    <w:lvl w:ilvl="0" w:tplc="EE5A9A54">
      <w:start w:val="1"/>
      <w:numFmt w:val="upperRoman"/>
      <w:lvlText w:val="%1."/>
      <w:lvlJc w:val="left"/>
      <w:pPr>
        <w:ind w:left="1170" w:hanging="72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7" w15:restartNumberingAfterBreak="0">
    <w:nsid w:val="25F67793"/>
    <w:multiLevelType w:val="hybridMultilevel"/>
    <w:tmpl w:val="B85408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96B1BC2"/>
    <w:multiLevelType w:val="hybridMultilevel"/>
    <w:tmpl w:val="0CAC8C24"/>
    <w:lvl w:ilvl="0" w:tplc="CA0A82C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2BF93730"/>
    <w:multiLevelType w:val="hybridMultilevel"/>
    <w:tmpl w:val="2820D094"/>
    <w:lvl w:ilvl="0" w:tplc="55367AD2">
      <w:start w:val="1"/>
      <w:numFmt w:val="upperRoman"/>
      <w:lvlText w:val="%1."/>
      <w:lvlJc w:val="left"/>
      <w:pPr>
        <w:ind w:left="1215" w:hanging="720"/>
      </w:pPr>
      <w:rPr>
        <w:rFonts w:hint="default"/>
      </w:rPr>
    </w:lvl>
    <w:lvl w:ilvl="1" w:tplc="04090019" w:tentative="1">
      <w:start w:val="1"/>
      <w:numFmt w:val="lowerLetter"/>
      <w:lvlText w:val="%2."/>
      <w:lvlJc w:val="left"/>
      <w:pPr>
        <w:ind w:left="1575" w:hanging="360"/>
      </w:pPr>
    </w:lvl>
    <w:lvl w:ilvl="2" w:tplc="0409001B" w:tentative="1">
      <w:start w:val="1"/>
      <w:numFmt w:val="lowerRoman"/>
      <w:lvlText w:val="%3."/>
      <w:lvlJc w:val="right"/>
      <w:pPr>
        <w:ind w:left="2295" w:hanging="180"/>
      </w:pPr>
    </w:lvl>
    <w:lvl w:ilvl="3" w:tplc="0409000F" w:tentative="1">
      <w:start w:val="1"/>
      <w:numFmt w:val="decimal"/>
      <w:lvlText w:val="%4."/>
      <w:lvlJc w:val="left"/>
      <w:pPr>
        <w:ind w:left="3015" w:hanging="360"/>
      </w:pPr>
    </w:lvl>
    <w:lvl w:ilvl="4" w:tplc="04090019" w:tentative="1">
      <w:start w:val="1"/>
      <w:numFmt w:val="lowerLetter"/>
      <w:lvlText w:val="%5."/>
      <w:lvlJc w:val="left"/>
      <w:pPr>
        <w:ind w:left="3735" w:hanging="360"/>
      </w:pPr>
    </w:lvl>
    <w:lvl w:ilvl="5" w:tplc="0409001B" w:tentative="1">
      <w:start w:val="1"/>
      <w:numFmt w:val="lowerRoman"/>
      <w:lvlText w:val="%6."/>
      <w:lvlJc w:val="right"/>
      <w:pPr>
        <w:ind w:left="4455" w:hanging="180"/>
      </w:pPr>
    </w:lvl>
    <w:lvl w:ilvl="6" w:tplc="0409000F" w:tentative="1">
      <w:start w:val="1"/>
      <w:numFmt w:val="decimal"/>
      <w:lvlText w:val="%7."/>
      <w:lvlJc w:val="left"/>
      <w:pPr>
        <w:ind w:left="5175" w:hanging="360"/>
      </w:pPr>
    </w:lvl>
    <w:lvl w:ilvl="7" w:tplc="04090019" w:tentative="1">
      <w:start w:val="1"/>
      <w:numFmt w:val="lowerLetter"/>
      <w:lvlText w:val="%8."/>
      <w:lvlJc w:val="left"/>
      <w:pPr>
        <w:ind w:left="5895" w:hanging="360"/>
      </w:pPr>
    </w:lvl>
    <w:lvl w:ilvl="8" w:tplc="0409001B" w:tentative="1">
      <w:start w:val="1"/>
      <w:numFmt w:val="lowerRoman"/>
      <w:lvlText w:val="%9."/>
      <w:lvlJc w:val="right"/>
      <w:pPr>
        <w:ind w:left="6615" w:hanging="180"/>
      </w:pPr>
    </w:lvl>
  </w:abstractNum>
  <w:abstractNum w:abstractNumId="20" w15:restartNumberingAfterBreak="0">
    <w:nsid w:val="2EFD4A73"/>
    <w:multiLevelType w:val="hybridMultilevel"/>
    <w:tmpl w:val="D29C6994"/>
    <w:lvl w:ilvl="0" w:tplc="CA0A82C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395414F9"/>
    <w:multiLevelType w:val="hybridMultilevel"/>
    <w:tmpl w:val="370E8908"/>
    <w:lvl w:ilvl="0" w:tplc="0C126F7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3B207110"/>
    <w:multiLevelType w:val="multilevel"/>
    <w:tmpl w:val="8200CEC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3D22055F"/>
    <w:multiLevelType w:val="hybridMultilevel"/>
    <w:tmpl w:val="7E725FB8"/>
    <w:lvl w:ilvl="0" w:tplc="04090015">
      <w:start w:val="1"/>
      <w:numFmt w:val="upperLetter"/>
      <w:lvlText w:val="%1."/>
      <w:lvlJc w:val="left"/>
      <w:pPr>
        <w:ind w:left="720" w:hanging="360"/>
      </w:pPr>
      <w:rPr>
        <w:rFonts w:hint="default"/>
      </w:rPr>
    </w:lvl>
    <w:lvl w:ilvl="1" w:tplc="8DBE2514">
      <w:start w:val="1"/>
      <w:numFmt w:val="decimal"/>
      <w:lvlText w:val="%2."/>
      <w:lvlJc w:val="left"/>
      <w:pPr>
        <w:ind w:left="1440" w:hanging="360"/>
      </w:pPr>
      <w:rPr>
        <w:color w:val="FF0000"/>
      </w:rPr>
    </w:lvl>
    <w:lvl w:ilvl="2" w:tplc="04090019">
      <w:start w:val="1"/>
      <w:numFmt w:val="lowerLetter"/>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FCC32E2"/>
    <w:multiLevelType w:val="hybridMultilevel"/>
    <w:tmpl w:val="8368AEE6"/>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4102215B"/>
    <w:multiLevelType w:val="multilevel"/>
    <w:tmpl w:val="9B64BC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68C1FE1"/>
    <w:multiLevelType w:val="hybridMultilevel"/>
    <w:tmpl w:val="88EE82F8"/>
    <w:lvl w:ilvl="0" w:tplc="DDC45EF0">
      <w:start w:val="1"/>
      <w:numFmt w:val="bullet"/>
      <w:lvlText w:val="•"/>
      <w:lvlJc w:val="left"/>
      <w:pPr>
        <w:tabs>
          <w:tab w:val="num" w:pos="720"/>
        </w:tabs>
        <w:ind w:left="720" w:hanging="360"/>
      </w:pPr>
      <w:rPr>
        <w:rFonts w:ascii="Times New Roman" w:hAnsi="Times New Roman" w:hint="default"/>
      </w:rPr>
    </w:lvl>
    <w:lvl w:ilvl="1" w:tplc="93640F08" w:tentative="1">
      <w:start w:val="1"/>
      <w:numFmt w:val="bullet"/>
      <w:lvlText w:val="•"/>
      <w:lvlJc w:val="left"/>
      <w:pPr>
        <w:tabs>
          <w:tab w:val="num" w:pos="1440"/>
        </w:tabs>
        <w:ind w:left="1440" w:hanging="360"/>
      </w:pPr>
      <w:rPr>
        <w:rFonts w:ascii="Times New Roman" w:hAnsi="Times New Roman" w:hint="default"/>
      </w:rPr>
    </w:lvl>
    <w:lvl w:ilvl="2" w:tplc="E97CE54C" w:tentative="1">
      <w:start w:val="1"/>
      <w:numFmt w:val="bullet"/>
      <w:lvlText w:val="•"/>
      <w:lvlJc w:val="left"/>
      <w:pPr>
        <w:tabs>
          <w:tab w:val="num" w:pos="2160"/>
        </w:tabs>
        <w:ind w:left="2160" w:hanging="360"/>
      </w:pPr>
      <w:rPr>
        <w:rFonts w:ascii="Times New Roman" w:hAnsi="Times New Roman" w:hint="default"/>
      </w:rPr>
    </w:lvl>
    <w:lvl w:ilvl="3" w:tplc="3502DA98" w:tentative="1">
      <w:start w:val="1"/>
      <w:numFmt w:val="bullet"/>
      <w:lvlText w:val="•"/>
      <w:lvlJc w:val="left"/>
      <w:pPr>
        <w:tabs>
          <w:tab w:val="num" w:pos="2880"/>
        </w:tabs>
        <w:ind w:left="2880" w:hanging="360"/>
      </w:pPr>
      <w:rPr>
        <w:rFonts w:ascii="Times New Roman" w:hAnsi="Times New Roman" w:hint="default"/>
      </w:rPr>
    </w:lvl>
    <w:lvl w:ilvl="4" w:tplc="B2667E9A" w:tentative="1">
      <w:start w:val="1"/>
      <w:numFmt w:val="bullet"/>
      <w:lvlText w:val="•"/>
      <w:lvlJc w:val="left"/>
      <w:pPr>
        <w:tabs>
          <w:tab w:val="num" w:pos="3600"/>
        </w:tabs>
        <w:ind w:left="3600" w:hanging="360"/>
      </w:pPr>
      <w:rPr>
        <w:rFonts w:ascii="Times New Roman" w:hAnsi="Times New Roman" w:hint="default"/>
      </w:rPr>
    </w:lvl>
    <w:lvl w:ilvl="5" w:tplc="3B884D60" w:tentative="1">
      <w:start w:val="1"/>
      <w:numFmt w:val="bullet"/>
      <w:lvlText w:val="•"/>
      <w:lvlJc w:val="left"/>
      <w:pPr>
        <w:tabs>
          <w:tab w:val="num" w:pos="4320"/>
        </w:tabs>
        <w:ind w:left="4320" w:hanging="360"/>
      </w:pPr>
      <w:rPr>
        <w:rFonts w:ascii="Times New Roman" w:hAnsi="Times New Roman" w:hint="default"/>
      </w:rPr>
    </w:lvl>
    <w:lvl w:ilvl="6" w:tplc="F2262DA6" w:tentative="1">
      <w:start w:val="1"/>
      <w:numFmt w:val="bullet"/>
      <w:lvlText w:val="•"/>
      <w:lvlJc w:val="left"/>
      <w:pPr>
        <w:tabs>
          <w:tab w:val="num" w:pos="5040"/>
        </w:tabs>
        <w:ind w:left="5040" w:hanging="360"/>
      </w:pPr>
      <w:rPr>
        <w:rFonts w:ascii="Times New Roman" w:hAnsi="Times New Roman" w:hint="default"/>
      </w:rPr>
    </w:lvl>
    <w:lvl w:ilvl="7" w:tplc="8FC063A6" w:tentative="1">
      <w:start w:val="1"/>
      <w:numFmt w:val="bullet"/>
      <w:lvlText w:val="•"/>
      <w:lvlJc w:val="left"/>
      <w:pPr>
        <w:tabs>
          <w:tab w:val="num" w:pos="5760"/>
        </w:tabs>
        <w:ind w:left="5760" w:hanging="360"/>
      </w:pPr>
      <w:rPr>
        <w:rFonts w:ascii="Times New Roman" w:hAnsi="Times New Roman" w:hint="default"/>
      </w:rPr>
    </w:lvl>
    <w:lvl w:ilvl="8" w:tplc="4FC0DE0E" w:tentative="1">
      <w:start w:val="1"/>
      <w:numFmt w:val="bullet"/>
      <w:lvlText w:val="•"/>
      <w:lvlJc w:val="left"/>
      <w:pPr>
        <w:tabs>
          <w:tab w:val="num" w:pos="6480"/>
        </w:tabs>
        <w:ind w:left="6480" w:hanging="360"/>
      </w:pPr>
      <w:rPr>
        <w:rFonts w:ascii="Times New Roman" w:hAnsi="Times New Roman" w:hint="default"/>
      </w:rPr>
    </w:lvl>
  </w:abstractNum>
  <w:abstractNum w:abstractNumId="28" w15:restartNumberingAfterBreak="0">
    <w:nsid w:val="4805389D"/>
    <w:multiLevelType w:val="hybridMultilevel"/>
    <w:tmpl w:val="29169D04"/>
    <w:lvl w:ilvl="0" w:tplc="2D9899D6">
      <w:numFmt w:val="upperLetter"/>
      <w:lvlText w:val="%1."/>
      <w:lvlJc w:val="left"/>
    </w:lvl>
    <w:lvl w:ilvl="1" w:tplc="3D80E4D2">
      <w:start w:val="1"/>
      <w:numFmt w:val="decimal"/>
      <w:lvlText w:val="%2."/>
      <w:lvlJc w:val="left"/>
      <w:pPr>
        <w:tabs>
          <w:tab w:val="num" w:pos="1440"/>
        </w:tabs>
        <w:ind w:left="1440" w:hanging="360"/>
      </w:pPr>
    </w:lvl>
    <w:lvl w:ilvl="2" w:tplc="D0002E12">
      <w:start w:val="1"/>
      <w:numFmt w:val="lowerRoman"/>
      <w:lvlText w:val="%3."/>
      <w:lvlJc w:val="right"/>
      <w:pPr>
        <w:tabs>
          <w:tab w:val="num" w:pos="2160"/>
        </w:tabs>
        <w:ind w:left="2160" w:hanging="360"/>
      </w:pPr>
    </w:lvl>
    <w:lvl w:ilvl="3" w:tplc="BA6A1942">
      <w:start w:val="1"/>
      <w:numFmt w:val="decimal"/>
      <w:lvlText w:val="%4."/>
      <w:lvlJc w:val="left"/>
      <w:pPr>
        <w:tabs>
          <w:tab w:val="num" w:pos="2880"/>
        </w:tabs>
        <w:ind w:left="2880" w:hanging="360"/>
      </w:pPr>
    </w:lvl>
    <w:lvl w:ilvl="4" w:tplc="6F2A0630" w:tentative="1">
      <w:start w:val="1"/>
      <w:numFmt w:val="decimal"/>
      <w:lvlText w:val="%5."/>
      <w:lvlJc w:val="left"/>
      <w:pPr>
        <w:tabs>
          <w:tab w:val="num" w:pos="3600"/>
        </w:tabs>
        <w:ind w:left="3600" w:hanging="360"/>
      </w:pPr>
    </w:lvl>
    <w:lvl w:ilvl="5" w:tplc="BDFE2D1A" w:tentative="1">
      <w:start w:val="1"/>
      <w:numFmt w:val="decimal"/>
      <w:lvlText w:val="%6."/>
      <w:lvlJc w:val="left"/>
      <w:pPr>
        <w:tabs>
          <w:tab w:val="num" w:pos="4320"/>
        </w:tabs>
        <w:ind w:left="4320" w:hanging="360"/>
      </w:pPr>
    </w:lvl>
    <w:lvl w:ilvl="6" w:tplc="CC6CC55E" w:tentative="1">
      <w:start w:val="1"/>
      <w:numFmt w:val="decimal"/>
      <w:lvlText w:val="%7."/>
      <w:lvlJc w:val="left"/>
      <w:pPr>
        <w:tabs>
          <w:tab w:val="num" w:pos="5040"/>
        </w:tabs>
        <w:ind w:left="5040" w:hanging="360"/>
      </w:pPr>
    </w:lvl>
    <w:lvl w:ilvl="7" w:tplc="57002042" w:tentative="1">
      <w:start w:val="1"/>
      <w:numFmt w:val="decimal"/>
      <w:lvlText w:val="%8."/>
      <w:lvlJc w:val="left"/>
      <w:pPr>
        <w:tabs>
          <w:tab w:val="num" w:pos="5760"/>
        </w:tabs>
        <w:ind w:left="5760" w:hanging="360"/>
      </w:pPr>
    </w:lvl>
    <w:lvl w:ilvl="8" w:tplc="C734B800" w:tentative="1">
      <w:start w:val="1"/>
      <w:numFmt w:val="decimal"/>
      <w:lvlText w:val="%9."/>
      <w:lvlJc w:val="left"/>
      <w:pPr>
        <w:tabs>
          <w:tab w:val="num" w:pos="6480"/>
        </w:tabs>
        <w:ind w:left="6480" w:hanging="360"/>
      </w:pPr>
    </w:lvl>
  </w:abstractNum>
  <w:abstractNum w:abstractNumId="29" w15:restartNumberingAfterBreak="0">
    <w:nsid w:val="4A0A3229"/>
    <w:multiLevelType w:val="hybridMultilevel"/>
    <w:tmpl w:val="11A6850E"/>
    <w:lvl w:ilvl="0" w:tplc="A31845FA">
      <w:start w:val="3"/>
      <w:numFmt w:val="bullet"/>
      <w:lvlText w:val="-"/>
      <w:lvlJc w:val="left"/>
      <w:pPr>
        <w:ind w:left="720" w:hanging="360"/>
      </w:pPr>
      <w:rPr>
        <w:rFonts w:ascii="Calibri" w:eastAsia="Times New Roman" w:hAnsi="Calibri"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4A1B3BAC"/>
    <w:multiLevelType w:val="hybridMultilevel"/>
    <w:tmpl w:val="0BD660D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4DA2120C"/>
    <w:multiLevelType w:val="hybridMultilevel"/>
    <w:tmpl w:val="C3C26A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122460C"/>
    <w:multiLevelType w:val="hybridMultilevel"/>
    <w:tmpl w:val="FFB2186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52DF6A4C"/>
    <w:multiLevelType w:val="hybridMultilevel"/>
    <w:tmpl w:val="2670E3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58B589F"/>
    <w:multiLevelType w:val="hybridMultilevel"/>
    <w:tmpl w:val="440832F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68380BF7"/>
    <w:multiLevelType w:val="hybridMultilevel"/>
    <w:tmpl w:val="A29CB114"/>
    <w:lvl w:ilvl="0" w:tplc="04090015">
      <w:start w:val="1"/>
      <w:numFmt w:val="upperLetter"/>
      <w:lvlText w:val="%1."/>
      <w:lvlJc w:val="left"/>
      <w:pPr>
        <w:ind w:left="720" w:hanging="360"/>
      </w:pPr>
      <w:rPr>
        <w:rFonts w:hint="default"/>
      </w:rPr>
    </w:lvl>
    <w:lvl w:ilvl="1" w:tplc="0409000F">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9907C92"/>
    <w:multiLevelType w:val="hybridMultilevel"/>
    <w:tmpl w:val="A34A0150"/>
    <w:lvl w:ilvl="0" w:tplc="D78A6B5C">
      <w:start w:val="1"/>
      <w:numFmt w:val="bullet"/>
      <w:lvlText w:val=""/>
      <w:lvlJc w:val="left"/>
      <w:pPr>
        <w:tabs>
          <w:tab w:val="num" w:pos="216"/>
        </w:tabs>
        <w:ind w:left="216" w:hanging="216"/>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A7C6843"/>
    <w:multiLevelType w:val="hybridMultilevel"/>
    <w:tmpl w:val="B5787192"/>
    <w:lvl w:ilvl="0" w:tplc="6BA2A88C">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D216008"/>
    <w:multiLevelType w:val="hybridMultilevel"/>
    <w:tmpl w:val="BFB079BC"/>
    <w:lvl w:ilvl="0" w:tplc="BDE8EF2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38"/>
  </w:num>
  <w:num w:numId="3">
    <w:abstractNumId w:val="36"/>
  </w:num>
  <w:num w:numId="4">
    <w:abstractNumId w:val="17"/>
  </w:num>
  <w:num w:numId="5">
    <w:abstractNumId w:val="15"/>
  </w:num>
  <w:num w:numId="6">
    <w:abstractNumId w:val="31"/>
  </w:num>
  <w:num w:numId="7">
    <w:abstractNumId w:val="23"/>
    <w:lvlOverride w:ilvl="0">
      <w:lvl w:ilvl="0">
        <w:numFmt w:val="upperLetter"/>
        <w:lvlText w:val="%1."/>
        <w:lvlJc w:val="left"/>
      </w:lvl>
    </w:lvlOverride>
  </w:num>
  <w:num w:numId="8">
    <w:abstractNumId w:val="28"/>
  </w:num>
  <w:num w:numId="9">
    <w:abstractNumId w:val="28"/>
    <w:lvlOverride w:ilvl="2">
      <w:lvl w:ilvl="2" w:tplc="D0002E12">
        <w:numFmt w:val="lowerLetter"/>
        <w:lvlText w:val="%3."/>
        <w:lvlJc w:val="left"/>
      </w:lvl>
    </w:lvlOverride>
  </w:num>
  <w:num w:numId="10">
    <w:abstractNumId w:val="26"/>
  </w:num>
  <w:num w:numId="11">
    <w:abstractNumId w:val="14"/>
  </w:num>
  <w:num w:numId="12">
    <w:abstractNumId w:val="11"/>
  </w:num>
  <w:num w:numId="13">
    <w:abstractNumId w:val="30"/>
  </w:num>
  <w:num w:numId="14">
    <w:abstractNumId w:val="29"/>
  </w:num>
  <w:num w:numId="15">
    <w:abstractNumId w:val="18"/>
  </w:num>
  <w:num w:numId="16">
    <w:abstractNumId w:val="20"/>
  </w:num>
  <w:num w:numId="17">
    <w:abstractNumId w:val="12"/>
  </w:num>
  <w:num w:numId="18">
    <w:abstractNumId w:val="13"/>
  </w:num>
  <w:num w:numId="19">
    <w:abstractNumId w:val="33"/>
  </w:num>
  <w:num w:numId="20">
    <w:abstractNumId w:val="34"/>
  </w:num>
  <w:num w:numId="21">
    <w:abstractNumId w:val="32"/>
  </w:num>
  <w:num w:numId="22">
    <w:abstractNumId w:val="27"/>
  </w:num>
  <w:num w:numId="23">
    <w:abstractNumId w:val="22"/>
  </w:num>
  <w:num w:numId="24">
    <w:abstractNumId w:val="19"/>
  </w:num>
  <w:num w:numId="25">
    <w:abstractNumId w:val="37"/>
  </w:num>
  <w:num w:numId="26">
    <w:abstractNumId w:val="39"/>
  </w:num>
  <w:num w:numId="27">
    <w:abstractNumId w:val="16"/>
  </w:num>
  <w:num w:numId="28">
    <w:abstractNumId w:val="24"/>
  </w:num>
  <w:num w:numId="29">
    <w:abstractNumId w:val="35"/>
  </w:num>
  <w:num w:numId="30">
    <w:abstractNumId w:val="9"/>
  </w:num>
  <w:num w:numId="31">
    <w:abstractNumId w:val="7"/>
  </w:num>
  <w:num w:numId="32">
    <w:abstractNumId w:val="6"/>
  </w:num>
  <w:num w:numId="33">
    <w:abstractNumId w:val="5"/>
  </w:num>
  <w:num w:numId="34">
    <w:abstractNumId w:val="4"/>
  </w:num>
  <w:num w:numId="35">
    <w:abstractNumId w:val="8"/>
  </w:num>
  <w:num w:numId="36">
    <w:abstractNumId w:val="3"/>
  </w:num>
  <w:num w:numId="37">
    <w:abstractNumId w:val="2"/>
  </w:num>
  <w:num w:numId="38">
    <w:abstractNumId w:val="1"/>
  </w:num>
  <w:num w:numId="39">
    <w:abstractNumId w:val="0"/>
  </w:num>
  <w:num w:numId="40">
    <w:abstractNumId w:val="25"/>
  </w:num>
  <w:num w:numId="41">
    <w:abstractNumId w:val="9"/>
  </w:num>
  <w:num w:numId="42">
    <w:abstractNumId w:val="1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characterSpacingControl w:val="doNotCompress"/>
  <w:hdrShapeDefaults>
    <o:shapedefaults v:ext="edit" spidmax="3481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EN.InstantFormat" w:val="&lt;ENInstantFormat&gt;&lt;Enabled&gt;1&lt;/Enabled&gt;&lt;ScanUnformatted&gt;1&lt;/ScanUnformatted&gt;&lt;ScanChanges&gt;1&lt;/ScanChanges&gt;&lt;Suspended&gt;1&lt;/Suspended&gt;&lt;/ENInstantFormat&gt;"/>
    <w:docVar w:name="EN.Layout" w:val="&lt;ENLayout&gt;&lt;Style&gt;APA 6th&lt;/Style&gt;&lt;LeftDelim&gt;{&lt;/LeftDelim&gt;&lt;RightDelim&gt;}&lt;/RightDelim&gt;&lt;FontName&gt;Calibri&lt;/FontName&gt;&lt;FontSize&gt;11&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st9sdzdf2awx9teevs6vrzdhxza5vdtafdvv&quot;&gt;RP EndNote Library&lt;record-ids&gt;&lt;item&gt;10&lt;/item&gt;&lt;item&gt;30&lt;/item&gt;&lt;item&gt;36&lt;/item&gt;&lt;item&gt;64&lt;/item&gt;&lt;item&gt;71&lt;/item&gt;&lt;item&gt;107&lt;/item&gt;&lt;item&gt;234&lt;/item&gt;&lt;item&gt;269&lt;/item&gt;&lt;item&gt;270&lt;/item&gt;&lt;item&gt;271&lt;/item&gt;&lt;item&gt;272&lt;/item&gt;&lt;item&gt;273&lt;/item&gt;&lt;item&gt;274&lt;/item&gt;&lt;item&gt;275&lt;/item&gt;&lt;item&gt;276&lt;/item&gt;&lt;item&gt;277&lt;/item&gt;&lt;item&gt;278&lt;/item&gt;&lt;item&gt;279&lt;/item&gt;&lt;item&gt;280&lt;/item&gt;&lt;item&gt;281&lt;/item&gt;&lt;item&gt;282&lt;/item&gt;&lt;item&gt;283&lt;/item&gt;&lt;item&gt;284&lt;/item&gt;&lt;item&gt;285&lt;/item&gt;&lt;item&gt;286&lt;/item&gt;&lt;item&gt;287&lt;/item&gt;&lt;item&gt;288&lt;/item&gt;&lt;item&gt;289&lt;/item&gt;&lt;item&gt;290&lt;/item&gt;&lt;item&gt;292&lt;/item&gt;&lt;item&gt;293&lt;/item&gt;&lt;item&gt;294&lt;/item&gt;&lt;item&gt;295&lt;/item&gt;&lt;item&gt;296&lt;/item&gt;&lt;item&gt;297&lt;/item&gt;&lt;item&gt;298&lt;/item&gt;&lt;item&gt;299&lt;/item&gt;&lt;item&gt;300&lt;/item&gt;&lt;/record-ids&gt;&lt;/item&gt;&lt;/Libraries&gt;"/>
  </w:docVars>
  <w:rsids>
    <w:rsidRoot w:val="000E40EF"/>
    <w:rsid w:val="00002903"/>
    <w:rsid w:val="00006EE5"/>
    <w:rsid w:val="00010891"/>
    <w:rsid w:val="00015304"/>
    <w:rsid w:val="000155A2"/>
    <w:rsid w:val="00015672"/>
    <w:rsid w:val="00015986"/>
    <w:rsid w:val="00015B07"/>
    <w:rsid w:val="000160E6"/>
    <w:rsid w:val="000168EB"/>
    <w:rsid w:val="00017628"/>
    <w:rsid w:val="00020330"/>
    <w:rsid w:val="00020BD3"/>
    <w:rsid w:val="0002196E"/>
    <w:rsid w:val="00024526"/>
    <w:rsid w:val="000255EC"/>
    <w:rsid w:val="00030F43"/>
    <w:rsid w:val="00031310"/>
    <w:rsid w:val="0003174A"/>
    <w:rsid w:val="00032F4D"/>
    <w:rsid w:val="0003568F"/>
    <w:rsid w:val="0003613A"/>
    <w:rsid w:val="00036161"/>
    <w:rsid w:val="00036282"/>
    <w:rsid w:val="00037777"/>
    <w:rsid w:val="00040313"/>
    <w:rsid w:val="00040DCF"/>
    <w:rsid w:val="000429AF"/>
    <w:rsid w:val="00045C47"/>
    <w:rsid w:val="00045DD8"/>
    <w:rsid w:val="000473D1"/>
    <w:rsid w:val="000474AD"/>
    <w:rsid w:val="00050234"/>
    <w:rsid w:val="00052986"/>
    <w:rsid w:val="00052C0B"/>
    <w:rsid w:val="000566C0"/>
    <w:rsid w:val="00057731"/>
    <w:rsid w:val="00061AE4"/>
    <w:rsid w:val="00061CF3"/>
    <w:rsid w:val="000634BC"/>
    <w:rsid w:val="00063601"/>
    <w:rsid w:val="000647C8"/>
    <w:rsid w:val="00067406"/>
    <w:rsid w:val="00067B8F"/>
    <w:rsid w:val="00072378"/>
    <w:rsid w:val="00073079"/>
    <w:rsid w:val="00074C2D"/>
    <w:rsid w:val="0007593F"/>
    <w:rsid w:val="00075BAE"/>
    <w:rsid w:val="00076DD1"/>
    <w:rsid w:val="000808BB"/>
    <w:rsid w:val="000823EE"/>
    <w:rsid w:val="00083513"/>
    <w:rsid w:val="0009114A"/>
    <w:rsid w:val="00095796"/>
    <w:rsid w:val="00095EC9"/>
    <w:rsid w:val="000961E2"/>
    <w:rsid w:val="00096A37"/>
    <w:rsid w:val="000A0204"/>
    <w:rsid w:val="000A0810"/>
    <w:rsid w:val="000A50B2"/>
    <w:rsid w:val="000A678B"/>
    <w:rsid w:val="000A7831"/>
    <w:rsid w:val="000B171F"/>
    <w:rsid w:val="000B229C"/>
    <w:rsid w:val="000B366F"/>
    <w:rsid w:val="000B508C"/>
    <w:rsid w:val="000B627F"/>
    <w:rsid w:val="000C21B3"/>
    <w:rsid w:val="000C6C4D"/>
    <w:rsid w:val="000D3155"/>
    <w:rsid w:val="000D32A0"/>
    <w:rsid w:val="000D59C1"/>
    <w:rsid w:val="000D59E7"/>
    <w:rsid w:val="000D5FEC"/>
    <w:rsid w:val="000D6449"/>
    <w:rsid w:val="000D649E"/>
    <w:rsid w:val="000D650A"/>
    <w:rsid w:val="000D682D"/>
    <w:rsid w:val="000D6C1E"/>
    <w:rsid w:val="000D6D06"/>
    <w:rsid w:val="000D704C"/>
    <w:rsid w:val="000E2CC2"/>
    <w:rsid w:val="000E34E5"/>
    <w:rsid w:val="000E3527"/>
    <w:rsid w:val="000E40EF"/>
    <w:rsid w:val="000E5C93"/>
    <w:rsid w:val="000E74B5"/>
    <w:rsid w:val="000E7CA5"/>
    <w:rsid w:val="000F1C8A"/>
    <w:rsid w:val="000F40DB"/>
    <w:rsid w:val="000F4A7F"/>
    <w:rsid w:val="000F4D81"/>
    <w:rsid w:val="000F7911"/>
    <w:rsid w:val="0010071E"/>
    <w:rsid w:val="00102CFC"/>
    <w:rsid w:val="00103E1B"/>
    <w:rsid w:val="00104E97"/>
    <w:rsid w:val="00110A5A"/>
    <w:rsid w:val="001113E5"/>
    <w:rsid w:val="00113D4D"/>
    <w:rsid w:val="00114848"/>
    <w:rsid w:val="001151C9"/>
    <w:rsid w:val="0011734A"/>
    <w:rsid w:val="00120934"/>
    <w:rsid w:val="0012272A"/>
    <w:rsid w:val="00122D09"/>
    <w:rsid w:val="001236DF"/>
    <w:rsid w:val="00123C5F"/>
    <w:rsid w:val="00125FA3"/>
    <w:rsid w:val="001263ED"/>
    <w:rsid w:val="00126B68"/>
    <w:rsid w:val="00127BBE"/>
    <w:rsid w:val="00131B6A"/>
    <w:rsid w:val="00132070"/>
    <w:rsid w:val="00134DF1"/>
    <w:rsid w:val="00136270"/>
    <w:rsid w:val="00141875"/>
    <w:rsid w:val="00141B30"/>
    <w:rsid w:val="00141CFB"/>
    <w:rsid w:val="0014347E"/>
    <w:rsid w:val="001445BA"/>
    <w:rsid w:val="00147300"/>
    <w:rsid w:val="00147BCE"/>
    <w:rsid w:val="00150F0F"/>
    <w:rsid w:val="00150F70"/>
    <w:rsid w:val="0015142D"/>
    <w:rsid w:val="00152446"/>
    <w:rsid w:val="00154438"/>
    <w:rsid w:val="001551F6"/>
    <w:rsid w:val="0015535B"/>
    <w:rsid w:val="00156696"/>
    <w:rsid w:val="00156DBC"/>
    <w:rsid w:val="00162036"/>
    <w:rsid w:val="001622C2"/>
    <w:rsid w:val="001632DD"/>
    <w:rsid w:val="00163CA1"/>
    <w:rsid w:val="001664D6"/>
    <w:rsid w:val="0017145F"/>
    <w:rsid w:val="00171AC9"/>
    <w:rsid w:val="00171EAB"/>
    <w:rsid w:val="001724EA"/>
    <w:rsid w:val="0017495A"/>
    <w:rsid w:val="00174C87"/>
    <w:rsid w:val="00176E60"/>
    <w:rsid w:val="001800A0"/>
    <w:rsid w:val="00180620"/>
    <w:rsid w:val="001822D4"/>
    <w:rsid w:val="001823D2"/>
    <w:rsid w:val="00183410"/>
    <w:rsid w:val="00185476"/>
    <w:rsid w:val="001875B1"/>
    <w:rsid w:val="00191B31"/>
    <w:rsid w:val="00192F91"/>
    <w:rsid w:val="00194043"/>
    <w:rsid w:val="00194913"/>
    <w:rsid w:val="00194926"/>
    <w:rsid w:val="00194D9A"/>
    <w:rsid w:val="0019598D"/>
    <w:rsid w:val="001A146C"/>
    <w:rsid w:val="001A196B"/>
    <w:rsid w:val="001A2DCB"/>
    <w:rsid w:val="001A4415"/>
    <w:rsid w:val="001A4DAD"/>
    <w:rsid w:val="001A5F17"/>
    <w:rsid w:val="001A6D05"/>
    <w:rsid w:val="001A716D"/>
    <w:rsid w:val="001B38BF"/>
    <w:rsid w:val="001B3AA1"/>
    <w:rsid w:val="001B772D"/>
    <w:rsid w:val="001C255E"/>
    <w:rsid w:val="001C4397"/>
    <w:rsid w:val="001D00F8"/>
    <w:rsid w:val="001D1065"/>
    <w:rsid w:val="001D1467"/>
    <w:rsid w:val="001D2162"/>
    <w:rsid w:val="001D3580"/>
    <w:rsid w:val="001D5B5D"/>
    <w:rsid w:val="001D666C"/>
    <w:rsid w:val="001E2A03"/>
    <w:rsid w:val="001E47B6"/>
    <w:rsid w:val="001E6153"/>
    <w:rsid w:val="001E6299"/>
    <w:rsid w:val="001E70F0"/>
    <w:rsid w:val="001F24F9"/>
    <w:rsid w:val="001F29A0"/>
    <w:rsid w:val="001F308A"/>
    <w:rsid w:val="001F5E95"/>
    <w:rsid w:val="001F5FBB"/>
    <w:rsid w:val="001F7785"/>
    <w:rsid w:val="00200AFA"/>
    <w:rsid w:val="00201F84"/>
    <w:rsid w:val="00201FF9"/>
    <w:rsid w:val="00202C47"/>
    <w:rsid w:val="0020313F"/>
    <w:rsid w:val="00203CB7"/>
    <w:rsid w:val="0020430E"/>
    <w:rsid w:val="002047B8"/>
    <w:rsid w:val="00204F8E"/>
    <w:rsid w:val="00205857"/>
    <w:rsid w:val="0020791C"/>
    <w:rsid w:val="00213134"/>
    <w:rsid w:val="00213DAE"/>
    <w:rsid w:val="00215B11"/>
    <w:rsid w:val="00216987"/>
    <w:rsid w:val="00222934"/>
    <w:rsid w:val="00222C02"/>
    <w:rsid w:val="00231C3F"/>
    <w:rsid w:val="002320CC"/>
    <w:rsid w:val="00235ADC"/>
    <w:rsid w:val="00236C27"/>
    <w:rsid w:val="00236F87"/>
    <w:rsid w:val="00237150"/>
    <w:rsid w:val="002462DD"/>
    <w:rsid w:val="00246544"/>
    <w:rsid w:val="002515EE"/>
    <w:rsid w:val="00252B25"/>
    <w:rsid w:val="002548C9"/>
    <w:rsid w:val="0025671D"/>
    <w:rsid w:val="002568BE"/>
    <w:rsid w:val="002568ED"/>
    <w:rsid w:val="002568FF"/>
    <w:rsid w:val="00256C1D"/>
    <w:rsid w:val="00261846"/>
    <w:rsid w:val="00265702"/>
    <w:rsid w:val="002662B2"/>
    <w:rsid w:val="0026752A"/>
    <w:rsid w:val="00270294"/>
    <w:rsid w:val="002717C7"/>
    <w:rsid w:val="00273171"/>
    <w:rsid w:val="002731AF"/>
    <w:rsid w:val="0027322F"/>
    <w:rsid w:val="002736A6"/>
    <w:rsid w:val="00274FAD"/>
    <w:rsid w:val="00277E4A"/>
    <w:rsid w:val="0028127D"/>
    <w:rsid w:val="00282B59"/>
    <w:rsid w:val="002849B3"/>
    <w:rsid w:val="00285ECB"/>
    <w:rsid w:val="002875E9"/>
    <w:rsid w:val="00287B78"/>
    <w:rsid w:val="00287EB3"/>
    <w:rsid w:val="0029056F"/>
    <w:rsid w:val="00291643"/>
    <w:rsid w:val="00293049"/>
    <w:rsid w:val="00295F07"/>
    <w:rsid w:val="002A0C38"/>
    <w:rsid w:val="002A47BA"/>
    <w:rsid w:val="002A5BDB"/>
    <w:rsid w:val="002A6777"/>
    <w:rsid w:val="002A765D"/>
    <w:rsid w:val="002B06BD"/>
    <w:rsid w:val="002B53D0"/>
    <w:rsid w:val="002B6084"/>
    <w:rsid w:val="002C0A23"/>
    <w:rsid w:val="002C0E48"/>
    <w:rsid w:val="002C173C"/>
    <w:rsid w:val="002C425D"/>
    <w:rsid w:val="002C4C0D"/>
    <w:rsid w:val="002C5024"/>
    <w:rsid w:val="002C6F04"/>
    <w:rsid w:val="002D1E12"/>
    <w:rsid w:val="002E2177"/>
    <w:rsid w:val="002E22BE"/>
    <w:rsid w:val="002E2661"/>
    <w:rsid w:val="002E2E41"/>
    <w:rsid w:val="002E582B"/>
    <w:rsid w:val="002E6D6A"/>
    <w:rsid w:val="002E78CD"/>
    <w:rsid w:val="002E7E95"/>
    <w:rsid w:val="002F20A7"/>
    <w:rsid w:val="002F2BE8"/>
    <w:rsid w:val="002F5F79"/>
    <w:rsid w:val="003008F4"/>
    <w:rsid w:val="0030201D"/>
    <w:rsid w:val="00302B1D"/>
    <w:rsid w:val="00303CED"/>
    <w:rsid w:val="00305D03"/>
    <w:rsid w:val="00306656"/>
    <w:rsid w:val="003070FC"/>
    <w:rsid w:val="00307FA5"/>
    <w:rsid w:val="0031515E"/>
    <w:rsid w:val="003159AD"/>
    <w:rsid w:val="003169EF"/>
    <w:rsid w:val="00316DA5"/>
    <w:rsid w:val="00320D1C"/>
    <w:rsid w:val="003211F2"/>
    <w:rsid w:val="00321EBC"/>
    <w:rsid w:val="00323A5B"/>
    <w:rsid w:val="00324526"/>
    <w:rsid w:val="00324D64"/>
    <w:rsid w:val="0033142B"/>
    <w:rsid w:val="003331EB"/>
    <w:rsid w:val="00334CC0"/>
    <w:rsid w:val="0033509F"/>
    <w:rsid w:val="00336C91"/>
    <w:rsid w:val="003403B1"/>
    <w:rsid w:val="00340B8E"/>
    <w:rsid w:val="00345292"/>
    <w:rsid w:val="003460C8"/>
    <w:rsid w:val="0034738A"/>
    <w:rsid w:val="00350340"/>
    <w:rsid w:val="003510E9"/>
    <w:rsid w:val="003517A6"/>
    <w:rsid w:val="00352B52"/>
    <w:rsid w:val="0035318C"/>
    <w:rsid w:val="0035760D"/>
    <w:rsid w:val="00357E44"/>
    <w:rsid w:val="00363047"/>
    <w:rsid w:val="00363C2D"/>
    <w:rsid w:val="00363ECC"/>
    <w:rsid w:val="0036653E"/>
    <w:rsid w:val="0037160E"/>
    <w:rsid w:val="00371DA7"/>
    <w:rsid w:val="00372000"/>
    <w:rsid w:val="0037393E"/>
    <w:rsid w:val="00374A0F"/>
    <w:rsid w:val="00376E87"/>
    <w:rsid w:val="0037741B"/>
    <w:rsid w:val="003807FB"/>
    <w:rsid w:val="00386D4A"/>
    <w:rsid w:val="0039020B"/>
    <w:rsid w:val="00392737"/>
    <w:rsid w:val="00392BAD"/>
    <w:rsid w:val="00392EA6"/>
    <w:rsid w:val="00393575"/>
    <w:rsid w:val="00393C48"/>
    <w:rsid w:val="00393FA3"/>
    <w:rsid w:val="0039431B"/>
    <w:rsid w:val="00395263"/>
    <w:rsid w:val="003956E0"/>
    <w:rsid w:val="0039609A"/>
    <w:rsid w:val="00396C7C"/>
    <w:rsid w:val="00397500"/>
    <w:rsid w:val="003A0B44"/>
    <w:rsid w:val="003A18C8"/>
    <w:rsid w:val="003A202B"/>
    <w:rsid w:val="003A2DC3"/>
    <w:rsid w:val="003A2E06"/>
    <w:rsid w:val="003A33F2"/>
    <w:rsid w:val="003A44D1"/>
    <w:rsid w:val="003A52D8"/>
    <w:rsid w:val="003A5E95"/>
    <w:rsid w:val="003A61C7"/>
    <w:rsid w:val="003B1CC5"/>
    <w:rsid w:val="003B33EB"/>
    <w:rsid w:val="003B4E24"/>
    <w:rsid w:val="003B65CE"/>
    <w:rsid w:val="003C0186"/>
    <w:rsid w:val="003C05F2"/>
    <w:rsid w:val="003C13F1"/>
    <w:rsid w:val="003C4642"/>
    <w:rsid w:val="003C66D1"/>
    <w:rsid w:val="003D0819"/>
    <w:rsid w:val="003D15DF"/>
    <w:rsid w:val="003D30AA"/>
    <w:rsid w:val="003D4954"/>
    <w:rsid w:val="003D6721"/>
    <w:rsid w:val="003D7723"/>
    <w:rsid w:val="003E039E"/>
    <w:rsid w:val="003E395D"/>
    <w:rsid w:val="003E3A5F"/>
    <w:rsid w:val="003E4B17"/>
    <w:rsid w:val="003E5062"/>
    <w:rsid w:val="003E7BC2"/>
    <w:rsid w:val="003F1224"/>
    <w:rsid w:val="003F6C65"/>
    <w:rsid w:val="00400EEB"/>
    <w:rsid w:val="00401CF0"/>
    <w:rsid w:val="0040230E"/>
    <w:rsid w:val="004026C5"/>
    <w:rsid w:val="00404081"/>
    <w:rsid w:val="0040537B"/>
    <w:rsid w:val="0041125B"/>
    <w:rsid w:val="004121BD"/>
    <w:rsid w:val="00414E24"/>
    <w:rsid w:val="0041662F"/>
    <w:rsid w:val="00422917"/>
    <w:rsid w:val="00423407"/>
    <w:rsid w:val="00425399"/>
    <w:rsid w:val="0042705D"/>
    <w:rsid w:val="0043042A"/>
    <w:rsid w:val="00431851"/>
    <w:rsid w:val="00431C13"/>
    <w:rsid w:val="004342E3"/>
    <w:rsid w:val="00434D7B"/>
    <w:rsid w:val="00440687"/>
    <w:rsid w:val="0044083B"/>
    <w:rsid w:val="0044131D"/>
    <w:rsid w:val="004416FF"/>
    <w:rsid w:val="00441ADA"/>
    <w:rsid w:val="0045359A"/>
    <w:rsid w:val="004565A2"/>
    <w:rsid w:val="00456DF5"/>
    <w:rsid w:val="00457E46"/>
    <w:rsid w:val="004615C5"/>
    <w:rsid w:val="004634E8"/>
    <w:rsid w:val="004665E5"/>
    <w:rsid w:val="00466D4F"/>
    <w:rsid w:val="004717EA"/>
    <w:rsid w:val="0047346B"/>
    <w:rsid w:val="0047353A"/>
    <w:rsid w:val="00474E3F"/>
    <w:rsid w:val="0047647E"/>
    <w:rsid w:val="004764C2"/>
    <w:rsid w:val="00480ED4"/>
    <w:rsid w:val="00482EC7"/>
    <w:rsid w:val="004905D0"/>
    <w:rsid w:val="004922E4"/>
    <w:rsid w:val="0049395C"/>
    <w:rsid w:val="0049468B"/>
    <w:rsid w:val="00495576"/>
    <w:rsid w:val="004964DD"/>
    <w:rsid w:val="00496AF8"/>
    <w:rsid w:val="004A575D"/>
    <w:rsid w:val="004A7CDE"/>
    <w:rsid w:val="004B26A7"/>
    <w:rsid w:val="004B2710"/>
    <w:rsid w:val="004B397F"/>
    <w:rsid w:val="004B5FFA"/>
    <w:rsid w:val="004B65C6"/>
    <w:rsid w:val="004B711E"/>
    <w:rsid w:val="004C0D47"/>
    <w:rsid w:val="004C1629"/>
    <w:rsid w:val="004C30EB"/>
    <w:rsid w:val="004C5706"/>
    <w:rsid w:val="004C6EB5"/>
    <w:rsid w:val="004D12E9"/>
    <w:rsid w:val="004D1DC7"/>
    <w:rsid w:val="004D23A8"/>
    <w:rsid w:val="004D3360"/>
    <w:rsid w:val="004D4A1D"/>
    <w:rsid w:val="004D4F26"/>
    <w:rsid w:val="004D6FFC"/>
    <w:rsid w:val="004E0AA8"/>
    <w:rsid w:val="004E1764"/>
    <w:rsid w:val="004E2E39"/>
    <w:rsid w:val="004E7215"/>
    <w:rsid w:val="004E7576"/>
    <w:rsid w:val="004F00AD"/>
    <w:rsid w:val="004F3C2C"/>
    <w:rsid w:val="004F731F"/>
    <w:rsid w:val="004F7D7E"/>
    <w:rsid w:val="00500B0C"/>
    <w:rsid w:val="00500FBB"/>
    <w:rsid w:val="0050255C"/>
    <w:rsid w:val="005029FB"/>
    <w:rsid w:val="00503542"/>
    <w:rsid w:val="005044C7"/>
    <w:rsid w:val="00504738"/>
    <w:rsid w:val="0050716F"/>
    <w:rsid w:val="00510387"/>
    <w:rsid w:val="00510C64"/>
    <w:rsid w:val="0051435F"/>
    <w:rsid w:val="005145F4"/>
    <w:rsid w:val="00515363"/>
    <w:rsid w:val="0051594D"/>
    <w:rsid w:val="00515AE3"/>
    <w:rsid w:val="00516B90"/>
    <w:rsid w:val="00517142"/>
    <w:rsid w:val="00525E5A"/>
    <w:rsid w:val="005263CA"/>
    <w:rsid w:val="0052728F"/>
    <w:rsid w:val="00527FAF"/>
    <w:rsid w:val="00530107"/>
    <w:rsid w:val="00531722"/>
    <w:rsid w:val="00533B89"/>
    <w:rsid w:val="00535308"/>
    <w:rsid w:val="0053639D"/>
    <w:rsid w:val="00537150"/>
    <w:rsid w:val="00540984"/>
    <w:rsid w:val="00543851"/>
    <w:rsid w:val="0054484B"/>
    <w:rsid w:val="00545B27"/>
    <w:rsid w:val="0055559D"/>
    <w:rsid w:val="00556172"/>
    <w:rsid w:val="005569AE"/>
    <w:rsid w:val="005575B3"/>
    <w:rsid w:val="0056076B"/>
    <w:rsid w:val="005623D1"/>
    <w:rsid w:val="00564136"/>
    <w:rsid w:val="0056621B"/>
    <w:rsid w:val="00567641"/>
    <w:rsid w:val="00567B9B"/>
    <w:rsid w:val="005705CB"/>
    <w:rsid w:val="005708FD"/>
    <w:rsid w:val="00570B32"/>
    <w:rsid w:val="00570B8F"/>
    <w:rsid w:val="00572C34"/>
    <w:rsid w:val="005734FB"/>
    <w:rsid w:val="00573FA7"/>
    <w:rsid w:val="00581E82"/>
    <w:rsid w:val="005828D8"/>
    <w:rsid w:val="005855AB"/>
    <w:rsid w:val="005857F8"/>
    <w:rsid w:val="00585E1F"/>
    <w:rsid w:val="00585FF6"/>
    <w:rsid w:val="00591065"/>
    <w:rsid w:val="005922FF"/>
    <w:rsid w:val="005925EF"/>
    <w:rsid w:val="005A2E61"/>
    <w:rsid w:val="005A620B"/>
    <w:rsid w:val="005A6306"/>
    <w:rsid w:val="005A6AEA"/>
    <w:rsid w:val="005B0554"/>
    <w:rsid w:val="005B0D18"/>
    <w:rsid w:val="005B12C3"/>
    <w:rsid w:val="005B1779"/>
    <w:rsid w:val="005B3A10"/>
    <w:rsid w:val="005B409D"/>
    <w:rsid w:val="005C1118"/>
    <w:rsid w:val="005C5BA7"/>
    <w:rsid w:val="005D0E27"/>
    <w:rsid w:val="005D0FDB"/>
    <w:rsid w:val="005D229A"/>
    <w:rsid w:val="005D25E9"/>
    <w:rsid w:val="005D53A1"/>
    <w:rsid w:val="005D5911"/>
    <w:rsid w:val="005D5CDF"/>
    <w:rsid w:val="005D618B"/>
    <w:rsid w:val="005D6D59"/>
    <w:rsid w:val="005E0575"/>
    <w:rsid w:val="005E59B8"/>
    <w:rsid w:val="005E7255"/>
    <w:rsid w:val="005F18A0"/>
    <w:rsid w:val="005F2E3E"/>
    <w:rsid w:val="005F4EA0"/>
    <w:rsid w:val="005F6BA6"/>
    <w:rsid w:val="005F72D5"/>
    <w:rsid w:val="00606BED"/>
    <w:rsid w:val="006074D6"/>
    <w:rsid w:val="00607B06"/>
    <w:rsid w:val="00607B64"/>
    <w:rsid w:val="00610D55"/>
    <w:rsid w:val="0061184D"/>
    <w:rsid w:val="0061297D"/>
    <w:rsid w:val="0061327A"/>
    <w:rsid w:val="00617390"/>
    <w:rsid w:val="00623420"/>
    <w:rsid w:val="00623690"/>
    <w:rsid w:val="00623BB9"/>
    <w:rsid w:val="0062716C"/>
    <w:rsid w:val="00630B33"/>
    <w:rsid w:val="00633166"/>
    <w:rsid w:val="00633F15"/>
    <w:rsid w:val="00634768"/>
    <w:rsid w:val="0063596F"/>
    <w:rsid w:val="00635E36"/>
    <w:rsid w:val="0064075A"/>
    <w:rsid w:val="0064302B"/>
    <w:rsid w:val="00643984"/>
    <w:rsid w:val="00644700"/>
    <w:rsid w:val="00645503"/>
    <w:rsid w:val="00646612"/>
    <w:rsid w:val="00651E49"/>
    <w:rsid w:val="00651E80"/>
    <w:rsid w:val="006531A4"/>
    <w:rsid w:val="00655909"/>
    <w:rsid w:val="00656E0D"/>
    <w:rsid w:val="0066013A"/>
    <w:rsid w:val="00662235"/>
    <w:rsid w:val="00663B2C"/>
    <w:rsid w:val="00663D4A"/>
    <w:rsid w:val="006709EB"/>
    <w:rsid w:val="006726A4"/>
    <w:rsid w:val="00672824"/>
    <w:rsid w:val="00672B50"/>
    <w:rsid w:val="00673E47"/>
    <w:rsid w:val="006768F2"/>
    <w:rsid w:val="00676BD4"/>
    <w:rsid w:val="00676E9D"/>
    <w:rsid w:val="0068184A"/>
    <w:rsid w:val="00685D26"/>
    <w:rsid w:val="0068768A"/>
    <w:rsid w:val="00693A5B"/>
    <w:rsid w:val="006A0249"/>
    <w:rsid w:val="006A1DCB"/>
    <w:rsid w:val="006A2403"/>
    <w:rsid w:val="006A45A2"/>
    <w:rsid w:val="006A624A"/>
    <w:rsid w:val="006B1E2C"/>
    <w:rsid w:val="006B3930"/>
    <w:rsid w:val="006B4926"/>
    <w:rsid w:val="006B5411"/>
    <w:rsid w:val="006B5C51"/>
    <w:rsid w:val="006B5C5E"/>
    <w:rsid w:val="006B607D"/>
    <w:rsid w:val="006B7DA6"/>
    <w:rsid w:val="006C1A16"/>
    <w:rsid w:val="006C2ED4"/>
    <w:rsid w:val="006C524E"/>
    <w:rsid w:val="006C7F30"/>
    <w:rsid w:val="006D0452"/>
    <w:rsid w:val="006D0755"/>
    <w:rsid w:val="006D14D4"/>
    <w:rsid w:val="006D1FCE"/>
    <w:rsid w:val="006D43FF"/>
    <w:rsid w:val="006E3B3D"/>
    <w:rsid w:val="006E5E8A"/>
    <w:rsid w:val="006E6FDD"/>
    <w:rsid w:val="006F0938"/>
    <w:rsid w:val="006F3508"/>
    <w:rsid w:val="006F4B7F"/>
    <w:rsid w:val="006F4D7A"/>
    <w:rsid w:val="006F62B4"/>
    <w:rsid w:val="006F7296"/>
    <w:rsid w:val="006F760B"/>
    <w:rsid w:val="007005C0"/>
    <w:rsid w:val="00700A1B"/>
    <w:rsid w:val="00700FBF"/>
    <w:rsid w:val="00701CC3"/>
    <w:rsid w:val="007068B6"/>
    <w:rsid w:val="0070697D"/>
    <w:rsid w:val="00707539"/>
    <w:rsid w:val="007106CC"/>
    <w:rsid w:val="007140DE"/>
    <w:rsid w:val="00721E95"/>
    <w:rsid w:val="0072280F"/>
    <w:rsid w:val="007233DC"/>
    <w:rsid w:val="00724801"/>
    <w:rsid w:val="007272AA"/>
    <w:rsid w:val="0073080F"/>
    <w:rsid w:val="00733EA9"/>
    <w:rsid w:val="00734949"/>
    <w:rsid w:val="0073570E"/>
    <w:rsid w:val="00735B32"/>
    <w:rsid w:val="0073618A"/>
    <w:rsid w:val="00736685"/>
    <w:rsid w:val="00736AEC"/>
    <w:rsid w:val="00736E0F"/>
    <w:rsid w:val="007372C9"/>
    <w:rsid w:val="00740592"/>
    <w:rsid w:val="00740CF5"/>
    <w:rsid w:val="00742114"/>
    <w:rsid w:val="007434FA"/>
    <w:rsid w:val="007436DC"/>
    <w:rsid w:val="00743A18"/>
    <w:rsid w:val="00745C77"/>
    <w:rsid w:val="00747FCF"/>
    <w:rsid w:val="00750DB2"/>
    <w:rsid w:val="00750DC8"/>
    <w:rsid w:val="00751A64"/>
    <w:rsid w:val="00751B7B"/>
    <w:rsid w:val="007537C5"/>
    <w:rsid w:val="007573F0"/>
    <w:rsid w:val="00760FA7"/>
    <w:rsid w:val="00761F9A"/>
    <w:rsid w:val="007631AA"/>
    <w:rsid w:val="007641CB"/>
    <w:rsid w:val="00764A12"/>
    <w:rsid w:val="00765156"/>
    <w:rsid w:val="00766687"/>
    <w:rsid w:val="00767669"/>
    <w:rsid w:val="0077028B"/>
    <w:rsid w:val="00770BA2"/>
    <w:rsid w:val="007720B3"/>
    <w:rsid w:val="00773485"/>
    <w:rsid w:val="0077578A"/>
    <w:rsid w:val="00776113"/>
    <w:rsid w:val="0077658B"/>
    <w:rsid w:val="00776AA8"/>
    <w:rsid w:val="00776E8F"/>
    <w:rsid w:val="00776F6D"/>
    <w:rsid w:val="0078277D"/>
    <w:rsid w:val="0078375E"/>
    <w:rsid w:val="0078433D"/>
    <w:rsid w:val="007847E1"/>
    <w:rsid w:val="00785A84"/>
    <w:rsid w:val="007920A5"/>
    <w:rsid w:val="00794311"/>
    <w:rsid w:val="007949C2"/>
    <w:rsid w:val="00797926"/>
    <w:rsid w:val="007A03B3"/>
    <w:rsid w:val="007A24D0"/>
    <w:rsid w:val="007A6F7D"/>
    <w:rsid w:val="007B46B3"/>
    <w:rsid w:val="007B5E68"/>
    <w:rsid w:val="007C0297"/>
    <w:rsid w:val="007C1887"/>
    <w:rsid w:val="007C4441"/>
    <w:rsid w:val="007C7D70"/>
    <w:rsid w:val="007D337B"/>
    <w:rsid w:val="007D36D1"/>
    <w:rsid w:val="007D4775"/>
    <w:rsid w:val="007D4E62"/>
    <w:rsid w:val="007D5DC6"/>
    <w:rsid w:val="007D6724"/>
    <w:rsid w:val="007E0844"/>
    <w:rsid w:val="007E2A1F"/>
    <w:rsid w:val="007E3004"/>
    <w:rsid w:val="007E37A5"/>
    <w:rsid w:val="007E4B3F"/>
    <w:rsid w:val="007E75E1"/>
    <w:rsid w:val="007F00BB"/>
    <w:rsid w:val="007F0484"/>
    <w:rsid w:val="007F1FCE"/>
    <w:rsid w:val="007F49D8"/>
    <w:rsid w:val="007F5456"/>
    <w:rsid w:val="00803A00"/>
    <w:rsid w:val="00803F2A"/>
    <w:rsid w:val="008044F5"/>
    <w:rsid w:val="00804FAC"/>
    <w:rsid w:val="00805940"/>
    <w:rsid w:val="00806474"/>
    <w:rsid w:val="00806BAD"/>
    <w:rsid w:val="00806DBC"/>
    <w:rsid w:val="0081009B"/>
    <w:rsid w:val="00811968"/>
    <w:rsid w:val="00811DC4"/>
    <w:rsid w:val="008128BA"/>
    <w:rsid w:val="00812D5B"/>
    <w:rsid w:val="00813652"/>
    <w:rsid w:val="00813AB9"/>
    <w:rsid w:val="00814111"/>
    <w:rsid w:val="00814BD9"/>
    <w:rsid w:val="00814C4C"/>
    <w:rsid w:val="0081599C"/>
    <w:rsid w:val="0082046E"/>
    <w:rsid w:val="008205AF"/>
    <w:rsid w:val="00822D56"/>
    <w:rsid w:val="00830152"/>
    <w:rsid w:val="00831069"/>
    <w:rsid w:val="00831706"/>
    <w:rsid w:val="00834337"/>
    <w:rsid w:val="008356F3"/>
    <w:rsid w:val="00837121"/>
    <w:rsid w:val="00837136"/>
    <w:rsid w:val="0083713F"/>
    <w:rsid w:val="00843212"/>
    <w:rsid w:val="00845533"/>
    <w:rsid w:val="00846F44"/>
    <w:rsid w:val="008471E5"/>
    <w:rsid w:val="00850C35"/>
    <w:rsid w:val="00851466"/>
    <w:rsid w:val="00851883"/>
    <w:rsid w:val="00852013"/>
    <w:rsid w:val="0085307B"/>
    <w:rsid w:val="00857FFA"/>
    <w:rsid w:val="008618FF"/>
    <w:rsid w:val="0086210E"/>
    <w:rsid w:val="00863039"/>
    <w:rsid w:val="00863D26"/>
    <w:rsid w:val="00863E43"/>
    <w:rsid w:val="008647C3"/>
    <w:rsid w:val="008659ED"/>
    <w:rsid w:val="008661C9"/>
    <w:rsid w:val="00866FDC"/>
    <w:rsid w:val="008708DC"/>
    <w:rsid w:val="00870987"/>
    <w:rsid w:val="0087176B"/>
    <w:rsid w:val="0087225C"/>
    <w:rsid w:val="00872A61"/>
    <w:rsid w:val="0087564A"/>
    <w:rsid w:val="00876B1F"/>
    <w:rsid w:val="008770F5"/>
    <w:rsid w:val="00877D08"/>
    <w:rsid w:val="008806C3"/>
    <w:rsid w:val="00881160"/>
    <w:rsid w:val="008831A7"/>
    <w:rsid w:val="0088371C"/>
    <w:rsid w:val="00883DDF"/>
    <w:rsid w:val="00887D0B"/>
    <w:rsid w:val="008957D2"/>
    <w:rsid w:val="008A0FC1"/>
    <w:rsid w:val="008A45F3"/>
    <w:rsid w:val="008A4973"/>
    <w:rsid w:val="008A7518"/>
    <w:rsid w:val="008A7546"/>
    <w:rsid w:val="008B2EC5"/>
    <w:rsid w:val="008B44AB"/>
    <w:rsid w:val="008B4C5B"/>
    <w:rsid w:val="008B51D9"/>
    <w:rsid w:val="008B5EF5"/>
    <w:rsid w:val="008B652E"/>
    <w:rsid w:val="008C091F"/>
    <w:rsid w:val="008C1A7C"/>
    <w:rsid w:val="008C1C11"/>
    <w:rsid w:val="008C1CFE"/>
    <w:rsid w:val="008C2D43"/>
    <w:rsid w:val="008C4B76"/>
    <w:rsid w:val="008C59AC"/>
    <w:rsid w:val="008C7ECA"/>
    <w:rsid w:val="008D05B7"/>
    <w:rsid w:val="008D6975"/>
    <w:rsid w:val="008E5E2F"/>
    <w:rsid w:val="008F0B66"/>
    <w:rsid w:val="008F1DC6"/>
    <w:rsid w:val="008F393D"/>
    <w:rsid w:val="008F6F51"/>
    <w:rsid w:val="008F7BDD"/>
    <w:rsid w:val="008F7D58"/>
    <w:rsid w:val="00900C21"/>
    <w:rsid w:val="009012CF"/>
    <w:rsid w:val="0090291C"/>
    <w:rsid w:val="00903396"/>
    <w:rsid w:val="0090495F"/>
    <w:rsid w:val="00905C5B"/>
    <w:rsid w:val="00907B71"/>
    <w:rsid w:val="00914499"/>
    <w:rsid w:val="009157C7"/>
    <w:rsid w:val="009164EB"/>
    <w:rsid w:val="0091677A"/>
    <w:rsid w:val="00916F09"/>
    <w:rsid w:val="00921A11"/>
    <w:rsid w:val="00923295"/>
    <w:rsid w:val="00924A2A"/>
    <w:rsid w:val="00925A1B"/>
    <w:rsid w:val="00925F11"/>
    <w:rsid w:val="0092738E"/>
    <w:rsid w:val="00927B32"/>
    <w:rsid w:val="009303CE"/>
    <w:rsid w:val="009319B4"/>
    <w:rsid w:val="00934A5A"/>
    <w:rsid w:val="00934EF1"/>
    <w:rsid w:val="00935265"/>
    <w:rsid w:val="00941EF1"/>
    <w:rsid w:val="00942FF5"/>
    <w:rsid w:val="0094689F"/>
    <w:rsid w:val="009477D6"/>
    <w:rsid w:val="0095136F"/>
    <w:rsid w:val="00951C12"/>
    <w:rsid w:val="00951C9D"/>
    <w:rsid w:val="00952C51"/>
    <w:rsid w:val="00953ED3"/>
    <w:rsid w:val="00955943"/>
    <w:rsid w:val="00956C96"/>
    <w:rsid w:val="00957132"/>
    <w:rsid w:val="009578E2"/>
    <w:rsid w:val="0096080D"/>
    <w:rsid w:val="009615A8"/>
    <w:rsid w:val="00961EFA"/>
    <w:rsid w:val="00962810"/>
    <w:rsid w:val="009628D8"/>
    <w:rsid w:val="00964B72"/>
    <w:rsid w:val="00964F3E"/>
    <w:rsid w:val="009652D8"/>
    <w:rsid w:val="009653B4"/>
    <w:rsid w:val="00965FF6"/>
    <w:rsid w:val="00967A7F"/>
    <w:rsid w:val="009708F1"/>
    <w:rsid w:val="009712FD"/>
    <w:rsid w:val="00973397"/>
    <w:rsid w:val="00973507"/>
    <w:rsid w:val="00980F87"/>
    <w:rsid w:val="009818E2"/>
    <w:rsid w:val="009832B3"/>
    <w:rsid w:val="009846D6"/>
    <w:rsid w:val="0098657F"/>
    <w:rsid w:val="0098746E"/>
    <w:rsid w:val="00992336"/>
    <w:rsid w:val="0099620D"/>
    <w:rsid w:val="00997013"/>
    <w:rsid w:val="009976C0"/>
    <w:rsid w:val="0099797F"/>
    <w:rsid w:val="009A0ABD"/>
    <w:rsid w:val="009A0DC3"/>
    <w:rsid w:val="009A3236"/>
    <w:rsid w:val="009A57C6"/>
    <w:rsid w:val="009A5DD8"/>
    <w:rsid w:val="009B2403"/>
    <w:rsid w:val="009B5A93"/>
    <w:rsid w:val="009B5BEA"/>
    <w:rsid w:val="009C291F"/>
    <w:rsid w:val="009C4404"/>
    <w:rsid w:val="009C4FB6"/>
    <w:rsid w:val="009C6F6A"/>
    <w:rsid w:val="009D781B"/>
    <w:rsid w:val="009D7DA7"/>
    <w:rsid w:val="009E0D22"/>
    <w:rsid w:val="009E0FDA"/>
    <w:rsid w:val="009E2556"/>
    <w:rsid w:val="009E37BD"/>
    <w:rsid w:val="009E4071"/>
    <w:rsid w:val="009E4921"/>
    <w:rsid w:val="009E507E"/>
    <w:rsid w:val="009E6A6B"/>
    <w:rsid w:val="009E6B86"/>
    <w:rsid w:val="009F2C44"/>
    <w:rsid w:val="009F43CD"/>
    <w:rsid w:val="009F43DD"/>
    <w:rsid w:val="009F54A3"/>
    <w:rsid w:val="009F695D"/>
    <w:rsid w:val="009F7BF1"/>
    <w:rsid w:val="00A0028D"/>
    <w:rsid w:val="00A002E2"/>
    <w:rsid w:val="00A01CED"/>
    <w:rsid w:val="00A03301"/>
    <w:rsid w:val="00A03493"/>
    <w:rsid w:val="00A053BE"/>
    <w:rsid w:val="00A069D5"/>
    <w:rsid w:val="00A0729E"/>
    <w:rsid w:val="00A07E29"/>
    <w:rsid w:val="00A10ACA"/>
    <w:rsid w:val="00A12573"/>
    <w:rsid w:val="00A12762"/>
    <w:rsid w:val="00A13867"/>
    <w:rsid w:val="00A13989"/>
    <w:rsid w:val="00A1496F"/>
    <w:rsid w:val="00A14DCD"/>
    <w:rsid w:val="00A2235A"/>
    <w:rsid w:val="00A22430"/>
    <w:rsid w:val="00A245A6"/>
    <w:rsid w:val="00A25D9A"/>
    <w:rsid w:val="00A25EE3"/>
    <w:rsid w:val="00A26EBE"/>
    <w:rsid w:val="00A26FED"/>
    <w:rsid w:val="00A32B06"/>
    <w:rsid w:val="00A32D42"/>
    <w:rsid w:val="00A352F1"/>
    <w:rsid w:val="00A36627"/>
    <w:rsid w:val="00A367F2"/>
    <w:rsid w:val="00A373F4"/>
    <w:rsid w:val="00A379FE"/>
    <w:rsid w:val="00A40814"/>
    <w:rsid w:val="00A408A7"/>
    <w:rsid w:val="00A409CF"/>
    <w:rsid w:val="00A421D4"/>
    <w:rsid w:val="00A42468"/>
    <w:rsid w:val="00A434B2"/>
    <w:rsid w:val="00A44FF0"/>
    <w:rsid w:val="00A46DF8"/>
    <w:rsid w:val="00A50E55"/>
    <w:rsid w:val="00A525BF"/>
    <w:rsid w:val="00A52A73"/>
    <w:rsid w:val="00A52F24"/>
    <w:rsid w:val="00A56A07"/>
    <w:rsid w:val="00A56B18"/>
    <w:rsid w:val="00A60002"/>
    <w:rsid w:val="00A6048B"/>
    <w:rsid w:val="00A6096D"/>
    <w:rsid w:val="00A63734"/>
    <w:rsid w:val="00A63CFF"/>
    <w:rsid w:val="00A67EB1"/>
    <w:rsid w:val="00A72207"/>
    <w:rsid w:val="00A7279E"/>
    <w:rsid w:val="00A72A67"/>
    <w:rsid w:val="00A73F49"/>
    <w:rsid w:val="00A77B32"/>
    <w:rsid w:val="00A81532"/>
    <w:rsid w:val="00A81908"/>
    <w:rsid w:val="00A81DDA"/>
    <w:rsid w:val="00A849E6"/>
    <w:rsid w:val="00A86595"/>
    <w:rsid w:val="00A8755B"/>
    <w:rsid w:val="00A877F4"/>
    <w:rsid w:val="00A87D04"/>
    <w:rsid w:val="00A9011D"/>
    <w:rsid w:val="00A90BE5"/>
    <w:rsid w:val="00A91A47"/>
    <w:rsid w:val="00A93EB4"/>
    <w:rsid w:val="00A95D2B"/>
    <w:rsid w:val="00A95D8E"/>
    <w:rsid w:val="00A969AE"/>
    <w:rsid w:val="00AA11BD"/>
    <w:rsid w:val="00AA37B9"/>
    <w:rsid w:val="00AA436F"/>
    <w:rsid w:val="00AA4AFD"/>
    <w:rsid w:val="00AA4F86"/>
    <w:rsid w:val="00AA5003"/>
    <w:rsid w:val="00AA5587"/>
    <w:rsid w:val="00AA5882"/>
    <w:rsid w:val="00AA6B02"/>
    <w:rsid w:val="00AB2744"/>
    <w:rsid w:val="00AB39B7"/>
    <w:rsid w:val="00AB44D7"/>
    <w:rsid w:val="00AB4ECE"/>
    <w:rsid w:val="00AB5EFA"/>
    <w:rsid w:val="00AB6291"/>
    <w:rsid w:val="00AB6E65"/>
    <w:rsid w:val="00AC018D"/>
    <w:rsid w:val="00AC13D9"/>
    <w:rsid w:val="00AC1990"/>
    <w:rsid w:val="00AC1E53"/>
    <w:rsid w:val="00AC3022"/>
    <w:rsid w:val="00AD094E"/>
    <w:rsid w:val="00AD6243"/>
    <w:rsid w:val="00AD716B"/>
    <w:rsid w:val="00AD79C8"/>
    <w:rsid w:val="00AE26BC"/>
    <w:rsid w:val="00AE5FB6"/>
    <w:rsid w:val="00AE6CE0"/>
    <w:rsid w:val="00AF32C3"/>
    <w:rsid w:val="00AF4E92"/>
    <w:rsid w:val="00B01150"/>
    <w:rsid w:val="00B01A7F"/>
    <w:rsid w:val="00B027E6"/>
    <w:rsid w:val="00B029D2"/>
    <w:rsid w:val="00B03BE3"/>
    <w:rsid w:val="00B03FDC"/>
    <w:rsid w:val="00B058A6"/>
    <w:rsid w:val="00B067B5"/>
    <w:rsid w:val="00B117D0"/>
    <w:rsid w:val="00B12A24"/>
    <w:rsid w:val="00B13998"/>
    <w:rsid w:val="00B13C00"/>
    <w:rsid w:val="00B13F27"/>
    <w:rsid w:val="00B142DE"/>
    <w:rsid w:val="00B1627F"/>
    <w:rsid w:val="00B16D2E"/>
    <w:rsid w:val="00B202CD"/>
    <w:rsid w:val="00B207D9"/>
    <w:rsid w:val="00B309EE"/>
    <w:rsid w:val="00B3403B"/>
    <w:rsid w:val="00B3474A"/>
    <w:rsid w:val="00B35C5F"/>
    <w:rsid w:val="00B36DA6"/>
    <w:rsid w:val="00B405EA"/>
    <w:rsid w:val="00B42742"/>
    <w:rsid w:val="00B439DD"/>
    <w:rsid w:val="00B43E17"/>
    <w:rsid w:val="00B44587"/>
    <w:rsid w:val="00B44A2F"/>
    <w:rsid w:val="00B4619B"/>
    <w:rsid w:val="00B469EF"/>
    <w:rsid w:val="00B5022D"/>
    <w:rsid w:val="00B52DB5"/>
    <w:rsid w:val="00B52E0F"/>
    <w:rsid w:val="00B56F18"/>
    <w:rsid w:val="00B60245"/>
    <w:rsid w:val="00B60BC1"/>
    <w:rsid w:val="00B654D7"/>
    <w:rsid w:val="00B67AA3"/>
    <w:rsid w:val="00B7152D"/>
    <w:rsid w:val="00B72E8C"/>
    <w:rsid w:val="00B73EE7"/>
    <w:rsid w:val="00B74629"/>
    <w:rsid w:val="00B74EB5"/>
    <w:rsid w:val="00B80004"/>
    <w:rsid w:val="00B807ED"/>
    <w:rsid w:val="00B8296C"/>
    <w:rsid w:val="00B82BF4"/>
    <w:rsid w:val="00B83D4D"/>
    <w:rsid w:val="00B85D4F"/>
    <w:rsid w:val="00B85D82"/>
    <w:rsid w:val="00B91F58"/>
    <w:rsid w:val="00B971EB"/>
    <w:rsid w:val="00BA3618"/>
    <w:rsid w:val="00BA5431"/>
    <w:rsid w:val="00BA579E"/>
    <w:rsid w:val="00BA5C17"/>
    <w:rsid w:val="00BA5FF2"/>
    <w:rsid w:val="00BA7273"/>
    <w:rsid w:val="00BA75B1"/>
    <w:rsid w:val="00BB0880"/>
    <w:rsid w:val="00BB178A"/>
    <w:rsid w:val="00BB497B"/>
    <w:rsid w:val="00BB787C"/>
    <w:rsid w:val="00BB7AE1"/>
    <w:rsid w:val="00BC03E4"/>
    <w:rsid w:val="00BC36D7"/>
    <w:rsid w:val="00BD151A"/>
    <w:rsid w:val="00BD1980"/>
    <w:rsid w:val="00BD1AE0"/>
    <w:rsid w:val="00BD4019"/>
    <w:rsid w:val="00BE12B1"/>
    <w:rsid w:val="00BE1616"/>
    <w:rsid w:val="00BE2295"/>
    <w:rsid w:val="00BE3EF1"/>
    <w:rsid w:val="00BE427C"/>
    <w:rsid w:val="00BE5128"/>
    <w:rsid w:val="00BE56B4"/>
    <w:rsid w:val="00BE6373"/>
    <w:rsid w:val="00BE7C0E"/>
    <w:rsid w:val="00BF2114"/>
    <w:rsid w:val="00BF2B5A"/>
    <w:rsid w:val="00BF39CD"/>
    <w:rsid w:val="00BF533A"/>
    <w:rsid w:val="00BF5ECD"/>
    <w:rsid w:val="00C03119"/>
    <w:rsid w:val="00C07443"/>
    <w:rsid w:val="00C07866"/>
    <w:rsid w:val="00C103FA"/>
    <w:rsid w:val="00C104B6"/>
    <w:rsid w:val="00C1232C"/>
    <w:rsid w:val="00C126EA"/>
    <w:rsid w:val="00C13DC6"/>
    <w:rsid w:val="00C14374"/>
    <w:rsid w:val="00C15C86"/>
    <w:rsid w:val="00C23591"/>
    <w:rsid w:val="00C23984"/>
    <w:rsid w:val="00C25F1B"/>
    <w:rsid w:val="00C27CBF"/>
    <w:rsid w:val="00C32971"/>
    <w:rsid w:val="00C3378D"/>
    <w:rsid w:val="00C33955"/>
    <w:rsid w:val="00C41794"/>
    <w:rsid w:val="00C43A29"/>
    <w:rsid w:val="00C46677"/>
    <w:rsid w:val="00C46A20"/>
    <w:rsid w:val="00C5180E"/>
    <w:rsid w:val="00C53A79"/>
    <w:rsid w:val="00C54E40"/>
    <w:rsid w:val="00C551EC"/>
    <w:rsid w:val="00C55F56"/>
    <w:rsid w:val="00C5689A"/>
    <w:rsid w:val="00C57BA4"/>
    <w:rsid w:val="00C57C48"/>
    <w:rsid w:val="00C613EB"/>
    <w:rsid w:val="00C61614"/>
    <w:rsid w:val="00C6165E"/>
    <w:rsid w:val="00C6210B"/>
    <w:rsid w:val="00C635F5"/>
    <w:rsid w:val="00C65FC7"/>
    <w:rsid w:val="00C70608"/>
    <w:rsid w:val="00C710DD"/>
    <w:rsid w:val="00C71C1A"/>
    <w:rsid w:val="00C7756C"/>
    <w:rsid w:val="00C8078A"/>
    <w:rsid w:val="00C818A7"/>
    <w:rsid w:val="00C84623"/>
    <w:rsid w:val="00C84B57"/>
    <w:rsid w:val="00C8677E"/>
    <w:rsid w:val="00C91CC3"/>
    <w:rsid w:val="00C96211"/>
    <w:rsid w:val="00C97AC3"/>
    <w:rsid w:val="00CA046F"/>
    <w:rsid w:val="00CA12F5"/>
    <w:rsid w:val="00CA1E1B"/>
    <w:rsid w:val="00CA22EA"/>
    <w:rsid w:val="00CA6133"/>
    <w:rsid w:val="00CA6662"/>
    <w:rsid w:val="00CA6B49"/>
    <w:rsid w:val="00CB03A8"/>
    <w:rsid w:val="00CB06C9"/>
    <w:rsid w:val="00CB1E41"/>
    <w:rsid w:val="00CB2317"/>
    <w:rsid w:val="00CB271C"/>
    <w:rsid w:val="00CB27ED"/>
    <w:rsid w:val="00CB29FE"/>
    <w:rsid w:val="00CB2CAB"/>
    <w:rsid w:val="00CB3B93"/>
    <w:rsid w:val="00CB454E"/>
    <w:rsid w:val="00CB4F52"/>
    <w:rsid w:val="00CB7B19"/>
    <w:rsid w:val="00CC0F87"/>
    <w:rsid w:val="00CC456E"/>
    <w:rsid w:val="00CC4BF6"/>
    <w:rsid w:val="00CC4C8E"/>
    <w:rsid w:val="00CC51DC"/>
    <w:rsid w:val="00CC5C36"/>
    <w:rsid w:val="00CC5F7C"/>
    <w:rsid w:val="00CD14E7"/>
    <w:rsid w:val="00CD2BE2"/>
    <w:rsid w:val="00CD6AA0"/>
    <w:rsid w:val="00CE1307"/>
    <w:rsid w:val="00CE1C58"/>
    <w:rsid w:val="00CE3069"/>
    <w:rsid w:val="00CE4F96"/>
    <w:rsid w:val="00CE5254"/>
    <w:rsid w:val="00CE678B"/>
    <w:rsid w:val="00CE6EA2"/>
    <w:rsid w:val="00CF0AB1"/>
    <w:rsid w:val="00CF2B63"/>
    <w:rsid w:val="00CF4B9B"/>
    <w:rsid w:val="00CF55E6"/>
    <w:rsid w:val="00CF612A"/>
    <w:rsid w:val="00CF698A"/>
    <w:rsid w:val="00CF772F"/>
    <w:rsid w:val="00CF7A0A"/>
    <w:rsid w:val="00CF7C77"/>
    <w:rsid w:val="00D009D5"/>
    <w:rsid w:val="00D020D4"/>
    <w:rsid w:val="00D03103"/>
    <w:rsid w:val="00D041C0"/>
    <w:rsid w:val="00D048DB"/>
    <w:rsid w:val="00D073C2"/>
    <w:rsid w:val="00D07D1A"/>
    <w:rsid w:val="00D1446B"/>
    <w:rsid w:val="00D14F0B"/>
    <w:rsid w:val="00D15270"/>
    <w:rsid w:val="00D16707"/>
    <w:rsid w:val="00D171D6"/>
    <w:rsid w:val="00D178CA"/>
    <w:rsid w:val="00D2116F"/>
    <w:rsid w:val="00D2186A"/>
    <w:rsid w:val="00D26882"/>
    <w:rsid w:val="00D31B28"/>
    <w:rsid w:val="00D3311C"/>
    <w:rsid w:val="00D332BA"/>
    <w:rsid w:val="00D34977"/>
    <w:rsid w:val="00D3544B"/>
    <w:rsid w:val="00D40B67"/>
    <w:rsid w:val="00D41ECA"/>
    <w:rsid w:val="00D43453"/>
    <w:rsid w:val="00D440FA"/>
    <w:rsid w:val="00D511C8"/>
    <w:rsid w:val="00D519DE"/>
    <w:rsid w:val="00D51B12"/>
    <w:rsid w:val="00D52734"/>
    <w:rsid w:val="00D528DF"/>
    <w:rsid w:val="00D52A6D"/>
    <w:rsid w:val="00D530F5"/>
    <w:rsid w:val="00D53405"/>
    <w:rsid w:val="00D5457B"/>
    <w:rsid w:val="00D60BC4"/>
    <w:rsid w:val="00D61174"/>
    <w:rsid w:val="00D624CA"/>
    <w:rsid w:val="00D64E10"/>
    <w:rsid w:val="00D66B0F"/>
    <w:rsid w:val="00D66F49"/>
    <w:rsid w:val="00D72995"/>
    <w:rsid w:val="00D73685"/>
    <w:rsid w:val="00D739A8"/>
    <w:rsid w:val="00D73A04"/>
    <w:rsid w:val="00D8010F"/>
    <w:rsid w:val="00D803E0"/>
    <w:rsid w:val="00D81286"/>
    <w:rsid w:val="00D81E76"/>
    <w:rsid w:val="00D8341A"/>
    <w:rsid w:val="00D8435E"/>
    <w:rsid w:val="00D86480"/>
    <w:rsid w:val="00D91B4D"/>
    <w:rsid w:val="00D93134"/>
    <w:rsid w:val="00D947D5"/>
    <w:rsid w:val="00D958CF"/>
    <w:rsid w:val="00D9622C"/>
    <w:rsid w:val="00DA7FA2"/>
    <w:rsid w:val="00DB001B"/>
    <w:rsid w:val="00DB0FF2"/>
    <w:rsid w:val="00DB17C6"/>
    <w:rsid w:val="00DB21B3"/>
    <w:rsid w:val="00DB41AF"/>
    <w:rsid w:val="00DB4961"/>
    <w:rsid w:val="00DB596A"/>
    <w:rsid w:val="00DB7F7C"/>
    <w:rsid w:val="00DC0815"/>
    <w:rsid w:val="00DC0C15"/>
    <w:rsid w:val="00DC2327"/>
    <w:rsid w:val="00DC2D8D"/>
    <w:rsid w:val="00DC405C"/>
    <w:rsid w:val="00DC5F92"/>
    <w:rsid w:val="00DC7F67"/>
    <w:rsid w:val="00DD19B3"/>
    <w:rsid w:val="00DD21B7"/>
    <w:rsid w:val="00DD40D5"/>
    <w:rsid w:val="00DD481A"/>
    <w:rsid w:val="00DD510E"/>
    <w:rsid w:val="00DD59AD"/>
    <w:rsid w:val="00DD6801"/>
    <w:rsid w:val="00DD753F"/>
    <w:rsid w:val="00DE1F5D"/>
    <w:rsid w:val="00DE3571"/>
    <w:rsid w:val="00DE369C"/>
    <w:rsid w:val="00DE50D8"/>
    <w:rsid w:val="00DF1715"/>
    <w:rsid w:val="00DF278A"/>
    <w:rsid w:val="00DF4CEC"/>
    <w:rsid w:val="00DF568B"/>
    <w:rsid w:val="00DF5AA4"/>
    <w:rsid w:val="00E025D3"/>
    <w:rsid w:val="00E0587B"/>
    <w:rsid w:val="00E1036C"/>
    <w:rsid w:val="00E11BA6"/>
    <w:rsid w:val="00E13CCD"/>
    <w:rsid w:val="00E144F5"/>
    <w:rsid w:val="00E1664B"/>
    <w:rsid w:val="00E16D0F"/>
    <w:rsid w:val="00E21F74"/>
    <w:rsid w:val="00E2455F"/>
    <w:rsid w:val="00E247B3"/>
    <w:rsid w:val="00E303A6"/>
    <w:rsid w:val="00E30CC1"/>
    <w:rsid w:val="00E30D12"/>
    <w:rsid w:val="00E3394E"/>
    <w:rsid w:val="00E35241"/>
    <w:rsid w:val="00E36A23"/>
    <w:rsid w:val="00E37C8D"/>
    <w:rsid w:val="00E4019E"/>
    <w:rsid w:val="00E41417"/>
    <w:rsid w:val="00E42FAA"/>
    <w:rsid w:val="00E45EA7"/>
    <w:rsid w:val="00E47D89"/>
    <w:rsid w:val="00E50329"/>
    <w:rsid w:val="00E50807"/>
    <w:rsid w:val="00E508A6"/>
    <w:rsid w:val="00E5196C"/>
    <w:rsid w:val="00E51EE7"/>
    <w:rsid w:val="00E5217F"/>
    <w:rsid w:val="00E530D4"/>
    <w:rsid w:val="00E536D3"/>
    <w:rsid w:val="00E56268"/>
    <w:rsid w:val="00E57BE2"/>
    <w:rsid w:val="00E60630"/>
    <w:rsid w:val="00E60866"/>
    <w:rsid w:val="00E62823"/>
    <w:rsid w:val="00E62A95"/>
    <w:rsid w:val="00E658AB"/>
    <w:rsid w:val="00E70BB9"/>
    <w:rsid w:val="00E72262"/>
    <w:rsid w:val="00E746A2"/>
    <w:rsid w:val="00E771AA"/>
    <w:rsid w:val="00E77AA9"/>
    <w:rsid w:val="00E809F3"/>
    <w:rsid w:val="00E90D06"/>
    <w:rsid w:val="00E94AD7"/>
    <w:rsid w:val="00E96E14"/>
    <w:rsid w:val="00E97E59"/>
    <w:rsid w:val="00EA266B"/>
    <w:rsid w:val="00EA3315"/>
    <w:rsid w:val="00EA7295"/>
    <w:rsid w:val="00EA79C9"/>
    <w:rsid w:val="00EB08A6"/>
    <w:rsid w:val="00EB46E3"/>
    <w:rsid w:val="00EB5EEE"/>
    <w:rsid w:val="00EB6063"/>
    <w:rsid w:val="00EB66AC"/>
    <w:rsid w:val="00EB71A4"/>
    <w:rsid w:val="00EC1225"/>
    <w:rsid w:val="00EC1AE4"/>
    <w:rsid w:val="00EC2247"/>
    <w:rsid w:val="00EC230E"/>
    <w:rsid w:val="00EC2AF6"/>
    <w:rsid w:val="00EC3740"/>
    <w:rsid w:val="00EC6EE2"/>
    <w:rsid w:val="00EC75E6"/>
    <w:rsid w:val="00EC783D"/>
    <w:rsid w:val="00EC7A7B"/>
    <w:rsid w:val="00ED03A6"/>
    <w:rsid w:val="00ED041D"/>
    <w:rsid w:val="00ED2D3C"/>
    <w:rsid w:val="00ED3D4E"/>
    <w:rsid w:val="00ED553D"/>
    <w:rsid w:val="00ED7698"/>
    <w:rsid w:val="00EE184B"/>
    <w:rsid w:val="00EE1E5B"/>
    <w:rsid w:val="00EE1F87"/>
    <w:rsid w:val="00EE38EC"/>
    <w:rsid w:val="00EE3931"/>
    <w:rsid w:val="00EE5AF6"/>
    <w:rsid w:val="00EF1B40"/>
    <w:rsid w:val="00EF2CEF"/>
    <w:rsid w:val="00EF6E16"/>
    <w:rsid w:val="00EF7E3A"/>
    <w:rsid w:val="00F00550"/>
    <w:rsid w:val="00F04BDC"/>
    <w:rsid w:val="00F04C61"/>
    <w:rsid w:val="00F0505E"/>
    <w:rsid w:val="00F07D2F"/>
    <w:rsid w:val="00F07DC3"/>
    <w:rsid w:val="00F1092D"/>
    <w:rsid w:val="00F11C61"/>
    <w:rsid w:val="00F11F18"/>
    <w:rsid w:val="00F21528"/>
    <w:rsid w:val="00F26DB9"/>
    <w:rsid w:val="00F3538C"/>
    <w:rsid w:val="00F4097F"/>
    <w:rsid w:val="00F4174B"/>
    <w:rsid w:val="00F4297B"/>
    <w:rsid w:val="00F42C20"/>
    <w:rsid w:val="00F431D8"/>
    <w:rsid w:val="00F43FFE"/>
    <w:rsid w:val="00F4524B"/>
    <w:rsid w:val="00F45255"/>
    <w:rsid w:val="00F4708F"/>
    <w:rsid w:val="00F50A22"/>
    <w:rsid w:val="00F51DC7"/>
    <w:rsid w:val="00F52373"/>
    <w:rsid w:val="00F52A0E"/>
    <w:rsid w:val="00F53406"/>
    <w:rsid w:val="00F53B59"/>
    <w:rsid w:val="00F63E8D"/>
    <w:rsid w:val="00F6402D"/>
    <w:rsid w:val="00F65208"/>
    <w:rsid w:val="00F66FB0"/>
    <w:rsid w:val="00F67706"/>
    <w:rsid w:val="00F71D5F"/>
    <w:rsid w:val="00F729F5"/>
    <w:rsid w:val="00F74A13"/>
    <w:rsid w:val="00F76990"/>
    <w:rsid w:val="00F76A81"/>
    <w:rsid w:val="00F81FE3"/>
    <w:rsid w:val="00F82380"/>
    <w:rsid w:val="00F83D35"/>
    <w:rsid w:val="00F84189"/>
    <w:rsid w:val="00F85629"/>
    <w:rsid w:val="00F85975"/>
    <w:rsid w:val="00F85CDB"/>
    <w:rsid w:val="00F87C03"/>
    <w:rsid w:val="00F87C45"/>
    <w:rsid w:val="00F90F82"/>
    <w:rsid w:val="00F92D75"/>
    <w:rsid w:val="00F93A04"/>
    <w:rsid w:val="00F94050"/>
    <w:rsid w:val="00F95989"/>
    <w:rsid w:val="00F97327"/>
    <w:rsid w:val="00F9770E"/>
    <w:rsid w:val="00FA02F6"/>
    <w:rsid w:val="00FA296F"/>
    <w:rsid w:val="00FA6952"/>
    <w:rsid w:val="00FA7323"/>
    <w:rsid w:val="00FB1299"/>
    <w:rsid w:val="00FB1FE9"/>
    <w:rsid w:val="00FC0363"/>
    <w:rsid w:val="00FC11B7"/>
    <w:rsid w:val="00FC32D3"/>
    <w:rsid w:val="00FC48BA"/>
    <w:rsid w:val="00FC6756"/>
    <w:rsid w:val="00FC69C9"/>
    <w:rsid w:val="00FD0F75"/>
    <w:rsid w:val="00FD472D"/>
    <w:rsid w:val="00FD4D82"/>
    <w:rsid w:val="00FD56F6"/>
    <w:rsid w:val="00FD59FE"/>
    <w:rsid w:val="00FD67B5"/>
    <w:rsid w:val="00FD74E3"/>
    <w:rsid w:val="00FE048F"/>
    <w:rsid w:val="00FE2F1F"/>
    <w:rsid w:val="00FE2FF6"/>
    <w:rsid w:val="00FE4D16"/>
    <w:rsid w:val="00FE57AE"/>
    <w:rsid w:val="00FE5C16"/>
    <w:rsid w:val="00FE65F1"/>
    <w:rsid w:val="00FE7C3C"/>
    <w:rsid w:val="00FF2E86"/>
    <w:rsid w:val="00FF361E"/>
    <w:rsid w:val="00FF6659"/>
    <w:rsid w:val="00FF6D0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0F82D063"/>
  <w15:docId w15:val="{F08CDB25-8503-4E3A-A7E6-47D110F557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ind w:left="360" w:hanging="36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34D7B"/>
  </w:style>
  <w:style w:type="paragraph" w:styleId="Heading1">
    <w:name w:val="heading 1"/>
    <w:basedOn w:val="Normal"/>
    <w:next w:val="Normal"/>
    <w:link w:val="Heading1Char"/>
    <w:uiPriority w:val="9"/>
    <w:qFormat/>
    <w:rsid w:val="00D34977"/>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semiHidden/>
    <w:unhideWhenUsed/>
    <w:qFormat/>
    <w:rsid w:val="008659E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uiPriority w:val="9"/>
    <w:qFormat/>
    <w:rsid w:val="008659ED"/>
    <w:pPr>
      <w:keepNext w:val="0"/>
      <w:keepLines w:val="0"/>
      <w:spacing w:before="0"/>
      <w:ind w:left="0" w:firstLine="0"/>
      <w:outlineLvl w:val="2"/>
    </w:pPr>
    <w:rPr>
      <w:rFonts w:ascii="Calibri" w:eastAsia="Calibri" w:hAnsi="Calibri" w:cs="Calibri"/>
      <w:color w:val="auto"/>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496AF8"/>
    <w:pPr>
      <w:spacing w:after="200" w:line="276" w:lineRule="auto"/>
      <w:ind w:left="720"/>
      <w:contextualSpacing/>
    </w:pPr>
    <w:rPr>
      <w:rFonts w:eastAsiaTheme="minorEastAsia"/>
    </w:rPr>
  </w:style>
  <w:style w:type="character" w:styleId="PlaceholderText">
    <w:name w:val="Placeholder Text"/>
    <w:basedOn w:val="DefaultParagraphFont"/>
    <w:uiPriority w:val="99"/>
    <w:semiHidden/>
    <w:rsid w:val="00496AF8"/>
    <w:rPr>
      <w:color w:val="808080"/>
    </w:rPr>
  </w:style>
  <w:style w:type="character" w:styleId="Hyperlink">
    <w:name w:val="Hyperlink"/>
    <w:basedOn w:val="DefaultParagraphFont"/>
    <w:uiPriority w:val="99"/>
    <w:unhideWhenUsed/>
    <w:rsid w:val="00496AF8"/>
    <w:rPr>
      <w:color w:val="0000FF" w:themeColor="hyperlink"/>
      <w:u w:val="single"/>
    </w:rPr>
  </w:style>
  <w:style w:type="character" w:customStyle="1" w:styleId="Style1">
    <w:name w:val="Style1"/>
    <w:basedOn w:val="DefaultParagraphFont"/>
    <w:uiPriority w:val="1"/>
    <w:rsid w:val="00496AF8"/>
    <w:rPr>
      <w:rFonts w:asciiTheme="minorHAnsi" w:hAnsiTheme="minorHAnsi"/>
      <w:color w:val="0000FF"/>
      <w:sz w:val="22"/>
    </w:rPr>
  </w:style>
  <w:style w:type="character" w:customStyle="1" w:styleId="Style2">
    <w:name w:val="Style2"/>
    <w:basedOn w:val="DefaultParagraphFont"/>
    <w:uiPriority w:val="1"/>
    <w:rsid w:val="00496AF8"/>
    <w:rPr>
      <w:rFonts w:asciiTheme="minorHAnsi" w:hAnsiTheme="minorHAnsi"/>
      <w:color w:val="0000FF"/>
      <w:sz w:val="22"/>
      <w:u w:val="single"/>
    </w:rPr>
  </w:style>
  <w:style w:type="table" w:styleId="TableGrid">
    <w:name w:val="Table Grid"/>
    <w:basedOn w:val="TableNormal"/>
    <w:uiPriority w:val="59"/>
    <w:rsid w:val="00496A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C46677"/>
    <w:rPr>
      <w:color w:val="800080" w:themeColor="followedHyperlink"/>
      <w:u w:val="single"/>
    </w:rPr>
  </w:style>
  <w:style w:type="paragraph" w:styleId="Header">
    <w:name w:val="header"/>
    <w:basedOn w:val="Normal"/>
    <w:link w:val="HeaderChar"/>
    <w:uiPriority w:val="99"/>
    <w:unhideWhenUsed/>
    <w:rsid w:val="007E37A5"/>
    <w:pPr>
      <w:tabs>
        <w:tab w:val="center" w:pos="4680"/>
        <w:tab w:val="right" w:pos="9360"/>
      </w:tabs>
    </w:pPr>
  </w:style>
  <w:style w:type="character" w:customStyle="1" w:styleId="HeaderChar">
    <w:name w:val="Header Char"/>
    <w:basedOn w:val="DefaultParagraphFont"/>
    <w:link w:val="Header"/>
    <w:uiPriority w:val="99"/>
    <w:rsid w:val="007E37A5"/>
  </w:style>
  <w:style w:type="paragraph" w:styleId="Footer">
    <w:name w:val="footer"/>
    <w:basedOn w:val="Normal"/>
    <w:link w:val="FooterChar"/>
    <w:uiPriority w:val="99"/>
    <w:unhideWhenUsed/>
    <w:rsid w:val="007E37A5"/>
    <w:pPr>
      <w:tabs>
        <w:tab w:val="center" w:pos="4680"/>
        <w:tab w:val="right" w:pos="9360"/>
      </w:tabs>
    </w:pPr>
  </w:style>
  <w:style w:type="character" w:customStyle="1" w:styleId="FooterChar">
    <w:name w:val="Footer Char"/>
    <w:basedOn w:val="DefaultParagraphFont"/>
    <w:link w:val="Footer"/>
    <w:uiPriority w:val="99"/>
    <w:rsid w:val="007E37A5"/>
  </w:style>
  <w:style w:type="character" w:customStyle="1" w:styleId="Style3">
    <w:name w:val="Style3"/>
    <w:basedOn w:val="DefaultParagraphFont"/>
    <w:uiPriority w:val="1"/>
    <w:rsid w:val="007E37A5"/>
    <w:rPr>
      <w:rFonts w:asciiTheme="minorHAnsi" w:hAnsiTheme="minorHAnsi"/>
      <w:color w:val="808080" w:themeColor="background1" w:themeShade="80"/>
      <w:sz w:val="22"/>
    </w:rPr>
  </w:style>
  <w:style w:type="character" w:styleId="CommentReference">
    <w:name w:val="annotation reference"/>
    <w:basedOn w:val="DefaultParagraphFont"/>
    <w:uiPriority w:val="99"/>
    <w:semiHidden/>
    <w:unhideWhenUsed/>
    <w:rsid w:val="002A47BA"/>
    <w:rPr>
      <w:sz w:val="16"/>
      <w:szCs w:val="16"/>
    </w:rPr>
  </w:style>
  <w:style w:type="paragraph" w:styleId="CommentText">
    <w:name w:val="annotation text"/>
    <w:basedOn w:val="Normal"/>
    <w:link w:val="CommentTextChar"/>
    <w:uiPriority w:val="99"/>
    <w:unhideWhenUsed/>
    <w:rsid w:val="002A47BA"/>
    <w:rPr>
      <w:sz w:val="20"/>
      <w:szCs w:val="20"/>
    </w:rPr>
  </w:style>
  <w:style w:type="character" w:customStyle="1" w:styleId="CommentTextChar">
    <w:name w:val="Comment Text Char"/>
    <w:basedOn w:val="DefaultParagraphFont"/>
    <w:link w:val="CommentText"/>
    <w:uiPriority w:val="99"/>
    <w:rsid w:val="002A47BA"/>
    <w:rPr>
      <w:sz w:val="20"/>
      <w:szCs w:val="20"/>
    </w:rPr>
  </w:style>
  <w:style w:type="paragraph" w:styleId="CommentSubject">
    <w:name w:val="annotation subject"/>
    <w:basedOn w:val="CommentText"/>
    <w:next w:val="CommentText"/>
    <w:link w:val="CommentSubjectChar"/>
    <w:uiPriority w:val="99"/>
    <w:semiHidden/>
    <w:unhideWhenUsed/>
    <w:rsid w:val="002A47BA"/>
    <w:rPr>
      <w:b/>
      <w:bCs/>
    </w:rPr>
  </w:style>
  <w:style w:type="character" w:customStyle="1" w:styleId="CommentSubjectChar">
    <w:name w:val="Comment Subject Char"/>
    <w:basedOn w:val="CommentTextChar"/>
    <w:link w:val="CommentSubject"/>
    <w:uiPriority w:val="99"/>
    <w:semiHidden/>
    <w:rsid w:val="002A47BA"/>
    <w:rPr>
      <w:b/>
      <w:bCs/>
      <w:sz w:val="20"/>
      <w:szCs w:val="20"/>
    </w:rPr>
  </w:style>
  <w:style w:type="paragraph" w:styleId="Revision">
    <w:name w:val="Revision"/>
    <w:hidden/>
    <w:uiPriority w:val="99"/>
    <w:semiHidden/>
    <w:rsid w:val="002A47BA"/>
    <w:pPr>
      <w:ind w:left="0" w:firstLine="0"/>
    </w:pPr>
  </w:style>
  <w:style w:type="paragraph" w:styleId="BalloonText">
    <w:name w:val="Balloon Text"/>
    <w:basedOn w:val="Normal"/>
    <w:link w:val="BalloonTextChar"/>
    <w:uiPriority w:val="99"/>
    <w:semiHidden/>
    <w:unhideWhenUsed/>
    <w:rsid w:val="002A47BA"/>
    <w:rPr>
      <w:rFonts w:ascii="Tahoma" w:hAnsi="Tahoma" w:cs="Tahoma"/>
      <w:sz w:val="16"/>
      <w:szCs w:val="16"/>
    </w:rPr>
  </w:style>
  <w:style w:type="character" w:customStyle="1" w:styleId="BalloonTextChar">
    <w:name w:val="Balloon Text Char"/>
    <w:basedOn w:val="DefaultParagraphFont"/>
    <w:link w:val="BalloonText"/>
    <w:uiPriority w:val="99"/>
    <w:semiHidden/>
    <w:rsid w:val="002A47BA"/>
    <w:rPr>
      <w:rFonts w:ascii="Tahoma" w:hAnsi="Tahoma" w:cs="Tahoma"/>
      <w:sz w:val="16"/>
      <w:szCs w:val="16"/>
    </w:rPr>
  </w:style>
  <w:style w:type="paragraph" w:styleId="FootnoteText">
    <w:name w:val="footnote text"/>
    <w:basedOn w:val="Normal"/>
    <w:link w:val="FootnoteTextChar"/>
    <w:semiHidden/>
    <w:rsid w:val="00765156"/>
    <w:pPr>
      <w:ind w:left="0" w:firstLine="0"/>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765156"/>
    <w:rPr>
      <w:rFonts w:ascii="Times New Roman" w:eastAsia="Calibri" w:hAnsi="Times New Roman" w:cs="Times New Roman"/>
      <w:sz w:val="20"/>
      <w:szCs w:val="20"/>
    </w:rPr>
  </w:style>
  <w:style w:type="character" w:customStyle="1" w:styleId="Heading3Char">
    <w:name w:val="Heading 3 Char"/>
    <w:basedOn w:val="DefaultParagraphFont"/>
    <w:link w:val="Heading3"/>
    <w:uiPriority w:val="9"/>
    <w:rsid w:val="008659ED"/>
    <w:rPr>
      <w:rFonts w:ascii="Calibri" w:eastAsia="Calibri" w:hAnsi="Calibri" w:cs="Calibri"/>
      <w:b/>
      <w:bCs/>
    </w:rPr>
  </w:style>
  <w:style w:type="character" w:customStyle="1" w:styleId="Heading2Char">
    <w:name w:val="Heading 2 Char"/>
    <w:basedOn w:val="DefaultParagraphFont"/>
    <w:link w:val="Heading2"/>
    <w:uiPriority w:val="9"/>
    <w:semiHidden/>
    <w:rsid w:val="008659ED"/>
    <w:rPr>
      <w:rFonts w:asciiTheme="majorHAnsi" w:eastAsiaTheme="majorEastAsia" w:hAnsiTheme="majorHAnsi" w:cstheme="majorBidi"/>
      <w:b/>
      <w:bCs/>
      <w:color w:val="4F81BD" w:themeColor="accent1"/>
      <w:sz w:val="26"/>
      <w:szCs w:val="26"/>
    </w:rPr>
  </w:style>
  <w:style w:type="paragraph" w:customStyle="1" w:styleId="Response">
    <w:name w:val="Response"/>
    <w:basedOn w:val="Normal"/>
    <w:link w:val="ResponseChar"/>
    <w:qFormat/>
    <w:rsid w:val="004E1764"/>
    <w:pPr>
      <w:spacing w:before="240" w:after="240"/>
      <w:ind w:left="432" w:firstLine="0"/>
    </w:pPr>
    <w:rPr>
      <w:color w:val="7030A0"/>
    </w:rPr>
  </w:style>
  <w:style w:type="paragraph" w:styleId="BodyText">
    <w:name w:val="Body Text"/>
    <w:basedOn w:val="Normal"/>
    <w:link w:val="BodyTextChar"/>
    <w:uiPriority w:val="99"/>
    <w:unhideWhenUsed/>
    <w:rsid w:val="0091677A"/>
    <w:pPr>
      <w:spacing w:before="120" w:after="120"/>
      <w:ind w:left="540" w:firstLine="0"/>
    </w:pPr>
  </w:style>
  <w:style w:type="character" w:customStyle="1" w:styleId="BodyTextChar">
    <w:name w:val="Body Text Char"/>
    <w:basedOn w:val="DefaultParagraphFont"/>
    <w:link w:val="BodyText"/>
    <w:uiPriority w:val="99"/>
    <w:rsid w:val="0091677A"/>
  </w:style>
  <w:style w:type="paragraph" w:styleId="BodyTextFirstIndent">
    <w:name w:val="Body Text First Indent"/>
    <w:basedOn w:val="BodyText"/>
    <w:link w:val="BodyTextFirstIndentChar"/>
    <w:unhideWhenUsed/>
    <w:rsid w:val="006B7DA6"/>
    <w:pPr>
      <w:spacing w:before="200" w:after="200" w:line="276" w:lineRule="auto"/>
      <w:ind w:left="0" w:firstLine="720"/>
    </w:pPr>
    <w:rPr>
      <w:rFonts w:ascii="Calibri" w:eastAsia="Times New Roman" w:hAnsi="Calibri" w:cs="Times New Roman"/>
      <w:color w:val="000000" w:themeColor="text1"/>
      <w:sz w:val="24"/>
      <w:shd w:val="clear" w:color="auto" w:fill="FFFFFF"/>
    </w:rPr>
  </w:style>
  <w:style w:type="character" w:customStyle="1" w:styleId="BodyTextFirstIndentChar">
    <w:name w:val="Body Text First Indent Char"/>
    <w:basedOn w:val="BodyTextChar"/>
    <w:link w:val="BodyTextFirstIndent"/>
    <w:rsid w:val="006B7DA6"/>
    <w:rPr>
      <w:rFonts w:ascii="Calibri" w:eastAsia="Times New Roman" w:hAnsi="Calibri" w:cs="Times New Roman"/>
      <w:color w:val="000000" w:themeColor="text1"/>
      <w:sz w:val="24"/>
    </w:rPr>
  </w:style>
  <w:style w:type="paragraph" w:customStyle="1" w:styleId="EndNoteBibliography">
    <w:name w:val="EndNote Bibliography"/>
    <w:basedOn w:val="Normal"/>
    <w:link w:val="EndNoteBibliographyChar"/>
    <w:rsid w:val="00A25D9A"/>
    <w:pPr>
      <w:spacing w:before="240" w:after="240"/>
      <w:ind w:left="432" w:firstLine="0"/>
    </w:pPr>
    <w:rPr>
      <w:rFonts w:ascii="Calibri" w:eastAsia="Times New Roman" w:hAnsi="Calibri" w:cs="Times New Roman"/>
      <w:noProof/>
      <w:szCs w:val="24"/>
    </w:rPr>
  </w:style>
  <w:style w:type="character" w:customStyle="1" w:styleId="EndNoteBibliographyChar">
    <w:name w:val="EndNote Bibliography Char"/>
    <w:basedOn w:val="DefaultParagraphFont"/>
    <w:link w:val="EndNoteBibliography"/>
    <w:rsid w:val="00A25D9A"/>
    <w:rPr>
      <w:rFonts w:ascii="Calibri" w:eastAsia="Times New Roman" w:hAnsi="Calibri" w:cs="Times New Roman"/>
      <w:noProof/>
      <w:szCs w:val="24"/>
    </w:rPr>
  </w:style>
  <w:style w:type="paragraph" w:customStyle="1" w:styleId="EndNoteBibliographyTitle">
    <w:name w:val="EndNote Bibliography Title"/>
    <w:basedOn w:val="Normal"/>
    <w:link w:val="EndNoteBibliographyTitleChar"/>
    <w:rsid w:val="007E0844"/>
    <w:pPr>
      <w:jc w:val="center"/>
    </w:pPr>
    <w:rPr>
      <w:rFonts w:ascii="Calibri" w:hAnsi="Calibri"/>
      <w:noProof/>
    </w:rPr>
  </w:style>
  <w:style w:type="character" w:customStyle="1" w:styleId="ResponseChar">
    <w:name w:val="Response Char"/>
    <w:basedOn w:val="DefaultParagraphFont"/>
    <w:link w:val="Response"/>
    <w:rsid w:val="004E1764"/>
    <w:rPr>
      <w:color w:val="7030A0"/>
    </w:rPr>
  </w:style>
  <w:style w:type="character" w:customStyle="1" w:styleId="EndNoteBibliographyTitleChar">
    <w:name w:val="EndNote Bibliography Title Char"/>
    <w:basedOn w:val="ResponseChar"/>
    <w:link w:val="EndNoteBibliographyTitle"/>
    <w:rsid w:val="007E0844"/>
    <w:rPr>
      <w:rFonts w:ascii="Calibri" w:hAnsi="Calibri"/>
      <w:noProof/>
      <w:color w:val="0000FF"/>
    </w:rPr>
  </w:style>
  <w:style w:type="character" w:customStyle="1" w:styleId="ListParagraphChar">
    <w:name w:val="List Paragraph Char"/>
    <w:basedOn w:val="DefaultParagraphFont"/>
    <w:link w:val="ListParagraph"/>
    <w:uiPriority w:val="34"/>
    <w:locked/>
    <w:rsid w:val="002C173C"/>
    <w:rPr>
      <w:rFonts w:eastAsiaTheme="minorEastAsia"/>
    </w:rPr>
  </w:style>
  <w:style w:type="character" w:customStyle="1" w:styleId="UnresolvedMention1">
    <w:name w:val="Unresolved Mention1"/>
    <w:basedOn w:val="DefaultParagraphFont"/>
    <w:uiPriority w:val="99"/>
    <w:semiHidden/>
    <w:unhideWhenUsed/>
    <w:rsid w:val="005708FD"/>
    <w:rPr>
      <w:color w:val="808080"/>
      <w:shd w:val="clear" w:color="auto" w:fill="E6E6E6"/>
    </w:rPr>
  </w:style>
  <w:style w:type="table" w:styleId="GridTable1Light">
    <w:name w:val="Grid Table 1 Light"/>
    <w:basedOn w:val="TableNormal"/>
    <w:uiPriority w:val="46"/>
    <w:rsid w:val="0034529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question">
    <w:name w:val="question"/>
    <w:basedOn w:val="Normal"/>
    <w:qFormat/>
    <w:rsid w:val="0091677A"/>
    <w:pPr>
      <w:spacing w:before="240"/>
      <w:ind w:left="540" w:right="140" w:hanging="540"/>
    </w:pPr>
    <w:rPr>
      <w:iCs/>
    </w:rPr>
  </w:style>
  <w:style w:type="paragraph" w:customStyle="1" w:styleId="tableheader">
    <w:name w:val="table header"/>
    <w:basedOn w:val="Normal"/>
    <w:qFormat/>
    <w:rsid w:val="0091677A"/>
    <w:pPr>
      <w:ind w:left="0" w:firstLine="0"/>
      <w:jc w:val="center"/>
    </w:pPr>
    <w:rPr>
      <w:b/>
      <w:bCs/>
    </w:rPr>
  </w:style>
  <w:style w:type="paragraph" w:customStyle="1" w:styleId="tabletext">
    <w:name w:val="table text"/>
    <w:basedOn w:val="Normal"/>
    <w:qFormat/>
    <w:rsid w:val="0091677A"/>
    <w:pPr>
      <w:ind w:left="0" w:firstLine="0"/>
    </w:pPr>
  </w:style>
  <w:style w:type="character" w:customStyle="1" w:styleId="UnresolvedMention2">
    <w:name w:val="Unresolved Mention2"/>
    <w:basedOn w:val="DefaultParagraphFont"/>
    <w:uiPriority w:val="99"/>
    <w:semiHidden/>
    <w:unhideWhenUsed/>
    <w:rsid w:val="001F308A"/>
    <w:rPr>
      <w:color w:val="808080"/>
      <w:shd w:val="clear" w:color="auto" w:fill="E6E6E6"/>
    </w:rPr>
  </w:style>
  <w:style w:type="character" w:customStyle="1" w:styleId="Heading1Char">
    <w:name w:val="Heading 1 Char"/>
    <w:basedOn w:val="DefaultParagraphFont"/>
    <w:link w:val="Heading1"/>
    <w:uiPriority w:val="9"/>
    <w:rsid w:val="00D34977"/>
    <w:rPr>
      <w:rFonts w:asciiTheme="majorHAnsi" w:eastAsiaTheme="majorEastAsia" w:hAnsiTheme="majorHAnsi" w:cstheme="majorBidi"/>
      <w:color w:val="365F91" w:themeColor="accent1" w:themeShade="BF"/>
      <w:sz w:val="32"/>
      <w:szCs w:val="32"/>
    </w:rPr>
  </w:style>
  <w:style w:type="paragraph" w:styleId="NormalWeb">
    <w:name w:val="Normal (Web)"/>
    <w:basedOn w:val="Normal"/>
    <w:uiPriority w:val="99"/>
    <w:semiHidden/>
    <w:unhideWhenUsed/>
    <w:rsid w:val="0061184D"/>
    <w:pPr>
      <w:spacing w:after="375"/>
      <w:ind w:left="0" w:firstLine="0"/>
    </w:pPr>
    <w:rPr>
      <w:rFonts w:ascii="Times New Roman" w:eastAsia="Times New Roman" w:hAnsi="Times New Roman" w:cs="Times New Roman"/>
      <w:sz w:val="24"/>
      <w:szCs w:val="24"/>
    </w:rPr>
  </w:style>
  <w:style w:type="character" w:styleId="Strong">
    <w:name w:val="Strong"/>
    <w:basedOn w:val="DefaultParagraphFont"/>
    <w:uiPriority w:val="22"/>
    <w:qFormat/>
    <w:rsid w:val="00202C47"/>
    <w:rPr>
      <w:b/>
      <w:bCs/>
    </w:rPr>
  </w:style>
  <w:style w:type="character" w:customStyle="1" w:styleId="nlmarticle-title">
    <w:name w:val="nlm_article-title"/>
    <w:basedOn w:val="DefaultParagraphFont"/>
    <w:rsid w:val="00202C47"/>
  </w:style>
  <w:style w:type="character" w:customStyle="1" w:styleId="citationsource-journal">
    <w:name w:val="citation_source-journal"/>
    <w:basedOn w:val="DefaultParagraphFont"/>
    <w:rsid w:val="00202C47"/>
  </w:style>
  <w:style w:type="character" w:customStyle="1" w:styleId="nlmfpage">
    <w:name w:val="nlm_fpage"/>
    <w:basedOn w:val="DefaultParagraphFont"/>
    <w:rsid w:val="00202C47"/>
  </w:style>
  <w:style w:type="character" w:customStyle="1" w:styleId="nlmlpage">
    <w:name w:val="nlm_lpage"/>
    <w:basedOn w:val="DefaultParagraphFont"/>
    <w:rsid w:val="00202C47"/>
  </w:style>
  <w:style w:type="character" w:customStyle="1" w:styleId="UnresolvedMention3">
    <w:name w:val="Unresolved Mention3"/>
    <w:basedOn w:val="DefaultParagraphFont"/>
    <w:uiPriority w:val="99"/>
    <w:semiHidden/>
    <w:unhideWhenUsed/>
    <w:rsid w:val="00A409CF"/>
    <w:rPr>
      <w:color w:val="808080"/>
      <w:shd w:val="clear" w:color="auto" w:fill="E6E6E6"/>
    </w:rPr>
  </w:style>
  <w:style w:type="character" w:customStyle="1" w:styleId="apple-converted-space">
    <w:name w:val="apple-converted-space"/>
    <w:basedOn w:val="DefaultParagraphFont"/>
    <w:rsid w:val="007E3004"/>
  </w:style>
  <w:style w:type="paragraph" w:customStyle="1" w:styleId="Default">
    <w:name w:val="Default"/>
    <w:rsid w:val="003D0819"/>
    <w:pPr>
      <w:autoSpaceDE w:val="0"/>
      <w:autoSpaceDN w:val="0"/>
      <w:adjustRightInd w:val="0"/>
      <w:ind w:left="0" w:firstLine="0"/>
    </w:pPr>
    <w:rPr>
      <w:rFonts w:ascii="Arial" w:hAnsi="Arial" w:cs="Arial"/>
      <w:color w:val="000000"/>
      <w:sz w:val="24"/>
      <w:szCs w:val="24"/>
    </w:rPr>
  </w:style>
  <w:style w:type="paragraph" w:styleId="Caption">
    <w:name w:val="caption"/>
    <w:basedOn w:val="Normal"/>
    <w:next w:val="Normal"/>
    <w:uiPriority w:val="35"/>
    <w:semiHidden/>
    <w:unhideWhenUsed/>
    <w:qFormat/>
    <w:rsid w:val="0086210E"/>
    <w:pPr>
      <w:spacing w:after="200"/>
    </w:pPr>
    <w:rPr>
      <w:i/>
      <w:iCs/>
      <w:color w:val="1F497D" w:themeColor="text2"/>
      <w:sz w:val="18"/>
      <w:szCs w:val="18"/>
    </w:rPr>
  </w:style>
  <w:style w:type="paragraph" w:styleId="ListBullet">
    <w:name w:val="List Bullet"/>
    <w:basedOn w:val="Normal"/>
    <w:uiPriority w:val="99"/>
    <w:unhideWhenUsed/>
    <w:rsid w:val="006F7296"/>
    <w:pPr>
      <w:numPr>
        <w:numId w:val="30"/>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1446916">
      <w:bodyDiv w:val="1"/>
      <w:marLeft w:val="0"/>
      <w:marRight w:val="0"/>
      <w:marTop w:val="0"/>
      <w:marBottom w:val="0"/>
      <w:divBdr>
        <w:top w:val="none" w:sz="0" w:space="0" w:color="auto"/>
        <w:left w:val="none" w:sz="0" w:space="0" w:color="auto"/>
        <w:bottom w:val="none" w:sz="0" w:space="0" w:color="auto"/>
        <w:right w:val="none" w:sz="0" w:space="0" w:color="auto"/>
      </w:divBdr>
      <w:divsChild>
        <w:div w:id="294264661">
          <w:marLeft w:val="547"/>
          <w:marRight w:val="0"/>
          <w:marTop w:val="0"/>
          <w:marBottom w:val="0"/>
          <w:divBdr>
            <w:top w:val="none" w:sz="0" w:space="0" w:color="auto"/>
            <w:left w:val="none" w:sz="0" w:space="0" w:color="auto"/>
            <w:bottom w:val="none" w:sz="0" w:space="0" w:color="auto"/>
            <w:right w:val="none" w:sz="0" w:space="0" w:color="auto"/>
          </w:divBdr>
        </w:div>
        <w:div w:id="451217352">
          <w:marLeft w:val="547"/>
          <w:marRight w:val="0"/>
          <w:marTop w:val="0"/>
          <w:marBottom w:val="0"/>
          <w:divBdr>
            <w:top w:val="none" w:sz="0" w:space="0" w:color="auto"/>
            <w:left w:val="none" w:sz="0" w:space="0" w:color="auto"/>
            <w:bottom w:val="none" w:sz="0" w:space="0" w:color="auto"/>
            <w:right w:val="none" w:sz="0" w:space="0" w:color="auto"/>
          </w:divBdr>
        </w:div>
      </w:divsChild>
    </w:div>
    <w:div w:id="491264117">
      <w:bodyDiv w:val="1"/>
      <w:marLeft w:val="0"/>
      <w:marRight w:val="0"/>
      <w:marTop w:val="0"/>
      <w:marBottom w:val="0"/>
      <w:divBdr>
        <w:top w:val="none" w:sz="0" w:space="0" w:color="auto"/>
        <w:left w:val="none" w:sz="0" w:space="0" w:color="auto"/>
        <w:bottom w:val="none" w:sz="0" w:space="0" w:color="auto"/>
        <w:right w:val="none" w:sz="0" w:space="0" w:color="auto"/>
      </w:divBdr>
      <w:divsChild>
        <w:div w:id="209533269">
          <w:marLeft w:val="0"/>
          <w:marRight w:val="0"/>
          <w:marTop w:val="0"/>
          <w:marBottom w:val="0"/>
          <w:divBdr>
            <w:top w:val="none" w:sz="0" w:space="0" w:color="auto"/>
            <w:left w:val="none" w:sz="0" w:space="0" w:color="auto"/>
            <w:bottom w:val="none" w:sz="0" w:space="0" w:color="auto"/>
            <w:right w:val="none" w:sz="0" w:space="0" w:color="auto"/>
          </w:divBdr>
          <w:divsChild>
            <w:div w:id="881208433">
              <w:marLeft w:val="0"/>
              <w:marRight w:val="0"/>
              <w:marTop w:val="0"/>
              <w:marBottom w:val="0"/>
              <w:divBdr>
                <w:top w:val="none" w:sz="0" w:space="0" w:color="auto"/>
                <w:left w:val="none" w:sz="0" w:space="0" w:color="auto"/>
                <w:bottom w:val="none" w:sz="0" w:space="0" w:color="auto"/>
                <w:right w:val="none" w:sz="0" w:space="0" w:color="auto"/>
              </w:divBdr>
              <w:divsChild>
                <w:div w:id="633370867">
                  <w:marLeft w:val="0"/>
                  <w:marRight w:val="0"/>
                  <w:marTop w:val="0"/>
                  <w:marBottom w:val="0"/>
                  <w:divBdr>
                    <w:top w:val="none" w:sz="0" w:space="0" w:color="auto"/>
                    <w:left w:val="none" w:sz="0" w:space="0" w:color="auto"/>
                    <w:bottom w:val="none" w:sz="0" w:space="0" w:color="auto"/>
                    <w:right w:val="none" w:sz="0" w:space="0" w:color="auto"/>
                  </w:divBdr>
                  <w:divsChild>
                    <w:div w:id="808523014">
                      <w:marLeft w:val="0"/>
                      <w:marRight w:val="0"/>
                      <w:marTop w:val="0"/>
                      <w:marBottom w:val="0"/>
                      <w:divBdr>
                        <w:top w:val="none" w:sz="0" w:space="0" w:color="auto"/>
                        <w:left w:val="none" w:sz="0" w:space="0" w:color="auto"/>
                        <w:bottom w:val="none" w:sz="0" w:space="0" w:color="auto"/>
                        <w:right w:val="none" w:sz="0" w:space="0" w:color="auto"/>
                      </w:divBdr>
                      <w:divsChild>
                        <w:div w:id="1124696047">
                          <w:marLeft w:val="0"/>
                          <w:marRight w:val="0"/>
                          <w:marTop w:val="0"/>
                          <w:marBottom w:val="0"/>
                          <w:divBdr>
                            <w:top w:val="none" w:sz="0" w:space="0" w:color="auto"/>
                            <w:left w:val="none" w:sz="0" w:space="0" w:color="auto"/>
                            <w:bottom w:val="none" w:sz="0" w:space="0" w:color="auto"/>
                            <w:right w:val="none" w:sz="0" w:space="0" w:color="auto"/>
                          </w:divBdr>
                          <w:divsChild>
                            <w:div w:id="1651446190">
                              <w:marLeft w:val="0"/>
                              <w:marRight w:val="0"/>
                              <w:marTop w:val="0"/>
                              <w:marBottom w:val="0"/>
                              <w:divBdr>
                                <w:top w:val="none" w:sz="0" w:space="0" w:color="auto"/>
                                <w:left w:val="none" w:sz="0" w:space="0" w:color="auto"/>
                                <w:bottom w:val="none" w:sz="0" w:space="0" w:color="auto"/>
                                <w:right w:val="none" w:sz="0" w:space="0" w:color="auto"/>
                              </w:divBdr>
                              <w:divsChild>
                                <w:div w:id="448471865">
                                  <w:marLeft w:val="0"/>
                                  <w:marRight w:val="0"/>
                                  <w:marTop w:val="0"/>
                                  <w:marBottom w:val="0"/>
                                  <w:divBdr>
                                    <w:top w:val="none" w:sz="0" w:space="0" w:color="auto"/>
                                    <w:left w:val="none" w:sz="0" w:space="0" w:color="auto"/>
                                    <w:bottom w:val="none" w:sz="0" w:space="0" w:color="auto"/>
                                    <w:right w:val="none" w:sz="0" w:space="0" w:color="auto"/>
                                  </w:divBdr>
                                  <w:divsChild>
                                    <w:div w:id="414862542">
                                      <w:marLeft w:val="0"/>
                                      <w:marRight w:val="0"/>
                                      <w:marTop w:val="0"/>
                                      <w:marBottom w:val="0"/>
                                      <w:divBdr>
                                        <w:top w:val="none" w:sz="0" w:space="0" w:color="auto"/>
                                        <w:left w:val="none" w:sz="0" w:space="0" w:color="auto"/>
                                        <w:bottom w:val="none" w:sz="0" w:space="0" w:color="auto"/>
                                        <w:right w:val="none" w:sz="0" w:space="0" w:color="auto"/>
                                      </w:divBdr>
                                      <w:divsChild>
                                        <w:div w:id="643118975">
                                          <w:marLeft w:val="0"/>
                                          <w:marRight w:val="0"/>
                                          <w:marTop w:val="0"/>
                                          <w:marBottom w:val="0"/>
                                          <w:divBdr>
                                            <w:top w:val="none" w:sz="0" w:space="0" w:color="auto"/>
                                            <w:left w:val="none" w:sz="0" w:space="0" w:color="auto"/>
                                            <w:bottom w:val="none" w:sz="0" w:space="0" w:color="auto"/>
                                            <w:right w:val="none" w:sz="0" w:space="0" w:color="auto"/>
                                          </w:divBdr>
                                          <w:divsChild>
                                            <w:div w:id="2103641556">
                                              <w:marLeft w:val="0"/>
                                              <w:marRight w:val="0"/>
                                              <w:marTop w:val="0"/>
                                              <w:marBottom w:val="0"/>
                                              <w:divBdr>
                                                <w:top w:val="none" w:sz="0" w:space="0" w:color="auto"/>
                                                <w:left w:val="none" w:sz="0" w:space="0" w:color="auto"/>
                                                <w:bottom w:val="none" w:sz="0" w:space="0" w:color="auto"/>
                                                <w:right w:val="none" w:sz="0" w:space="0" w:color="auto"/>
                                              </w:divBdr>
                                              <w:divsChild>
                                                <w:div w:id="188227349">
                                                  <w:marLeft w:val="0"/>
                                                  <w:marRight w:val="0"/>
                                                  <w:marTop w:val="0"/>
                                                  <w:marBottom w:val="0"/>
                                                  <w:divBdr>
                                                    <w:top w:val="none" w:sz="0" w:space="0" w:color="auto"/>
                                                    <w:left w:val="none" w:sz="0" w:space="0" w:color="auto"/>
                                                    <w:bottom w:val="none" w:sz="0" w:space="0" w:color="auto"/>
                                                    <w:right w:val="none" w:sz="0" w:space="0" w:color="auto"/>
                                                  </w:divBdr>
                                                  <w:divsChild>
                                                    <w:div w:id="1090657859">
                                                      <w:marLeft w:val="0"/>
                                                      <w:marRight w:val="0"/>
                                                      <w:marTop w:val="0"/>
                                                      <w:marBottom w:val="0"/>
                                                      <w:divBdr>
                                                        <w:top w:val="none" w:sz="0" w:space="0" w:color="auto"/>
                                                        <w:left w:val="none" w:sz="0" w:space="0" w:color="auto"/>
                                                        <w:bottom w:val="none" w:sz="0" w:space="0" w:color="auto"/>
                                                        <w:right w:val="none" w:sz="0" w:space="0" w:color="auto"/>
                                                      </w:divBdr>
                                                      <w:divsChild>
                                                        <w:div w:id="813066726">
                                                          <w:marLeft w:val="0"/>
                                                          <w:marRight w:val="0"/>
                                                          <w:marTop w:val="0"/>
                                                          <w:marBottom w:val="0"/>
                                                          <w:divBdr>
                                                            <w:top w:val="none" w:sz="0" w:space="0" w:color="auto"/>
                                                            <w:left w:val="none" w:sz="0" w:space="0" w:color="auto"/>
                                                            <w:bottom w:val="none" w:sz="0" w:space="0" w:color="auto"/>
                                                            <w:right w:val="none" w:sz="0" w:space="0" w:color="auto"/>
                                                          </w:divBdr>
                                                          <w:divsChild>
                                                            <w:div w:id="363409639">
                                                              <w:marLeft w:val="0"/>
                                                              <w:marRight w:val="0"/>
                                                              <w:marTop w:val="0"/>
                                                              <w:marBottom w:val="0"/>
                                                              <w:divBdr>
                                                                <w:top w:val="none" w:sz="0" w:space="0" w:color="auto"/>
                                                                <w:left w:val="none" w:sz="0" w:space="0" w:color="auto"/>
                                                                <w:bottom w:val="none" w:sz="0" w:space="0" w:color="auto"/>
                                                                <w:right w:val="none" w:sz="0" w:space="0" w:color="auto"/>
                                                              </w:divBdr>
                                                              <w:divsChild>
                                                                <w:div w:id="1953390439">
                                                                  <w:marLeft w:val="0"/>
                                                                  <w:marRight w:val="0"/>
                                                                  <w:marTop w:val="0"/>
                                                                  <w:marBottom w:val="0"/>
                                                                  <w:divBdr>
                                                                    <w:top w:val="none" w:sz="0" w:space="0" w:color="auto"/>
                                                                    <w:left w:val="none" w:sz="0" w:space="0" w:color="auto"/>
                                                                    <w:bottom w:val="none" w:sz="0" w:space="0" w:color="auto"/>
                                                                    <w:right w:val="none" w:sz="0" w:space="0" w:color="auto"/>
                                                                  </w:divBdr>
                                                                  <w:divsChild>
                                                                    <w:div w:id="506944708">
                                                                      <w:marLeft w:val="0"/>
                                                                      <w:marRight w:val="0"/>
                                                                      <w:marTop w:val="0"/>
                                                                      <w:marBottom w:val="0"/>
                                                                      <w:divBdr>
                                                                        <w:top w:val="none" w:sz="0" w:space="0" w:color="auto"/>
                                                                        <w:left w:val="none" w:sz="0" w:space="0" w:color="auto"/>
                                                                        <w:bottom w:val="none" w:sz="0" w:space="0" w:color="auto"/>
                                                                        <w:right w:val="none" w:sz="0" w:space="0" w:color="auto"/>
                                                                      </w:divBdr>
                                                                      <w:divsChild>
                                                                        <w:div w:id="1239359885">
                                                                          <w:marLeft w:val="0"/>
                                                                          <w:marRight w:val="0"/>
                                                                          <w:marTop w:val="0"/>
                                                                          <w:marBottom w:val="0"/>
                                                                          <w:divBdr>
                                                                            <w:top w:val="none" w:sz="0" w:space="0" w:color="auto"/>
                                                                            <w:left w:val="none" w:sz="0" w:space="0" w:color="auto"/>
                                                                            <w:bottom w:val="none" w:sz="0" w:space="0" w:color="auto"/>
                                                                            <w:right w:val="none" w:sz="0" w:space="0" w:color="auto"/>
                                                                          </w:divBdr>
                                                                          <w:divsChild>
                                                                            <w:div w:id="1479493746">
                                                                              <w:marLeft w:val="0"/>
                                                                              <w:marRight w:val="0"/>
                                                                              <w:marTop w:val="0"/>
                                                                              <w:marBottom w:val="0"/>
                                                                              <w:divBdr>
                                                                                <w:top w:val="none" w:sz="0" w:space="0" w:color="auto"/>
                                                                                <w:left w:val="none" w:sz="0" w:space="0" w:color="auto"/>
                                                                                <w:bottom w:val="none" w:sz="0" w:space="0" w:color="auto"/>
                                                                                <w:right w:val="none" w:sz="0" w:space="0" w:color="auto"/>
                                                                              </w:divBdr>
                                                                              <w:divsChild>
                                                                                <w:div w:id="875389007">
                                                                                  <w:marLeft w:val="0"/>
                                                                                  <w:marRight w:val="0"/>
                                                                                  <w:marTop w:val="0"/>
                                                                                  <w:marBottom w:val="0"/>
                                                                                  <w:divBdr>
                                                                                    <w:top w:val="none" w:sz="0" w:space="0" w:color="auto"/>
                                                                                    <w:left w:val="none" w:sz="0" w:space="0" w:color="auto"/>
                                                                                    <w:bottom w:val="none" w:sz="0" w:space="0" w:color="auto"/>
                                                                                    <w:right w:val="none" w:sz="0" w:space="0" w:color="auto"/>
                                                                                  </w:divBdr>
                                                                                  <w:divsChild>
                                                                                    <w:div w:id="1421680250">
                                                                                      <w:marLeft w:val="0"/>
                                                                                      <w:marRight w:val="0"/>
                                                                                      <w:marTop w:val="0"/>
                                                                                      <w:marBottom w:val="0"/>
                                                                                      <w:divBdr>
                                                                                        <w:top w:val="none" w:sz="0" w:space="0" w:color="auto"/>
                                                                                        <w:left w:val="none" w:sz="0" w:space="0" w:color="auto"/>
                                                                                        <w:bottom w:val="none" w:sz="0" w:space="0" w:color="auto"/>
                                                                                        <w:right w:val="none" w:sz="0" w:space="0" w:color="auto"/>
                                                                                      </w:divBdr>
                                                                                      <w:divsChild>
                                                                                        <w:div w:id="641933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77298602">
      <w:bodyDiv w:val="1"/>
      <w:marLeft w:val="0"/>
      <w:marRight w:val="0"/>
      <w:marTop w:val="0"/>
      <w:marBottom w:val="0"/>
      <w:divBdr>
        <w:top w:val="none" w:sz="0" w:space="0" w:color="auto"/>
        <w:left w:val="none" w:sz="0" w:space="0" w:color="auto"/>
        <w:bottom w:val="none" w:sz="0" w:space="0" w:color="auto"/>
        <w:right w:val="none" w:sz="0" w:space="0" w:color="auto"/>
      </w:divBdr>
    </w:div>
    <w:div w:id="987783093">
      <w:bodyDiv w:val="1"/>
      <w:marLeft w:val="0"/>
      <w:marRight w:val="0"/>
      <w:marTop w:val="0"/>
      <w:marBottom w:val="0"/>
      <w:divBdr>
        <w:top w:val="none" w:sz="0" w:space="0" w:color="auto"/>
        <w:left w:val="none" w:sz="0" w:space="0" w:color="auto"/>
        <w:bottom w:val="none" w:sz="0" w:space="0" w:color="auto"/>
        <w:right w:val="none" w:sz="0" w:space="0" w:color="auto"/>
      </w:divBdr>
      <w:divsChild>
        <w:div w:id="1620837836">
          <w:marLeft w:val="547"/>
          <w:marRight w:val="0"/>
          <w:marTop w:val="0"/>
          <w:marBottom w:val="0"/>
          <w:divBdr>
            <w:top w:val="none" w:sz="0" w:space="0" w:color="auto"/>
            <w:left w:val="none" w:sz="0" w:space="0" w:color="auto"/>
            <w:bottom w:val="none" w:sz="0" w:space="0" w:color="auto"/>
            <w:right w:val="none" w:sz="0" w:space="0" w:color="auto"/>
          </w:divBdr>
        </w:div>
        <w:div w:id="681052862">
          <w:marLeft w:val="547"/>
          <w:marRight w:val="0"/>
          <w:marTop w:val="0"/>
          <w:marBottom w:val="0"/>
          <w:divBdr>
            <w:top w:val="none" w:sz="0" w:space="0" w:color="auto"/>
            <w:left w:val="none" w:sz="0" w:space="0" w:color="auto"/>
            <w:bottom w:val="none" w:sz="0" w:space="0" w:color="auto"/>
            <w:right w:val="none" w:sz="0" w:space="0" w:color="auto"/>
          </w:divBdr>
        </w:div>
        <w:div w:id="1063404206">
          <w:marLeft w:val="547"/>
          <w:marRight w:val="0"/>
          <w:marTop w:val="0"/>
          <w:marBottom w:val="0"/>
          <w:divBdr>
            <w:top w:val="none" w:sz="0" w:space="0" w:color="auto"/>
            <w:left w:val="none" w:sz="0" w:space="0" w:color="auto"/>
            <w:bottom w:val="none" w:sz="0" w:space="0" w:color="auto"/>
            <w:right w:val="none" w:sz="0" w:space="0" w:color="auto"/>
          </w:divBdr>
        </w:div>
      </w:divsChild>
    </w:div>
    <w:div w:id="1022588866">
      <w:bodyDiv w:val="1"/>
      <w:marLeft w:val="0"/>
      <w:marRight w:val="0"/>
      <w:marTop w:val="0"/>
      <w:marBottom w:val="0"/>
      <w:divBdr>
        <w:top w:val="none" w:sz="0" w:space="0" w:color="auto"/>
        <w:left w:val="none" w:sz="0" w:space="0" w:color="auto"/>
        <w:bottom w:val="none" w:sz="0" w:space="0" w:color="auto"/>
        <w:right w:val="none" w:sz="0" w:space="0" w:color="auto"/>
      </w:divBdr>
      <w:divsChild>
        <w:div w:id="1373112878">
          <w:marLeft w:val="547"/>
          <w:marRight w:val="0"/>
          <w:marTop w:val="0"/>
          <w:marBottom w:val="0"/>
          <w:divBdr>
            <w:top w:val="none" w:sz="0" w:space="0" w:color="auto"/>
            <w:left w:val="none" w:sz="0" w:space="0" w:color="auto"/>
            <w:bottom w:val="none" w:sz="0" w:space="0" w:color="auto"/>
            <w:right w:val="none" w:sz="0" w:space="0" w:color="auto"/>
          </w:divBdr>
        </w:div>
        <w:div w:id="480005030">
          <w:marLeft w:val="1166"/>
          <w:marRight w:val="0"/>
          <w:marTop w:val="0"/>
          <w:marBottom w:val="0"/>
          <w:divBdr>
            <w:top w:val="none" w:sz="0" w:space="0" w:color="auto"/>
            <w:left w:val="none" w:sz="0" w:space="0" w:color="auto"/>
            <w:bottom w:val="none" w:sz="0" w:space="0" w:color="auto"/>
            <w:right w:val="none" w:sz="0" w:space="0" w:color="auto"/>
          </w:divBdr>
        </w:div>
        <w:div w:id="288512244">
          <w:marLeft w:val="1166"/>
          <w:marRight w:val="0"/>
          <w:marTop w:val="0"/>
          <w:marBottom w:val="0"/>
          <w:divBdr>
            <w:top w:val="none" w:sz="0" w:space="0" w:color="auto"/>
            <w:left w:val="none" w:sz="0" w:space="0" w:color="auto"/>
            <w:bottom w:val="none" w:sz="0" w:space="0" w:color="auto"/>
            <w:right w:val="none" w:sz="0" w:space="0" w:color="auto"/>
          </w:divBdr>
        </w:div>
      </w:divsChild>
    </w:div>
    <w:div w:id="1201894374">
      <w:bodyDiv w:val="1"/>
      <w:marLeft w:val="0"/>
      <w:marRight w:val="0"/>
      <w:marTop w:val="0"/>
      <w:marBottom w:val="0"/>
      <w:divBdr>
        <w:top w:val="none" w:sz="0" w:space="0" w:color="auto"/>
        <w:left w:val="none" w:sz="0" w:space="0" w:color="auto"/>
        <w:bottom w:val="none" w:sz="0" w:space="0" w:color="auto"/>
        <w:right w:val="none" w:sz="0" w:space="0" w:color="auto"/>
      </w:divBdr>
    </w:div>
    <w:div w:id="1227960134">
      <w:bodyDiv w:val="1"/>
      <w:marLeft w:val="0"/>
      <w:marRight w:val="0"/>
      <w:marTop w:val="0"/>
      <w:marBottom w:val="0"/>
      <w:divBdr>
        <w:top w:val="none" w:sz="0" w:space="0" w:color="auto"/>
        <w:left w:val="none" w:sz="0" w:space="0" w:color="auto"/>
        <w:bottom w:val="none" w:sz="0" w:space="0" w:color="auto"/>
        <w:right w:val="none" w:sz="0" w:space="0" w:color="auto"/>
      </w:divBdr>
    </w:div>
    <w:div w:id="1443570044">
      <w:bodyDiv w:val="1"/>
      <w:marLeft w:val="0"/>
      <w:marRight w:val="0"/>
      <w:marTop w:val="0"/>
      <w:marBottom w:val="0"/>
      <w:divBdr>
        <w:top w:val="none" w:sz="0" w:space="0" w:color="auto"/>
        <w:left w:val="none" w:sz="0" w:space="0" w:color="auto"/>
        <w:bottom w:val="none" w:sz="0" w:space="0" w:color="auto"/>
        <w:right w:val="none" w:sz="0" w:space="0" w:color="auto"/>
      </w:divBdr>
    </w:div>
    <w:div w:id="1720547009">
      <w:bodyDiv w:val="1"/>
      <w:marLeft w:val="0"/>
      <w:marRight w:val="0"/>
      <w:marTop w:val="0"/>
      <w:marBottom w:val="0"/>
      <w:divBdr>
        <w:top w:val="none" w:sz="0" w:space="0" w:color="auto"/>
        <w:left w:val="none" w:sz="0" w:space="0" w:color="auto"/>
        <w:bottom w:val="none" w:sz="0" w:space="0" w:color="auto"/>
        <w:right w:val="none" w:sz="0" w:space="0" w:color="auto"/>
      </w:divBdr>
      <w:divsChild>
        <w:div w:id="844563383">
          <w:marLeft w:val="547"/>
          <w:marRight w:val="0"/>
          <w:marTop w:val="0"/>
          <w:marBottom w:val="0"/>
          <w:divBdr>
            <w:top w:val="none" w:sz="0" w:space="0" w:color="auto"/>
            <w:left w:val="none" w:sz="0" w:space="0" w:color="auto"/>
            <w:bottom w:val="none" w:sz="0" w:space="0" w:color="auto"/>
            <w:right w:val="none" w:sz="0" w:space="0" w:color="auto"/>
          </w:divBdr>
        </w:div>
        <w:div w:id="1649551159">
          <w:marLeft w:val="1166"/>
          <w:marRight w:val="0"/>
          <w:marTop w:val="0"/>
          <w:marBottom w:val="0"/>
          <w:divBdr>
            <w:top w:val="none" w:sz="0" w:space="0" w:color="auto"/>
            <w:left w:val="none" w:sz="0" w:space="0" w:color="auto"/>
            <w:bottom w:val="none" w:sz="0" w:space="0" w:color="auto"/>
            <w:right w:val="none" w:sz="0" w:space="0" w:color="auto"/>
          </w:divBdr>
        </w:div>
        <w:div w:id="1110708124">
          <w:marLeft w:val="1166"/>
          <w:marRight w:val="0"/>
          <w:marTop w:val="0"/>
          <w:marBottom w:val="0"/>
          <w:divBdr>
            <w:top w:val="none" w:sz="0" w:space="0" w:color="auto"/>
            <w:left w:val="none" w:sz="0" w:space="0" w:color="auto"/>
            <w:bottom w:val="none" w:sz="0" w:space="0" w:color="auto"/>
            <w:right w:val="none" w:sz="0" w:space="0" w:color="auto"/>
          </w:divBdr>
        </w:div>
      </w:divsChild>
    </w:div>
    <w:div w:id="1934053056">
      <w:bodyDiv w:val="1"/>
      <w:marLeft w:val="0"/>
      <w:marRight w:val="0"/>
      <w:marTop w:val="0"/>
      <w:marBottom w:val="0"/>
      <w:divBdr>
        <w:top w:val="none" w:sz="0" w:space="0" w:color="auto"/>
        <w:left w:val="none" w:sz="0" w:space="0" w:color="auto"/>
        <w:bottom w:val="none" w:sz="0" w:space="0" w:color="auto"/>
        <w:right w:val="none" w:sz="0" w:space="0" w:color="auto"/>
      </w:divBdr>
    </w:div>
    <w:div w:id="2084252757">
      <w:bodyDiv w:val="1"/>
      <w:marLeft w:val="0"/>
      <w:marRight w:val="0"/>
      <w:marTop w:val="0"/>
      <w:marBottom w:val="0"/>
      <w:divBdr>
        <w:top w:val="none" w:sz="0" w:space="0" w:color="auto"/>
        <w:left w:val="none" w:sz="0" w:space="0" w:color="auto"/>
        <w:bottom w:val="none" w:sz="0" w:space="0" w:color="auto"/>
        <w:right w:val="none" w:sz="0" w:space="0" w:color="auto"/>
      </w:divBdr>
      <w:divsChild>
        <w:div w:id="1628975243">
          <w:marLeft w:val="547"/>
          <w:marRight w:val="0"/>
          <w:marTop w:val="0"/>
          <w:marBottom w:val="0"/>
          <w:divBdr>
            <w:top w:val="none" w:sz="0" w:space="0" w:color="auto"/>
            <w:left w:val="none" w:sz="0" w:space="0" w:color="auto"/>
            <w:bottom w:val="none" w:sz="0" w:space="0" w:color="auto"/>
            <w:right w:val="none" w:sz="0" w:space="0" w:color="auto"/>
          </w:divBdr>
        </w:div>
        <w:div w:id="264700859">
          <w:marLeft w:val="547"/>
          <w:marRight w:val="0"/>
          <w:marTop w:val="0"/>
          <w:marBottom w:val="0"/>
          <w:divBdr>
            <w:top w:val="none" w:sz="0" w:space="0" w:color="auto"/>
            <w:left w:val="none" w:sz="0" w:space="0" w:color="auto"/>
            <w:bottom w:val="none" w:sz="0" w:space="0" w:color="auto"/>
            <w:right w:val="none" w:sz="0" w:space="0" w:color="auto"/>
          </w:divBdr>
        </w:div>
        <w:div w:id="172494255">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footnotes" Target="footnotes.xml"/><Relationship Id="rId18" Type="http://schemas.openxmlformats.org/officeDocument/2006/relationships/hyperlink" Target="http://www.aqaalliance.org/files/PrinciplesofEfficiencyMeasurementApril2006.doc"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www.mcknights.com/marketplace/using-a-nurse-led-protocol-to-reduce-infections/article/377448/" TargetMode="Externa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hyperlink" Target="http://www.qualityforum.org/Publications/2010/01/Measurement_Framework__Evaluating_Efficiency_Across_Patient-Focused_Episodes_of_Care.aspx" TargetMode="External"/><Relationship Id="rId25" Type="http://schemas.openxmlformats.org/officeDocument/2006/relationships/hyperlink" Target="https://academic.oup.com/cid/article/50/5/625/324341" TargetMode="External"/><Relationship Id="rId2" Type="http://schemas.openxmlformats.org/officeDocument/2006/relationships/customXml" Target="../customXml/item2.xml"/><Relationship Id="rId16" Type="http://schemas.openxmlformats.org/officeDocument/2006/relationships/hyperlink" Target="http://www.gradeworkinggroup.org"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24" Type="http://schemas.openxmlformats.org/officeDocument/2006/relationships/hyperlink" Target="http://www.apic.org/Resource_/TinyMceFileManager/Practice_Guidance/id_APIC-SHEA_GuidelineforICinLTCFs.pdf" TargetMode="External"/><Relationship Id="rId5" Type="http://schemas.openxmlformats.org/officeDocument/2006/relationships/customXml" Target="../customXml/item5.xml"/><Relationship Id="rId15" Type="http://schemas.openxmlformats.org/officeDocument/2006/relationships/hyperlink" Target="http://www.qualityforum.org/Measuring_Performance/Submitting_Standards.aspx" TargetMode="External"/><Relationship Id="rId23" Type="http://schemas.openxmlformats.org/officeDocument/2006/relationships/hyperlink" Target="https://paltc.org/product-store/urinary-incontinence-cpg" TargetMode="External"/><Relationship Id="rId28" Type="http://schemas.openxmlformats.org/officeDocument/2006/relationships/theme" Target="theme/theme1.xml"/><Relationship Id="rId10" Type="http://schemas.openxmlformats.org/officeDocument/2006/relationships/styles" Target="styl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hyperlink" Target="https://www.cdc.gov/infectioncontrol/guidelines/CAUTI/index.html" TargetMode="External"/><Relationship Id="rId27"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25A43D8357F4D898E924C438DEE4752"/>
        <w:category>
          <w:name w:val="General"/>
          <w:gallery w:val="placeholder"/>
        </w:category>
        <w:types>
          <w:type w:val="bbPlcHdr"/>
        </w:types>
        <w:behaviors>
          <w:behavior w:val="content"/>
        </w:behaviors>
        <w:guid w:val="{35DE955E-FF90-4C23-945A-82456138CD14}"/>
      </w:docPartPr>
      <w:docPartBody>
        <w:p w:rsidR="00E85585" w:rsidRDefault="00075A72">
          <w:pPr>
            <w:pStyle w:val="D25A43D8357F4D898E924C438DEE4752"/>
          </w:pPr>
          <w:r w:rsidRPr="003B1CC5">
            <w:rPr>
              <w:rStyle w:val="PlaceholderText"/>
            </w:rPr>
            <w:t>Click here to enter NQF number</w:t>
          </w:r>
        </w:p>
      </w:docPartBody>
    </w:docPart>
    <w:docPart>
      <w:docPartPr>
        <w:name w:val="B88DD89A97CB496CB0F049A619CF6842"/>
        <w:category>
          <w:name w:val="General"/>
          <w:gallery w:val="placeholder"/>
        </w:category>
        <w:types>
          <w:type w:val="bbPlcHdr"/>
        </w:types>
        <w:behaviors>
          <w:behavior w:val="content"/>
        </w:behaviors>
        <w:guid w:val="{8AC63404-2A6E-4778-A742-01A8CFE62BBC}"/>
      </w:docPartPr>
      <w:docPartBody>
        <w:p w:rsidR="00E85585" w:rsidRDefault="00075A72">
          <w:pPr>
            <w:pStyle w:val="B88DD89A97CB496CB0F049A619CF6842"/>
          </w:pPr>
          <w:r w:rsidRPr="003B1CC5">
            <w:rPr>
              <w:rStyle w:val="PlaceholderText"/>
              <w:rFonts w:cstheme="minorHAnsi"/>
              <w:color w:val="A6A6A6" w:themeColor="background1" w:themeShade="A6"/>
            </w:rPr>
            <w:t>Click here to enter measure title</w:t>
          </w:r>
        </w:p>
      </w:docPartBody>
    </w:docPart>
    <w:docPart>
      <w:docPartPr>
        <w:name w:val="FEDCE9EBDCA74F8685170B5AA9C20FC0"/>
        <w:category>
          <w:name w:val="General"/>
          <w:gallery w:val="placeholder"/>
        </w:category>
        <w:types>
          <w:type w:val="bbPlcHdr"/>
        </w:types>
        <w:behaviors>
          <w:behavior w:val="content"/>
        </w:behaviors>
        <w:guid w:val="{80D096B9-0ED4-4F17-A695-336D3ACA3286}"/>
      </w:docPartPr>
      <w:docPartBody>
        <w:p w:rsidR="00E85585" w:rsidRDefault="00075A72">
          <w:pPr>
            <w:pStyle w:val="FEDCE9EBDCA74F8685170B5AA9C20FC0"/>
          </w:pPr>
          <w:r w:rsidRPr="003B1CC5">
            <w:rPr>
              <w:rStyle w:val="PlaceholderText"/>
              <w:rFonts w:cstheme="minorHAnsi"/>
              <w:color w:val="A6A6A6" w:themeColor="background1" w:themeShade="A6"/>
            </w:rPr>
            <w:t>Click here to enter composite measure #/ title</w:t>
          </w:r>
        </w:p>
      </w:docPartBody>
    </w:docPart>
    <w:docPart>
      <w:docPartPr>
        <w:name w:val="631BCD1248B043D08BDE06438A5A37F7"/>
        <w:category>
          <w:name w:val="General"/>
          <w:gallery w:val="placeholder"/>
        </w:category>
        <w:types>
          <w:type w:val="bbPlcHdr"/>
        </w:types>
        <w:behaviors>
          <w:behavior w:val="content"/>
        </w:behaviors>
        <w:guid w:val="{770B9E0E-673F-4CAB-8C71-0569662B0647}"/>
      </w:docPartPr>
      <w:docPartBody>
        <w:p w:rsidR="00E85585" w:rsidRDefault="00075A72">
          <w:pPr>
            <w:pStyle w:val="631BCD1248B043D08BDE06438A5A37F7"/>
          </w:pPr>
          <w:r w:rsidRPr="003B1CC5">
            <w:rPr>
              <w:rStyle w:val="PlaceholderText"/>
              <w:rFonts w:cstheme="minorHAnsi"/>
              <w:color w:val="A6A6A6" w:themeColor="background1" w:themeShade="A6"/>
            </w:rPr>
            <w:t>Click here to enter a date</w:t>
          </w:r>
        </w:p>
      </w:docPartBody>
    </w:docPart>
    <w:docPart>
      <w:docPartPr>
        <w:name w:val="E4EF985437FD4A86AEAA72B01C3EE4B9"/>
        <w:category>
          <w:name w:val="General"/>
          <w:gallery w:val="placeholder"/>
        </w:category>
        <w:types>
          <w:type w:val="bbPlcHdr"/>
        </w:types>
        <w:behaviors>
          <w:behavior w:val="content"/>
        </w:behaviors>
        <w:guid w:val="{4CA5A378-2175-42F9-A258-7561BCA86F7D}"/>
      </w:docPartPr>
      <w:docPartBody>
        <w:p w:rsidR="00E85585" w:rsidRDefault="00075A72">
          <w:pPr>
            <w:pStyle w:val="E4EF985437FD4A86AEAA72B01C3EE4B9"/>
          </w:pPr>
          <w:r w:rsidRPr="003B1CC5">
            <w:rPr>
              <w:color w:val="A6A6A6" w:themeColor="background1" w:themeShade="A6"/>
            </w:rPr>
            <w:t>Click here to n</w:t>
          </w:r>
          <w:r w:rsidRPr="003B1CC5">
            <w:rPr>
              <w:rStyle w:val="PlaceholderText"/>
              <w:rFonts w:cstheme="minorHAnsi"/>
              <w:color w:val="A6A6A6" w:themeColor="background1" w:themeShade="A6"/>
            </w:rPr>
            <w:t xml:space="preserve">ame the </w:t>
          </w:r>
          <w:r>
            <w:rPr>
              <w:rStyle w:val="PlaceholderText"/>
              <w:rFonts w:cstheme="minorHAnsi"/>
              <w:color w:val="A6A6A6" w:themeColor="background1" w:themeShade="A6"/>
            </w:rPr>
            <w:t>PRO</w:t>
          </w:r>
        </w:p>
      </w:docPartBody>
    </w:docPart>
    <w:docPart>
      <w:docPartPr>
        <w:name w:val="57C08B7D662F46EEA59620708A37ADE0"/>
        <w:category>
          <w:name w:val="General"/>
          <w:gallery w:val="placeholder"/>
        </w:category>
        <w:types>
          <w:type w:val="bbPlcHdr"/>
        </w:types>
        <w:behaviors>
          <w:behavior w:val="content"/>
        </w:behaviors>
        <w:guid w:val="{277C9CB7-77B0-47EA-935A-17C89746371C}"/>
      </w:docPartPr>
      <w:docPartBody>
        <w:p w:rsidR="00E85585" w:rsidRDefault="00075A72">
          <w:pPr>
            <w:pStyle w:val="57C08B7D662F46EEA59620708A37ADE0"/>
          </w:pPr>
          <w:r w:rsidRPr="003B1CC5">
            <w:rPr>
              <w:rStyle w:val="PlaceholderText"/>
              <w:rFonts w:cstheme="minorHAnsi"/>
              <w:color w:val="A6A6A6" w:themeColor="background1" w:themeShade="A6"/>
            </w:rPr>
            <w:t>Click here to name the intermediate outcome</w:t>
          </w:r>
        </w:p>
      </w:docPartBody>
    </w:docPart>
    <w:docPart>
      <w:docPartPr>
        <w:name w:val="3D61B268B20745DE8B4838B3894510D3"/>
        <w:category>
          <w:name w:val="General"/>
          <w:gallery w:val="placeholder"/>
        </w:category>
        <w:types>
          <w:type w:val="bbPlcHdr"/>
        </w:types>
        <w:behaviors>
          <w:behavior w:val="content"/>
        </w:behaviors>
        <w:guid w:val="{F83C6769-59FF-4627-A954-5870324C1033}"/>
      </w:docPartPr>
      <w:docPartBody>
        <w:p w:rsidR="00E85585" w:rsidRDefault="00075A72" w:rsidP="00075A72">
          <w:pPr>
            <w:pStyle w:val="3D61B268B20745DE8B4838B3894510D3"/>
          </w:pPr>
          <w:r w:rsidRPr="00B83BC5">
            <w:rPr>
              <w:rStyle w:val="PlaceholderText"/>
              <w:rFonts w:cstheme="minorHAnsi"/>
              <w:color w:val="A6A6A6" w:themeColor="background1" w:themeShade="A6"/>
            </w:rPr>
            <w:t>Click here to enter measure title</w:t>
          </w:r>
        </w:p>
      </w:docPartBody>
    </w:docPart>
    <w:docPart>
      <w:docPartPr>
        <w:name w:val="E8147E15DAFC4EB1A78E040AF2111EBC"/>
        <w:category>
          <w:name w:val="General"/>
          <w:gallery w:val="placeholder"/>
        </w:category>
        <w:types>
          <w:type w:val="bbPlcHdr"/>
        </w:types>
        <w:behaviors>
          <w:behavior w:val="content"/>
        </w:behaviors>
        <w:guid w:val="{65F2ED85-965D-428B-800F-EF33B6A5218D}"/>
      </w:docPartPr>
      <w:docPartBody>
        <w:p w:rsidR="004135A9" w:rsidRDefault="00145606" w:rsidP="00145606">
          <w:pPr>
            <w:pStyle w:val="E8147E15DAFC4EB1A78E040AF2111EBC"/>
          </w:pPr>
          <w:r w:rsidRPr="003B1CC5">
            <w:rPr>
              <w:rStyle w:val="PlaceholderText"/>
              <w:rFonts w:cstheme="minorHAnsi"/>
              <w:color w:val="A6A6A6" w:themeColor="background1" w:themeShade="A6"/>
            </w:rPr>
            <w:t>Click here to enter measure title</w:t>
          </w:r>
        </w:p>
      </w:docPartBody>
    </w:docPart>
    <w:docPart>
      <w:docPartPr>
        <w:name w:val="1ECD2F0B93B443A9ADD18F6E1A59DB4C"/>
        <w:category>
          <w:name w:val="General"/>
          <w:gallery w:val="placeholder"/>
        </w:category>
        <w:types>
          <w:type w:val="bbPlcHdr"/>
        </w:types>
        <w:behaviors>
          <w:behavior w:val="content"/>
        </w:behaviors>
        <w:guid w:val="{3109B0EF-0204-486E-8C29-132331C5D971}"/>
      </w:docPartPr>
      <w:docPartBody>
        <w:p w:rsidR="004135A9" w:rsidRDefault="00145606" w:rsidP="00145606">
          <w:pPr>
            <w:pStyle w:val="1ECD2F0B93B443A9ADD18F6E1A59DB4C"/>
          </w:pPr>
          <w:r w:rsidRPr="00B83BC5">
            <w:rPr>
              <w:rStyle w:val="PlaceholderText"/>
              <w:rFonts w:cstheme="minorHAnsi"/>
              <w:color w:val="A6A6A6" w:themeColor="background1" w:themeShade="A6"/>
            </w:rPr>
            <w:t>Click here to enter measure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BSGulliver">
    <w:altName w:val="Calibri"/>
    <w:panose1 w:val="00000000000000000000"/>
    <w:charset w:val="00"/>
    <w:family w:val="auto"/>
    <w:notTrueType/>
    <w:pitch w:val="default"/>
    <w:sig w:usb0="00000003" w:usb1="00000000" w:usb2="00000000" w:usb3="00000000" w:csb0="00000001"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Mangal">
    <w:altName w:val="Courier New"/>
    <w:panose1 w:val="00000400000000000000"/>
    <w:charset w:val="00"/>
    <w:family w:val="roman"/>
    <w:pitch w:val="variable"/>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5A72"/>
    <w:rsid w:val="00003707"/>
    <w:rsid w:val="00016E18"/>
    <w:rsid w:val="000467A4"/>
    <w:rsid w:val="00075A72"/>
    <w:rsid w:val="000852A2"/>
    <w:rsid w:val="000A53B7"/>
    <w:rsid w:val="00145606"/>
    <w:rsid w:val="001A123C"/>
    <w:rsid w:val="001A2058"/>
    <w:rsid w:val="001F5DCB"/>
    <w:rsid w:val="002E7AA3"/>
    <w:rsid w:val="00314249"/>
    <w:rsid w:val="003441B0"/>
    <w:rsid w:val="003B4EF3"/>
    <w:rsid w:val="004135A9"/>
    <w:rsid w:val="00417449"/>
    <w:rsid w:val="00492E17"/>
    <w:rsid w:val="004C510F"/>
    <w:rsid w:val="005B60A7"/>
    <w:rsid w:val="00653E3F"/>
    <w:rsid w:val="006561E9"/>
    <w:rsid w:val="00715AB8"/>
    <w:rsid w:val="00767C45"/>
    <w:rsid w:val="00780F3F"/>
    <w:rsid w:val="007A2133"/>
    <w:rsid w:val="00806526"/>
    <w:rsid w:val="0081119A"/>
    <w:rsid w:val="00851425"/>
    <w:rsid w:val="00881344"/>
    <w:rsid w:val="00903AE4"/>
    <w:rsid w:val="00980317"/>
    <w:rsid w:val="00983FCF"/>
    <w:rsid w:val="009A3FE7"/>
    <w:rsid w:val="009D43C3"/>
    <w:rsid w:val="009E41F7"/>
    <w:rsid w:val="00A14997"/>
    <w:rsid w:val="00A230DD"/>
    <w:rsid w:val="00A4611A"/>
    <w:rsid w:val="00A906C1"/>
    <w:rsid w:val="00A93B47"/>
    <w:rsid w:val="00A948DF"/>
    <w:rsid w:val="00AA5F43"/>
    <w:rsid w:val="00B1527C"/>
    <w:rsid w:val="00B17700"/>
    <w:rsid w:val="00B3092D"/>
    <w:rsid w:val="00B35E1C"/>
    <w:rsid w:val="00B65B98"/>
    <w:rsid w:val="00B8395C"/>
    <w:rsid w:val="00B96F1B"/>
    <w:rsid w:val="00BA45C9"/>
    <w:rsid w:val="00BD0CEA"/>
    <w:rsid w:val="00C23723"/>
    <w:rsid w:val="00C509FF"/>
    <w:rsid w:val="00C619BA"/>
    <w:rsid w:val="00C71708"/>
    <w:rsid w:val="00C77C69"/>
    <w:rsid w:val="00C82E71"/>
    <w:rsid w:val="00C860B5"/>
    <w:rsid w:val="00CC5891"/>
    <w:rsid w:val="00CF5A23"/>
    <w:rsid w:val="00D376C7"/>
    <w:rsid w:val="00E85585"/>
    <w:rsid w:val="00E9071E"/>
    <w:rsid w:val="00F8136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45606"/>
    <w:rPr>
      <w:color w:val="808080"/>
    </w:rPr>
  </w:style>
  <w:style w:type="paragraph" w:customStyle="1" w:styleId="D25A43D8357F4D898E924C438DEE4752">
    <w:name w:val="D25A43D8357F4D898E924C438DEE4752"/>
  </w:style>
  <w:style w:type="paragraph" w:customStyle="1" w:styleId="B88DD89A97CB496CB0F049A619CF6842">
    <w:name w:val="B88DD89A97CB496CB0F049A619CF6842"/>
  </w:style>
  <w:style w:type="paragraph" w:customStyle="1" w:styleId="FEDCE9EBDCA74F8685170B5AA9C20FC0">
    <w:name w:val="FEDCE9EBDCA74F8685170B5AA9C20FC0"/>
  </w:style>
  <w:style w:type="paragraph" w:customStyle="1" w:styleId="631BCD1248B043D08BDE06438A5A37F7">
    <w:name w:val="631BCD1248B043D08BDE06438A5A37F7"/>
  </w:style>
  <w:style w:type="paragraph" w:customStyle="1" w:styleId="0FAD3483592D4D61870D2C763054232A">
    <w:name w:val="0FAD3483592D4D61870D2C763054232A"/>
  </w:style>
  <w:style w:type="paragraph" w:customStyle="1" w:styleId="E4EF985437FD4A86AEAA72B01C3EE4B9">
    <w:name w:val="E4EF985437FD4A86AEAA72B01C3EE4B9"/>
  </w:style>
  <w:style w:type="paragraph" w:customStyle="1" w:styleId="57C08B7D662F46EEA59620708A37ADE0">
    <w:name w:val="57C08B7D662F46EEA59620708A37ADE0"/>
  </w:style>
  <w:style w:type="paragraph" w:customStyle="1" w:styleId="6AC8388CE09C425B8E4134D31C962C34">
    <w:name w:val="6AC8388CE09C425B8E4134D31C962C34"/>
  </w:style>
  <w:style w:type="paragraph" w:customStyle="1" w:styleId="3D61B268B20745DE8B4838B3894510D3">
    <w:name w:val="3D61B268B20745DE8B4838B3894510D3"/>
    <w:rsid w:val="00075A72"/>
  </w:style>
  <w:style w:type="paragraph" w:customStyle="1" w:styleId="E8147E15DAFC4EB1A78E040AF2111EBC">
    <w:name w:val="E8147E15DAFC4EB1A78E040AF2111EBC"/>
    <w:rsid w:val="00145606"/>
  </w:style>
  <w:style w:type="paragraph" w:customStyle="1" w:styleId="1ECD2F0B93B443A9ADD18F6E1A59DB4C">
    <w:name w:val="1ECD2F0B93B443A9ADD18F6E1A59DB4C"/>
    <w:rsid w:val="0014560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ct:contentTypeSchema xmlns:ct="http://schemas.microsoft.com/office/2006/metadata/contentType" xmlns:ma="http://schemas.microsoft.com/office/2006/metadata/properties/metaAttributes" ct:_="" ma:_="" ma:contentTypeName="Document" ma:contentTypeID="0x010100B8CC1047693B9C4E82C98949384232E3" ma:contentTypeVersion="0" ma:contentTypeDescription="Create a new document." ma:contentTypeScope="" ma:versionID="f1f971ac7d559ead76220319017d3656">
  <xsd:schema xmlns:xsd="http://www.w3.org/2001/XMLSchema" xmlns:xs="http://www.w3.org/2001/XMLSchema" xmlns:p="http://schemas.microsoft.com/office/2006/metadata/properties" xmlns:ns2="836b82f1-340d-495e-85b5-201c5296619a" targetNamespace="http://schemas.microsoft.com/office/2006/metadata/properties" ma:root="true" ma:fieldsID="3be9963e7f408cfe264e4739eaeea019" ns2:_="">
    <xsd:import namespace="836b82f1-340d-495e-85b5-201c5296619a"/>
    <xsd:element name="properties">
      <xsd:complexType>
        <xsd:sequence>
          <xsd:element name="documentManagement">
            <xsd:complexType>
              <xsd:all>
                <xsd:element ref="ns2:Content_x0020_Ty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6b82f1-340d-495e-85b5-201c5296619a" elementFormDefault="qualified">
    <xsd:import namespace="http://schemas.microsoft.com/office/2006/documentManagement/types"/>
    <xsd:import namespace="http://schemas.microsoft.com/office/infopath/2007/PartnerControls"/>
    <xsd:element name="Content_x0020_Type" ma:index="2" nillable="true" ma:displayName="Document Type" ma:format="Dropdown" ma:internalName="Content_x0020_Type">
      <xsd:simpleType>
        <xsd:restriction base="dms:Choice">
          <xsd:enumeration value="Policies &amp; Procedures"/>
          <xsd:enumeration value="Maintenance Forms"/>
          <xsd:enumeration value="Measure Developer Webinars"/>
          <xsd:enumeration value="Maintenance Tracking Documents"/>
          <xsd:enumeration value="CSAC Materials"/>
          <xsd:enumeration value="Reference Materials"/>
          <xsd:enumeration value="Measure Developer Workshop"/>
          <xsd:enumeration value="Measure Developer Schedules"/>
          <xsd:enumeration value="Measure Developer Advisory Panel"/>
          <xsd:enumeration value="Restructuring Maintenance"/>
          <xsd:enumeration value="Project Management"/>
          <xsd:enumeration value="Archiv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6.xml><?xml version="1.0" encoding="utf-8"?>
<?mso-contentType ?>
<spe:Receivers xmlns:spe="http://schemas.microsoft.com/sharepoint/events">
  <Receiver>
    <Name>Nintex conditional workflow start</Name>
    <Synchronization>Synchronous</Synchronization>
    <Type>10001</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10002</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2</Type>
    <SequenceNumber>50000</SequenceNumber>
    <Assembly>Nintex.Workflow, Version=1.0.0.0, Culture=neutral, PublicKeyToken=913f6bae0ca5ae12</Assembly>
    <Class>Nintex.Workflow.ConditionalWorkflowStartReceiver</Class>
    <Data>634863537806517836</Data>
    <Filter/>
  </Receiver>
</spe:Receivers>
</file>

<file path=customXml/item7.xml><?xml version="1.0" encoding="utf-8"?>
<p:properties xmlns:p="http://schemas.microsoft.com/office/2006/metadata/properties" xmlns:xsi="http://www.w3.org/2001/XMLSchema-instance" xmlns:pc="http://schemas.microsoft.com/office/infopath/2007/PartnerControls">
  <documentManagement>
    <Content_x0020_Type xmlns="836b82f1-340d-495e-85b5-201c5296619a">Maintenance Forms</Content_x0020_Type>
  </documentManagement>
</p:properties>
</file>

<file path=customXml/item8.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06DB60-83B1-4490-A295-4D855218F1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8C703B16-F147-463E-8909-145470A06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6b82f1-340d-495e-85b5-201c529661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D3D600B-17C9-4FBB-9DAE-E657E23ED3D1}">
  <ds:schemaRefs>
    <ds:schemaRef ds:uri="http://schemas.microsoft.com/sharepoint/v3/contenttype/forms"/>
  </ds:schemaRefs>
</ds:datastoreItem>
</file>

<file path=customXml/itemProps4.xml><?xml version="1.0" encoding="utf-8"?>
<ds:datastoreItem xmlns:ds="http://schemas.openxmlformats.org/officeDocument/2006/customXml" ds:itemID="{910DB350-FC8B-4433-8EFB-33E9A67FD251}">
  <ds:schemaRefs>
    <ds:schemaRef ds:uri="http://schemas.microsoft.com/sharepoint/v3/contenttype/forms"/>
  </ds:schemaRefs>
</ds:datastoreItem>
</file>

<file path=customXml/itemProps5.xml><?xml version="1.0" encoding="utf-8"?>
<ds:datastoreItem xmlns:ds="http://schemas.openxmlformats.org/officeDocument/2006/customXml" ds:itemID="{6214E434-7F59-478F-9889-8C8438FFF984}">
  <ds:schemaRefs>
    <ds:schemaRef ds:uri="http://schemas.microsoft.com/office/2006/documentManagement/types"/>
    <ds:schemaRef ds:uri="http://purl.org/dc/elements/1.1/"/>
    <ds:schemaRef ds:uri="http://purl.org/dc/dcmitype/"/>
    <ds:schemaRef ds:uri="http://purl.org/dc/terms/"/>
    <ds:schemaRef ds:uri="http://schemas.microsoft.com/office/infopath/2007/PartnerControls"/>
    <ds:schemaRef ds:uri="http://schemas.openxmlformats.org/package/2006/metadata/core-properties"/>
    <ds:schemaRef ds:uri="836b82f1-340d-495e-85b5-201c5296619a"/>
    <ds:schemaRef ds:uri="http://schemas.microsoft.com/office/2006/metadata/properties"/>
    <ds:schemaRef ds:uri="http://www.w3.org/XML/1998/namespace"/>
  </ds:schemaRefs>
</ds:datastoreItem>
</file>

<file path=customXml/itemProps6.xml><?xml version="1.0" encoding="utf-8"?>
<ds:datastoreItem xmlns:ds="http://schemas.openxmlformats.org/officeDocument/2006/customXml" ds:itemID="{E5E77C6A-324F-4FC0-B7AC-A64B0A132FFF}">
  <ds:schemaRefs>
    <ds:schemaRef ds:uri="http://schemas.microsoft.com/sharepoint/events"/>
  </ds:schemaRefs>
</ds:datastoreItem>
</file>

<file path=customXml/itemProps7.xml><?xml version="1.0" encoding="utf-8"?>
<ds:datastoreItem xmlns:ds="http://schemas.openxmlformats.org/officeDocument/2006/customXml" ds:itemID="{DF2CDBE7-7F08-4F52-B308-EE351D989842}">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836b82f1-340d-495e-85b5-201c5296619a"/>
    <ds:schemaRef ds:uri="http://www.w3.org/XML/1998/namespace"/>
    <ds:schemaRef ds:uri="http://purl.org/dc/dcmitype/"/>
  </ds:schemaRefs>
</ds:datastoreItem>
</file>

<file path=customXml/itemProps8.xml><?xml version="1.0" encoding="utf-8"?>
<ds:datastoreItem xmlns:ds="http://schemas.openxmlformats.org/officeDocument/2006/customXml" ds:itemID="{0ECAF607-A161-44D9-ABA1-CB072D70AF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107</TotalTime>
  <Pages>13</Pages>
  <Words>4686</Words>
  <Characters>26716</Characters>
  <Application>Microsoft Office Word</Application>
  <DocSecurity>0</DocSecurity>
  <Lines>222</Lines>
  <Paragraphs>62</Paragraphs>
  <ScaleCrop>false</ScaleCrop>
  <HeadingPairs>
    <vt:vector size="2" baseType="variant">
      <vt:variant>
        <vt:lpstr>Title</vt:lpstr>
      </vt:variant>
      <vt:variant>
        <vt:i4>1</vt:i4>
      </vt:variant>
    </vt:vector>
  </HeadingPairs>
  <TitlesOfParts>
    <vt:vector size="1" baseType="lpstr">
      <vt:lpstr/>
    </vt:vector>
  </TitlesOfParts>
  <Company>National Quality Forum</Company>
  <LinksUpToDate>false</LinksUpToDate>
  <CharactersWithSpaces>31340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Hall, Terry</dc:creator>
  <cp:keywords/>
  <dc:description/>
  <cp:lastModifiedBy>Cheng Lin</cp:lastModifiedBy>
  <cp:revision>9</cp:revision>
  <cp:lastPrinted>2018-04-16T13:57:00Z</cp:lastPrinted>
  <dcterms:created xsi:type="dcterms:W3CDTF">2019-10-30T21:59:00Z</dcterms:created>
  <dcterms:modified xsi:type="dcterms:W3CDTF">2019-10-31T21:52:00Z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0x010100B8CC1047693B9C4E82C98949384232E3</vt:lpwstr>
  </property>
  <property fmtid="{D5CDD505-2E9C-101B-9397-08002B2CF9AE}" pid="3" name="_NewReviewCycle">
    <vt:lpwstr/>
  </property>
</Properties>
</file>